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2"/>
          <w:szCs w:val="22"/>
          <w:b w:val="1"/>
          <w:bCs w:val="1"/>
          <w:color w:val="auto"/>
        </w:rPr>
        <w:t>SECURITIES AND EXCHANGE COMMISSION</w:t>
      </w:r>
    </w:p>
    <w:p>
      <w:pPr>
        <w:spacing w:after="0" w:line="2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2808605</wp:posOffset>
            </wp:positionH>
            <wp:positionV relativeFrom="paragraph">
              <wp:posOffset>248285</wp:posOffset>
            </wp:positionV>
            <wp:extent cx="1106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FORM 6-K</w:t>
      </w:r>
    </w:p>
    <w:p>
      <w:pPr>
        <w:spacing w:after="0" w:line="28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Pursuant to Rule 13a-16 or 15d-16 of the</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Securities Exchange Act of 1934</w:t>
      </w:r>
    </w:p>
    <w:p>
      <w:pPr>
        <w:spacing w:after="0" w:line="26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month of October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2808605</wp:posOffset>
            </wp:positionH>
            <wp:positionV relativeFrom="paragraph">
              <wp:posOffset>257810</wp:posOffset>
            </wp:positionV>
            <wp:extent cx="1106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CREDICORP LTD.</w:t>
      </w:r>
    </w:p>
    <w:p>
      <w:pPr>
        <w:spacing w:after="0" w:line="28"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6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of principal executive office)</w:t>
      </w:r>
    </w:p>
    <w:p>
      <w:pPr>
        <w:spacing w:after="0" w:line="265" w:lineRule="exact"/>
        <w:rPr>
          <w:sz w:val="24"/>
          <w:szCs w:val="24"/>
          <w:color w:val="auto"/>
        </w:rPr>
      </w:pPr>
    </w:p>
    <w:p>
      <w:pPr>
        <w:jc w:val="center"/>
        <w:ind w:right="12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88" w:lineRule="exact"/>
        <w:rPr>
          <w:sz w:val="24"/>
          <w:szCs w:val="24"/>
          <w:color w:val="auto"/>
        </w:rPr>
      </w:pPr>
    </w:p>
    <w:p>
      <w:pPr>
        <w:jc w:val="center"/>
        <w:ind w:right="40"/>
        <w:spacing w:after="0"/>
        <w:rPr>
          <w:sz w:val="20"/>
          <w:szCs w:val="20"/>
          <w:color w:val="auto"/>
        </w:rPr>
      </w:pPr>
      <w:r>
        <w:rPr>
          <w:rFonts w:ascii="Arial" w:cs="Arial" w:eastAsia="Arial" w:hAnsi="Arial"/>
          <w:sz w:val="14"/>
          <w:szCs w:val="14"/>
          <w:color w:val="auto"/>
        </w:rPr>
        <w:t>Form 20-F x Form 40-F o</w:t>
      </w:r>
    </w:p>
    <w:p>
      <w:pPr>
        <w:spacing w:after="0" w:line="276" w:lineRule="exact"/>
        <w:rPr>
          <w:sz w:val="24"/>
          <w:szCs w:val="24"/>
          <w:color w:val="auto"/>
        </w:rPr>
      </w:pPr>
    </w:p>
    <w:p>
      <w:pPr>
        <w:jc w:val="cente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234" w:lineRule="exact"/>
        <w:rPr>
          <w:sz w:val="24"/>
          <w:szCs w:val="24"/>
          <w:color w:val="auto"/>
        </w:rPr>
      </w:pPr>
    </w:p>
    <w:p>
      <w:pPr>
        <w:jc w:val="center"/>
        <w:ind w:right="40"/>
        <w:spacing w:after="0"/>
        <w:rPr>
          <w:sz w:val="20"/>
          <w:szCs w:val="20"/>
          <w:color w:val="auto"/>
        </w:rPr>
      </w:pPr>
      <w:r>
        <w:rPr>
          <w:rFonts w:ascii="Arial" w:cs="Arial" w:eastAsia="Arial" w:hAnsi="Arial"/>
          <w:sz w:val="14"/>
          <w:szCs w:val="14"/>
          <w:color w:val="auto"/>
        </w:rPr>
        <w:t>Yes o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-262890</wp:posOffset>
            </wp:positionH>
            <wp:positionV relativeFrom="paragraph">
              <wp:posOffset>250825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660" w:top="477" w:right="61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397510</wp:posOffset>
            </wp:positionV>
            <wp:extent cx="1715135" cy="8387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715135" cy="8387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3160"/>
        <w:spacing w:after="0"/>
        <w:rPr>
          <w:sz w:val="20"/>
          <w:szCs w:val="20"/>
          <w:color w:val="auto"/>
        </w:rPr>
      </w:pPr>
      <w:r>
        <w:rPr>
          <w:rFonts w:ascii="Arial" w:cs="Arial" w:eastAsia="Arial" w:hAnsi="Arial"/>
          <w:sz w:val="18"/>
          <w:szCs w:val="18"/>
          <w:b w:val="1"/>
          <w:bCs w:val="1"/>
          <w:color w:val="auto"/>
        </w:rPr>
        <w:t>CREDICORP Ltd. Reports Third Quarter 2007 Earnings</w:t>
      </w:r>
    </w:p>
    <w:p>
      <w:pPr>
        <w:spacing w:after="0" w:line="252" w:lineRule="exact"/>
        <w:rPr>
          <w:sz w:val="20"/>
          <w:szCs w:val="20"/>
          <w:color w:val="auto"/>
        </w:rPr>
      </w:pPr>
    </w:p>
    <w:p>
      <w:pPr>
        <w:jc w:val="both"/>
        <w:ind w:left="1960"/>
        <w:spacing w:after="0" w:line="277" w:lineRule="auto"/>
        <w:rPr>
          <w:sz w:val="20"/>
          <w:szCs w:val="20"/>
          <w:color w:val="auto"/>
        </w:rPr>
      </w:pPr>
      <w:r>
        <w:rPr>
          <w:rFonts w:ascii="Arial" w:cs="Arial" w:eastAsia="Arial" w:hAnsi="Arial"/>
          <w:sz w:val="17"/>
          <w:szCs w:val="17"/>
          <w:b w:val="1"/>
          <w:bCs w:val="1"/>
          <w:color w:val="auto"/>
        </w:rPr>
        <w:t xml:space="preserve">Lima, Peru, October 29, 2007 - </w:t>
      </w:r>
      <w:r>
        <w:rPr>
          <w:rFonts w:ascii="Arial" w:cs="Arial" w:eastAsia="Arial" w:hAnsi="Arial"/>
          <w:sz w:val="17"/>
          <w:szCs w:val="17"/>
          <w:color w:val="auto"/>
        </w:rPr>
        <w:t>Credicorp (NYSE:BAP) announced today its unaudited results for the third</w:t>
      </w:r>
      <w:r>
        <w:rPr>
          <w:rFonts w:ascii="Arial" w:cs="Arial" w:eastAsia="Arial" w:hAnsi="Arial"/>
          <w:sz w:val="17"/>
          <w:szCs w:val="17"/>
          <w:b w:val="1"/>
          <w:bCs w:val="1"/>
          <w:color w:val="auto"/>
        </w:rPr>
        <w:t xml:space="preserve"> </w:t>
      </w:r>
      <w:r>
        <w:rPr>
          <w:rFonts w:ascii="Arial" w:cs="Arial" w:eastAsia="Arial" w:hAnsi="Arial"/>
          <w:sz w:val="17"/>
          <w:szCs w:val="17"/>
          <w:color w:val="auto"/>
        </w:rPr>
        <w:t>quarter of 2007. These results are reported on a consolidated basis in accordance with IFRS in nominal U.S. Dollars. We are modifying for this time our reporting procedures in light of the announcements of last Friday regarding the change in leadership at BCP and Credicorp, and presenting a report on the highlights of Credicorp results. Our customary full report will be presented as usual on November 8, 2007.</w:t>
      </w:r>
    </w:p>
    <w:p>
      <w:pPr>
        <w:spacing w:after="0" w:line="200" w:lineRule="exact"/>
        <w:rPr>
          <w:sz w:val="20"/>
          <w:szCs w:val="20"/>
          <w:color w:val="auto"/>
        </w:rPr>
      </w:pPr>
    </w:p>
    <w:p>
      <w:pPr>
        <w:spacing w:after="0" w:line="23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HIGHLIGHTS</w:t>
      </w:r>
    </w:p>
    <w:p>
      <w:pPr>
        <w:spacing w:after="0" w:line="200" w:lineRule="exact"/>
        <w:rPr>
          <w:sz w:val="20"/>
          <w:szCs w:val="20"/>
          <w:color w:val="auto"/>
        </w:rPr>
      </w:pPr>
    </w:p>
    <w:p>
      <w:pPr>
        <w:spacing w:after="0" w:line="299" w:lineRule="exact"/>
        <w:rPr>
          <w:sz w:val="20"/>
          <w:szCs w:val="20"/>
          <w:color w:val="auto"/>
        </w:rPr>
      </w:pPr>
    </w:p>
    <w:p>
      <w:pPr>
        <w:ind w:left="2680" w:hanging="725"/>
        <w:spacing w:after="0" w:line="258" w:lineRule="auto"/>
        <w:tabs>
          <w:tab w:leader="none" w:pos="2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Following the strong growth trend of the year, in 3Q07 Credicorp reported an increase of its net income by 3.3% QoQ and 75.9% YoY, totaling net earnings of US$ 90.3 million.</w:t>
      </w:r>
    </w:p>
    <w:p>
      <w:pPr>
        <w:spacing w:after="0" w:line="1" w:lineRule="exact"/>
        <w:rPr>
          <w:rFonts w:ascii="Arial" w:cs="Arial" w:eastAsia="Arial" w:hAnsi="Arial"/>
          <w:sz w:val="18"/>
          <w:szCs w:val="18"/>
          <w:color w:val="auto"/>
        </w:rPr>
      </w:pPr>
    </w:p>
    <w:p>
      <w:pPr>
        <w:ind w:left="2680" w:hanging="725"/>
        <w:spacing w:after="0"/>
        <w:tabs>
          <w:tab w:leader="none" w:pos="2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ROAE reached 23.02% for the quarter and 22.87% for the year to date.</w:t>
      </w:r>
    </w:p>
    <w:p>
      <w:pPr>
        <w:spacing w:after="0" w:line="21" w:lineRule="exact"/>
        <w:rPr>
          <w:rFonts w:ascii="Arial" w:cs="Arial" w:eastAsia="Arial" w:hAnsi="Arial"/>
          <w:sz w:val="18"/>
          <w:szCs w:val="18"/>
          <w:color w:val="auto"/>
        </w:rPr>
      </w:pPr>
    </w:p>
    <w:p>
      <w:pPr>
        <w:ind w:left="2680" w:right="20" w:hanging="725"/>
        <w:spacing w:after="0" w:line="258" w:lineRule="auto"/>
        <w:tabs>
          <w:tab w:leader="none" w:pos="2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Loan growth of its banking business continued strong revealing a 6.8% QoQ loan growth in both gross and net terms.</w:t>
      </w:r>
    </w:p>
    <w:p>
      <w:pPr>
        <w:spacing w:after="0" w:line="1" w:lineRule="exact"/>
        <w:rPr>
          <w:rFonts w:ascii="Arial" w:cs="Arial" w:eastAsia="Arial" w:hAnsi="Arial"/>
          <w:sz w:val="18"/>
          <w:szCs w:val="18"/>
          <w:color w:val="auto"/>
        </w:rPr>
      </w:pPr>
    </w:p>
    <w:p>
      <w:pPr>
        <w:jc w:val="both"/>
        <w:ind w:left="2680" w:hanging="725"/>
        <w:spacing w:after="0" w:line="250" w:lineRule="auto"/>
        <w:tabs>
          <w:tab w:leader="none" w:pos="2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Interest income followed this trend with a robust 8.5% QoQ growth despite the persistent competition and pressure on rates, revealing the success of our strategy to shift our portfolio mix increasing our share of the retail business.</w:t>
      </w:r>
    </w:p>
    <w:p>
      <w:pPr>
        <w:spacing w:after="0" w:line="1" w:lineRule="exact"/>
        <w:rPr>
          <w:rFonts w:ascii="Arial" w:cs="Arial" w:eastAsia="Arial" w:hAnsi="Arial"/>
          <w:sz w:val="18"/>
          <w:szCs w:val="18"/>
          <w:color w:val="auto"/>
        </w:rPr>
      </w:pPr>
    </w:p>
    <w:p>
      <w:pPr>
        <w:ind w:left="2680" w:hanging="725"/>
        <w:spacing w:after="0" w:line="250" w:lineRule="auto"/>
        <w:tabs>
          <w:tab w:leader="none" w:pos="2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NII however, increased in less proportion and reflects the change in our funding structure and the need to complement our solid deposit base with debt.</w:t>
      </w:r>
    </w:p>
    <w:p>
      <w:pPr>
        <w:jc w:val="both"/>
        <w:ind w:left="2680" w:hanging="725"/>
        <w:spacing w:after="0" w:line="250" w:lineRule="auto"/>
        <w:tabs>
          <w:tab w:leader="none" w:pos="2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 also strong fee income growth of 13.4% QoQ reveals further increases in bank transactional activity and the fee expansion at the pension fund business. Operational FX-transactional income also grows 15% QoQ, but gains from the sale of securities drop significantly following the international markets’ evolution.</w:t>
      </w:r>
    </w:p>
    <w:p>
      <w:pPr>
        <w:spacing w:after="0" w:line="1" w:lineRule="exact"/>
        <w:rPr>
          <w:rFonts w:ascii="Arial" w:cs="Arial" w:eastAsia="Arial" w:hAnsi="Arial"/>
          <w:sz w:val="18"/>
          <w:szCs w:val="18"/>
          <w:color w:val="auto"/>
        </w:rPr>
      </w:pPr>
    </w:p>
    <w:p>
      <w:pPr>
        <w:jc w:val="both"/>
        <w:ind w:left="2680" w:hanging="725"/>
        <w:spacing w:after="0" w:line="265" w:lineRule="auto"/>
        <w:tabs>
          <w:tab w:leader="none" w:pos="2680" w:val="left"/>
        </w:tabs>
        <w:numPr>
          <w:ilvl w:val="0"/>
          <w:numId w:val="1"/>
        </w:numPr>
        <w:rPr>
          <w:rFonts w:ascii="Arial" w:cs="Arial" w:eastAsia="Arial" w:hAnsi="Arial"/>
          <w:sz w:val="17"/>
          <w:szCs w:val="17"/>
          <w:color w:val="auto"/>
        </w:rPr>
      </w:pPr>
      <w:r>
        <w:rPr>
          <w:rFonts w:ascii="Arial" w:cs="Arial" w:eastAsia="Arial" w:hAnsi="Arial"/>
          <w:sz w:val="17"/>
          <w:szCs w:val="17"/>
          <w:color w:val="auto"/>
        </w:rPr>
        <w:t>Net interest margin reflects though a small drop from 5.5% for the previous quarter, reaching 5.2% this 3Q07. The drop follows the competitive pressures and increased funding costs, but could be contained given the better earnings structure resulting from the continuing change in loan mix.</w:t>
      </w:r>
    </w:p>
    <w:p>
      <w:pPr>
        <w:jc w:val="both"/>
        <w:ind w:left="2680" w:hanging="725"/>
        <w:spacing w:after="0" w:line="250" w:lineRule="auto"/>
        <w:tabs>
          <w:tab w:leader="none" w:pos="2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Loan portfolio quality continued strengthening, reaching a PDL/Loans ratio of only 0.91%, down from 0.96% for 2Q07. Net provisioning at US$ 7.9 million for 3Q07 reflects increased gross provisions in line with loan growth but also continuing recoveries.</w:t>
      </w:r>
    </w:p>
    <w:p>
      <w:pPr>
        <w:spacing w:after="0" w:line="1" w:lineRule="exact"/>
        <w:rPr>
          <w:rFonts w:ascii="Arial" w:cs="Arial" w:eastAsia="Arial" w:hAnsi="Arial"/>
          <w:sz w:val="18"/>
          <w:szCs w:val="18"/>
          <w:color w:val="auto"/>
        </w:rPr>
      </w:pPr>
    </w:p>
    <w:p>
      <w:pPr>
        <w:jc w:val="both"/>
        <w:ind w:left="2680" w:hanging="725"/>
        <w:spacing w:after="0" w:line="250" w:lineRule="auto"/>
        <w:tabs>
          <w:tab w:leader="none" w:pos="2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BCP’s consolidated numbers reflect a very healthy and dynamic banking environment with core revenues up 4.8% QoQ and 31.4% for the year. Such improved income combined with controlled operating expenses and an important positive translation effect given the revaluation on the Peruvian Nuevo Sol against the weak USDollar, led to a 10.6% QoQ higher net income for BCP for 3Q07 which reached US$ 90.7 million, and translates into a solid contribution to Credicorp of US$ 88.2 million for this 3Q07.</w:t>
      </w:r>
    </w:p>
    <w:p>
      <w:pPr>
        <w:spacing w:after="0" w:line="2" w:lineRule="exact"/>
        <w:rPr>
          <w:rFonts w:ascii="Arial" w:cs="Arial" w:eastAsia="Arial" w:hAnsi="Arial"/>
          <w:sz w:val="18"/>
          <w:szCs w:val="18"/>
          <w:color w:val="auto"/>
        </w:rPr>
      </w:pPr>
    </w:p>
    <w:p>
      <w:pPr>
        <w:ind w:left="2680" w:hanging="725"/>
        <w:spacing w:after="0" w:line="250" w:lineRule="auto"/>
        <w:tabs>
          <w:tab w:leader="none" w:pos="2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BCB, which is consolidated in BCP, continues its consistent growth and reports a contribution 22% higher QoQ and 91% higher YoY, reaching US$ 6.7 million for 3Q07.</w:t>
      </w:r>
    </w:p>
    <w:p>
      <w:pPr>
        <w:ind w:left="2680" w:right="20" w:hanging="725"/>
        <w:spacing w:after="0" w:line="250" w:lineRule="auto"/>
        <w:tabs>
          <w:tab w:leader="none" w:pos="2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ASHC remains a stable and growing business in line with the increasing wealth in the country and reports a remarkable contribution improvement of 42% QoQ at US$ 6.2 million.</w:t>
      </w:r>
    </w:p>
    <w:p>
      <w:pPr>
        <w:ind w:left="2680" w:right="20" w:hanging="725"/>
        <w:spacing w:after="0" w:line="219" w:lineRule="auto"/>
        <w:tabs>
          <w:tab w:leader="none" w:pos="2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PPS had a difficult quarter hit by the devastating August 15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earthquake and reported a negative contribution to Credicorp of US$ 2.96 million for 3Q07.</w:t>
      </w:r>
    </w:p>
    <w:p>
      <w:pPr>
        <w:spacing w:after="0" w:line="1" w:lineRule="exact"/>
        <w:rPr>
          <w:rFonts w:ascii="Arial" w:cs="Arial" w:eastAsia="Arial" w:hAnsi="Arial"/>
          <w:sz w:val="18"/>
          <w:szCs w:val="18"/>
          <w:color w:val="auto"/>
        </w:rPr>
      </w:pPr>
    </w:p>
    <w:p>
      <w:pPr>
        <w:ind w:left="2680" w:hanging="725"/>
        <w:spacing w:after="0" w:line="250" w:lineRule="auto"/>
        <w:tabs>
          <w:tab w:leader="none" w:pos="2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Finally, Prima AFP reflects its turn around through controlled operating costs reaching a positive contribution of US$ 1.8 million for 3Q07.</w:t>
      </w:r>
    </w:p>
    <w:p>
      <w:pPr>
        <w:jc w:val="both"/>
        <w:ind w:left="2680" w:hanging="725"/>
        <w:spacing w:after="0" w:line="255" w:lineRule="auto"/>
        <w:tabs>
          <w:tab w:leader="none" w:pos="2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Credicorp performance indicators reveal these improvements with ROAE rising to 23.02% from 16.3% YoY and the efficiency ratio recovering to 40.8% from 42.2% QoQ as a result mainly of the lower operating costs in the pension fund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831215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440" w:right="239" w:bottom="1440" w:gutter="0" w:footer="0" w:header="0"/>
        </w:sectPr>
      </w:pPr>
    </w:p>
    <w:bookmarkStart w:id="2" w:name="page3"/>
    <w:bookmarkEnd w:id="2"/>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Credicorp Ltd.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Continuing the growth trend and income improvements reported throughout the first half of the year 2007, Credicorp closed its 3Q07 with a total net income after minority deductions of US$ 90.3 million, reflecting a 75.9% earnings growth from 3Q06 and 3.3% growth QoQ, resulting in an improved ROAE of 23.02% for the quarter, and 22.9% for the year to date.</w:t>
      </w:r>
    </w:p>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Credicorp’s core banking business reported a strong performance, with total loan growth this last quarter reaching 6.8% QoQ, fueled, as expected, by the retail segment with 12.3% QoQ loan growth in this segment.</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Growth in interest income followed this robust loan growth and reached 8.5% QoQ despite the persistent competition and pressure on rates, revealing the success of our strategy to shift our portfolio mix increasing our share of the retail business.</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NII however, increased in significantly less proportion (+1.1%) and reflects the change in our funding structure and the need to complement our solid deposit base with debt in order to support our accelerating loan growth. Thus, the strong loan growth was funded by a reduction of excess liquidity (-4.9% QoQ), a moderate expansion of deposits (+1.7% QoQ) and additional structured debt.</w:t>
      </w:r>
    </w:p>
    <w:p>
      <w:pPr>
        <w:spacing w:after="0" w:line="23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interest margin reflects though a small drop from 5.5% the previous quarter, but could be sustained above the 5% minimum target reaching 5.2%, despite the competitive pressures given the better earnings structure resulting from the continuing change in loan mix.</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Non Financial income reported 4.6% QoQ growth. However, this number hides a strong fee income growth of 13.4% QoQ revealing further increases in bank transactional activity and the fee expansion at the pension fund business. Operational FX-transactional income also grows 15% QoQ. It is the lower gains in the sale of securities given the international markets’ evolution, lower by 65% compared to the excellent performance of the capital markets in the previous quarter, which led to an overall moderate growth of non-financial income.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3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Credicorp Ltd.</w:t>
            </w:r>
          </w:p>
        </w:tc>
        <w:tc>
          <w:tcPr>
            <w:tcW w:w="1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Quarter</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Borders>
              <w:bottom w:val="single" w:sz="8" w:color="auto"/>
            </w:tcBorders>
            <w:gridSpan w:val="3"/>
          </w:tcPr>
          <w:p>
            <w:pPr>
              <w:jc w:val="right"/>
              <w:ind w:right="568"/>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6"/>
                <w:szCs w:val="16"/>
                <w:color w:val="auto"/>
              </w:rPr>
            </w:pPr>
          </w:p>
        </w:tc>
      </w:tr>
      <w:tr>
        <w:trPr>
          <w:trHeight w:val="264"/>
        </w:trPr>
        <w:tc>
          <w:tcPr>
            <w:tcW w:w="3900" w:type="dxa"/>
            <w:vAlign w:val="bottom"/>
            <w:gridSpan w:val="2"/>
          </w:tcPr>
          <w:p>
            <w:pPr>
              <w:spacing w:after="0"/>
              <w:rPr>
                <w:sz w:val="20"/>
                <w:szCs w:val="20"/>
                <w:color w:val="auto"/>
              </w:rPr>
            </w:pPr>
            <w:r>
              <w:rPr>
                <w:rFonts w:ascii="Arial" w:cs="Arial" w:eastAsia="Arial" w:hAnsi="Arial"/>
                <w:sz w:val="14"/>
                <w:szCs w:val="14"/>
                <w:color w:val="auto"/>
              </w:rPr>
              <w:t>US$ thousands</w:t>
            </w:r>
          </w:p>
        </w:tc>
        <w:tc>
          <w:tcPr>
            <w:tcW w:w="180" w:type="dxa"/>
            <w:vAlign w:val="bottom"/>
          </w:tcPr>
          <w:p>
            <w:pPr>
              <w:spacing w:after="0"/>
              <w:rPr>
                <w:sz w:val="22"/>
                <w:szCs w:val="22"/>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3Q07</w:t>
            </w: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2Q07</w:t>
            </w: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3Q06</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3Q07/ 3Q06</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3Q07/ 2Q07</w:t>
            </w:r>
          </w:p>
        </w:tc>
      </w:tr>
      <w:tr>
        <w:trPr>
          <w:trHeight w:val="20"/>
        </w:trPr>
        <w:tc>
          <w:tcPr>
            <w:tcW w:w="20" w:type="dxa"/>
            <w:vAlign w:val="bottom"/>
          </w:tcPr>
          <w:p>
            <w:pPr>
              <w:spacing w:after="0" w:line="20" w:lineRule="exact"/>
              <w:rPr>
                <w:sz w:val="1"/>
                <w:szCs w:val="1"/>
                <w:color w:val="auto"/>
              </w:rPr>
            </w:pPr>
          </w:p>
        </w:tc>
        <w:tc>
          <w:tcPr>
            <w:tcW w:w="3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880" w:type="dxa"/>
            <w:vAlign w:val="bottom"/>
            <w:shd w:val="clear" w:color="auto" w:fill="CCFFCC"/>
          </w:tcPr>
          <w:p>
            <w:pPr>
              <w:spacing w:after="0"/>
              <w:rPr>
                <w:sz w:val="20"/>
                <w:szCs w:val="20"/>
                <w:color w:val="auto"/>
              </w:rPr>
            </w:pPr>
            <w:r>
              <w:rPr>
                <w:rFonts w:ascii="Arial" w:cs="Arial" w:eastAsia="Arial" w:hAnsi="Arial"/>
                <w:sz w:val="14"/>
                <w:szCs w:val="14"/>
                <w:color w:val="auto"/>
              </w:rPr>
              <w:t>Net Interest income</w:t>
            </w:r>
          </w:p>
        </w:tc>
        <w:tc>
          <w:tcPr>
            <w:tcW w:w="180" w:type="dxa"/>
            <w:vAlign w:val="bottom"/>
            <w:shd w:val="clear" w:color="auto" w:fill="CCFFCC"/>
          </w:tcPr>
          <w:p>
            <w:pPr>
              <w:spacing w:after="0"/>
              <w:rPr>
                <w:sz w:val="20"/>
                <w:szCs w:val="20"/>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161,055</w:t>
            </w:r>
          </w:p>
        </w:tc>
        <w:tc>
          <w:tcPr>
            <w:tcW w:w="120" w:type="dxa"/>
            <w:vAlign w:val="bottom"/>
            <w:shd w:val="clear" w:color="auto" w:fill="CCFFCC"/>
          </w:tcPr>
          <w:p>
            <w:pPr>
              <w:spacing w:after="0"/>
              <w:rPr>
                <w:sz w:val="20"/>
                <w:szCs w:val="20"/>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159,305</w:t>
            </w:r>
          </w:p>
        </w:tc>
        <w:tc>
          <w:tcPr>
            <w:tcW w:w="120" w:type="dxa"/>
            <w:vAlign w:val="bottom"/>
            <w:shd w:val="clear" w:color="auto" w:fill="CCFFCC"/>
          </w:tcPr>
          <w:p>
            <w:pPr>
              <w:spacing w:after="0"/>
              <w:rPr>
                <w:sz w:val="20"/>
                <w:szCs w:val="20"/>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120,667</w:t>
            </w:r>
          </w:p>
        </w:tc>
        <w:tc>
          <w:tcPr>
            <w:tcW w:w="120" w:type="dxa"/>
            <w:vAlign w:val="bottom"/>
            <w:shd w:val="clear" w:color="auto" w:fill="CCFFCC"/>
          </w:tcPr>
          <w:p>
            <w:pPr>
              <w:spacing w:after="0"/>
              <w:rPr>
                <w:sz w:val="20"/>
                <w:szCs w:val="20"/>
                <w:color w:val="auto"/>
              </w:rPr>
            </w:pPr>
          </w:p>
        </w:tc>
        <w:tc>
          <w:tcPr>
            <w:tcW w:w="102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33.5%</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1.1%</w:t>
            </w:r>
          </w:p>
        </w:tc>
      </w:tr>
      <w:tr>
        <w:trPr>
          <w:trHeight w:val="243"/>
        </w:trPr>
        <w:tc>
          <w:tcPr>
            <w:tcW w:w="3900" w:type="dxa"/>
            <w:vAlign w:val="bottom"/>
            <w:gridSpan w:val="2"/>
          </w:tcPr>
          <w:p>
            <w:pPr>
              <w:spacing w:after="0"/>
              <w:rPr>
                <w:sz w:val="20"/>
                <w:szCs w:val="20"/>
                <w:color w:val="auto"/>
              </w:rPr>
            </w:pPr>
            <w:r>
              <w:rPr>
                <w:rFonts w:ascii="Arial" w:cs="Arial" w:eastAsia="Arial" w:hAnsi="Arial"/>
                <w:sz w:val="14"/>
                <w:szCs w:val="14"/>
                <w:color w:val="auto"/>
              </w:rPr>
              <w:t>Total provisions, net of recoveries</w:t>
            </w:r>
          </w:p>
        </w:tc>
        <w:tc>
          <w:tcPr>
            <w:tcW w:w="1200" w:type="dxa"/>
            <w:vAlign w:val="bottom"/>
            <w:gridSpan w:val="3"/>
          </w:tcPr>
          <w:p>
            <w:pPr>
              <w:jc w:val="right"/>
              <w:ind w:right="80"/>
              <w:spacing w:after="0"/>
              <w:rPr>
                <w:sz w:val="20"/>
                <w:szCs w:val="20"/>
                <w:color w:val="auto"/>
              </w:rPr>
            </w:pPr>
            <w:r>
              <w:rPr>
                <w:rFonts w:ascii="Arial" w:cs="Arial" w:eastAsia="Arial" w:hAnsi="Arial"/>
                <w:sz w:val="14"/>
                <w:szCs w:val="14"/>
                <w:color w:val="auto"/>
              </w:rPr>
              <w:t>(7,922)</w:t>
            </w: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(6,090)</w:t>
            </w:r>
          </w:p>
        </w:tc>
        <w:tc>
          <w:tcPr>
            <w:tcW w:w="900" w:type="dxa"/>
            <w:vAlign w:val="bottom"/>
          </w:tcPr>
          <w:p>
            <w:pPr>
              <w:jc w:val="right"/>
              <w:spacing w:after="0"/>
              <w:rPr>
                <w:sz w:val="20"/>
                <w:szCs w:val="20"/>
                <w:color w:val="auto"/>
              </w:rPr>
            </w:pPr>
            <w:r>
              <w:rPr>
                <w:rFonts w:ascii="Arial" w:cs="Arial" w:eastAsia="Arial" w:hAnsi="Arial"/>
                <w:sz w:val="14"/>
                <w:szCs w:val="14"/>
                <w:color w:val="auto"/>
              </w:rPr>
              <w:t>9,795</w:t>
            </w:r>
          </w:p>
        </w:tc>
        <w:tc>
          <w:tcPr>
            <w:tcW w:w="12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-180.9%</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30.1%</w:t>
            </w:r>
          </w:p>
        </w:tc>
      </w:tr>
      <w:tr>
        <w:trPr>
          <w:trHeight w:val="243"/>
        </w:trPr>
        <w:tc>
          <w:tcPr>
            <w:tcW w:w="20" w:type="dxa"/>
            <w:vAlign w:val="bottom"/>
          </w:tcPr>
          <w:p>
            <w:pPr>
              <w:spacing w:after="0"/>
              <w:rPr>
                <w:sz w:val="21"/>
                <w:szCs w:val="21"/>
                <w:color w:val="auto"/>
              </w:rPr>
            </w:pPr>
          </w:p>
        </w:tc>
        <w:tc>
          <w:tcPr>
            <w:tcW w:w="3880" w:type="dxa"/>
            <w:vAlign w:val="bottom"/>
            <w:shd w:val="clear" w:color="auto" w:fill="CCFFCC"/>
          </w:tcPr>
          <w:p>
            <w:pPr>
              <w:spacing w:after="0"/>
              <w:rPr>
                <w:sz w:val="20"/>
                <w:szCs w:val="20"/>
                <w:color w:val="auto"/>
              </w:rPr>
            </w:pPr>
            <w:r>
              <w:rPr>
                <w:rFonts w:ascii="Arial" w:cs="Arial" w:eastAsia="Arial" w:hAnsi="Arial"/>
                <w:sz w:val="14"/>
                <w:szCs w:val="14"/>
                <w:color w:val="auto"/>
              </w:rPr>
              <w:t>Non financial income</w:t>
            </w: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112,942</w:t>
            </w:r>
          </w:p>
        </w:tc>
        <w:tc>
          <w:tcPr>
            <w:tcW w:w="120" w:type="dxa"/>
            <w:vAlign w:val="bottom"/>
            <w:shd w:val="clear" w:color="auto" w:fill="CCFFCC"/>
          </w:tcPr>
          <w:p>
            <w:pPr>
              <w:spacing w:after="0"/>
              <w:rPr>
                <w:sz w:val="21"/>
                <w:szCs w:val="21"/>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108,026</w:t>
            </w:r>
          </w:p>
        </w:tc>
        <w:tc>
          <w:tcPr>
            <w:tcW w:w="120" w:type="dxa"/>
            <w:vAlign w:val="bottom"/>
            <w:shd w:val="clear" w:color="auto" w:fill="CCFFCC"/>
          </w:tcPr>
          <w:p>
            <w:pPr>
              <w:spacing w:after="0"/>
              <w:rPr>
                <w:sz w:val="21"/>
                <w:szCs w:val="21"/>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85,286</w:t>
            </w:r>
          </w:p>
        </w:tc>
        <w:tc>
          <w:tcPr>
            <w:tcW w:w="12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32.4%</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4.6%</w:t>
            </w:r>
          </w:p>
        </w:tc>
      </w:tr>
      <w:tr>
        <w:trPr>
          <w:trHeight w:val="243"/>
        </w:trPr>
        <w:tc>
          <w:tcPr>
            <w:tcW w:w="3900" w:type="dxa"/>
            <w:vAlign w:val="bottom"/>
            <w:gridSpan w:val="2"/>
          </w:tcPr>
          <w:p>
            <w:pPr>
              <w:spacing w:after="0"/>
              <w:rPr>
                <w:sz w:val="20"/>
                <w:szCs w:val="20"/>
                <w:color w:val="auto"/>
              </w:rPr>
            </w:pPr>
            <w:r>
              <w:rPr>
                <w:rFonts w:ascii="Arial" w:cs="Arial" w:eastAsia="Arial" w:hAnsi="Arial"/>
                <w:sz w:val="14"/>
                <w:szCs w:val="14"/>
                <w:color w:val="auto"/>
              </w:rPr>
              <w:t>Insurance premiums and claims</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9,809</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19,278</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19,383</w:t>
            </w:r>
          </w:p>
        </w:tc>
        <w:tc>
          <w:tcPr>
            <w:tcW w:w="12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-49.4%</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-49.1%</w:t>
            </w:r>
          </w:p>
        </w:tc>
      </w:tr>
      <w:tr>
        <w:trPr>
          <w:trHeight w:val="243"/>
        </w:trPr>
        <w:tc>
          <w:tcPr>
            <w:tcW w:w="20" w:type="dxa"/>
            <w:vAlign w:val="bottom"/>
          </w:tcPr>
          <w:p>
            <w:pPr>
              <w:spacing w:after="0"/>
              <w:rPr>
                <w:sz w:val="21"/>
                <w:szCs w:val="21"/>
                <w:color w:val="auto"/>
              </w:rPr>
            </w:pPr>
          </w:p>
        </w:tc>
        <w:tc>
          <w:tcPr>
            <w:tcW w:w="3880" w:type="dxa"/>
            <w:vAlign w:val="bottom"/>
            <w:shd w:val="clear" w:color="auto" w:fill="CCFFCC"/>
          </w:tcPr>
          <w:p>
            <w:pPr>
              <w:spacing w:after="0"/>
              <w:rPr>
                <w:sz w:val="20"/>
                <w:szCs w:val="20"/>
                <w:color w:val="auto"/>
              </w:rPr>
            </w:pPr>
            <w:r>
              <w:rPr>
                <w:rFonts w:ascii="Arial" w:cs="Arial" w:eastAsia="Arial" w:hAnsi="Arial"/>
                <w:sz w:val="14"/>
                <w:szCs w:val="14"/>
                <w:color w:val="auto"/>
              </w:rPr>
              <w:t>Operating expenses</w:t>
            </w:r>
          </w:p>
        </w:tc>
        <w:tc>
          <w:tcPr>
            <w:tcW w:w="1200" w:type="dxa"/>
            <w:vAlign w:val="bottom"/>
            <w:gridSpan w:val="3"/>
            <w:shd w:val="clear" w:color="auto" w:fill="CCFFCC"/>
          </w:tcPr>
          <w:p>
            <w:pPr>
              <w:jc w:val="right"/>
              <w:ind w:right="80"/>
              <w:spacing w:after="0"/>
              <w:rPr>
                <w:sz w:val="20"/>
                <w:szCs w:val="20"/>
                <w:color w:val="auto"/>
              </w:rPr>
            </w:pPr>
            <w:r>
              <w:rPr>
                <w:rFonts w:ascii="Arial" w:cs="Arial" w:eastAsia="Arial" w:hAnsi="Arial"/>
                <w:sz w:val="14"/>
                <w:szCs w:val="14"/>
                <w:color w:val="auto"/>
              </w:rPr>
              <w:t>(163,125)</w:t>
            </w: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(159,886)</w:t>
            </w:r>
          </w:p>
        </w:tc>
        <w:tc>
          <w:tcPr>
            <w:tcW w:w="102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(152,042)</w:t>
            </w:r>
          </w:p>
        </w:tc>
        <w:tc>
          <w:tcPr>
            <w:tcW w:w="102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7.3%</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2.0%</w:t>
            </w:r>
          </w:p>
        </w:tc>
      </w:tr>
      <w:tr>
        <w:trPr>
          <w:trHeight w:val="243"/>
        </w:trPr>
        <w:tc>
          <w:tcPr>
            <w:tcW w:w="3900" w:type="dxa"/>
            <w:vAlign w:val="bottom"/>
            <w:gridSpan w:val="2"/>
          </w:tcPr>
          <w:p>
            <w:pPr>
              <w:spacing w:after="0"/>
              <w:rPr>
                <w:sz w:val="20"/>
                <w:szCs w:val="20"/>
                <w:color w:val="auto"/>
              </w:rPr>
            </w:pPr>
            <w:r>
              <w:rPr>
                <w:rFonts w:ascii="Arial" w:cs="Arial" w:eastAsia="Arial" w:hAnsi="Arial"/>
                <w:sz w:val="14"/>
                <w:szCs w:val="14"/>
                <w:color w:val="auto"/>
              </w:rPr>
              <w:t>Translation results</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13,811</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1,728</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832</w:t>
            </w:r>
          </w:p>
        </w:tc>
        <w:tc>
          <w:tcPr>
            <w:tcW w:w="12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1559.2%</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699.3%</w:t>
            </w:r>
          </w:p>
        </w:tc>
      </w:tr>
      <w:tr>
        <w:trPr>
          <w:trHeight w:val="243"/>
        </w:trPr>
        <w:tc>
          <w:tcPr>
            <w:tcW w:w="20" w:type="dxa"/>
            <w:vAlign w:val="bottom"/>
          </w:tcPr>
          <w:p>
            <w:pPr>
              <w:spacing w:after="0"/>
              <w:rPr>
                <w:sz w:val="21"/>
                <w:szCs w:val="21"/>
                <w:color w:val="auto"/>
              </w:rPr>
            </w:pPr>
          </w:p>
        </w:tc>
        <w:tc>
          <w:tcPr>
            <w:tcW w:w="3880" w:type="dxa"/>
            <w:vAlign w:val="bottom"/>
            <w:shd w:val="clear" w:color="auto" w:fill="CCFFCC"/>
          </w:tcPr>
          <w:p>
            <w:pPr>
              <w:spacing w:after="0"/>
              <w:rPr>
                <w:sz w:val="20"/>
                <w:szCs w:val="20"/>
                <w:color w:val="auto"/>
              </w:rPr>
            </w:pPr>
            <w:r>
              <w:rPr>
                <w:rFonts w:ascii="Arial" w:cs="Arial" w:eastAsia="Arial" w:hAnsi="Arial"/>
                <w:sz w:val="14"/>
                <w:szCs w:val="14"/>
                <w:color w:val="auto"/>
              </w:rPr>
              <w:t>Worker's profit sharing and income taxes</w:t>
            </w:r>
          </w:p>
        </w:tc>
        <w:tc>
          <w:tcPr>
            <w:tcW w:w="1200" w:type="dxa"/>
            <w:vAlign w:val="bottom"/>
            <w:gridSpan w:val="3"/>
            <w:shd w:val="clear" w:color="auto" w:fill="CCFFCC"/>
          </w:tcPr>
          <w:p>
            <w:pPr>
              <w:jc w:val="right"/>
              <w:ind w:right="80"/>
              <w:spacing w:after="0"/>
              <w:rPr>
                <w:sz w:val="20"/>
                <w:szCs w:val="20"/>
                <w:color w:val="auto"/>
              </w:rPr>
            </w:pPr>
            <w:r>
              <w:rPr>
                <w:rFonts w:ascii="Arial" w:cs="Arial" w:eastAsia="Arial" w:hAnsi="Arial"/>
                <w:sz w:val="14"/>
                <w:szCs w:val="14"/>
                <w:color w:val="auto"/>
              </w:rPr>
              <w:t>(33,418)</w:t>
            </w: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(28,633)</w:t>
            </w:r>
          </w:p>
        </w:tc>
        <w:tc>
          <w:tcPr>
            <w:tcW w:w="102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(28,600)</w:t>
            </w:r>
          </w:p>
        </w:tc>
        <w:tc>
          <w:tcPr>
            <w:tcW w:w="102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16.8%</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16.7%</w:t>
            </w:r>
          </w:p>
        </w:tc>
      </w:tr>
      <w:tr>
        <w:trPr>
          <w:trHeight w:val="243"/>
        </w:trPr>
        <w:tc>
          <w:tcPr>
            <w:tcW w:w="3900" w:type="dxa"/>
            <w:vAlign w:val="bottom"/>
            <w:gridSpan w:val="2"/>
          </w:tcPr>
          <w:p>
            <w:pPr>
              <w:spacing w:after="0"/>
              <w:rPr>
                <w:sz w:val="20"/>
                <w:szCs w:val="20"/>
                <w:color w:val="auto"/>
              </w:rPr>
            </w:pPr>
            <w:r>
              <w:rPr>
                <w:rFonts w:ascii="Arial" w:cs="Arial" w:eastAsia="Arial" w:hAnsi="Arial"/>
                <w:sz w:val="14"/>
                <w:szCs w:val="14"/>
                <w:b w:val="1"/>
                <w:bCs w:val="1"/>
                <w:color w:val="auto"/>
              </w:rPr>
              <w:t>Net income</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93,152</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93,727</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55,322</w:t>
            </w:r>
          </w:p>
        </w:tc>
        <w:tc>
          <w:tcPr>
            <w:tcW w:w="12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68.4%</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-0.6%</w:t>
            </w:r>
          </w:p>
        </w:tc>
      </w:tr>
      <w:tr>
        <w:trPr>
          <w:trHeight w:val="243"/>
        </w:trPr>
        <w:tc>
          <w:tcPr>
            <w:tcW w:w="20" w:type="dxa"/>
            <w:vAlign w:val="bottom"/>
          </w:tcPr>
          <w:p>
            <w:pPr>
              <w:spacing w:after="0"/>
              <w:rPr>
                <w:sz w:val="21"/>
                <w:szCs w:val="21"/>
                <w:color w:val="auto"/>
              </w:rPr>
            </w:pPr>
          </w:p>
        </w:tc>
        <w:tc>
          <w:tcPr>
            <w:tcW w:w="3880" w:type="dxa"/>
            <w:vAlign w:val="bottom"/>
            <w:shd w:val="clear" w:color="auto" w:fill="CCFFCC"/>
          </w:tcPr>
          <w:p>
            <w:pPr>
              <w:spacing w:after="0"/>
              <w:rPr>
                <w:sz w:val="20"/>
                <w:szCs w:val="20"/>
                <w:color w:val="auto"/>
              </w:rPr>
            </w:pPr>
            <w:r>
              <w:rPr>
                <w:rFonts w:ascii="Arial" w:cs="Arial" w:eastAsia="Arial" w:hAnsi="Arial"/>
                <w:sz w:val="14"/>
                <w:szCs w:val="14"/>
                <w:color w:val="auto"/>
              </w:rPr>
              <w:t>Minority Interest</w:t>
            </w: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2,848</w:t>
            </w:r>
          </w:p>
        </w:tc>
        <w:tc>
          <w:tcPr>
            <w:tcW w:w="120" w:type="dxa"/>
            <w:vAlign w:val="bottom"/>
            <w:shd w:val="clear" w:color="auto" w:fill="CCFFCC"/>
          </w:tcPr>
          <w:p>
            <w:pPr>
              <w:spacing w:after="0"/>
              <w:rPr>
                <w:sz w:val="21"/>
                <w:szCs w:val="21"/>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6,324</w:t>
            </w:r>
          </w:p>
        </w:tc>
        <w:tc>
          <w:tcPr>
            <w:tcW w:w="120" w:type="dxa"/>
            <w:vAlign w:val="bottom"/>
            <w:shd w:val="clear" w:color="auto" w:fill="CCFFCC"/>
          </w:tcPr>
          <w:p>
            <w:pPr>
              <w:spacing w:after="0"/>
              <w:rPr>
                <w:sz w:val="21"/>
                <w:szCs w:val="21"/>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3,997</w:t>
            </w:r>
          </w:p>
        </w:tc>
        <w:tc>
          <w:tcPr>
            <w:tcW w:w="12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-28.8%</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-55.0%</w:t>
            </w:r>
          </w:p>
        </w:tc>
      </w:tr>
      <w:tr>
        <w:trPr>
          <w:trHeight w:val="243"/>
        </w:trPr>
        <w:tc>
          <w:tcPr>
            <w:tcW w:w="3900" w:type="dxa"/>
            <w:vAlign w:val="bottom"/>
            <w:gridSpan w:val="2"/>
          </w:tcPr>
          <w:p>
            <w:pPr>
              <w:spacing w:after="0"/>
              <w:rPr>
                <w:sz w:val="20"/>
                <w:szCs w:val="20"/>
                <w:color w:val="auto"/>
              </w:rPr>
            </w:pPr>
            <w:r>
              <w:rPr>
                <w:rFonts w:ascii="Arial" w:cs="Arial" w:eastAsia="Arial" w:hAnsi="Arial"/>
                <w:sz w:val="14"/>
                <w:szCs w:val="14"/>
                <w:b w:val="1"/>
                <w:bCs w:val="1"/>
                <w:color w:val="auto"/>
              </w:rPr>
              <w:t>Net income attributed to Credicorp</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90,304</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87,403</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51,324</w:t>
            </w:r>
          </w:p>
        </w:tc>
        <w:tc>
          <w:tcPr>
            <w:tcW w:w="12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75.9%</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3.3%</w:t>
            </w:r>
          </w:p>
        </w:tc>
      </w:tr>
      <w:tr>
        <w:trPr>
          <w:trHeight w:val="243"/>
        </w:trPr>
        <w:tc>
          <w:tcPr>
            <w:tcW w:w="20" w:type="dxa"/>
            <w:vAlign w:val="bottom"/>
          </w:tcPr>
          <w:p>
            <w:pPr>
              <w:spacing w:after="0"/>
              <w:rPr>
                <w:sz w:val="21"/>
                <w:szCs w:val="21"/>
                <w:color w:val="auto"/>
              </w:rPr>
            </w:pPr>
          </w:p>
        </w:tc>
        <w:tc>
          <w:tcPr>
            <w:tcW w:w="3880" w:type="dxa"/>
            <w:vAlign w:val="bottom"/>
            <w:shd w:val="clear" w:color="auto" w:fill="CCFFCC"/>
          </w:tcPr>
          <w:p>
            <w:pPr>
              <w:spacing w:after="0"/>
              <w:rPr>
                <w:sz w:val="20"/>
                <w:szCs w:val="20"/>
                <w:color w:val="auto"/>
              </w:rPr>
            </w:pPr>
            <w:r>
              <w:rPr>
                <w:rFonts w:ascii="Arial" w:cs="Arial" w:eastAsia="Arial" w:hAnsi="Arial"/>
                <w:sz w:val="14"/>
                <w:szCs w:val="14"/>
                <w:color w:val="auto"/>
              </w:rPr>
              <w:t>Net income/ share (US$)</w:t>
            </w: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1.13</w:t>
            </w:r>
          </w:p>
        </w:tc>
        <w:tc>
          <w:tcPr>
            <w:tcW w:w="120" w:type="dxa"/>
            <w:vAlign w:val="bottom"/>
            <w:shd w:val="clear" w:color="auto" w:fill="CCFFCC"/>
          </w:tcPr>
          <w:p>
            <w:pPr>
              <w:spacing w:after="0"/>
              <w:rPr>
                <w:sz w:val="21"/>
                <w:szCs w:val="21"/>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1.10</w:t>
            </w:r>
          </w:p>
        </w:tc>
        <w:tc>
          <w:tcPr>
            <w:tcW w:w="120" w:type="dxa"/>
            <w:vAlign w:val="bottom"/>
            <w:shd w:val="clear" w:color="auto" w:fill="CCFFCC"/>
          </w:tcPr>
          <w:p>
            <w:pPr>
              <w:spacing w:after="0"/>
              <w:rPr>
                <w:sz w:val="21"/>
                <w:szCs w:val="21"/>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0.64</w:t>
            </w:r>
          </w:p>
        </w:tc>
        <w:tc>
          <w:tcPr>
            <w:tcW w:w="12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75.9%</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3.3%</w:t>
            </w:r>
          </w:p>
        </w:tc>
      </w:tr>
      <w:tr>
        <w:trPr>
          <w:trHeight w:val="243"/>
        </w:trPr>
        <w:tc>
          <w:tcPr>
            <w:tcW w:w="3900" w:type="dxa"/>
            <w:vAlign w:val="bottom"/>
            <w:gridSpan w:val="2"/>
          </w:tcPr>
          <w:p>
            <w:pPr>
              <w:spacing w:after="0"/>
              <w:rPr>
                <w:sz w:val="20"/>
                <w:szCs w:val="20"/>
                <w:color w:val="auto"/>
              </w:rPr>
            </w:pPr>
            <w:r>
              <w:rPr>
                <w:rFonts w:ascii="Arial" w:cs="Arial" w:eastAsia="Arial" w:hAnsi="Arial"/>
                <w:sz w:val="14"/>
                <w:szCs w:val="14"/>
                <w:b w:val="1"/>
                <w:bCs w:val="1"/>
                <w:color w:val="auto"/>
              </w:rPr>
              <w:t>Total loans</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7,509,085</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7,031,734</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5,592,231</w:t>
            </w:r>
          </w:p>
        </w:tc>
        <w:tc>
          <w:tcPr>
            <w:tcW w:w="12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34.3%</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6.8%</w:t>
            </w:r>
          </w:p>
        </w:tc>
      </w:tr>
      <w:tr>
        <w:trPr>
          <w:trHeight w:val="243"/>
        </w:trPr>
        <w:tc>
          <w:tcPr>
            <w:tcW w:w="20" w:type="dxa"/>
            <w:vAlign w:val="bottom"/>
          </w:tcPr>
          <w:p>
            <w:pPr>
              <w:spacing w:after="0"/>
              <w:rPr>
                <w:sz w:val="21"/>
                <w:szCs w:val="21"/>
                <w:color w:val="auto"/>
              </w:rPr>
            </w:pPr>
          </w:p>
        </w:tc>
        <w:tc>
          <w:tcPr>
            <w:tcW w:w="388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Deposits and Obligations</w:t>
            </w: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10,322,832</w:t>
            </w:r>
          </w:p>
        </w:tc>
        <w:tc>
          <w:tcPr>
            <w:tcW w:w="120" w:type="dxa"/>
            <w:vAlign w:val="bottom"/>
            <w:shd w:val="clear" w:color="auto" w:fill="CCFFCC"/>
          </w:tcPr>
          <w:p>
            <w:pPr>
              <w:spacing w:after="0"/>
              <w:rPr>
                <w:sz w:val="21"/>
                <w:szCs w:val="21"/>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10,152,601</w:t>
            </w:r>
          </w:p>
        </w:tc>
        <w:tc>
          <w:tcPr>
            <w:tcW w:w="120" w:type="dxa"/>
            <w:vAlign w:val="bottom"/>
            <w:shd w:val="clear" w:color="auto" w:fill="CCFFCC"/>
          </w:tcPr>
          <w:p>
            <w:pPr>
              <w:spacing w:after="0"/>
              <w:rPr>
                <w:sz w:val="21"/>
                <w:szCs w:val="21"/>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7,974,586</w:t>
            </w:r>
          </w:p>
        </w:tc>
        <w:tc>
          <w:tcPr>
            <w:tcW w:w="12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29.4%</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1.7%</w:t>
            </w:r>
          </w:p>
        </w:tc>
      </w:tr>
      <w:tr>
        <w:trPr>
          <w:trHeight w:val="243"/>
        </w:trPr>
        <w:tc>
          <w:tcPr>
            <w:tcW w:w="3900" w:type="dxa"/>
            <w:vAlign w:val="bottom"/>
            <w:gridSpan w:val="2"/>
          </w:tcPr>
          <w:p>
            <w:pPr>
              <w:spacing w:after="0"/>
              <w:rPr>
                <w:sz w:val="20"/>
                <w:szCs w:val="20"/>
                <w:color w:val="auto"/>
              </w:rPr>
            </w:pPr>
            <w:r>
              <w:rPr>
                <w:rFonts w:ascii="Arial" w:cs="Arial" w:eastAsia="Arial" w:hAnsi="Arial"/>
                <w:sz w:val="14"/>
                <w:szCs w:val="14"/>
                <w:color w:val="auto"/>
              </w:rPr>
              <w:t>Net Shareholders' Equity</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1,603,026</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1,535,154</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1,296,917</w:t>
            </w:r>
          </w:p>
        </w:tc>
        <w:tc>
          <w:tcPr>
            <w:tcW w:w="12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23.6%</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4.4%</w:t>
            </w:r>
          </w:p>
        </w:tc>
      </w:tr>
      <w:tr>
        <w:trPr>
          <w:trHeight w:val="243"/>
        </w:trPr>
        <w:tc>
          <w:tcPr>
            <w:tcW w:w="20" w:type="dxa"/>
            <w:vAlign w:val="bottom"/>
          </w:tcPr>
          <w:p>
            <w:pPr>
              <w:spacing w:after="0"/>
              <w:rPr>
                <w:sz w:val="21"/>
                <w:szCs w:val="21"/>
                <w:color w:val="auto"/>
              </w:rPr>
            </w:pPr>
          </w:p>
        </w:tc>
        <w:tc>
          <w:tcPr>
            <w:tcW w:w="3880" w:type="dxa"/>
            <w:vAlign w:val="bottom"/>
            <w:shd w:val="clear" w:color="auto" w:fill="CCFFCC"/>
          </w:tcPr>
          <w:p>
            <w:pPr>
              <w:spacing w:after="0"/>
              <w:rPr>
                <w:sz w:val="20"/>
                <w:szCs w:val="20"/>
                <w:color w:val="auto"/>
              </w:rPr>
            </w:pPr>
            <w:r>
              <w:rPr>
                <w:rFonts w:ascii="Arial" w:cs="Arial" w:eastAsia="Arial" w:hAnsi="Arial"/>
                <w:sz w:val="14"/>
                <w:szCs w:val="14"/>
                <w:color w:val="auto"/>
              </w:rPr>
              <w:t>Net interest margin</w:t>
            </w:r>
          </w:p>
        </w:tc>
        <w:tc>
          <w:tcPr>
            <w:tcW w:w="1200" w:type="dxa"/>
            <w:vAlign w:val="bottom"/>
            <w:gridSpan w:val="3"/>
            <w:shd w:val="clear" w:color="auto" w:fill="CCFFCC"/>
          </w:tcPr>
          <w:p>
            <w:pPr>
              <w:jc w:val="right"/>
              <w:ind w:right="20"/>
              <w:spacing w:after="0"/>
              <w:rPr>
                <w:sz w:val="20"/>
                <w:szCs w:val="20"/>
                <w:color w:val="auto"/>
              </w:rPr>
            </w:pPr>
            <w:r>
              <w:rPr>
                <w:rFonts w:ascii="Arial" w:cs="Arial" w:eastAsia="Arial" w:hAnsi="Arial"/>
                <w:sz w:val="14"/>
                <w:szCs w:val="14"/>
                <w:color w:val="auto"/>
              </w:rPr>
              <w:t>5.2%</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5.5%</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4.9%</w:t>
            </w:r>
          </w:p>
        </w:tc>
        <w:tc>
          <w:tcPr>
            <w:tcW w:w="9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r>
      <w:tr>
        <w:trPr>
          <w:trHeight w:val="243"/>
        </w:trPr>
        <w:tc>
          <w:tcPr>
            <w:tcW w:w="3900" w:type="dxa"/>
            <w:vAlign w:val="bottom"/>
            <w:gridSpan w:val="2"/>
          </w:tcPr>
          <w:p>
            <w:pPr>
              <w:spacing w:after="0"/>
              <w:rPr>
                <w:sz w:val="20"/>
                <w:szCs w:val="20"/>
                <w:color w:val="auto"/>
              </w:rPr>
            </w:pPr>
            <w:r>
              <w:rPr>
                <w:rFonts w:ascii="Arial" w:cs="Arial" w:eastAsia="Arial" w:hAnsi="Arial"/>
                <w:sz w:val="14"/>
                <w:szCs w:val="14"/>
                <w:color w:val="auto"/>
              </w:rPr>
              <w:t>Efficiency ratio</w:t>
            </w:r>
          </w:p>
        </w:tc>
        <w:tc>
          <w:tcPr>
            <w:tcW w:w="1200" w:type="dxa"/>
            <w:vAlign w:val="bottom"/>
            <w:gridSpan w:val="3"/>
          </w:tcPr>
          <w:p>
            <w:pPr>
              <w:jc w:val="right"/>
              <w:ind w:right="20"/>
              <w:spacing w:after="0"/>
              <w:rPr>
                <w:sz w:val="20"/>
                <w:szCs w:val="20"/>
                <w:color w:val="auto"/>
              </w:rPr>
            </w:pPr>
            <w:r>
              <w:rPr>
                <w:rFonts w:ascii="Arial" w:cs="Arial" w:eastAsia="Arial" w:hAnsi="Arial"/>
                <w:sz w:val="14"/>
                <w:szCs w:val="14"/>
                <w:color w:val="auto"/>
              </w:rPr>
              <w:t>40.8%</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42.2%</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42.9%</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880" w:type="dxa"/>
            <w:vAlign w:val="bottom"/>
            <w:shd w:val="clear" w:color="auto" w:fill="CCFFCC"/>
          </w:tcPr>
          <w:p>
            <w:pPr>
              <w:spacing w:after="0"/>
              <w:rPr>
                <w:sz w:val="20"/>
                <w:szCs w:val="20"/>
                <w:color w:val="auto"/>
              </w:rPr>
            </w:pPr>
            <w:r>
              <w:rPr>
                <w:rFonts w:ascii="Arial" w:cs="Arial" w:eastAsia="Arial" w:hAnsi="Arial"/>
                <w:sz w:val="14"/>
                <w:szCs w:val="14"/>
                <w:color w:val="auto"/>
              </w:rPr>
              <w:t>Return on average shareholders' equity</w:t>
            </w:r>
          </w:p>
        </w:tc>
        <w:tc>
          <w:tcPr>
            <w:tcW w:w="1200" w:type="dxa"/>
            <w:vAlign w:val="bottom"/>
            <w:gridSpan w:val="3"/>
            <w:shd w:val="clear" w:color="auto" w:fill="CCFFCC"/>
          </w:tcPr>
          <w:p>
            <w:pPr>
              <w:jc w:val="right"/>
              <w:ind w:right="20"/>
              <w:spacing w:after="0"/>
              <w:rPr>
                <w:sz w:val="20"/>
                <w:szCs w:val="20"/>
                <w:color w:val="auto"/>
              </w:rPr>
            </w:pPr>
            <w:r>
              <w:rPr>
                <w:rFonts w:ascii="Arial" w:cs="Arial" w:eastAsia="Arial" w:hAnsi="Arial"/>
                <w:sz w:val="14"/>
                <w:szCs w:val="14"/>
                <w:color w:val="auto"/>
              </w:rPr>
              <w:t>23.0%</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23.7%</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16.3%</w:t>
            </w:r>
          </w:p>
        </w:tc>
        <w:tc>
          <w:tcPr>
            <w:tcW w:w="9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r>
      <w:tr>
        <w:trPr>
          <w:trHeight w:val="243"/>
        </w:trPr>
        <w:tc>
          <w:tcPr>
            <w:tcW w:w="3900" w:type="dxa"/>
            <w:vAlign w:val="bottom"/>
            <w:gridSpan w:val="2"/>
          </w:tcPr>
          <w:p>
            <w:pPr>
              <w:spacing w:after="0"/>
              <w:rPr>
                <w:sz w:val="20"/>
                <w:szCs w:val="20"/>
                <w:color w:val="auto"/>
              </w:rPr>
            </w:pPr>
            <w:r>
              <w:rPr>
                <w:rFonts w:ascii="Arial" w:cs="Arial" w:eastAsia="Arial" w:hAnsi="Arial"/>
                <w:sz w:val="14"/>
                <w:szCs w:val="14"/>
                <w:color w:val="auto"/>
              </w:rPr>
              <w:t>PDL/ Total loans</w:t>
            </w:r>
          </w:p>
        </w:tc>
        <w:tc>
          <w:tcPr>
            <w:tcW w:w="1200" w:type="dxa"/>
            <w:vAlign w:val="bottom"/>
            <w:gridSpan w:val="3"/>
          </w:tcPr>
          <w:p>
            <w:pPr>
              <w:jc w:val="right"/>
              <w:ind w:right="20"/>
              <w:spacing w:after="0"/>
              <w:rPr>
                <w:sz w:val="20"/>
                <w:szCs w:val="20"/>
                <w:color w:val="auto"/>
              </w:rPr>
            </w:pPr>
            <w:r>
              <w:rPr>
                <w:rFonts w:ascii="Arial" w:cs="Arial" w:eastAsia="Arial" w:hAnsi="Arial"/>
                <w:sz w:val="14"/>
                <w:szCs w:val="14"/>
                <w:color w:val="auto"/>
              </w:rPr>
              <w:t>0.9%</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1.6%</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880" w:type="dxa"/>
            <w:vAlign w:val="bottom"/>
            <w:shd w:val="clear" w:color="auto" w:fill="CCFFCC"/>
          </w:tcPr>
          <w:p>
            <w:pPr>
              <w:spacing w:after="0"/>
              <w:rPr>
                <w:sz w:val="20"/>
                <w:szCs w:val="20"/>
                <w:color w:val="auto"/>
              </w:rPr>
            </w:pPr>
            <w:r>
              <w:rPr>
                <w:rFonts w:ascii="Arial" w:cs="Arial" w:eastAsia="Arial" w:hAnsi="Arial"/>
                <w:sz w:val="14"/>
                <w:szCs w:val="14"/>
                <w:color w:val="auto"/>
              </w:rPr>
              <w:t>Coverage ratio of PDLs</w:t>
            </w:r>
          </w:p>
        </w:tc>
        <w:tc>
          <w:tcPr>
            <w:tcW w:w="1200" w:type="dxa"/>
            <w:vAlign w:val="bottom"/>
            <w:gridSpan w:val="3"/>
            <w:shd w:val="clear" w:color="auto" w:fill="CCFFCC"/>
          </w:tcPr>
          <w:p>
            <w:pPr>
              <w:jc w:val="right"/>
              <w:ind w:right="20"/>
              <w:spacing w:after="0"/>
              <w:rPr>
                <w:sz w:val="20"/>
                <w:szCs w:val="20"/>
                <w:color w:val="auto"/>
              </w:rPr>
            </w:pPr>
            <w:r>
              <w:rPr>
                <w:rFonts w:ascii="Arial" w:cs="Arial" w:eastAsia="Arial" w:hAnsi="Arial"/>
                <w:sz w:val="14"/>
                <w:szCs w:val="14"/>
                <w:color w:val="auto"/>
              </w:rPr>
              <w:t>299.4%</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284.4%</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215.7%</w:t>
            </w:r>
          </w:p>
        </w:tc>
        <w:tc>
          <w:tcPr>
            <w:tcW w:w="9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r>
      <w:tr>
        <w:trPr>
          <w:trHeight w:val="245"/>
        </w:trPr>
        <w:tc>
          <w:tcPr>
            <w:tcW w:w="3900" w:type="dxa"/>
            <w:vAlign w:val="bottom"/>
            <w:gridSpan w:val="2"/>
          </w:tcPr>
          <w:p>
            <w:pPr>
              <w:spacing w:after="0"/>
              <w:rPr>
                <w:sz w:val="20"/>
                <w:szCs w:val="20"/>
                <w:color w:val="auto"/>
              </w:rPr>
            </w:pPr>
            <w:r>
              <w:rPr>
                <w:rFonts w:ascii="Arial" w:cs="Arial" w:eastAsia="Arial" w:hAnsi="Arial"/>
                <w:sz w:val="14"/>
                <w:szCs w:val="14"/>
                <w:color w:val="auto"/>
              </w:rPr>
              <w:t>Employees</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15,621</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15,009</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15,760</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r>
    </w:tbl>
    <w:p>
      <w:pPr>
        <w:spacing w:after="0" w:line="2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 w:name="page4"/>
    <w:bookmarkEnd w:id="3"/>
    <w:p>
      <w:pPr>
        <w:spacing w:after="0" w:line="19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insurance business did have a difficult quarter. The strong 7.9 (Richter scale) earthquake that stroke the southern area of our country on August 15</w:t>
      </w:r>
      <w:r>
        <w:rPr>
          <w:rFonts w:ascii="Arial" w:cs="Arial" w:eastAsia="Arial" w:hAnsi="Arial"/>
          <w:sz w:val="23"/>
          <w:szCs w:val="23"/>
          <w:color w:val="auto"/>
          <w:vertAlign w:val="superscript"/>
        </w:rPr>
        <w:t>th</w:t>
      </w:r>
      <w:r>
        <w:rPr>
          <w:rFonts w:ascii="Arial" w:cs="Arial" w:eastAsia="Arial" w:hAnsi="Arial"/>
          <w:sz w:val="18"/>
          <w:szCs w:val="18"/>
          <w:color w:val="auto"/>
        </w:rPr>
        <w:t>, was devastating for the region and generated significant human and material losses. In such events, it is the insurance companies that carry the financial burden more than any other business. Pacífico Peruano Suiza had a share equivalent to its business market share of the insured claims in the affected region. These claims for PPS amounted to approximately US$ 44 million. Having recently applied a more conservative risk management policy, PPS had a catastrophic re-insurance policy that covered risks of this nature in excess of US$ 5 million. However, an additional US$ 1 million cost related to the damage to power lines had to be added, and PPS had to absorb these amounts, plus the policy re-instatement costs which altogether amounted to approximately US$ 8 million for the quarter.</w:t>
      </w:r>
    </w:p>
    <w:p>
      <w:pPr>
        <w:spacing w:after="0" w:line="2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Putting the earthquake effects apart, PPS is certainly on the right track and showing improved results. </w:t>
      </w:r>
      <w:r>
        <w:rPr>
          <w:rFonts w:ascii="Arial" w:cs="Arial" w:eastAsia="Arial" w:hAnsi="Arial"/>
          <w:sz w:val="18"/>
          <w:szCs w:val="18"/>
          <w:i w:val="1"/>
          <w:iCs w:val="1"/>
          <w:color w:val="auto"/>
        </w:rPr>
        <w:t>Net premiums earned</w:t>
      </w:r>
      <w:r>
        <w:rPr>
          <w:rFonts w:ascii="Arial" w:cs="Arial" w:eastAsia="Arial" w:hAnsi="Arial"/>
          <w:sz w:val="18"/>
          <w:szCs w:val="18"/>
          <w:color w:val="auto"/>
        </w:rPr>
        <w:t xml:space="preserve"> for PPS remained flat QoQ as a result of some seasonality in the P&amp;C business, but looking at the 9 months performance, PPS’s production grew 21%, 27% was the growth achieved for that same period in Life and a more moderate 7% for Health. In terms of market share, PPS continues recovering its leadership, reaching 30.5% market share for P&amp;C and Life, 3.2% higher than a year ago, and 53.8% in the Health business.</w:t>
      </w:r>
    </w:p>
    <w:p>
      <w:pPr>
        <w:spacing w:after="0" w:line="2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the cost side, the increases reflected up to date are fairly moderate given the rate of expansion of the business. Total operating costs are up by only 2% QoQ for a business which is growing at significantly higher rates and led to further improvements in Credicorp’s efficiency ratio, which dropped further to 40.77% from 42.16% QoQ. This hides a more important growth of operating expenses at BCP (up 2.8% QoQ) and specifically of personnel costs (up 4.9% QoQ), which has been partially offset by a strong reduction of operating costs at Prima AFP. Prima has been able to reduce its sales force from close to 1,000 by the end of last year to around 613 by the end of September, a significant effort which was carefully monitored to avoid negative effects in the market and on Prima’s image.</w:t>
      </w:r>
    </w:p>
    <w:p>
      <w:pPr>
        <w:spacing w:after="0" w:line="2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Nevertheless, total growth of operating cost for BCP was lower than expected, since income generation continues growing quicker than projected. Despite this, we still expect an increase of operating costs basically related to the important expansion of BCP’s network, which is projected to grow close to 30% until the end of 2008. This expansion brings along strong investments in new premises, systems and personnel which will certainly impact our income statement. Thus, the reported better efficiency ratio for 3Q07 may not be sustainable in the near future.</w:t>
      </w:r>
    </w:p>
    <w:p>
      <w:pPr>
        <w:spacing w:after="0" w:line="24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This expansion is in line with Credicorp’s strategy for its banking business and is a continuation of the growth achieved throughout the year. BCP went from 237 branches at the beginning of the year to 254 at the end of September, from 655 ATMs to 724, and from 551 Agentes BCP to 1017. This represents an expansion of our network by 38% within the year to date (9 months) or 50% on an annualized basis. Furthermore, we have increased the number of bank accounts at BCP from ca. 4.4 million to ca. 4.9 million, and of clients from ca. 2.3 million to ca. 2.5 million in this same period of time, all of these reflecting an important achievement in our effort to increase bank penetration and capture growth.</w:t>
      </w:r>
    </w:p>
    <w:p>
      <w:pPr>
        <w:spacing w:after="0" w:line="22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Another positive development is that this strong loan growth continues while portfolio quality remains healthy with an even improving PDL/Loans ratio which reached in 3Q07 only 0.9% vs. 1.6% for 3Q06. Total provisions net of recoveries however, reveal an increase in provisions at BCP in line with loan growth which reached US$ 17.5 million for the quarter reflecting a provisioning ratio of 12.2% of interest income or 0.2% of loan portfolio. These provisions, however, were again to a good extent offset by recoveries of US$ 8.2 million, leaving a net provision at BCP of US$ 9.2 million, which was further offset in the consolidation by reversals at Grupo Crédito, leaving US$ 7.9 million of net provisions for 3Q07 at Credicorp.</w:t>
      </w: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 w:name="page5"/>
    <w:bookmarkEnd w:id="4"/>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These developments resulted in improved ratios for the quarter, with ROAE climbing to 23.02% from 16.3% a year ago.</w:t>
      </w:r>
    </w:p>
    <w:p>
      <w:pPr>
        <w:spacing w:after="0" w:line="200" w:lineRule="exact"/>
        <w:rPr>
          <w:sz w:val="20"/>
          <w:szCs w:val="20"/>
          <w:color w:val="auto"/>
        </w:rPr>
      </w:pPr>
    </w:p>
    <w:p>
      <w:pPr>
        <w:spacing w:after="0" w:line="354"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3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3Q07/</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3Q07/</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85"/>
        </w:trPr>
        <w:tc>
          <w:tcPr>
            <w:tcW w:w="33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(US$ Thousands)</w:t>
            </w:r>
          </w:p>
        </w:tc>
        <w:tc>
          <w:tcPr>
            <w:tcW w:w="100" w:type="dxa"/>
            <w:vAlign w:val="bottom"/>
          </w:tcPr>
          <w:p>
            <w:pPr>
              <w:spacing w:after="0"/>
              <w:rPr>
                <w:sz w:val="16"/>
                <w:szCs w:val="16"/>
                <w:color w:val="auto"/>
              </w:rPr>
            </w:pPr>
          </w:p>
        </w:tc>
        <w:tc>
          <w:tcPr>
            <w:tcW w:w="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3Q07</w:t>
            </w:r>
          </w:p>
        </w:tc>
        <w:tc>
          <w:tcPr>
            <w:tcW w:w="100" w:type="dxa"/>
            <w:vAlign w:val="bottom"/>
          </w:tcPr>
          <w:p>
            <w:pPr>
              <w:spacing w:after="0"/>
              <w:rPr>
                <w:sz w:val="16"/>
                <w:szCs w:val="16"/>
                <w:color w:val="auto"/>
              </w:rPr>
            </w:pPr>
          </w:p>
        </w:tc>
        <w:tc>
          <w:tcPr>
            <w:tcW w:w="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2Q07</w:t>
            </w:r>
          </w:p>
        </w:tc>
        <w:tc>
          <w:tcPr>
            <w:tcW w:w="120" w:type="dxa"/>
            <w:vAlign w:val="bottom"/>
          </w:tcPr>
          <w:p>
            <w:pPr>
              <w:spacing w:after="0"/>
              <w:rPr>
                <w:sz w:val="16"/>
                <w:szCs w:val="16"/>
                <w:color w:val="auto"/>
              </w:rPr>
            </w:pPr>
          </w:p>
        </w:tc>
        <w:tc>
          <w:tcPr>
            <w:tcW w:w="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3Q06</w:t>
            </w:r>
          </w:p>
        </w:tc>
        <w:tc>
          <w:tcPr>
            <w:tcW w:w="120" w:type="dxa"/>
            <w:vAlign w:val="bottom"/>
          </w:tcPr>
          <w:p>
            <w:pPr>
              <w:spacing w:after="0"/>
              <w:rPr>
                <w:sz w:val="16"/>
                <w:szCs w:val="16"/>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3Q06</w:t>
            </w:r>
          </w:p>
        </w:tc>
        <w:tc>
          <w:tcPr>
            <w:tcW w:w="140" w:type="dxa"/>
            <w:vAlign w:val="bottom"/>
          </w:tcPr>
          <w:p>
            <w:pPr>
              <w:spacing w:after="0"/>
              <w:rPr>
                <w:sz w:val="16"/>
                <w:szCs w:val="16"/>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2Q07</w:t>
            </w:r>
          </w:p>
        </w:tc>
        <w:tc>
          <w:tcPr>
            <w:tcW w:w="140" w:type="dxa"/>
            <w:vAlign w:val="bottom"/>
          </w:tcPr>
          <w:p>
            <w:pPr>
              <w:spacing w:after="0"/>
              <w:rPr>
                <w:sz w:val="16"/>
                <w:szCs w:val="16"/>
                <w:color w:val="auto"/>
              </w:rPr>
            </w:pPr>
          </w:p>
        </w:tc>
        <w:tc>
          <w:tcPr>
            <w:tcW w:w="7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3Q07</w:t>
            </w:r>
          </w:p>
        </w:tc>
        <w:tc>
          <w:tcPr>
            <w:tcW w:w="120" w:type="dxa"/>
            <w:vAlign w:val="bottom"/>
          </w:tcPr>
          <w:p>
            <w:pPr>
              <w:spacing w:after="0"/>
              <w:rPr>
                <w:sz w:val="16"/>
                <w:szCs w:val="16"/>
                <w:color w:val="auto"/>
              </w:rPr>
            </w:pPr>
          </w:p>
        </w:tc>
        <w:tc>
          <w:tcPr>
            <w:tcW w:w="7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3Q06</w:t>
            </w:r>
          </w:p>
        </w:tc>
        <w:tc>
          <w:tcPr>
            <w:tcW w:w="12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3Q07/ 3Q06</w:t>
            </w:r>
          </w:p>
        </w:tc>
        <w:tc>
          <w:tcPr>
            <w:tcW w:w="160" w:type="dxa"/>
            <w:vAlign w:val="bottom"/>
          </w:tcPr>
          <w:p>
            <w:pPr>
              <w:spacing w:after="0"/>
              <w:rPr>
                <w:sz w:val="16"/>
                <w:szCs w:val="16"/>
                <w:color w:val="auto"/>
              </w:rPr>
            </w:pPr>
          </w:p>
        </w:tc>
      </w:tr>
      <w:tr>
        <w:trPr>
          <w:trHeight w:val="237"/>
        </w:trPr>
        <w:tc>
          <w:tcPr>
            <w:tcW w:w="3320" w:type="dxa"/>
            <w:vAlign w:val="bottom"/>
            <w:shd w:val="clear" w:color="auto" w:fill="CCFFCC"/>
          </w:tcPr>
          <w:p>
            <w:pPr>
              <w:spacing w:after="0"/>
              <w:rPr>
                <w:sz w:val="20"/>
                <w:szCs w:val="20"/>
                <w:color w:val="auto"/>
              </w:rPr>
            </w:pPr>
            <w:r>
              <w:rPr>
                <w:rFonts w:ascii="Arial" w:cs="Arial" w:eastAsia="Arial" w:hAnsi="Arial"/>
                <w:sz w:val="14"/>
                <w:szCs w:val="14"/>
                <w:color w:val="auto"/>
              </w:rPr>
              <w:t>Banco de Crédito BCP(1)</w:t>
            </w: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88,227</w:t>
            </w:r>
          </w:p>
        </w:tc>
        <w:tc>
          <w:tcPr>
            <w:tcW w:w="100" w:type="dxa"/>
            <w:vAlign w:val="bottom"/>
            <w:shd w:val="clear" w:color="auto" w:fill="CCFFCC"/>
          </w:tcPr>
          <w:p>
            <w:pPr>
              <w:spacing w:after="0"/>
              <w:rPr>
                <w:sz w:val="20"/>
                <w:szCs w:val="20"/>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79,795</w:t>
            </w:r>
          </w:p>
        </w:tc>
        <w:tc>
          <w:tcPr>
            <w:tcW w:w="120" w:type="dxa"/>
            <w:vAlign w:val="bottom"/>
            <w:shd w:val="clear" w:color="auto" w:fill="CCFFCC"/>
          </w:tcPr>
          <w:p>
            <w:pPr>
              <w:spacing w:after="0"/>
              <w:rPr>
                <w:sz w:val="20"/>
                <w:szCs w:val="20"/>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50,840</w:t>
            </w:r>
          </w:p>
        </w:tc>
        <w:tc>
          <w:tcPr>
            <w:tcW w:w="120" w:type="dxa"/>
            <w:vAlign w:val="bottom"/>
            <w:shd w:val="clear" w:color="auto" w:fill="CCFFCC"/>
          </w:tcPr>
          <w:p>
            <w:pPr>
              <w:spacing w:after="0"/>
              <w:rPr>
                <w:sz w:val="20"/>
                <w:szCs w:val="20"/>
                <w:color w:val="auto"/>
              </w:rPr>
            </w:pPr>
          </w:p>
        </w:tc>
        <w:tc>
          <w:tcPr>
            <w:tcW w:w="86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74%</w:t>
            </w:r>
          </w:p>
        </w:tc>
        <w:tc>
          <w:tcPr>
            <w:tcW w:w="86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11%</w:t>
            </w:r>
          </w:p>
        </w:tc>
        <w:tc>
          <w:tcPr>
            <w:tcW w:w="7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238,670</w:t>
            </w:r>
          </w:p>
        </w:tc>
        <w:tc>
          <w:tcPr>
            <w:tcW w:w="120" w:type="dxa"/>
            <w:vAlign w:val="bottom"/>
            <w:shd w:val="clear" w:color="auto" w:fill="CCFFCC"/>
          </w:tcPr>
          <w:p>
            <w:pPr>
              <w:spacing w:after="0"/>
              <w:rPr>
                <w:sz w:val="20"/>
                <w:szCs w:val="20"/>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173,256</w:t>
            </w:r>
          </w:p>
        </w:tc>
        <w:tc>
          <w:tcPr>
            <w:tcW w:w="120" w:type="dxa"/>
            <w:vAlign w:val="bottom"/>
            <w:shd w:val="clear" w:color="auto" w:fill="CCFFCC"/>
          </w:tcPr>
          <w:p>
            <w:pPr>
              <w:spacing w:after="0"/>
              <w:rPr>
                <w:sz w:val="20"/>
                <w:szCs w:val="20"/>
                <w:color w:val="auto"/>
              </w:rPr>
            </w:pP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38%</w:t>
            </w:r>
          </w:p>
        </w:tc>
      </w:tr>
      <w:tr>
        <w:trPr>
          <w:trHeight w:val="243"/>
        </w:trPr>
        <w:tc>
          <w:tcPr>
            <w:tcW w:w="3320" w:type="dxa"/>
            <w:vAlign w:val="bottom"/>
          </w:tcPr>
          <w:p>
            <w:pPr>
              <w:ind w:left="160"/>
              <w:spacing w:after="0"/>
              <w:rPr>
                <w:sz w:val="20"/>
                <w:szCs w:val="20"/>
                <w:color w:val="auto"/>
              </w:rPr>
            </w:pPr>
            <w:r>
              <w:rPr>
                <w:rFonts w:ascii="Arial" w:cs="Arial" w:eastAsia="Arial" w:hAnsi="Arial"/>
                <w:sz w:val="14"/>
                <w:szCs w:val="14"/>
                <w:color w:val="auto"/>
              </w:rPr>
              <w:t>BCB</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6,673</w:t>
            </w: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5,453</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3,492</w:t>
            </w:r>
          </w:p>
        </w:tc>
        <w:tc>
          <w:tcPr>
            <w:tcW w:w="12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91%</w:t>
            </w: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22%</w:t>
            </w:r>
          </w:p>
        </w:tc>
        <w:tc>
          <w:tcPr>
            <w:tcW w:w="740" w:type="dxa"/>
            <w:vAlign w:val="bottom"/>
          </w:tcPr>
          <w:p>
            <w:pPr>
              <w:jc w:val="right"/>
              <w:spacing w:after="0"/>
              <w:rPr>
                <w:sz w:val="20"/>
                <w:szCs w:val="20"/>
                <w:color w:val="auto"/>
              </w:rPr>
            </w:pPr>
            <w:r>
              <w:rPr>
                <w:rFonts w:ascii="Arial" w:cs="Arial" w:eastAsia="Arial" w:hAnsi="Arial"/>
                <w:sz w:val="14"/>
                <w:szCs w:val="14"/>
                <w:color w:val="auto"/>
              </w:rPr>
              <w:t>16,931</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9,809</w:t>
            </w:r>
          </w:p>
        </w:tc>
        <w:tc>
          <w:tcPr>
            <w:tcW w:w="12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73%</w:t>
            </w:r>
          </w:p>
        </w:tc>
      </w:tr>
      <w:tr>
        <w:trPr>
          <w:trHeight w:val="243"/>
        </w:trPr>
        <w:tc>
          <w:tcPr>
            <w:tcW w:w="3320" w:type="dxa"/>
            <w:vAlign w:val="bottom"/>
            <w:shd w:val="clear" w:color="auto" w:fill="CCFFCC"/>
          </w:tcPr>
          <w:p>
            <w:pPr>
              <w:spacing w:after="0"/>
              <w:rPr>
                <w:sz w:val="20"/>
                <w:szCs w:val="20"/>
                <w:color w:val="auto"/>
              </w:rPr>
            </w:pPr>
            <w:r>
              <w:rPr>
                <w:rFonts w:ascii="Arial" w:cs="Arial" w:eastAsia="Arial" w:hAnsi="Arial"/>
                <w:sz w:val="14"/>
                <w:szCs w:val="14"/>
                <w:color w:val="auto"/>
              </w:rPr>
              <w:t>Atlantic</w:t>
            </w: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6,214</w:t>
            </w:r>
          </w:p>
        </w:tc>
        <w:tc>
          <w:tcPr>
            <w:tcW w:w="100" w:type="dxa"/>
            <w:vAlign w:val="bottom"/>
            <w:shd w:val="clear" w:color="auto" w:fill="CCFFCC"/>
          </w:tcPr>
          <w:p>
            <w:pPr>
              <w:spacing w:after="0"/>
              <w:rPr>
                <w:sz w:val="21"/>
                <w:szCs w:val="21"/>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4,366</w:t>
            </w:r>
          </w:p>
        </w:tc>
        <w:tc>
          <w:tcPr>
            <w:tcW w:w="120" w:type="dxa"/>
            <w:vAlign w:val="bottom"/>
            <w:shd w:val="clear" w:color="auto" w:fill="CCFFCC"/>
          </w:tcPr>
          <w:p>
            <w:pPr>
              <w:spacing w:after="0"/>
              <w:rPr>
                <w:sz w:val="21"/>
                <w:szCs w:val="21"/>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3,780</w:t>
            </w:r>
          </w:p>
        </w:tc>
        <w:tc>
          <w:tcPr>
            <w:tcW w:w="120" w:type="dxa"/>
            <w:vAlign w:val="bottom"/>
            <w:shd w:val="clear" w:color="auto" w:fill="CCFFCC"/>
          </w:tcPr>
          <w:p>
            <w:pPr>
              <w:spacing w:after="0"/>
              <w:rPr>
                <w:sz w:val="21"/>
                <w:szCs w:val="21"/>
                <w:color w:val="auto"/>
              </w:rPr>
            </w:pPr>
          </w:p>
        </w:tc>
        <w:tc>
          <w:tcPr>
            <w:tcW w:w="86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64%</w:t>
            </w:r>
          </w:p>
        </w:tc>
        <w:tc>
          <w:tcPr>
            <w:tcW w:w="86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42%</w:t>
            </w:r>
          </w:p>
        </w:tc>
        <w:tc>
          <w:tcPr>
            <w:tcW w:w="7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15,549</w:t>
            </w:r>
          </w:p>
        </w:tc>
        <w:tc>
          <w:tcPr>
            <w:tcW w:w="120" w:type="dxa"/>
            <w:vAlign w:val="bottom"/>
            <w:shd w:val="clear" w:color="auto" w:fill="CCFFCC"/>
          </w:tcPr>
          <w:p>
            <w:pPr>
              <w:spacing w:after="0"/>
              <w:rPr>
                <w:sz w:val="21"/>
                <w:szCs w:val="21"/>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11,687</w:t>
            </w:r>
          </w:p>
        </w:tc>
        <w:tc>
          <w:tcPr>
            <w:tcW w:w="120" w:type="dxa"/>
            <w:vAlign w:val="bottom"/>
            <w:shd w:val="clear" w:color="auto" w:fill="CCFFCC"/>
          </w:tcPr>
          <w:p>
            <w:pPr>
              <w:spacing w:after="0"/>
              <w:rPr>
                <w:sz w:val="21"/>
                <w:szCs w:val="21"/>
                <w:color w:val="auto"/>
              </w:rPr>
            </w:pP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33%</w:t>
            </w:r>
          </w:p>
        </w:tc>
      </w:tr>
      <w:tr>
        <w:trPr>
          <w:trHeight w:val="243"/>
        </w:trPr>
        <w:tc>
          <w:tcPr>
            <w:tcW w:w="3320" w:type="dxa"/>
            <w:vAlign w:val="bottom"/>
          </w:tcPr>
          <w:p>
            <w:pPr>
              <w:spacing w:after="0"/>
              <w:rPr>
                <w:sz w:val="20"/>
                <w:szCs w:val="20"/>
                <w:color w:val="auto"/>
              </w:rPr>
            </w:pPr>
            <w:r>
              <w:rPr>
                <w:rFonts w:ascii="Arial" w:cs="Arial" w:eastAsia="Arial" w:hAnsi="Arial"/>
                <w:sz w:val="14"/>
                <w:szCs w:val="14"/>
                <w:color w:val="auto"/>
              </w:rPr>
              <w:t>PPS</w:t>
            </w:r>
          </w:p>
        </w:tc>
        <w:tc>
          <w:tcPr>
            <w:tcW w:w="920" w:type="dxa"/>
            <w:vAlign w:val="bottom"/>
            <w:gridSpan w:val="3"/>
          </w:tcPr>
          <w:p>
            <w:pPr>
              <w:jc w:val="right"/>
              <w:ind w:right="60"/>
              <w:spacing w:after="0"/>
              <w:rPr>
                <w:sz w:val="20"/>
                <w:szCs w:val="20"/>
                <w:color w:val="auto"/>
              </w:rPr>
            </w:pPr>
            <w:r>
              <w:rPr>
                <w:rFonts w:ascii="Arial" w:cs="Arial" w:eastAsia="Arial" w:hAnsi="Arial"/>
                <w:sz w:val="14"/>
                <w:szCs w:val="14"/>
                <w:color w:val="auto"/>
              </w:rPr>
              <w:t>(2,960)</w:t>
            </w:r>
          </w:p>
        </w:tc>
        <w:tc>
          <w:tcPr>
            <w:tcW w:w="720" w:type="dxa"/>
            <w:vAlign w:val="bottom"/>
          </w:tcPr>
          <w:p>
            <w:pPr>
              <w:jc w:val="right"/>
              <w:spacing w:after="0"/>
              <w:rPr>
                <w:sz w:val="20"/>
                <w:szCs w:val="20"/>
                <w:color w:val="auto"/>
              </w:rPr>
            </w:pPr>
            <w:r>
              <w:rPr>
                <w:rFonts w:ascii="Arial" w:cs="Arial" w:eastAsia="Arial" w:hAnsi="Arial"/>
                <w:sz w:val="14"/>
                <w:szCs w:val="14"/>
                <w:color w:val="auto"/>
              </w:rPr>
              <w:t>5,134</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4,586</w:t>
            </w:r>
          </w:p>
        </w:tc>
        <w:tc>
          <w:tcPr>
            <w:tcW w:w="12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-165%</w:t>
            </w: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-158%</w:t>
            </w:r>
          </w:p>
        </w:tc>
        <w:tc>
          <w:tcPr>
            <w:tcW w:w="740" w:type="dxa"/>
            <w:vAlign w:val="bottom"/>
          </w:tcPr>
          <w:p>
            <w:pPr>
              <w:jc w:val="right"/>
              <w:spacing w:after="0"/>
              <w:rPr>
                <w:sz w:val="20"/>
                <w:szCs w:val="20"/>
                <w:color w:val="auto"/>
              </w:rPr>
            </w:pPr>
            <w:r>
              <w:rPr>
                <w:rFonts w:ascii="Arial" w:cs="Arial" w:eastAsia="Arial" w:hAnsi="Arial"/>
                <w:sz w:val="14"/>
                <w:szCs w:val="14"/>
                <w:color w:val="auto"/>
              </w:rPr>
              <w:t>8,790</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10,004</w:t>
            </w:r>
          </w:p>
        </w:tc>
        <w:tc>
          <w:tcPr>
            <w:tcW w:w="12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-12%</w:t>
            </w:r>
          </w:p>
        </w:tc>
      </w:tr>
      <w:tr>
        <w:trPr>
          <w:trHeight w:val="243"/>
        </w:trPr>
        <w:tc>
          <w:tcPr>
            <w:tcW w:w="3320" w:type="dxa"/>
            <w:vAlign w:val="bottom"/>
            <w:shd w:val="clear" w:color="auto" w:fill="CCFFCC"/>
          </w:tcPr>
          <w:p>
            <w:pPr>
              <w:spacing w:after="0"/>
              <w:rPr>
                <w:sz w:val="20"/>
                <w:szCs w:val="20"/>
                <w:color w:val="auto"/>
              </w:rPr>
            </w:pPr>
            <w:r>
              <w:rPr>
                <w:rFonts w:ascii="Arial" w:cs="Arial" w:eastAsia="Arial" w:hAnsi="Arial"/>
                <w:sz w:val="14"/>
                <w:szCs w:val="14"/>
                <w:color w:val="auto"/>
              </w:rPr>
              <w:t>Grupo Crédito (2)</w:t>
            </w: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3,803</w:t>
            </w:r>
          </w:p>
        </w:tc>
        <w:tc>
          <w:tcPr>
            <w:tcW w:w="100" w:type="dxa"/>
            <w:vAlign w:val="bottom"/>
            <w:shd w:val="clear" w:color="auto" w:fill="CCFFCC"/>
          </w:tcPr>
          <w:p>
            <w:pPr>
              <w:spacing w:after="0"/>
              <w:rPr>
                <w:sz w:val="21"/>
                <w:szCs w:val="21"/>
                <w:color w:val="auto"/>
              </w:rPr>
            </w:pPr>
          </w:p>
        </w:tc>
        <w:tc>
          <w:tcPr>
            <w:tcW w:w="84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(585)</w:t>
            </w:r>
          </w:p>
        </w:tc>
        <w:tc>
          <w:tcPr>
            <w:tcW w:w="84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(3,846)</w:t>
            </w:r>
          </w:p>
        </w:tc>
        <w:tc>
          <w:tcPr>
            <w:tcW w:w="86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-199%</w:t>
            </w:r>
          </w:p>
        </w:tc>
        <w:tc>
          <w:tcPr>
            <w:tcW w:w="86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-750%</w:t>
            </w:r>
          </w:p>
        </w:tc>
        <w:tc>
          <w:tcPr>
            <w:tcW w:w="7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4,420</w:t>
            </w:r>
          </w:p>
        </w:tc>
        <w:tc>
          <w:tcPr>
            <w:tcW w:w="120" w:type="dxa"/>
            <w:vAlign w:val="bottom"/>
            <w:shd w:val="clear" w:color="auto" w:fill="CCFFCC"/>
          </w:tcPr>
          <w:p>
            <w:pPr>
              <w:spacing w:after="0"/>
              <w:rPr>
                <w:sz w:val="21"/>
                <w:szCs w:val="21"/>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(7,110)</w:t>
            </w: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-162%</w:t>
            </w:r>
          </w:p>
        </w:tc>
      </w:tr>
      <w:tr>
        <w:trPr>
          <w:trHeight w:val="243"/>
        </w:trPr>
        <w:tc>
          <w:tcPr>
            <w:tcW w:w="3320" w:type="dxa"/>
            <w:vAlign w:val="bottom"/>
          </w:tcPr>
          <w:p>
            <w:pPr>
              <w:ind w:left="160"/>
              <w:spacing w:after="0"/>
              <w:rPr>
                <w:sz w:val="20"/>
                <w:szCs w:val="20"/>
                <w:color w:val="auto"/>
              </w:rPr>
            </w:pPr>
            <w:r>
              <w:rPr>
                <w:rFonts w:ascii="Arial" w:cs="Arial" w:eastAsia="Arial" w:hAnsi="Arial"/>
                <w:sz w:val="14"/>
                <w:szCs w:val="14"/>
                <w:color w:val="auto"/>
              </w:rPr>
              <w:t>Prima</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1,811</w:t>
            </w:r>
          </w:p>
        </w:tc>
        <w:tc>
          <w:tcPr>
            <w:tcW w:w="100" w:type="dxa"/>
            <w:vAlign w:val="bottom"/>
          </w:tcPr>
          <w:p>
            <w:pPr>
              <w:spacing w:after="0"/>
              <w:rPr>
                <w:sz w:val="21"/>
                <w:szCs w:val="21"/>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(1,264)</w:t>
            </w: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(4,934)</w:t>
            </w: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-137%</w:t>
            </w: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-243%</w:t>
            </w:r>
          </w:p>
        </w:tc>
        <w:tc>
          <w:tcPr>
            <w:tcW w:w="740" w:type="dxa"/>
            <w:vAlign w:val="bottom"/>
          </w:tcPr>
          <w:p>
            <w:pPr>
              <w:jc w:val="right"/>
              <w:spacing w:after="0"/>
              <w:rPr>
                <w:sz w:val="20"/>
                <w:szCs w:val="20"/>
                <w:color w:val="auto"/>
              </w:rPr>
            </w:pPr>
            <w:r>
              <w:rPr>
                <w:rFonts w:ascii="Arial" w:cs="Arial" w:eastAsia="Arial" w:hAnsi="Arial"/>
                <w:sz w:val="14"/>
                <w:szCs w:val="14"/>
                <w:color w:val="auto"/>
              </w:rPr>
              <w:t>725</w:t>
            </w:r>
          </w:p>
        </w:tc>
        <w:tc>
          <w:tcPr>
            <w:tcW w:w="12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(9,844)</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-107%</w:t>
            </w:r>
          </w:p>
        </w:tc>
      </w:tr>
      <w:tr>
        <w:trPr>
          <w:trHeight w:val="243"/>
        </w:trPr>
        <w:tc>
          <w:tcPr>
            <w:tcW w:w="3320" w:type="dxa"/>
            <w:vAlign w:val="bottom"/>
            <w:shd w:val="clear" w:color="auto" w:fill="CCFFCC"/>
          </w:tcPr>
          <w:p>
            <w:pPr>
              <w:ind w:left="160"/>
              <w:spacing w:after="0"/>
              <w:rPr>
                <w:sz w:val="20"/>
                <w:szCs w:val="20"/>
                <w:color w:val="auto"/>
              </w:rPr>
            </w:pPr>
            <w:r>
              <w:rPr>
                <w:rFonts w:ascii="Arial" w:cs="Arial" w:eastAsia="Arial" w:hAnsi="Arial"/>
                <w:sz w:val="14"/>
                <w:szCs w:val="14"/>
                <w:color w:val="auto"/>
              </w:rPr>
              <w:t>Others</w:t>
            </w: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1,992</w:t>
            </w:r>
          </w:p>
        </w:tc>
        <w:tc>
          <w:tcPr>
            <w:tcW w:w="100" w:type="dxa"/>
            <w:vAlign w:val="bottom"/>
            <w:shd w:val="clear" w:color="auto" w:fill="CCFFCC"/>
          </w:tcPr>
          <w:p>
            <w:pPr>
              <w:spacing w:after="0"/>
              <w:rPr>
                <w:sz w:val="21"/>
                <w:szCs w:val="21"/>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679</w:t>
            </w:r>
          </w:p>
        </w:tc>
        <w:tc>
          <w:tcPr>
            <w:tcW w:w="120" w:type="dxa"/>
            <w:vAlign w:val="bottom"/>
            <w:shd w:val="clear" w:color="auto" w:fill="CCFFCC"/>
          </w:tcPr>
          <w:p>
            <w:pPr>
              <w:spacing w:after="0"/>
              <w:rPr>
                <w:sz w:val="21"/>
                <w:szCs w:val="21"/>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1,088</w:t>
            </w:r>
          </w:p>
        </w:tc>
        <w:tc>
          <w:tcPr>
            <w:tcW w:w="120" w:type="dxa"/>
            <w:vAlign w:val="bottom"/>
            <w:shd w:val="clear" w:color="auto" w:fill="CCFFCC"/>
          </w:tcPr>
          <w:p>
            <w:pPr>
              <w:spacing w:after="0"/>
              <w:rPr>
                <w:sz w:val="21"/>
                <w:szCs w:val="21"/>
                <w:color w:val="auto"/>
              </w:rPr>
            </w:pPr>
          </w:p>
        </w:tc>
        <w:tc>
          <w:tcPr>
            <w:tcW w:w="86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83%</w:t>
            </w:r>
          </w:p>
        </w:tc>
        <w:tc>
          <w:tcPr>
            <w:tcW w:w="86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193%</w:t>
            </w:r>
          </w:p>
        </w:tc>
        <w:tc>
          <w:tcPr>
            <w:tcW w:w="7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3,695</w:t>
            </w:r>
          </w:p>
        </w:tc>
        <w:tc>
          <w:tcPr>
            <w:tcW w:w="120" w:type="dxa"/>
            <w:vAlign w:val="bottom"/>
            <w:shd w:val="clear" w:color="auto" w:fill="CCFFCC"/>
          </w:tcPr>
          <w:p>
            <w:pPr>
              <w:spacing w:after="0"/>
              <w:rPr>
                <w:sz w:val="21"/>
                <w:szCs w:val="21"/>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2,734</w:t>
            </w:r>
          </w:p>
        </w:tc>
        <w:tc>
          <w:tcPr>
            <w:tcW w:w="120" w:type="dxa"/>
            <w:vAlign w:val="bottom"/>
            <w:shd w:val="clear" w:color="auto" w:fill="CCFFCC"/>
          </w:tcPr>
          <w:p>
            <w:pPr>
              <w:spacing w:after="0"/>
              <w:rPr>
                <w:sz w:val="21"/>
                <w:szCs w:val="21"/>
                <w:color w:val="auto"/>
              </w:rPr>
            </w:pP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35%</w:t>
            </w:r>
          </w:p>
        </w:tc>
      </w:tr>
      <w:tr>
        <w:trPr>
          <w:trHeight w:val="243"/>
        </w:trPr>
        <w:tc>
          <w:tcPr>
            <w:tcW w:w="3320" w:type="dxa"/>
            <w:vAlign w:val="bottom"/>
          </w:tcPr>
          <w:p>
            <w:pPr>
              <w:spacing w:after="0"/>
              <w:rPr>
                <w:sz w:val="20"/>
                <w:szCs w:val="20"/>
                <w:color w:val="auto"/>
              </w:rPr>
            </w:pPr>
            <w:r>
              <w:rPr>
                <w:rFonts w:ascii="Arial" w:cs="Arial" w:eastAsia="Arial" w:hAnsi="Arial"/>
                <w:sz w:val="14"/>
                <w:szCs w:val="14"/>
                <w:color w:val="auto"/>
              </w:rPr>
              <w:t>Credicorp and Others (3)</w:t>
            </w:r>
          </w:p>
        </w:tc>
        <w:tc>
          <w:tcPr>
            <w:tcW w:w="920" w:type="dxa"/>
            <w:vAlign w:val="bottom"/>
            <w:gridSpan w:val="3"/>
          </w:tcPr>
          <w:p>
            <w:pPr>
              <w:jc w:val="right"/>
              <w:ind w:right="60"/>
              <w:spacing w:after="0"/>
              <w:rPr>
                <w:sz w:val="20"/>
                <w:szCs w:val="20"/>
                <w:color w:val="auto"/>
              </w:rPr>
            </w:pPr>
            <w:r>
              <w:rPr>
                <w:rFonts w:ascii="Arial" w:cs="Arial" w:eastAsia="Arial" w:hAnsi="Arial"/>
                <w:sz w:val="14"/>
                <w:szCs w:val="14"/>
                <w:color w:val="auto"/>
              </w:rPr>
              <w:t>(4,980)</w:t>
            </w: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(1,307)</w:t>
            </w: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(4,041)</w:t>
            </w: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23%</w:t>
            </w: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281%</w:t>
            </w: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(10,709)</w:t>
            </w: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(20,898)</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-49%</w:t>
            </w:r>
          </w:p>
        </w:tc>
      </w:tr>
      <w:tr>
        <w:trPr>
          <w:trHeight w:val="243"/>
        </w:trPr>
        <w:tc>
          <w:tcPr>
            <w:tcW w:w="3320" w:type="dxa"/>
            <w:vAlign w:val="bottom"/>
            <w:shd w:val="clear" w:color="auto" w:fill="CCFFCC"/>
          </w:tcPr>
          <w:p>
            <w:pPr>
              <w:ind w:left="160"/>
              <w:spacing w:after="0"/>
              <w:rPr>
                <w:sz w:val="20"/>
                <w:szCs w:val="20"/>
                <w:color w:val="auto"/>
              </w:rPr>
            </w:pPr>
            <w:r>
              <w:rPr>
                <w:rFonts w:ascii="Arial" w:cs="Arial" w:eastAsia="Arial" w:hAnsi="Arial"/>
                <w:sz w:val="14"/>
                <w:szCs w:val="14"/>
                <w:color w:val="auto"/>
              </w:rPr>
              <w:t>Credicorp Ltd.</w:t>
            </w:r>
          </w:p>
        </w:tc>
        <w:tc>
          <w:tcPr>
            <w:tcW w:w="920" w:type="dxa"/>
            <w:vAlign w:val="bottom"/>
            <w:gridSpan w:val="3"/>
            <w:shd w:val="clear" w:color="auto" w:fill="CCFFCC"/>
          </w:tcPr>
          <w:p>
            <w:pPr>
              <w:jc w:val="right"/>
              <w:ind w:right="60"/>
              <w:spacing w:after="0"/>
              <w:rPr>
                <w:sz w:val="20"/>
                <w:szCs w:val="20"/>
                <w:color w:val="auto"/>
              </w:rPr>
            </w:pPr>
            <w:r>
              <w:rPr>
                <w:rFonts w:ascii="Arial" w:cs="Arial" w:eastAsia="Arial" w:hAnsi="Arial"/>
                <w:sz w:val="14"/>
                <w:szCs w:val="14"/>
                <w:color w:val="auto"/>
              </w:rPr>
              <w:t>(5,226)</w:t>
            </w:r>
          </w:p>
        </w:tc>
        <w:tc>
          <w:tcPr>
            <w:tcW w:w="84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(1,539)</w:t>
            </w:r>
          </w:p>
        </w:tc>
        <w:tc>
          <w:tcPr>
            <w:tcW w:w="84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(4,325)</w:t>
            </w:r>
          </w:p>
        </w:tc>
        <w:tc>
          <w:tcPr>
            <w:tcW w:w="86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21%</w:t>
            </w:r>
          </w:p>
        </w:tc>
        <w:tc>
          <w:tcPr>
            <w:tcW w:w="86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240%</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(11,669)</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(21,697)</w:t>
            </w: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-46%</w:t>
            </w:r>
          </w:p>
        </w:tc>
      </w:tr>
      <w:tr>
        <w:trPr>
          <w:trHeight w:val="243"/>
        </w:trPr>
        <w:tc>
          <w:tcPr>
            <w:tcW w:w="3320" w:type="dxa"/>
            <w:vAlign w:val="bottom"/>
          </w:tcPr>
          <w:p>
            <w:pPr>
              <w:ind w:left="160"/>
              <w:spacing w:after="0"/>
              <w:rPr>
                <w:sz w:val="20"/>
                <w:szCs w:val="20"/>
                <w:color w:val="auto"/>
              </w:rPr>
            </w:pPr>
            <w:r>
              <w:rPr>
                <w:rFonts w:ascii="Arial" w:cs="Arial" w:eastAsia="Arial" w:hAnsi="Arial"/>
                <w:sz w:val="14"/>
                <w:szCs w:val="14"/>
                <w:color w:val="auto"/>
              </w:rPr>
              <w:t>Others</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246</w:t>
            </w: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232</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(0.13)</w:t>
            </w: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6%</w:t>
            </w:r>
          </w:p>
        </w:tc>
        <w:tc>
          <w:tcPr>
            <w:tcW w:w="740" w:type="dxa"/>
            <w:vAlign w:val="bottom"/>
          </w:tcPr>
          <w:p>
            <w:pPr>
              <w:jc w:val="right"/>
              <w:spacing w:after="0"/>
              <w:rPr>
                <w:sz w:val="20"/>
                <w:szCs w:val="20"/>
                <w:color w:val="auto"/>
              </w:rPr>
            </w:pPr>
            <w:r>
              <w:rPr>
                <w:rFonts w:ascii="Arial" w:cs="Arial" w:eastAsia="Arial" w:hAnsi="Arial"/>
                <w:sz w:val="14"/>
                <w:szCs w:val="14"/>
                <w:color w:val="auto"/>
              </w:rPr>
              <w:t>960</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799</w:t>
            </w:r>
          </w:p>
        </w:tc>
        <w:tc>
          <w:tcPr>
            <w:tcW w:w="12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20%</w:t>
            </w:r>
          </w:p>
        </w:tc>
      </w:tr>
      <w:tr>
        <w:trPr>
          <w:trHeight w:val="243"/>
        </w:trPr>
        <w:tc>
          <w:tcPr>
            <w:tcW w:w="332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Net income attributable to Credicorp</w:t>
            </w: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4"/>
                <w:szCs w:val="14"/>
                <w:b w:val="1"/>
                <w:bCs w:val="1"/>
                <w:color w:val="auto"/>
              </w:rPr>
              <w:t>90,304</w:t>
            </w:r>
          </w:p>
        </w:tc>
        <w:tc>
          <w:tcPr>
            <w:tcW w:w="100" w:type="dxa"/>
            <w:vAlign w:val="bottom"/>
            <w:shd w:val="clear" w:color="auto" w:fill="CCFFCC"/>
          </w:tcPr>
          <w:p>
            <w:pPr>
              <w:spacing w:after="0"/>
              <w:rPr>
                <w:sz w:val="21"/>
                <w:szCs w:val="21"/>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4"/>
                <w:szCs w:val="14"/>
                <w:b w:val="1"/>
                <w:bCs w:val="1"/>
                <w:color w:val="auto"/>
              </w:rPr>
              <w:t>87,403</w:t>
            </w:r>
          </w:p>
        </w:tc>
        <w:tc>
          <w:tcPr>
            <w:tcW w:w="120" w:type="dxa"/>
            <w:vAlign w:val="bottom"/>
            <w:shd w:val="clear" w:color="auto" w:fill="CCFFCC"/>
          </w:tcPr>
          <w:p>
            <w:pPr>
              <w:spacing w:after="0"/>
              <w:rPr>
                <w:sz w:val="21"/>
                <w:szCs w:val="21"/>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4"/>
                <w:szCs w:val="14"/>
                <w:b w:val="1"/>
                <w:bCs w:val="1"/>
                <w:color w:val="auto"/>
              </w:rPr>
              <w:t>51,319</w:t>
            </w:r>
          </w:p>
        </w:tc>
        <w:tc>
          <w:tcPr>
            <w:tcW w:w="120" w:type="dxa"/>
            <w:vAlign w:val="bottom"/>
            <w:shd w:val="clear" w:color="auto" w:fill="CCFFCC"/>
          </w:tcPr>
          <w:p>
            <w:pPr>
              <w:spacing w:after="0"/>
              <w:rPr>
                <w:sz w:val="21"/>
                <w:szCs w:val="21"/>
                <w:color w:val="auto"/>
              </w:rPr>
            </w:pPr>
          </w:p>
        </w:tc>
        <w:tc>
          <w:tcPr>
            <w:tcW w:w="86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b w:val="1"/>
                <w:bCs w:val="1"/>
                <w:color w:val="auto"/>
              </w:rPr>
              <w:t>76</w:t>
            </w:r>
            <w:r>
              <w:rPr>
                <w:rFonts w:ascii="Arial" w:cs="Arial" w:eastAsia="Arial" w:hAnsi="Arial"/>
                <w:sz w:val="14"/>
                <w:szCs w:val="14"/>
                <w:color w:val="auto"/>
              </w:rPr>
              <w:t>%</w:t>
            </w:r>
          </w:p>
        </w:tc>
        <w:tc>
          <w:tcPr>
            <w:tcW w:w="86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b w:val="1"/>
                <w:bCs w:val="1"/>
                <w:color w:val="auto"/>
              </w:rPr>
              <w:t>3</w:t>
            </w:r>
            <w:r>
              <w:rPr>
                <w:rFonts w:ascii="Arial" w:cs="Arial" w:eastAsia="Arial" w:hAnsi="Arial"/>
                <w:sz w:val="14"/>
                <w:szCs w:val="14"/>
                <w:color w:val="auto"/>
              </w:rPr>
              <w:t>%</w:t>
            </w:r>
          </w:p>
        </w:tc>
        <w:tc>
          <w:tcPr>
            <w:tcW w:w="740" w:type="dxa"/>
            <w:vAlign w:val="bottom"/>
            <w:shd w:val="clear" w:color="auto" w:fill="CCFFCC"/>
          </w:tcPr>
          <w:p>
            <w:pPr>
              <w:jc w:val="right"/>
              <w:spacing w:after="0"/>
              <w:rPr>
                <w:sz w:val="20"/>
                <w:szCs w:val="20"/>
                <w:color w:val="auto"/>
              </w:rPr>
            </w:pPr>
            <w:r>
              <w:rPr>
                <w:rFonts w:ascii="Arial" w:cs="Arial" w:eastAsia="Arial" w:hAnsi="Arial"/>
                <w:sz w:val="14"/>
                <w:szCs w:val="14"/>
                <w:b w:val="1"/>
                <w:bCs w:val="1"/>
                <w:color w:val="auto"/>
              </w:rPr>
              <w:t>256,720</w:t>
            </w:r>
          </w:p>
        </w:tc>
        <w:tc>
          <w:tcPr>
            <w:tcW w:w="120" w:type="dxa"/>
            <w:vAlign w:val="bottom"/>
            <w:shd w:val="clear" w:color="auto" w:fill="CCFFCC"/>
          </w:tcPr>
          <w:p>
            <w:pPr>
              <w:spacing w:after="0"/>
              <w:rPr>
                <w:sz w:val="21"/>
                <w:szCs w:val="21"/>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4"/>
                <w:szCs w:val="14"/>
                <w:b w:val="1"/>
                <w:bCs w:val="1"/>
                <w:color w:val="auto"/>
              </w:rPr>
              <w:t>166,939</w:t>
            </w:r>
          </w:p>
        </w:tc>
        <w:tc>
          <w:tcPr>
            <w:tcW w:w="120" w:type="dxa"/>
            <w:vAlign w:val="bottom"/>
            <w:shd w:val="clear" w:color="auto" w:fill="CCFFCC"/>
          </w:tcPr>
          <w:p>
            <w:pPr>
              <w:spacing w:after="0"/>
              <w:rPr>
                <w:sz w:val="21"/>
                <w:szCs w:val="21"/>
                <w:color w:val="auto"/>
              </w:rPr>
            </w:pP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b w:val="1"/>
                <w:bCs w:val="1"/>
                <w:color w:val="auto"/>
              </w:rPr>
              <w:t>54</w:t>
            </w:r>
            <w:r>
              <w:rPr>
                <w:rFonts w:ascii="Arial" w:cs="Arial" w:eastAsia="Arial" w:hAnsi="Arial"/>
                <w:sz w:val="14"/>
                <w:szCs w:val="14"/>
                <w:color w:val="auto"/>
              </w:rPr>
              <w:t>%</w:t>
            </w:r>
          </w:p>
        </w:tc>
      </w:tr>
      <w:tr>
        <w:trPr>
          <w:trHeight w:val="182"/>
        </w:trPr>
        <w:tc>
          <w:tcPr>
            <w:tcW w:w="3320" w:type="dxa"/>
            <w:vAlign w:val="bottom"/>
          </w:tcPr>
          <w:p>
            <w:pPr>
              <w:spacing w:after="0"/>
              <w:rPr>
                <w:sz w:val="20"/>
                <w:szCs w:val="20"/>
                <w:color w:val="auto"/>
              </w:rPr>
            </w:pPr>
            <w:r>
              <w:rPr>
                <w:rFonts w:ascii="Arial" w:cs="Arial" w:eastAsia="Arial" w:hAnsi="Arial"/>
                <w:sz w:val="14"/>
                <w:szCs w:val="14"/>
                <w:color w:val="auto"/>
              </w:rPr>
              <w:t>____________________</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r>
    </w:tbl>
    <w:p>
      <w:pPr>
        <w:ind w:left="780" w:hanging="198"/>
        <w:spacing w:after="0"/>
        <w:tabs>
          <w:tab w:leader="none" w:pos="78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Includes Banco de Crédito de Bolivia.</w:t>
      </w:r>
    </w:p>
    <w:p>
      <w:pPr>
        <w:spacing w:after="0" w:line="9" w:lineRule="exact"/>
        <w:rPr>
          <w:rFonts w:ascii="Arial" w:cs="Arial" w:eastAsia="Arial" w:hAnsi="Arial"/>
          <w:sz w:val="14"/>
          <w:szCs w:val="14"/>
          <w:color w:val="auto"/>
        </w:rPr>
      </w:pPr>
    </w:p>
    <w:p>
      <w:pPr>
        <w:ind w:left="780" w:hanging="198"/>
        <w:spacing w:after="0"/>
        <w:tabs>
          <w:tab w:leader="none" w:pos="78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Includes Grupo Crédito, Servicorp</w:t>
      </w:r>
    </w:p>
    <w:p>
      <w:pPr>
        <w:spacing w:after="0" w:line="14" w:lineRule="exact"/>
        <w:rPr>
          <w:rFonts w:ascii="Arial" w:cs="Arial" w:eastAsia="Arial" w:hAnsi="Arial"/>
          <w:sz w:val="14"/>
          <w:szCs w:val="14"/>
          <w:color w:val="auto"/>
        </w:rPr>
      </w:pPr>
    </w:p>
    <w:p>
      <w:pPr>
        <w:ind w:left="780" w:hanging="198"/>
        <w:spacing w:after="0"/>
        <w:tabs>
          <w:tab w:leader="none" w:pos="78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Includes taxes on BCP's and PPS's dividends, and other expenses at the holding com pany level.</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Credicorp - the Sum of its Parts</w:t>
      </w:r>
    </w:p>
    <w:p>
      <w:pPr>
        <w:spacing w:after="0" w:line="2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Having experienced a devastating earthquake in the middle of the 3Q07 has been a hard test on Credicorp and its ability to respond quickly and efficiently to reinstate its operational capabilities and absorb the financial impact, especially in the insurance business.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We are very pleased to have been able to withstand such a test, and be in a position to report the excellent results we can show as a financial group.</w:t>
      </w:r>
    </w:p>
    <w:p>
      <w:pPr>
        <w:spacing w:after="0" w:line="29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fact, despite this important hurdle which mobilized massive resources of the bank to recover from its effects, BCP reported excellent 3Q07 results, confirming its expanding earnings generation capacity reaching for 3Q07 earnings of US$ 90.7 million, which resulted in a contribution to Credicorp of US$ 88.2 million for the quarter. This confirms BCP’s aggressive growth track, fueled by the country’s strong economic growth and reflects an impressive 11% growth over the previous quarter and 72% over the previous year, and an equally excellent 36.1% ROAE for the quarter.</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BCB, which is consolidated within BCP, reported a contribution of US$ 6.7 million for 3Q07, higher by a remarkable 22% QoQ and 91% YoY. Thus, the performance of BCB is not being negatively affected by the continuing uncertain political scenario of Bolivia, and in fact, continues growing and gaining market share and brand positioning.</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ASHC reports an impressive contribution improvement of 42% QoQ reaching US$ 6.2 million for the 3Q07. ASHC’s business is constantly expanding as a result also of the increasing wealth generation in the country, and represents a stable, no-risk investment, for which its ROEA of 18% is more than satisfactory.</w:t>
      </w:r>
    </w:p>
    <w:p>
      <w:pPr>
        <w:spacing w:after="0" w:line="23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explained before, PPS did have a difficult quarter. Of all the companies of the Credicorp group, it was hardest hit by the August 15th earthquake and reported a total income for the year to date 12% lower than last year reaching US$ 11.6 million. However, bottom-line numbers after minority interests for 3Q07 reached a loss of US$ 3.9 million, which in turn resulted in a negative contribution to Credicorp of US$ -2.96 million for 3Q07. Excluding the earthquake effect, PPS reported somewhat lower 3Q07 earnings than 2Q07, as several important casualties resulted in claims in both the P&amp;C and Life businesses. Nevertheless, its performance still reflects the improving general trend at the insurance business, with results in line with the previous quarters.</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 w:name="page6"/>
    <w:bookmarkEnd w:id="5"/>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Finally, following the cost reduction plan, by which Prima’s sales force was reduced from 1,000 to 613 within the first three quarters of the year, Prima closed the 3Q07 with a positive result of US$ 1.8 million. Furthermore, Prima has established its dominant position in the market, capturing important market shares (31.3% of AuM, 35.3% of collections and 48.2% of voluntary contributions to the funds) and is increasing its fee income by incorporating a new administration fee for voluntary funds which used to have no management charges. This performance is therefore expected to improve as the company improves its income levels, reaches further control of operating costs and works on improving its capital structure, which today [is inefficient and] hides significant profits.</w:t>
      </w:r>
    </w:p>
    <w:p>
      <w:pPr>
        <w:spacing w:after="0" w:line="2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Deductions in the </w:t>
      </w:r>
      <w:r>
        <w:rPr>
          <w:rFonts w:ascii="Arial" w:cs="Arial" w:eastAsia="Arial" w:hAnsi="Arial"/>
          <w:sz w:val="18"/>
          <w:szCs w:val="18"/>
          <w:i w:val="1"/>
          <w:iCs w:val="1"/>
          <w:color w:val="auto"/>
        </w:rPr>
        <w:t>Credicorp and others</w:t>
      </w:r>
      <w:r>
        <w:rPr>
          <w:rFonts w:ascii="Arial" w:cs="Arial" w:eastAsia="Arial" w:hAnsi="Arial"/>
          <w:sz w:val="18"/>
          <w:szCs w:val="18"/>
          <w:color w:val="auto"/>
        </w:rPr>
        <w:t xml:space="preserve"> line include such normalized provision for withholding taxes of 2007 and some other costs such as financing costs, minor provision for Stock Options and some admin costs, resulting in a total of US$ 4.98 million negative charge.</w:t>
      </w:r>
    </w:p>
    <w:p>
      <w:pPr>
        <w:spacing w:after="0" w:line="22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sum of the results and contributions of the different companies of the Credicorp group reached a record level in the history of Credicorp, surpassing the US$ 90 million for the first time. But more importantly, the prospects of growth and of making this level of earnings a sustainable one are very real.</w:t>
      </w:r>
    </w:p>
    <w:p>
      <w:pPr>
        <w:spacing w:after="0" w:line="20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 is in the midst of this aggressive growth and superb results that the important management changes announced last Friday will play a significant role. The changes, motivated by a generational succession, have as ultimate objective to become a more dynamic institution, prepared to manage its growth and to confront the strong competition in this surging market.</w:t>
      </w:r>
    </w:p>
    <w:p>
      <w:pPr>
        <w:spacing w:after="0" w:line="2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6" w:name="page7"/>
    <w:bookmarkEnd w:id="6"/>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OUTLOOK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Activity</w:t>
      </w:r>
    </w:p>
    <w:p>
      <w:pPr>
        <w:spacing w:after="0" w:line="28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Peruvian economy continued showing a positive development during 2007, with an annual growth of +7.7% between January and August, led by the dynamism of the private investments, and the sectors associated with domestic demand, such as construction and non-primary manufacture. In the construction sector, accumulated year to date growth reaches +15.8% as a result of the public infrastructure dynamism, the private productive infrastructure development and increasing auto construction.</w:t>
      </w:r>
    </w:p>
    <w:p>
      <w:pPr>
        <w:spacing w:after="0" w:line="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Furthermore, the industrial non-primary sector shows growth of +12% in the same period explained by the increased production of consumption goods and intermediate goods, especially those related to construction. On the other hand, primary sectors show certain stagnation, especially the mining industry, where the lower production of gold (-22%) could not be compensated by the expansion registered in the extraction of zinc (+25.5%) and cooper (+13.7%). In spite of this, the official economic perspectives recently revised and published by the MEF and BCR, have improved, projecting a sustainable dynamic in the private sectors, which should bring growth for this year over 7 % and for the following years to about 6 %.</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Gross Domestic Product and Internal Demand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(Annualized percentage variation)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1908810</wp:posOffset>
            </wp:positionH>
            <wp:positionV relativeFrom="paragraph">
              <wp:posOffset>160020</wp:posOffset>
            </wp:positionV>
            <wp:extent cx="3430270" cy="20923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30270" cy="2092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000"/>
        <w:spacing w:after="0"/>
        <w:rPr>
          <w:sz w:val="20"/>
          <w:szCs w:val="20"/>
          <w:color w:val="auto"/>
        </w:rPr>
      </w:pPr>
      <w:r>
        <w:rPr>
          <w:rFonts w:ascii="Arial" w:cs="Arial" w:eastAsia="Arial" w:hAnsi="Arial"/>
          <w:sz w:val="18"/>
          <w:szCs w:val="18"/>
          <w:i w:val="1"/>
          <w:iCs w:val="1"/>
          <w:color w:val="auto"/>
        </w:rPr>
        <w:t>Source: INEI</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External Sector</w:t>
      </w:r>
    </w:p>
    <w:p>
      <w:pPr>
        <w:spacing w:after="0" w:line="28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Between January and August 2007, the trade balance surplus was of US$ 5,015MM, an amount US$ 355MM lower than the surplus achieved for the same period 2006. This is explained by annualized import growth which is already higher than exports in a context of domestic demand growing at a higher pace than economic activity. Thus, exports grew16.5% in the first eight month of the year., reaching US$ 17,286MM though this growth is explained by higher international prices of exported goods (+14.7%), since volumes increased by only 1.6% On the other hand, imports grew +29.6% in the same period, due mainly to investments in capital assets (+44.6). Finally the international reserves continued growing, closing the third quarter in US$22,827MM.</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Exports and Imports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(Annualized percentage variation)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1917700</wp:posOffset>
            </wp:positionH>
            <wp:positionV relativeFrom="paragraph">
              <wp:posOffset>177165</wp:posOffset>
            </wp:positionV>
            <wp:extent cx="3430270" cy="21012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30270" cy="210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Source: BCRP</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Prices and Exchange rate</w:t>
      </w:r>
    </w:p>
    <w:p>
      <w:pPr>
        <w:spacing w:after="0" w:line="28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To the closing of 3Q07, annualized inflation reached 2.8% within the range set as goal of the Central Bank BCR between (1% and 3%), despite to the growing trend of the last months. The price increases of the last months are due to specific factors related to the supply side, especially to the increases in the international prices of oil and some cereals. Nevertheless, there is a perception of increasing underlying inflation. In this context, BCR increased its reference rate to 50 bp. throughout the quarter, as a preventive measure to moderate the internal demand expansion which puts pressure on the referred underlying inflation. With regards to the exchange rate, it closed in September at S/. 3.085 per dollar, even thought on the fist two weeks of October the Sol appreciation lead the US Dollar to a market value of about S/. 3.02. This reflects an accumulated appreciation of the Nuevo Sol that surpassed 5.0% over the year. Due to this development the Central Bank had to support the US currency through interventions in the foreign exchange market, to reduce volatility, accumulating US$ 6,737MM on net purchases for the closed of 3Q07.</w:t>
      </w:r>
    </w:p>
    <w:p>
      <w:pPr>
        <w:sectPr>
          <w:pgSz w:w="11900" w:h="16838" w:orient="portrait"/>
          <w:cols w:equalWidth="0" w:num="1">
            <w:col w:w="11420"/>
          </w:cols>
          <w:pgMar w:left="240" w:top="1364" w:right="239" w:bottom="1440" w:gutter="0" w:footer="0" w:header="0"/>
        </w:sectPr>
      </w:pPr>
    </w:p>
    <w:p>
      <w:pPr>
        <w:spacing w:after="0" w:line="229" w:lineRule="exact"/>
        <w:rPr>
          <w:sz w:val="20"/>
          <w:szCs w:val="20"/>
          <w:color w:val="auto"/>
        </w:rPr>
      </w:pPr>
    </w:p>
    <w:p>
      <w:pPr>
        <w:ind w:left="2000"/>
        <w:spacing w:after="0"/>
        <w:rPr>
          <w:sz w:val="20"/>
          <w:szCs w:val="20"/>
          <w:color w:val="auto"/>
        </w:rPr>
      </w:pPr>
      <w:r>
        <w:rPr>
          <w:rFonts w:ascii="Arial" w:cs="Arial" w:eastAsia="Arial" w:hAnsi="Arial"/>
          <w:sz w:val="16"/>
          <w:szCs w:val="16"/>
          <w:b w:val="1"/>
          <w:bCs w:val="1"/>
          <w:color w:val="auto"/>
        </w:rPr>
        <w:t>Consumer price index</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Exchange Rate and purchases US$ BCRP</w:t>
      </w:r>
    </w:p>
    <w:p>
      <w:pPr>
        <w:spacing w:after="0" w:line="50" w:lineRule="exact"/>
        <w:rPr>
          <w:sz w:val="20"/>
          <w:szCs w:val="20"/>
          <w:color w:val="auto"/>
        </w:rPr>
      </w:pPr>
    </w:p>
    <w:p>
      <w:pPr>
        <w:sectPr>
          <w:pgSz w:w="11900" w:h="16838" w:orient="portrait"/>
          <w:cols w:equalWidth="0" w:num="2">
            <w:col w:w="6240" w:space="720"/>
            <w:col w:w="4460"/>
          </w:cols>
          <w:pgMar w:left="240" w:top="1364" w:right="239" w:bottom="1440" w:gutter="0" w:footer="0" w:header="0"/>
          <w:type w:val="continuous"/>
        </w:sectPr>
      </w:pPr>
    </w:p>
    <w:p>
      <w:pPr>
        <w:ind w:left="1780"/>
        <w:spacing w:after="0"/>
        <w:rPr>
          <w:sz w:val="20"/>
          <w:szCs w:val="20"/>
          <w:color w:val="auto"/>
        </w:rPr>
      </w:pPr>
      <w:r>
        <w:rPr>
          <w:rFonts w:ascii="Arial" w:cs="Arial" w:eastAsia="Arial" w:hAnsi="Arial"/>
          <w:sz w:val="16"/>
          <w:szCs w:val="16"/>
          <w:color w:val="auto"/>
        </w:rPr>
        <w:t>(Annual percentage variation)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191770</wp:posOffset>
            </wp:positionV>
            <wp:extent cx="3001645" cy="21183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01645" cy="21183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 per dollar and US$ 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-833120</wp:posOffset>
            </wp:positionH>
            <wp:positionV relativeFrom="paragraph">
              <wp:posOffset>191770</wp:posOffset>
            </wp:positionV>
            <wp:extent cx="3001645" cy="20840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001645" cy="20840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00" w:space="720"/>
            <w:col w:w="3900"/>
          </w:cols>
          <w:pgMar w:left="240" w:top="136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64" w:right="239" w:bottom="1440" w:gutter="0" w:footer="0" w:header="0"/>
          <w:type w:val="continuous"/>
        </w:sectPr>
      </w:pPr>
    </w:p>
    <w:bookmarkStart w:id="8" w:name="page9"/>
    <w:bookmarkEnd w:id="8"/>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period of January through August May, tax collections increased to S/. 35,368MM. This figure is 15.1% more in real terms than tax collections in the same period of 2006. This growth is explained principally, by increased collections of Income Tax (IR, +21.9 %), especially from corporation (+25.1% without regularizations) and Value Added Tax (IGV, +17.3%), fueled especially in the last months by imports. On the public spending side of the Central Government, an increase of 18.2 % up to August is observed and explained by an increase of +19.3 % in the current expenditure and lower growth of public investments (+8.7%),. Hence, the economic result of the Central Government to the closing of August reveals a surplus of S/. 6,708MM, S/.644MM above the one registered on the same period in 2006.</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Income of the Central Government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(Annualized, expressed in thousand of millions of Nuevos Soles)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1908810</wp:posOffset>
            </wp:positionH>
            <wp:positionV relativeFrom="paragraph">
              <wp:posOffset>331470</wp:posOffset>
            </wp:positionV>
            <wp:extent cx="3430270" cy="23755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30270" cy="237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Source: Sunat</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Banking System</w:t>
      </w:r>
    </w:p>
    <w:p>
      <w:pPr>
        <w:spacing w:after="0" w:line="28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At the closing of August 2007, total loan placements in the banking system continued to grow and reached US$19,496MM, amount that represents an increase of +35.63% compared to the same period of 2006 and of +23.7 with respect to the closing of 2006. This result is mainly supported by the stronger credit activity in the retail segments such as consumer loans (+55.0% YoY), though SME lending revealed also strong growth (+33.9% YoY), as did mortgages (+22.6% YoY). The lending dynamism came along with a stable and low delinquencies level of 1.6%.</w:t>
      </w:r>
    </w:p>
    <w:p>
      <w:pPr>
        <w:spacing w:after="0" w:line="2" w:lineRule="exact"/>
        <w:rPr>
          <w:sz w:val="20"/>
          <w:szCs w:val="20"/>
          <w:color w:val="auto"/>
        </w:rPr>
      </w:pPr>
    </w:p>
    <w:p>
      <w:pPr>
        <w:jc w:val="both"/>
        <w:ind w:right="20"/>
        <w:spacing w:after="0" w:line="323" w:lineRule="auto"/>
        <w:rPr>
          <w:sz w:val="20"/>
          <w:szCs w:val="20"/>
          <w:color w:val="auto"/>
        </w:rPr>
      </w:pPr>
      <w:r>
        <w:rPr>
          <w:rFonts w:ascii="Arial" w:cs="Arial" w:eastAsia="Arial" w:hAnsi="Arial"/>
          <w:sz w:val="16"/>
          <w:szCs w:val="16"/>
          <w:color w:val="auto"/>
        </w:rPr>
        <w:t>Looking at the banking system’s main source of funding, deposits also continued increasing and reached US$22,263MM, which represents a growth rate of +25.6% YoY and of +17.7% for the year to date. Growth was observed in demand deposits (+33.2%) savings deposits (+17.2%) and time deposits (+27.2%).</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Dollarization of the banking system continues decreasing in both loans and deposits. This way, dollar lending grew by +27.6% YoY, while soles lending grew at a more accelerated rate of +52.3%. Furthermore, dollar loans represent now 63.6% of total loan portfolio (as of August 2007), while these used to make up for 67.6% a year ago. Dollarization of deposits also dropped from levels of 63.8% to 59.0% in the same period, which reflects an increasing preference for saving in national currency in view of the appreciation experienced by the Nuevo Sol in the last year.</w:t>
      </w: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9" w:name="page10"/>
    <w:bookmarkEnd w:id="9"/>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Finally, interest rates have stabilized in the last months. This way, the TAMN (local currency lending rate) closed 3Q07 at 22.5%, below the closing level of 3Q06 (23.9%), while TAMEX (foreign currency lending rate) closed 3Q07 at 10.5%, (10.6% and 10.8% at the closing of 3Q06 and 4Q06, respectively). On the funding side, the TIPMN (local currency deposit rate) and the TIPMEX (Foreign currency deposit rate) closed this 3Q07 at 3.2% and 2.2% respectively, which are basically the same levels from December 2006.</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Main Financial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Indicators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5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2006</w:t>
            </w: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2007</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r>
      <w:tr>
        <w:trPr>
          <w:trHeight w:val="264"/>
        </w:trPr>
        <w:tc>
          <w:tcPr>
            <w:tcW w:w="3540" w:type="dxa"/>
            <w:vAlign w:val="bottom"/>
          </w:tcPr>
          <w:p>
            <w:pPr>
              <w:spacing w:after="0"/>
              <w:rPr>
                <w:sz w:val="22"/>
                <w:szCs w:val="22"/>
                <w:color w:val="auto"/>
              </w:rPr>
            </w:pPr>
          </w:p>
        </w:tc>
        <w:tc>
          <w:tcPr>
            <w:tcW w:w="7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IQ</w:t>
            </w:r>
          </w:p>
        </w:tc>
        <w:tc>
          <w:tcPr>
            <w:tcW w:w="120" w:type="dxa"/>
            <w:vAlign w:val="bottom"/>
          </w:tcPr>
          <w:p>
            <w:pPr>
              <w:spacing w:after="0"/>
              <w:rPr>
                <w:sz w:val="22"/>
                <w:szCs w:val="22"/>
                <w:color w:val="auto"/>
              </w:rPr>
            </w:pPr>
          </w:p>
        </w:tc>
        <w:tc>
          <w:tcPr>
            <w:tcW w:w="7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2Q</w:t>
            </w:r>
          </w:p>
        </w:tc>
        <w:tc>
          <w:tcPr>
            <w:tcW w:w="120" w:type="dxa"/>
            <w:vAlign w:val="bottom"/>
          </w:tcPr>
          <w:p>
            <w:pPr>
              <w:spacing w:after="0"/>
              <w:rPr>
                <w:sz w:val="22"/>
                <w:szCs w:val="22"/>
                <w:color w:val="auto"/>
              </w:rPr>
            </w:pPr>
          </w:p>
        </w:tc>
        <w:tc>
          <w:tcPr>
            <w:tcW w:w="7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3Q</w:t>
            </w:r>
          </w:p>
        </w:tc>
        <w:tc>
          <w:tcPr>
            <w:tcW w:w="120" w:type="dxa"/>
            <w:vAlign w:val="bottom"/>
          </w:tcPr>
          <w:p>
            <w:pPr>
              <w:spacing w:after="0"/>
              <w:rPr>
                <w:sz w:val="22"/>
                <w:szCs w:val="22"/>
                <w:color w:val="auto"/>
              </w:rPr>
            </w:pPr>
          </w:p>
        </w:tc>
        <w:tc>
          <w:tcPr>
            <w:tcW w:w="7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4Q</w:t>
            </w:r>
          </w:p>
        </w:tc>
        <w:tc>
          <w:tcPr>
            <w:tcW w:w="140" w:type="dxa"/>
            <w:vAlign w:val="bottom"/>
          </w:tcPr>
          <w:p>
            <w:pPr>
              <w:spacing w:after="0"/>
              <w:rPr>
                <w:sz w:val="22"/>
                <w:szCs w:val="22"/>
                <w:color w:val="auto"/>
              </w:rPr>
            </w:pPr>
          </w:p>
        </w:tc>
        <w:tc>
          <w:tcPr>
            <w:tcW w:w="7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Year</w:t>
            </w:r>
          </w:p>
        </w:tc>
        <w:tc>
          <w:tcPr>
            <w:tcW w:w="120" w:type="dxa"/>
            <w:vAlign w:val="bottom"/>
          </w:tcPr>
          <w:p>
            <w:pPr>
              <w:spacing w:after="0"/>
              <w:rPr>
                <w:sz w:val="22"/>
                <w:szCs w:val="22"/>
                <w:color w:val="auto"/>
              </w:rPr>
            </w:pPr>
          </w:p>
        </w:tc>
        <w:tc>
          <w:tcPr>
            <w:tcW w:w="7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IQ</w:t>
            </w:r>
          </w:p>
        </w:tc>
        <w:tc>
          <w:tcPr>
            <w:tcW w:w="120" w:type="dxa"/>
            <w:vAlign w:val="bottom"/>
          </w:tcPr>
          <w:p>
            <w:pPr>
              <w:spacing w:after="0"/>
              <w:rPr>
                <w:sz w:val="22"/>
                <w:szCs w:val="22"/>
                <w:color w:val="auto"/>
              </w:rPr>
            </w:pPr>
          </w:p>
        </w:tc>
        <w:tc>
          <w:tcPr>
            <w:tcW w:w="7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2Q</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3Q</w:t>
            </w:r>
          </w:p>
        </w:tc>
        <w:tc>
          <w:tcPr>
            <w:tcW w:w="120" w:type="dxa"/>
            <w:vAlign w:val="bottom"/>
          </w:tcPr>
          <w:p>
            <w:pPr>
              <w:spacing w:after="0"/>
              <w:rPr>
                <w:sz w:val="22"/>
                <w:szCs w:val="22"/>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Year (f)</w:t>
            </w:r>
          </w:p>
        </w:tc>
        <w:tc>
          <w:tcPr>
            <w:tcW w:w="120" w:type="dxa"/>
            <w:vAlign w:val="bottom"/>
          </w:tcPr>
          <w:p>
            <w:pPr>
              <w:spacing w:after="0"/>
              <w:rPr>
                <w:sz w:val="22"/>
                <w:szCs w:val="22"/>
                <w:color w:val="auto"/>
              </w:rPr>
            </w:pPr>
          </w:p>
        </w:tc>
      </w:tr>
      <w:tr>
        <w:trPr>
          <w:trHeight w:val="237"/>
        </w:trPr>
        <w:tc>
          <w:tcPr>
            <w:tcW w:w="3540" w:type="dxa"/>
            <w:vAlign w:val="bottom"/>
            <w:shd w:val="clear" w:color="auto" w:fill="CCFFCC"/>
          </w:tcPr>
          <w:p>
            <w:pPr>
              <w:spacing w:after="0"/>
              <w:rPr>
                <w:sz w:val="20"/>
                <w:szCs w:val="20"/>
                <w:color w:val="auto"/>
              </w:rPr>
            </w:pPr>
            <w:r>
              <w:rPr>
                <w:rFonts w:ascii="Arial" w:cs="Arial" w:eastAsia="Arial" w:hAnsi="Arial"/>
                <w:sz w:val="14"/>
                <w:szCs w:val="14"/>
                <w:color w:val="auto"/>
              </w:rPr>
              <w:t>GDP (US$ MM)</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20,455</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24,095</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23,523</w:t>
            </w:r>
          </w:p>
        </w:tc>
        <w:tc>
          <w:tcPr>
            <w:tcW w:w="88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25,036</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b w:val="1"/>
                <w:bCs w:val="1"/>
                <w:color w:val="auto"/>
              </w:rPr>
              <w:t>93,108</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23,871</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27,479</w:t>
            </w:r>
          </w:p>
        </w:tc>
        <w:tc>
          <w:tcPr>
            <w:tcW w:w="220" w:type="dxa"/>
            <w:vAlign w:val="bottom"/>
            <w:shd w:val="clear" w:color="auto" w:fill="CCFFCC"/>
          </w:tcPr>
          <w:p>
            <w:pPr>
              <w:spacing w:after="0"/>
              <w:rPr>
                <w:sz w:val="20"/>
                <w:szCs w:val="20"/>
                <w:color w:val="auto"/>
              </w:rPr>
            </w:pPr>
          </w:p>
        </w:tc>
        <w:tc>
          <w:tcPr>
            <w:tcW w:w="6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n.d.</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b w:val="1"/>
                <w:bCs w:val="1"/>
                <w:color w:val="auto"/>
              </w:rPr>
              <w:t>106,586</w:t>
            </w:r>
          </w:p>
        </w:tc>
      </w:tr>
      <w:tr>
        <w:trPr>
          <w:trHeight w:val="243"/>
        </w:trPr>
        <w:tc>
          <w:tcPr>
            <w:tcW w:w="3540" w:type="dxa"/>
            <w:vAlign w:val="bottom"/>
          </w:tcPr>
          <w:p>
            <w:pPr>
              <w:spacing w:after="0"/>
              <w:rPr>
                <w:sz w:val="20"/>
                <w:szCs w:val="20"/>
                <w:color w:val="auto"/>
              </w:rPr>
            </w:pPr>
            <w:r>
              <w:rPr>
                <w:rFonts w:ascii="Arial" w:cs="Arial" w:eastAsia="Arial" w:hAnsi="Arial"/>
                <w:sz w:val="14"/>
                <w:szCs w:val="14"/>
                <w:color w:val="auto"/>
              </w:rPr>
              <w:t>Real GDP (var.%)</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7.9</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5.8</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8.6</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8.1</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7.6</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8.0</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7.6</w:t>
            </w:r>
          </w:p>
        </w:tc>
        <w:tc>
          <w:tcPr>
            <w:tcW w:w="220" w:type="dxa"/>
            <w:vAlign w:val="bottom"/>
          </w:tcPr>
          <w:p>
            <w:pPr>
              <w:spacing w:after="0"/>
              <w:rPr>
                <w:sz w:val="21"/>
                <w:szCs w:val="2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n.d.</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7.5</w:t>
            </w:r>
          </w:p>
        </w:tc>
      </w:tr>
      <w:tr>
        <w:trPr>
          <w:trHeight w:val="243"/>
        </w:trPr>
        <w:tc>
          <w:tcPr>
            <w:tcW w:w="3540" w:type="dxa"/>
            <w:vAlign w:val="bottom"/>
            <w:shd w:val="clear" w:color="auto" w:fill="CCFFCC"/>
          </w:tcPr>
          <w:p>
            <w:pPr>
              <w:spacing w:after="0"/>
              <w:rPr>
                <w:sz w:val="20"/>
                <w:szCs w:val="20"/>
                <w:color w:val="auto"/>
              </w:rPr>
            </w:pPr>
            <w:r>
              <w:rPr>
                <w:rFonts w:ascii="Arial" w:cs="Arial" w:eastAsia="Arial" w:hAnsi="Arial"/>
                <w:sz w:val="14"/>
                <w:szCs w:val="14"/>
                <w:color w:val="auto"/>
              </w:rPr>
              <w:t>GDP per-cápita (US$)</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3,019</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3,537</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3,434</w:t>
            </w:r>
          </w:p>
        </w:tc>
        <w:tc>
          <w:tcPr>
            <w:tcW w:w="88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3,635</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b w:val="1"/>
                <w:bCs w:val="1"/>
                <w:color w:val="auto"/>
              </w:rPr>
              <w:t>3,294</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3,447</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3,947</w:t>
            </w:r>
          </w:p>
        </w:tc>
        <w:tc>
          <w:tcPr>
            <w:tcW w:w="220" w:type="dxa"/>
            <w:vAlign w:val="bottom"/>
            <w:shd w:val="clear" w:color="auto" w:fill="CCFFCC"/>
          </w:tcPr>
          <w:p>
            <w:pPr>
              <w:spacing w:after="0"/>
              <w:rPr>
                <w:sz w:val="21"/>
                <w:szCs w:val="21"/>
                <w:color w:val="auto"/>
              </w:rPr>
            </w:pPr>
          </w:p>
        </w:tc>
        <w:tc>
          <w:tcPr>
            <w:tcW w:w="6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n.d.</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b w:val="1"/>
                <w:bCs w:val="1"/>
                <w:color w:val="auto"/>
              </w:rPr>
              <w:t>3,817</w:t>
            </w:r>
          </w:p>
        </w:tc>
      </w:tr>
      <w:tr>
        <w:trPr>
          <w:trHeight w:val="270"/>
        </w:trPr>
        <w:tc>
          <w:tcPr>
            <w:tcW w:w="35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43"/>
        </w:trPr>
        <w:tc>
          <w:tcPr>
            <w:tcW w:w="3540" w:type="dxa"/>
            <w:vAlign w:val="bottom"/>
            <w:shd w:val="clear" w:color="auto" w:fill="CCFFCC"/>
          </w:tcPr>
          <w:p>
            <w:pPr>
              <w:spacing w:after="0"/>
              <w:rPr>
                <w:sz w:val="20"/>
                <w:szCs w:val="20"/>
                <w:color w:val="auto"/>
              </w:rPr>
            </w:pPr>
            <w:r>
              <w:rPr>
                <w:rFonts w:ascii="Arial" w:cs="Arial" w:eastAsia="Arial" w:hAnsi="Arial"/>
                <w:sz w:val="14"/>
                <w:szCs w:val="14"/>
                <w:color w:val="auto"/>
              </w:rPr>
              <w:t>Domestic demand (var. %)</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11.1</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7.1</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10.3</w:t>
            </w:r>
          </w:p>
        </w:tc>
        <w:tc>
          <w:tcPr>
            <w:tcW w:w="88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12.0</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b w:val="1"/>
                <w:bCs w:val="1"/>
                <w:color w:val="auto"/>
              </w:rPr>
              <w:t>10.1</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10.6</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10.2</w:t>
            </w:r>
          </w:p>
        </w:tc>
        <w:tc>
          <w:tcPr>
            <w:tcW w:w="220" w:type="dxa"/>
            <w:vAlign w:val="bottom"/>
            <w:shd w:val="clear" w:color="auto" w:fill="CCFFCC"/>
          </w:tcPr>
          <w:p>
            <w:pPr>
              <w:spacing w:after="0"/>
              <w:rPr>
                <w:sz w:val="21"/>
                <w:szCs w:val="21"/>
                <w:color w:val="auto"/>
              </w:rPr>
            </w:pPr>
          </w:p>
        </w:tc>
        <w:tc>
          <w:tcPr>
            <w:tcW w:w="6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n.d.</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b w:val="1"/>
                <w:bCs w:val="1"/>
                <w:color w:val="auto"/>
              </w:rPr>
              <w:t>9.2</w:t>
            </w:r>
          </w:p>
        </w:tc>
      </w:tr>
      <w:tr>
        <w:trPr>
          <w:trHeight w:val="243"/>
        </w:trPr>
        <w:tc>
          <w:tcPr>
            <w:tcW w:w="3540" w:type="dxa"/>
            <w:vAlign w:val="bottom"/>
          </w:tcPr>
          <w:p>
            <w:pPr>
              <w:spacing w:after="0"/>
              <w:rPr>
                <w:sz w:val="20"/>
                <w:szCs w:val="20"/>
                <w:color w:val="auto"/>
              </w:rPr>
            </w:pPr>
            <w:r>
              <w:rPr>
                <w:rFonts w:ascii="Arial" w:cs="Arial" w:eastAsia="Arial" w:hAnsi="Arial"/>
                <w:sz w:val="14"/>
                <w:szCs w:val="14"/>
                <w:color w:val="auto"/>
              </w:rPr>
              <w:t>Consumption (var. %)</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5.1</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6.4</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6.2</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7.3</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6.2</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7.7</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7.5</w:t>
            </w:r>
          </w:p>
        </w:tc>
        <w:tc>
          <w:tcPr>
            <w:tcW w:w="220" w:type="dxa"/>
            <w:vAlign w:val="bottom"/>
          </w:tcPr>
          <w:p>
            <w:pPr>
              <w:spacing w:after="0"/>
              <w:rPr>
                <w:sz w:val="21"/>
                <w:szCs w:val="2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n.d.</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7.0</w:t>
            </w:r>
          </w:p>
        </w:tc>
      </w:tr>
      <w:tr>
        <w:trPr>
          <w:trHeight w:val="243"/>
        </w:trPr>
        <w:tc>
          <w:tcPr>
            <w:tcW w:w="3540" w:type="dxa"/>
            <w:vAlign w:val="bottom"/>
            <w:shd w:val="clear" w:color="auto" w:fill="CCFFCC"/>
          </w:tcPr>
          <w:p>
            <w:pPr>
              <w:spacing w:after="0"/>
              <w:rPr>
                <w:sz w:val="20"/>
                <w:szCs w:val="20"/>
                <w:color w:val="auto"/>
              </w:rPr>
            </w:pPr>
            <w:r>
              <w:rPr>
                <w:rFonts w:ascii="Arial" w:cs="Arial" w:eastAsia="Arial" w:hAnsi="Arial"/>
                <w:sz w:val="14"/>
                <w:szCs w:val="14"/>
                <w:color w:val="auto"/>
              </w:rPr>
              <w:t>Private Investment (var. %)</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22.4</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17.0</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16.7</w:t>
            </w:r>
          </w:p>
        </w:tc>
        <w:tc>
          <w:tcPr>
            <w:tcW w:w="88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19.7</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b w:val="1"/>
                <w:bCs w:val="1"/>
                <w:color w:val="auto"/>
              </w:rPr>
              <w:t>18.9</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17.3</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22.9</w:t>
            </w:r>
          </w:p>
        </w:tc>
        <w:tc>
          <w:tcPr>
            <w:tcW w:w="220" w:type="dxa"/>
            <w:vAlign w:val="bottom"/>
            <w:shd w:val="clear" w:color="auto" w:fill="CCFFCC"/>
          </w:tcPr>
          <w:p>
            <w:pPr>
              <w:spacing w:after="0"/>
              <w:rPr>
                <w:sz w:val="21"/>
                <w:szCs w:val="21"/>
                <w:color w:val="auto"/>
              </w:rPr>
            </w:pPr>
          </w:p>
        </w:tc>
        <w:tc>
          <w:tcPr>
            <w:tcW w:w="6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n.d.</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b w:val="1"/>
                <w:bCs w:val="1"/>
                <w:color w:val="auto"/>
              </w:rPr>
              <w:t>19.0</w:t>
            </w:r>
          </w:p>
        </w:tc>
      </w:tr>
      <w:tr>
        <w:trPr>
          <w:trHeight w:val="243"/>
        </w:trPr>
        <w:tc>
          <w:tcPr>
            <w:tcW w:w="35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3540" w:type="dxa"/>
            <w:vAlign w:val="bottom"/>
            <w:shd w:val="clear" w:color="auto" w:fill="CCFFCC"/>
          </w:tcPr>
          <w:p>
            <w:pPr>
              <w:spacing w:after="0"/>
              <w:rPr>
                <w:sz w:val="20"/>
                <w:szCs w:val="20"/>
                <w:color w:val="auto"/>
              </w:rPr>
            </w:pPr>
            <w:r>
              <w:rPr>
                <w:rFonts w:ascii="Arial" w:cs="Arial" w:eastAsia="Arial" w:hAnsi="Arial"/>
                <w:sz w:val="14"/>
                <w:szCs w:val="14"/>
                <w:color w:val="auto"/>
              </w:rPr>
              <w:t>CPI (annual change, %)</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2.5</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1.8</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2.0</w:t>
            </w:r>
          </w:p>
        </w:tc>
        <w:tc>
          <w:tcPr>
            <w:tcW w:w="88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1.5</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b w:val="1"/>
                <w:bCs w:val="1"/>
                <w:color w:val="auto"/>
              </w:rPr>
              <w:t>1.1</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0.3</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1.6</w:t>
            </w:r>
          </w:p>
        </w:tc>
        <w:tc>
          <w:tcPr>
            <w:tcW w:w="220" w:type="dxa"/>
            <w:vAlign w:val="bottom"/>
            <w:shd w:val="clear" w:color="auto" w:fill="CCFFCC"/>
          </w:tcPr>
          <w:p>
            <w:pPr>
              <w:spacing w:after="0"/>
              <w:rPr>
                <w:sz w:val="21"/>
                <w:szCs w:val="21"/>
                <w:color w:val="auto"/>
              </w:rPr>
            </w:pPr>
          </w:p>
        </w:tc>
        <w:tc>
          <w:tcPr>
            <w:tcW w:w="6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2.8</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b w:val="1"/>
                <w:bCs w:val="1"/>
                <w:color w:val="auto"/>
              </w:rPr>
              <w:t>3.2</w:t>
            </w:r>
          </w:p>
        </w:tc>
      </w:tr>
      <w:tr>
        <w:trPr>
          <w:trHeight w:val="243"/>
        </w:trPr>
        <w:tc>
          <w:tcPr>
            <w:tcW w:w="35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3540" w:type="dxa"/>
            <w:vAlign w:val="bottom"/>
            <w:shd w:val="clear" w:color="auto" w:fill="CCFFCC"/>
          </w:tcPr>
          <w:p>
            <w:pPr>
              <w:spacing w:after="0"/>
              <w:rPr>
                <w:sz w:val="20"/>
                <w:szCs w:val="20"/>
                <w:color w:val="auto"/>
              </w:rPr>
            </w:pPr>
            <w:r>
              <w:rPr>
                <w:rFonts w:ascii="Arial" w:cs="Arial" w:eastAsia="Arial" w:hAnsi="Arial"/>
                <w:sz w:val="14"/>
                <w:szCs w:val="14"/>
                <w:color w:val="auto"/>
              </w:rPr>
              <w:t>Echange rate, eop (S/ . per US$)</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3.36</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3.26</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3.25</w:t>
            </w:r>
          </w:p>
        </w:tc>
        <w:tc>
          <w:tcPr>
            <w:tcW w:w="88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3.20</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b w:val="1"/>
                <w:bCs w:val="1"/>
                <w:color w:val="auto"/>
              </w:rPr>
              <w:t>3.20</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3.19</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3.17</w:t>
            </w:r>
          </w:p>
        </w:tc>
        <w:tc>
          <w:tcPr>
            <w:tcW w:w="220" w:type="dxa"/>
            <w:vAlign w:val="bottom"/>
            <w:shd w:val="clear" w:color="auto" w:fill="CCFFCC"/>
          </w:tcPr>
          <w:p>
            <w:pPr>
              <w:spacing w:after="0"/>
              <w:rPr>
                <w:sz w:val="21"/>
                <w:szCs w:val="21"/>
                <w:color w:val="auto"/>
              </w:rPr>
            </w:pPr>
          </w:p>
        </w:tc>
        <w:tc>
          <w:tcPr>
            <w:tcW w:w="6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3.09</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b w:val="1"/>
                <w:bCs w:val="1"/>
                <w:color w:val="auto"/>
              </w:rPr>
              <w:t>3.00</w:t>
            </w:r>
          </w:p>
        </w:tc>
      </w:tr>
      <w:tr>
        <w:trPr>
          <w:trHeight w:val="243"/>
        </w:trPr>
        <w:tc>
          <w:tcPr>
            <w:tcW w:w="3540" w:type="dxa"/>
            <w:vAlign w:val="bottom"/>
          </w:tcPr>
          <w:p>
            <w:pPr>
              <w:spacing w:after="0"/>
              <w:rPr>
                <w:sz w:val="20"/>
                <w:szCs w:val="20"/>
                <w:color w:val="auto"/>
              </w:rPr>
            </w:pPr>
            <w:r>
              <w:rPr>
                <w:rFonts w:ascii="Arial" w:cs="Arial" w:eastAsia="Arial" w:hAnsi="Arial"/>
                <w:sz w:val="14"/>
                <w:szCs w:val="14"/>
                <w:color w:val="auto"/>
              </w:rPr>
              <w:t>Devaluation (annual change, % )</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2.9</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0.2</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-2.8</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-6.8</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-6.8</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-5.1</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-2.8</w:t>
            </w:r>
          </w:p>
        </w:tc>
        <w:tc>
          <w:tcPr>
            <w:tcW w:w="220" w:type="dxa"/>
            <w:vAlign w:val="bottom"/>
          </w:tcPr>
          <w:p>
            <w:pPr>
              <w:spacing w:after="0"/>
              <w:rPr>
                <w:sz w:val="21"/>
                <w:szCs w:val="2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-5.1</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-6.1</w:t>
            </w:r>
          </w:p>
        </w:tc>
      </w:tr>
      <w:tr>
        <w:trPr>
          <w:trHeight w:val="243"/>
        </w:trPr>
        <w:tc>
          <w:tcPr>
            <w:tcW w:w="3540" w:type="dxa"/>
            <w:vAlign w:val="bottom"/>
            <w:shd w:val="clear" w:color="auto" w:fill="CCFFCC"/>
          </w:tcPr>
          <w:p>
            <w:pPr>
              <w:spacing w:after="0"/>
              <w:rPr>
                <w:sz w:val="20"/>
                <w:szCs w:val="20"/>
                <w:color w:val="auto"/>
              </w:rPr>
            </w:pPr>
            <w:r>
              <w:rPr>
                <w:rFonts w:ascii="Arial" w:cs="Arial" w:eastAsia="Arial" w:hAnsi="Arial"/>
                <w:sz w:val="14"/>
                <w:szCs w:val="14"/>
                <w:color w:val="auto"/>
              </w:rPr>
              <w:t>Exchange rate , average (S/ . per US$)</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3.34</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3.29</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3.24</w:t>
            </w:r>
          </w:p>
        </w:tc>
        <w:tc>
          <w:tcPr>
            <w:tcW w:w="88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3.22</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b w:val="1"/>
                <w:bCs w:val="1"/>
                <w:color w:val="auto"/>
              </w:rPr>
              <w:t>3.27</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3.19</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3.17</w:t>
            </w:r>
          </w:p>
        </w:tc>
        <w:tc>
          <w:tcPr>
            <w:tcW w:w="220" w:type="dxa"/>
            <w:vAlign w:val="bottom"/>
            <w:shd w:val="clear" w:color="auto" w:fill="CCFFCC"/>
          </w:tcPr>
          <w:p>
            <w:pPr>
              <w:spacing w:after="0"/>
              <w:rPr>
                <w:sz w:val="21"/>
                <w:szCs w:val="21"/>
                <w:color w:val="auto"/>
              </w:rPr>
            </w:pPr>
          </w:p>
        </w:tc>
        <w:tc>
          <w:tcPr>
            <w:tcW w:w="6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3.15</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b w:val="1"/>
                <w:bCs w:val="1"/>
                <w:color w:val="auto"/>
              </w:rPr>
              <w:t>3.13</w:t>
            </w:r>
          </w:p>
        </w:tc>
      </w:tr>
      <w:tr>
        <w:trPr>
          <w:trHeight w:val="243"/>
        </w:trPr>
        <w:tc>
          <w:tcPr>
            <w:tcW w:w="35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3540" w:type="dxa"/>
            <w:vAlign w:val="bottom"/>
            <w:shd w:val="clear" w:color="auto" w:fill="CCFFCC"/>
          </w:tcPr>
          <w:p>
            <w:pPr>
              <w:spacing w:after="0"/>
              <w:rPr>
                <w:sz w:val="20"/>
                <w:szCs w:val="20"/>
                <w:color w:val="auto"/>
              </w:rPr>
            </w:pPr>
            <w:r>
              <w:rPr>
                <w:rFonts w:ascii="Arial" w:cs="Arial" w:eastAsia="Arial" w:hAnsi="Arial"/>
                <w:sz w:val="14"/>
                <w:szCs w:val="14"/>
                <w:color w:val="auto"/>
              </w:rPr>
              <w:t>Non- Financial Public Sector (% of GDP)</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3.9</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5.7</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1.5</w:t>
            </w:r>
          </w:p>
        </w:tc>
        <w:tc>
          <w:tcPr>
            <w:tcW w:w="88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-2.6</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b w:val="1"/>
                <w:bCs w:val="1"/>
                <w:color w:val="auto"/>
              </w:rPr>
              <w:t>2.1</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4.9</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8.2</w:t>
            </w:r>
          </w:p>
        </w:tc>
        <w:tc>
          <w:tcPr>
            <w:tcW w:w="220" w:type="dxa"/>
            <w:vAlign w:val="bottom"/>
            <w:shd w:val="clear" w:color="auto" w:fill="CCFFCC"/>
          </w:tcPr>
          <w:p>
            <w:pPr>
              <w:spacing w:after="0"/>
              <w:rPr>
                <w:sz w:val="21"/>
                <w:szCs w:val="21"/>
                <w:color w:val="auto"/>
              </w:rPr>
            </w:pPr>
          </w:p>
        </w:tc>
        <w:tc>
          <w:tcPr>
            <w:tcW w:w="6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n.d.</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b w:val="1"/>
                <w:bCs w:val="1"/>
                <w:color w:val="auto"/>
              </w:rPr>
              <w:t>2.0</w:t>
            </w:r>
          </w:p>
        </w:tc>
      </w:tr>
      <w:tr>
        <w:trPr>
          <w:trHeight w:val="243"/>
        </w:trPr>
        <w:tc>
          <w:tcPr>
            <w:tcW w:w="3540" w:type="dxa"/>
            <w:vAlign w:val="bottom"/>
          </w:tcPr>
          <w:p>
            <w:pPr>
              <w:spacing w:after="0"/>
              <w:rPr>
                <w:sz w:val="20"/>
                <w:szCs w:val="20"/>
                <w:color w:val="auto"/>
              </w:rPr>
            </w:pPr>
            <w:r>
              <w:rPr>
                <w:rFonts w:ascii="Arial" w:cs="Arial" w:eastAsia="Arial" w:hAnsi="Arial"/>
                <w:sz w:val="14"/>
                <w:szCs w:val="14"/>
                <w:color w:val="auto"/>
              </w:rPr>
              <w:t>Central govermment current revenues (% of GDP)</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17.7</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18.5</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16.9</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16.2</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17.3</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17.3</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20.5</w:t>
            </w:r>
          </w:p>
        </w:tc>
        <w:tc>
          <w:tcPr>
            <w:tcW w:w="220" w:type="dxa"/>
            <w:vAlign w:val="bottom"/>
          </w:tcPr>
          <w:p>
            <w:pPr>
              <w:spacing w:after="0"/>
              <w:rPr>
                <w:sz w:val="21"/>
                <w:szCs w:val="2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n.d.</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17.9</w:t>
            </w:r>
          </w:p>
        </w:tc>
      </w:tr>
      <w:tr>
        <w:trPr>
          <w:trHeight w:val="243"/>
        </w:trPr>
        <w:tc>
          <w:tcPr>
            <w:tcW w:w="3540" w:type="dxa"/>
            <w:vAlign w:val="bottom"/>
            <w:shd w:val="clear" w:color="auto" w:fill="CCFFCC"/>
          </w:tcPr>
          <w:p>
            <w:pPr>
              <w:spacing w:after="0"/>
              <w:rPr>
                <w:sz w:val="20"/>
                <w:szCs w:val="20"/>
                <w:color w:val="auto"/>
              </w:rPr>
            </w:pPr>
            <w:r>
              <w:rPr>
                <w:rFonts w:ascii="Arial" w:cs="Arial" w:eastAsia="Arial" w:hAnsi="Arial"/>
                <w:sz w:val="14"/>
                <w:szCs w:val="14"/>
                <w:color w:val="auto"/>
              </w:rPr>
              <w:t>Tax Income (% of GDP)</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15.1</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16.4</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14.2</w:t>
            </w:r>
          </w:p>
        </w:tc>
        <w:tc>
          <w:tcPr>
            <w:tcW w:w="88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14.0</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b w:val="1"/>
                <w:bCs w:val="1"/>
                <w:color w:val="auto"/>
              </w:rPr>
              <w:t>14.9</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14.9</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17.7</w:t>
            </w:r>
          </w:p>
        </w:tc>
        <w:tc>
          <w:tcPr>
            <w:tcW w:w="220" w:type="dxa"/>
            <w:vAlign w:val="bottom"/>
            <w:shd w:val="clear" w:color="auto" w:fill="CCFFCC"/>
          </w:tcPr>
          <w:p>
            <w:pPr>
              <w:spacing w:after="0"/>
              <w:rPr>
                <w:sz w:val="21"/>
                <w:szCs w:val="21"/>
                <w:color w:val="auto"/>
              </w:rPr>
            </w:pPr>
          </w:p>
        </w:tc>
        <w:tc>
          <w:tcPr>
            <w:tcW w:w="6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n.d.</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b w:val="1"/>
                <w:bCs w:val="1"/>
                <w:color w:val="auto"/>
              </w:rPr>
              <w:t>15.6</w:t>
            </w:r>
          </w:p>
        </w:tc>
      </w:tr>
      <w:tr>
        <w:trPr>
          <w:trHeight w:val="243"/>
        </w:trPr>
        <w:tc>
          <w:tcPr>
            <w:tcW w:w="3540" w:type="dxa"/>
            <w:vAlign w:val="bottom"/>
          </w:tcPr>
          <w:p>
            <w:pPr>
              <w:spacing w:after="0"/>
              <w:rPr>
                <w:sz w:val="20"/>
                <w:szCs w:val="20"/>
                <w:color w:val="auto"/>
              </w:rPr>
            </w:pPr>
            <w:r>
              <w:rPr>
                <w:rFonts w:ascii="Arial" w:cs="Arial" w:eastAsia="Arial" w:hAnsi="Arial"/>
                <w:sz w:val="14"/>
                <w:szCs w:val="14"/>
                <w:color w:val="auto"/>
              </w:rPr>
              <w:t>Non Tax Income (% of GDP)</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2.6</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2.1</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2.7</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2.1</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2.4</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2.4</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2.8</w:t>
            </w:r>
          </w:p>
        </w:tc>
        <w:tc>
          <w:tcPr>
            <w:tcW w:w="220" w:type="dxa"/>
            <w:vAlign w:val="bottom"/>
          </w:tcPr>
          <w:p>
            <w:pPr>
              <w:spacing w:after="0"/>
              <w:rPr>
                <w:sz w:val="21"/>
                <w:szCs w:val="2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n.d.</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2.3</w:t>
            </w:r>
          </w:p>
        </w:tc>
      </w:tr>
      <w:tr>
        <w:trPr>
          <w:trHeight w:val="243"/>
        </w:trPr>
        <w:tc>
          <w:tcPr>
            <w:tcW w:w="3540" w:type="dxa"/>
            <w:vAlign w:val="bottom"/>
            <w:shd w:val="clear" w:color="auto" w:fill="CCFFCC"/>
          </w:tcPr>
          <w:p>
            <w:pPr>
              <w:spacing w:after="0"/>
              <w:rPr>
                <w:sz w:val="20"/>
                <w:szCs w:val="20"/>
                <w:color w:val="auto"/>
              </w:rPr>
            </w:pPr>
            <w:r>
              <w:rPr>
                <w:rFonts w:ascii="Arial" w:cs="Arial" w:eastAsia="Arial" w:hAnsi="Arial"/>
                <w:sz w:val="14"/>
                <w:szCs w:val="14"/>
                <w:color w:val="auto"/>
              </w:rPr>
              <w:t>Current expenditures (% of GDP)</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11.7</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10.8</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12.7</w:t>
            </w:r>
          </w:p>
        </w:tc>
        <w:tc>
          <w:tcPr>
            <w:tcW w:w="88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13.6</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b w:val="1"/>
                <w:bCs w:val="1"/>
                <w:color w:val="auto"/>
              </w:rPr>
              <w:t>12.2</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11.7</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14.2</w:t>
            </w:r>
          </w:p>
        </w:tc>
        <w:tc>
          <w:tcPr>
            <w:tcW w:w="220" w:type="dxa"/>
            <w:vAlign w:val="bottom"/>
            <w:shd w:val="clear" w:color="auto" w:fill="CCFFCC"/>
          </w:tcPr>
          <w:p>
            <w:pPr>
              <w:spacing w:after="0"/>
              <w:rPr>
                <w:sz w:val="21"/>
                <w:szCs w:val="21"/>
                <w:color w:val="auto"/>
              </w:rPr>
            </w:pPr>
          </w:p>
        </w:tc>
        <w:tc>
          <w:tcPr>
            <w:tcW w:w="6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n.d.</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b w:val="1"/>
                <w:bCs w:val="1"/>
                <w:color w:val="auto"/>
              </w:rPr>
              <w:t>12.4</w:t>
            </w:r>
          </w:p>
        </w:tc>
      </w:tr>
      <w:tr>
        <w:trPr>
          <w:trHeight w:val="243"/>
        </w:trPr>
        <w:tc>
          <w:tcPr>
            <w:tcW w:w="3540" w:type="dxa"/>
            <w:vAlign w:val="bottom"/>
          </w:tcPr>
          <w:p>
            <w:pPr>
              <w:spacing w:after="0"/>
              <w:rPr>
                <w:sz w:val="20"/>
                <w:szCs w:val="20"/>
                <w:color w:val="auto"/>
              </w:rPr>
            </w:pPr>
            <w:r>
              <w:rPr>
                <w:rFonts w:ascii="Arial" w:cs="Arial" w:eastAsia="Arial" w:hAnsi="Arial"/>
                <w:sz w:val="14"/>
                <w:szCs w:val="14"/>
                <w:color w:val="auto"/>
              </w:rPr>
              <w:t>Capital Expenditures (% of GDP)</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0.8</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1.3</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2.4</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3.2</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0.8</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1.4</w:t>
            </w:r>
          </w:p>
        </w:tc>
        <w:tc>
          <w:tcPr>
            <w:tcW w:w="220" w:type="dxa"/>
            <w:vAlign w:val="bottom"/>
          </w:tcPr>
          <w:p>
            <w:pPr>
              <w:spacing w:after="0"/>
              <w:rPr>
                <w:sz w:val="21"/>
                <w:szCs w:val="2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n.d.</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2.5</w:t>
            </w:r>
          </w:p>
        </w:tc>
      </w:tr>
      <w:tr>
        <w:trPr>
          <w:trHeight w:val="243"/>
        </w:trPr>
        <w:tc>
          <w:tcPr>
            <w:tcW w:w="3540" w:type="dxa"/>
            <w:vAlign w:val="bottom"/>
            <w:shd w:val="clear" w:color="auto" w:fill="CCFFCC"/>
          </w:tcPr>
          <w:p>
            <w:pPr>
              <w:spacing w:after="0"/>
              <w:rPr>
                <w:sz w:val="21"/>
                <w:szCs w:val="21"/>
                <w:color w:val="auto"/>
              </w:rPr>
            </w:pPr>
          </w:p>
        </w:tc>
        <w:tc>
          <w:tcPr>
            <w:tcW w:w="7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7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7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74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7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7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7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5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7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4"/>
                <w:szCs w:val="14"/>
                <w:color w:val="auto"/>
              </w:rPr>
              <w:t>Trade Balance (US$ MM)</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1,257</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2,190</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2,885</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2,602</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8,934</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1,455</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2,167</w:t>
            </w:r>
          </w:p>
        </w:tc>
        <w:tc>
          <w:tcPr>
            <w:tcW w:w="220" w:type="dxa"/>
            <w:vAlign w:val="bottom"/>
          </w:tcPr>
          <w:p>
            <w:pPr>
              <w:spacing w:after="0"/>
              <w:rPr>
                <w:sz w:val="21"/>
                <w:szCs w:val="2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n.d.</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8,600</w:t>
            </w:r>
          </w:p>
        </w:tc>
      </w:tr>
      <w:tr>
        <w:trPr>
          <w:trHeight w:val="243"/>
        </w:trPr>
        <w:tc>
          <w:tcPr>
            <w:tcW w:w="3540" w:type="dxa"/>
            <w:vAlign w:val="bottom"/>
            <w:shd w:val="clear" w:color="auto" w:fill="CCFFCC"/>
          </w:tcPr>
          <w:p>
            <w:pPr>
              <w:spacing w:after="0"/>
              <w:rPr>
                <w:sz w:val="20"/>
                <w:szCs w:val="20"/>
                <w:color w:val="auto"/>
              </w:rPr>
            </w:pPr>
            <w:r>
              <w:rPr>
                <w:rFonts w:ascii="Arial" w:cs="Arial" w:eastAsia="Arial" w:hAnsi="Arial"/>
                <w:sz w:val="14"/>
                <w:szCs w:val="14"/>
                <w:color w:val="auto"/>
              </w:rPr>
              <w:t>Exports (US$ MM)</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4,640</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5,824</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6,559</w:t>
            </w:r>
          </w:p>
        </w:tc>
        <w:tc>
          <w:tcPr>
            <w:tcW w:w="88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6,777</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b w:val="1"/>
                <w:bCs w:val="1"/>
                <w:color w:val="auto"/>
              </w:rPr>
              <w:t>23,800</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5,687</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6,647</w:t>
            </w:r>
          </w:p>
        </w:tc>
        <w:tc>
          <w:tcPr>
            <w:tcW w:w="220" w:type="dxa"/>
            <w:vAlign w:val="bottom"/>
            <w:shd w:val="clear" w:color="auto" w:fill="CCFFCC"/>
          </w:tcPr>
          <w:p>
            <w:pPr>
              <w:spacing w:after="0"/>
              <w:rPr>
                <w:sz w:val="21"/>
                <w:szCs w:val="21"/>
                <w:color w:val="auto"/>
              </w:rPr>
            </w:pPr>
          </w:p>
        </w:tc>
        <w:tc>
          <w:tcPr>
            <w:tcW w:w="6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n.d.</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b w:val="1"/>
                <w:bCs w:val="1"/>
                <w:color w:val="auto"/>
              </w:rPr>
              <w:t>26,400</w:t>
            </w:r>
          </w:p>
        </w:tc>
      </w:tr>
      <w:tr>
        <w:trPr>
          <w:trHeight w:val="243"/>
        </w:trPr>
        <w:tc>
          <w:tcPr>
            <w:tcW w:w="3540" w:type="dxa"/>
            <w:vAlign w:val="bottom"/>
          </w:tcPr>
          <w:p>
            <w:pPr>
              <w:spacing w:after="0"/>
              <w:rPr>
                <w:sz w:val="20"/>
                <w:szCs w:val="20"/>
                <w:color w:val="auto"/>
              </w:rPr>
            </w:pPr>
            <w:r>
              <w:rPr>
                <w:rFonts w:ascii="Arial" w:cs="Arial" w:eastAsia="Arial" w:hAnsi="Arial"/>
                <w:sz w:val="14"/>
                <w:szCs w:val="14"/>
                <w:color w:val="auto"/>
              </w:rPr>
              <w:t>Imports (US$ MM)</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-3,383</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-3,635</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-3,673</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-4,175</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-14,866</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-4,232</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-4,480</w:t>
            </w:r>
          </w:p>
        </w:tc>
        <w:tc>
          <w:tcPr>
            <w:tcW w:w="220" w:type="dxa"/>
            <w:vAlign w:val="bottom"/>
          </w:tcPr>
          <w:p>
            <w:pPr>
              <w:spacing w:after="0"/>
              <w:rPr>
                <w:sz w:val="21"/>
                <w:szCs w:val="2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n.d.</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17,800</w:t>
            </w:r>
          </w:p>
        </w:tc>
      </w:tr>
      <w:tr>
        <w:trPr>
          <w:trHeight w:val="243"/>
        </w:trPr>
        <w:tc>
          <w:tcPr>
            <w:tcW w:w="3540" w:type="dxa"/>
            <w:vAlign w:val="bottom"/>
            <w:shd w:val="clear" w:color="auto" w:fill="CCFFCC"/>
          </w:tcPr>
          <w:p>
            <w:pPr>
              <w:spacing w:after="0"/>
              <w:rPr>
                <w:sz w:val="20"/>
                <w:szCs w:val="20"/>
                <w:color w:val="auto"/>
              </w:rPr>
            </w:pPr>
            <w:r>
              <w:rPr>
                <w:rFonts w:ascii="Arial" w:cs="Arial" w:eastAsia="Arial" w:hAnsi="Arial"/>
                <w:sz w:val="14"/>
                <w:szCs w:val="14"/>
                <w:color w:val="auto"/>
              </w:rPr>
              <w:t>Current Account Balance (US$ MM)</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-219</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426</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1,273</w:t>
            </w:r>
          </w:p>
        </w:tc>
        <w:tc>
          <w:tcPr>
            <w:tcW w:w="7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1,110</w:t>
            </w:r>
          </w:p>
        </w:tc>
        <w:tc>
          <w:tcPr>
            <w:tcW w:w="140" w:type="dxa"/>
            <w:vAlign w:val="bottom"/>
            <w:shd w:val="clear" w:color="auto" w:fill="CCFFCC"/>
          </w:tcPr>
          <w:p>
            <w:pPr>
              <w:spacing w:after="0"/>
              <w:rPr>
                <w:sz w:val="21"/>
                <w:szCs w:val="21"/>
                <w:color w:val="auto"/>
              </w:rPr>
            </w:pP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b w:val="1"/>
                <w:bCs w:val="1"/>
                <w:color w:val="auto"/>
              </w:rPr>
              <w:t>2,589</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-14</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480.4</w:t>
            </w:r>
          </w:p>
        </w:tc>
        <w:tc>
          <w:tcPr>
            <w:tcW w:w="220" w:type="dxa"/>
            <w:vAlign w:val="bottom"/>
            <w:shd w:val="clear" w:color="auto" w:fill="CCFFCC"/>
          </w:tcPr>
          <w:p>
            <w:pPr>
              <w:spacing w:after="0"/>
              <w:rPr>
                <w:sz w:val="21"/>
                <w:szCs w:val="21"/>
                <w:color w:val="auto"/>
              </w:rPr>
            </w:pPr>
          </w:p>
        </w:tc>
        <w:tc>
          <w:tcPr>
            <w:tcW w:w="6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n.d.</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b w:val="1"/>
                <w:bCs w:val="1"/>
                <w:color w:val="auto"/>
              </w:rPr>
              <w:t>1,900</w:t>
            </w:r>
          </w:p>
        </w:tc>
      </w:tr>
      <w:tr>
        <w:trPr>
          <w:trHeight w:val="245"/>
        </w:trPr>
        <w:tc>
          <w:tcPr>
            <w:tcW w:w="3540" w:type="dxa"/>
            <w:vAlign w:val="bottom"/>
          </w:tcPr>
          <w:p>
            <w:pPr>
              <w:spacing w:after="0"/>
              <w:rPr>
                <w:sz w:val="20"/>
                <w:szCs w:val="20"/>
                <w:color w:val="auto"/>
              </w:rPr>
            </w:pPr>
            <w:r>
              <w:rPr>
                <w:rFonts w:ascii="Arial" w:cs="Arial" w:eastAsia="Arial" w:hAnsi="Arial"/>
                <w:sz w:val="14"/>
                <w:szCs w:val="14"/>
                <w:color w:val="auto"/>
              </w:rPr>
              <w:t>Current Account Balance (% of GDP)</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-1.1</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1.8</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5.4</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4.4</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2.8</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-0.1</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1.7</w:t>
            </w:r>
          </w:p>
        </w:tc>
        <w:tc>
          <w:tcPr>
            <w:tcW w:w="220" w:type="dxa"/>
            <w:vAlign w:val="bottom"/>
          </w:tcPr>
          <w:p>
            <w:pPr>
              <w:spacing w:after="0"/>
              <w:rPr>
                <w:sz w:val="21"/>
                <w:szCs w:val="2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n.d.</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1.8</w:t>
            </w:r>
          </w:p>
        </w:tc>
      </w:tr>
      <w:tr>
        <w:trPr>
          <w:trHeight w:val="269"/>
        </w:trPr>
        <w:tc>
          <w:tcPr>
            <w:tcW w:w="3540" w:type="dxa"/>
            <w:vAlign w:val="bottom"/>
          </w:tcPr>
          <w:p>
            <w:pPr>
              <w:spacing w:after="0"/>
              <w:rPr>
                <w:sz w:val="20"/>
                <w:szCs w:val="20"/>
                <w:color w:val="auto"/>
              </w:rPr>
            </w:pPr>
            <w:r>
              <w:rPr>
                <w:rFonts w:ascii="Arial" w:cs="Arial" w:eastAsia="Arial" w:hAnsi="Arial"/>
                <w:sz w:val="18"/>
                <w:szCs w:val="18"/>
                <w:color w:val="auto"/>
              </w:rPr>
              <w:t>____________________</w:t>
            </w: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 BCR, INEI, Estimations: BCP</w:t>
      </w:r>
    </w:p>
    <w:p>
      <w:pPr>
        <w:spacing w:after="0" w:line="3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0" w:name="page11"/>
    <w:bookmarkEnd w:id="10"/>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Description:</w:t>
      </w:r>
    </w:p>
    <w:p>
      <w:pPr>
        <w:spacing w:after="0" w:line="28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Credicorp Ltd. (NYSE: BAP) is the leading financial services holding company in Peru. It primarily operates via its four principal Subsidiaries: Banco de Credito del Peru (BCP), Atlantic Security Holding Corporation (ASHC), El Pacífico-Peruano Suiza Compañía de Seguros y Reaseguros (PPS) and Grupo Credito. Credicorp is engaged principally in commercial banking (including trade finance, corporate finance and leasing services), insurance (including commercial property, transportation and marine hull, automobile, life, health and pension fund underwriting insurance) and investment banking (including brokerage services, asset management, trust, custody and securitization services, trading and investment). BCP is the Company's primary subsidiary.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for forward-looking statements</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material includes “forward-looking statements” within the meaning of Section 21E of the Securities Exchange Act of 1934. All statement other than statements of historical information provided herein are forward-looking and may contain information about financial results, economic conditions, trends and known uncertainties.</w:t>
      </w:r>
    </w:p>
    <w:p>
      <w:pPr>
        <w:spacing w:after="0" w:line="23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cautions readers that actual results could differ materially from those expected by the Company, depending on the outcome of certain factors, including, without limitation: (1) adverse changes in the Peruvian economy with respect to the rates of inflation, economic growth, currency devaluation, and other factors, (2) adverse changes in the Peruvian political situation, including, without limitation, the reversal of market-oriented reforms and economic recovery measures, or the failure of such measures and reforms to achieve their goals, and (3) adverse changes in the markets in which the Company operates, including increased competition, decreased demand for financial services, and other factors. Readers are cautioned not to place undue reliance on these forward-looking statements, which speak only as of the date hereof.</w:t>
      </w:r>
    </w:p>
    <w:p>
      <w:pPr>
        <w:spacing w:after="0" w:line="2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undertakes no obligation to release publicly the result of any revisions to these forward-looking statements which may be made to reflect events or circumstances after the date hereof, including, without limitation, changes in the Company’s business strategy or planned capital expenditures, or to reflect the occurrence of unanticipated events.</w:t>
      </w:r>
    </w:p>
    <w:p>
      <w:pPr>
        <w:spacing w:after="0" w:line="2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1" w:name="page12"/>
    <w:bookmarkEnd w:id="11"/>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CREDICORP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thousands, IFRS)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4"/>
                <w:szCs w:val="14"/>
                <w:b w:val="1"/>
                <w:bCs w:val="1"/>
                <w:color w:val="auto"/>
              </w:rPr>
              <w:t>As of</w:t>
            </w: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64"/>
        </w:trPr>
        <w:tc>
          <w:tcPr>
            <w:tcW w:w="5120" w:type="dxa"/>
            <w:vAlign w:val="bottom"/>
          </w:tcPr>
          <w:p>
            <w:pPr>
              <w:spacing w:after="0"/>
              <w:rPr>
                <w:sz w:val="22"/>
                <w:szCs w:val="22"/>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6"/>
              </w:rPr>
              <w:t>September 2007</w:t>
            </w:r>
          </w:p>
        </w:tc>
        <w:tc>
          <w:tcPr>
            <w:tcW w:w="12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June 2007</w:t>
            </w:r>
          </w:p>
        </w:tc>
        <w:tc>
          <w:tcPr>
            <w:tcW w:w="12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6"/>
              </w:rPr>
              <w:t>September 2006</w:t>
            </w:r>
          </w:p>
        </w:tc>
        <w:tc>
          <w:tcPr>
            <w:tcW w:w="12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9"/>
              </w:rPr>
              <w:t>Sep 07/ Sep 06</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7"/>
              </w:rPr>
              <w:t>Sep 07/ June 07</w:t>
            </w:r>
          </w:p>
        </w:tc>
      </w:tr>
      <w:tr>
        <w:trPr>
          <w:trHeight w:val="481"/>
        </w:trPr>
        <w:tc>
          <w:tcPr>
            <w:tcW w:w="5120" w:type="dxa"/>
            <w:vAlign w:val="bottom"/>
          </w:tcPr>
          <w:p>
            <w:pPr>
              <w:jc w:val="center"/>
              <w:ind w:right="128"/>
              <w:spacing w:after="0"/>
              <w:rPr>
                <w:sz w:val="20"/>
                <w:szCs w:val="20"/>
                <w:color w:val="auto"/>
              </w:rPr>
            </w:pPr>
            <w:r>
              <w:rPr>
                <w:rFonts w:ascii="Arial" w:cs="Arial" w:eastAsia="Arial" w:hAnsi="Arial"/>
                <w:sz w:val="14"/>
                <w:szCs w:val="14"/>
                <w:b w:val="1"/>
                <w:bCs w:val="1"/>
                <w:color w:val="auto"/>
                <w:w w:val="87"/>
              </w:rPr>
              <w:t>Assets</w:t>
            </w: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42"/>
        </w:trPr>
        <w:tc>
          <w:tcPr>
            <w:tcW w:w="5120" w:type="dxa"/>
            <w:vAlign w:val="bottom"/>
          </w:tcPr>
          <w:p>
            <w:pPr>
              <w:spacing w:after="0"/>
              <w:rPr>
                <w:sz w:val="20"/>
                <w:szCs w:val="20"/>
                <w:color w:val="auto"/>
              </w:rPr>
            </w:pPr>
            <w:r>
              <w:rPr>
                <w:rFonts w:ascii="Arial" w:cs="Arial" w:eastAsia="Arial" w:hAnsi="Arial"/>
                <w:sz w:val="14"/>
                <w:szCs w:val="14"/>
                <w:b w:val="1"/>
                <w:bCs w:val="1"/>
                <w:color w:val="auto"/>
              </w:rPr>
              <w:t>Cash and due from banks</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57"/>
        </w:trPr>
        <w:tc>
          <w:tcPr>
            <w:tcW w:w="5120" w:type="dxa"/>
            <w:vAlign w:val="bottom"/>
            <w:shd w:val="clear" w:color="auto" w:fill="CCFFCC"/>
          </w:tcPr>
          <w:p>
            <w:pPr>
              <w:ind w:left="340"/>
              <w:spacing w:after="0"/>
              <w:rPr>
                <w:sz w:val="20"/>
                <w:szCs w:val="20"/>
                <w:color w:val="auto"/>
              </w:rPr>
            </w:pPr>
            <w:r>
              <w:rPr>
                <w:rFonts w:ascii="Arial" w:cs="Arial" w:eastAsia="Arial" w:hAnsi="Arial"/>
                <w:sz w:val="14"/>
                <w:szCs w:val="14"/>
                <w:color w:val="auto"/>
              </w:rPr>
              <w:t>Non-interest bearing</w:t>
            </w:r>
          </w:p>
        </w:tc>
        <w:tc>
          <w:tcPr>
            <w:tcW w:w="11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541,062</w:t>
            </w:r>
          </w:p>
        </w:tc>
        <w:tc>
          <w:tcPr>
            <w:tcW w:w="100" w:type="dxa"/>
            <w:vAlign w:val="bottom"/>
            <w:shd w:val="clear" w:color="auto" w:fill="CCFFCC"/>
          </w:tcPr>
          <w:p>
            <w:pPr>
              <w:spacing w:after="0"/>
              <w:rPr>
                <w:sz w:val="22"/>
                <w:szCs w:val="22"/>
                <w:color w:val="auto"/>
              </w:rPr>
            </w:pP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516,676</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447,091</w:t>
            </w:r>
          </w:p>
        </w:tc>
        <w:tc>
          <w:tcPr>
            <w:tcW w:w="128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21.0%</w:t>
            </w: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4.7%</w:t>
            </w:r>
          </w:p>
        </w:tc>
      </w:tr>
      <w:tr>
        <w:trPr>
          <w:trHeight w:val="270"/>
        </w:trPr>
        <w:tc>
          <w:tcPr>
            <w:tcW w:w="5120" w:type="dxa"/>
            <w:vAlign w:val="bottom"/>
          </w:tcPr>
          <w:p>
            <w:pPr>
              <w:ind w:left="340"/>
              <w:spacing w:after="0"/>
              <w:rPr>
                <w:sz w:val="20"/>
                <w:szCs w:val="20"/>
                <w:color w:val="auto"/>
              </w:rPr>
            </w:pPr>
            <w:r>
              <w:rPr>
                <w:rFonts w:ascii="Arial" w:cs="Arial" w:eastAsia="Arial" w:hAnsi="Arial"/>
                <w:sz w:val="14"/>
                <w:szCs w:val="14"/>
                <w:color w:val="auto"/>
              </w:rPr>
              <w:t>Interest bearing</w:t>
            </w:r>
          </w:p>
        </w:tc>
        <w:tc>
          <w:tcPr>
            <w:tcW w:w="1140" w:type="dxa"/>
            <w:vAlign w:val="bottom"/>
          </w:tcPr>
          <w:p>
            <w:pPr>
              <w:jc w:val="right"/>
              <w:spacing w:after="0"/>
              <w:rPr>
                <w:sz w:val="20"/>
                <w:szCs w:val="20"/>
                <w:color w:val="auto"/>
              </w:rPr>
            </w:pPr>
            <w:r>
              <w:rPr>
                <w:rFonts w:ascii="Arial" w:cs="Arial" w:eastAsia="Arial" w:hAnsi="Arial"/>
                <w:sz w:val="14"/>
                <w:szCs w:val="14"/>
                <w:color w:val="auto"/>
              </w:rPr>
              <w:t>1,891,059</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2,041,200</w:t>
            </w:r>
          </w:p>
        </w:tc>
        <w:tc>
          <w:tcPr>
            <w:tcW w:w="120" w:type="dxa"/>
            <w:vAlign w:val="bottom"/>
          </w:tcPr>
          <w:p>
            <w:pPr>
              <w:spacing w:after="0"/>
              <w:rPr>
                <w:sz w:val="23"/>
                <w:szCs w:val="23"/>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2,248,202</w:t>
            </w:r>
          </w:p>
        </w:tc>
        <w:tc>
          <w:tcPr>
            <w:tcW w:w="1280" w:type="dxa"/>
            <w:vAlign w:val="bottom"/>
            <w:gridSpan w:val="2"/>
          </w:tcPr>
          <w:p>
            <w:pPr>
              <w:jc w:val="right"/>
              <w:ind w:right="40"/>
              <w:spacing w:after="0" w:line="270" w:lineRule="exact"/>
              <w:rPr>
                <w:sz w:val="20"/>
                <w:szCs w:val="20"/>
                <w:color w:val="auto"/>
              </w:rPr>
            </w:pPr>
            <w:r>
              <w:rPr>
                <w:rFonts w:ascii="Arial" w:cs="Arial" w:eastAsia="Arial" w:hAnsi="Arial"/>
                <w:sz w:val="14"/>
                <w:szCs w:val="14"/>
                <w:color w:val="auto"/>
              </w:rPr>
              <w:t>-15.9</w:t>
            </w:r>
            <w:r>
              <w:rPr>
                <w:rFonts w:ascii="Arial" w:cs="Arial" w:eastAsia="Arial" w:hAnsi="Arial"/>
                <w:sz w:val="28"/>
                <w:szCs w:val="28"/>
                <w:color w:val="auto"/>
                <w:vertAlign w:val="superscript"/>
              </w:rPr>
              <w:t>%</w:t>
            </w:r>
          </w:p>
        </w:tc>
        <w:tc>
          <w:tcPr>
            <w:tcW w:w="1280" w:type="dxa"/>
            <w:vAlign w:val="bottom"/>
            <w:gridSpan w:val="2"/>
          </w:tcPr>
          <w:p>
            <w:pPr>
              <w:jc w:val="right"/>
              <w:ind w:right="20"/>
              <w:spacing w:after="0" w:line="270" w:lineRule="exact"/>
              <w:rPr>
                <w:sz w:val="20"/>
                <w:szCs w:val="20"/>
                <w:color w:val="auto"/>
              </w:rPr>
            </w:pPr>
            <w:r>
              <w:rPr>
                <w:rFonts w:ascii="Arial" w:cs="Arial" w:eastAsia="Arial" w:hAnsi="Arial"/>
                <w:sz w:val="14"/>
                <w:szCs w:val="14"/>
                <w:color w:val="auto"/>
              </w:rPr>
              <w:t>-7.4</w:t>
            </w:r>
            <w:r>
              <w:rPr>
                <w:rFonts w:ascii="Arial" w:cs="Arial" w:eastAsia="Arial" w:hAnsi="Arial"/>
                <w:sz w:val="28"/>
                <w:szCs w:val="28"/>
                <w:color w:val="auto"/>
                <w:vertAlign w:val="superscript"/>
              </w:rPr>
              <w:t>%</w:t>
            </w:r>
          </w:p>
        </w:tc>
      </w:tr>
      <w:tr>
        <w:trPr>
          <w:trHeight w:val="20"/>
        </w:trPr>
        <w:tc>
          <w:tcPr>
            <w:tcW w:w="5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9"/>
        </w:trPr>
        <w:tc>
          <w:tcPr>
            <w:tcW w:w="5120" w:type="dxa"/>
            <w:vAlign w:val="bottom"/>
            <w:tcBorders>
              <w:bottom w:val="single" w:sz="8" w:color="CCFFCC"/>
            </w:tcBorders>
            <w:shd w:val="clear" w:color="auto" w:fill="CCFFCC"/>
          </w:tcPr>
          <w:p>
            <w:pPr>
              <w:ind w:left="980"/>
              <w:spacing w:after="0"/>
              <w:rPr>
                <w:sz w:val="20"/>
                <w:szCs w:val="20"/>
                <w:color w:val="auto"/>
              </w:rPr>
            </w:pPr>
            <w:r>
              <w:rPr>
                <w:rFonts w:ascii="Arial" w:cs="Arial" w:eastAsia="Arial" w:hAnsi="Arial"/>
                <w:sz w:val="14"/>
                <w:szCs w:val="14"/>
                <w:color w:val="auto"/>
              </w:rPr>
              <w:t>Total cash and due from banks</w:t>
            </w: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2,432,122</w:t>
            </w:r>
          </w:p>
        </w:tc>
        <w:tc>
          <w:tcPr>
            <w:tcW w:w="100" w:type="dxa"/>
            <w:vAlign w:val="bottom"/>
            <w:tcBorders>
              <w:bottom w:val="single" w:sz="8" w:color="CCFFCC"/>
            </w:tcBorders>
            <w:shd w:val="clear" w:color="auto" w:fill="CCFFCC"/>
          </w:tcPr>
          <w:p>
            <w:pPr>
              <w:spacing w:after="0"/>
              <w:rPr>
                <w:sz w:val="22"/>
                <w:szCs w:val="22"/>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2,557,876</w:t>
            </w:r>
          </w:p>
        </w:tc>
        <w:tc>
          <w:tcPr>
            <w:tcW w:w="120" w:type="dxa"/>
            <w:vAlign w:val="bottom"/>
            <w:tcBorders>
              <w:bottom w:val="single" w:sz="8" w:color="CCFFCC"/>
            </w:tcBorders>
            <w:shd w:val="clear" w:color="auto" w:fill="CCFFCC"/>
          </w:tcPr>
          <w:p>
            <w:pPr>
              <w:spacing w:after="0"/>
              <w:rPr>
                <w:sz w:val="22"/>
                <w:szCs w:val="22"/>
                <w:color w:val="auto"/>
              </w:rPr>
            </w:pPr>
          </w:p>
        </w:tc>
        <w:tc>
          <w:tcPr>
            <w:tcW w:w="124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2,695,293</w:t>
            </w:r>
          </w:p>
        </w:tc>
        <w:tc>
          <w:tcPr>
            <w:tcW w:w="1280" w:type="dxa"/>
            <w:vAlign w:val="bottom"/>
            <w:tcBorders>
              <w:bottom w:val="single" w:sz="8" w:color="CCFFCC"/>
            </w:tcBorders>
            <w:gridSpan w:val="2"/>
            <w:shd w:val="clear" w:color="auto" w:fill="CCFFCC"/>
          </w:tcPr>
          <w:p>
            <w:pPr>
              <w:jc w:val="right"/>
              <w:ind w:right="40"/>
              <w:spacing w:after="0" w:line="236" w:lineRule="exact"/>
              <w:rPr>
                <w:sz w:val="20"/>
                <w:szCs w:val="20"/>
                <w:color w:val="auto"/>
              </w:rPr>
            </w:pPr>
            <w:r>
              <w:rPr>
                <w:rFonts w:ascii="Arial" w:cs="Arial" w:eastAsia="Arial" w:hAnsi="Arial"/>
                <w:sz w:val="14"/>
                <w:szCs w:val="14"/>
                <w:color w:val="auto"/>
              </w:rPr>
              <w:t>-9.8</w:t>
            </w:r>
            <w:r>
              <w:rPr>
                <w:rFonts w:ascii="Arial" w:cs="Arial" w:eastAsia="Arial" w:hAnsi="Arial"/>
                <w:sz w:val="27"/>
                <w:szCs w:val="27"/>
                <w:color w:val="auto"/>
                <w:vertAlign w:val="superscript"/>
              </w:rPr>
              <w:t>%</w:t>
            </w:r>
          </w:p>
        </w:tc>
        <w:tc>
          <w:tcPr>
            <w:tcW w:w="1280" w:type="dxa"/>
            <w:vAlign w:val="bottom"/>
            <w:tcBorders>
              <w:bottom w:val="single" w:sz="8" w:color="CCFFCC"/>
            </w:tcBorders>
            <w:gridSpan w:val="2"/>
            <w:shd w:val="clear" w:color="auto" w:fill="CCFFCC"/>
          </w:tcPr>
          <w:p>
            <w:pPr>
              <w:jc w:val="right"/>
              <w:ind w:right="20"/>
              <w:spacing w:after="0" w:line="236" w:lineRule="exact"/>
              <w:rPr>
                <w:sz w:val="20"/>
                <w:szCs w:val="20"/>
                <w:color w:val="auto"/>
              </w:rPr>
            </w:pPr>
            <w:r>
              <w:rPr>
                <w:rFonts w:ascii="Arial" w:cs="Arial" w:eastAsia="Arial" w:hAnsi="Arial"/>
                <w:sz w:val="14"/>
                <w:szCs w:val="14"/>
                <w:color w:val="auto"/>
              </w:rPr>
              <w:t>-4.9</w:t>
            </w:r>
            <w:r>
              <w:rPr>
                <w:rFonts w:ascii="Arial" w:cs="Arial" w:eastAsia="Arial" w:hAnsi="Arial"/>
                <w:sz w:val="27"/>
                <w:szCs w:val="27"/>
                <w:color w:val="auto"/>
                <w:vertAlign w:val="superscript"/>
              </w:rPr>
              <w:t>%</w:t>
            </w:r>
          </w:p>
        </w:tc>
      </w:tr>
      <w:tr>
        <w:trPr>
          <w:trHeight w:val="237"/>
        </w:trPr>
        <w:tc>
          <w:tcPr>
            <w:tcW w:w="5120" w:type="dxa"/>
            <w:vAlign w:val="bottom"/>
            <w:tcBorders>
              <w:top w:val="single" w:sz="8" w:color="CCFFCC"/>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60" w:type="dxa"/>
            <w:vAlign w:val="bottom"/>
            <w:tcBorders>
              <w:top w:val="single" w:sz="8" w:color="CCFFCC"/>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40" w:type="dxa"/>
            <w:vAlign w:val="bottom"/>
            <w:tcBorders>
              <w:top w:val="single" w:sz="8" w:color="CCFFCC"/>
            </w:tcBorders>
          </w:tcPr>
          <w:p>
            <w:pPr>
              <w:spacing w:after="0"/>
              <w:rPr>
                <w:sz w:val="20"/>
                <w:szCs w:val="20"/>
                <w:color w:val="auto"/>
              </w:rPr>
            </w:pPr>
          </w:p>
        </w:tc>
      </w:tr>
      <w:tr>
        <w:trPr>
          <w:trHeight w:val="257"/>
        </w:trPr>
        <w:tc>
          <w:tcPr>
            <w:tcW w:w="512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Marketable securities, net</w:t>
            </w:r>
          </w:p>
        </w:tc>
        <w:tc>
          <w:tcPr>
            <w:tcW w:w="11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49,465</w:t>
            </w:r>
          </w:p>
        </w:tc>
        <w:tc>
          <w:tcPr>
            <w:tcW w:w="100" w:type="dxa"/>
            <w:vAlign w:val="bottom"/>
            <w:shd w:val="clear" w:color="auto" w:fill="CCFFCC"/>
          </w:tcPr>
          <w:p>
            <w:pPr>
              <w:spacing w:after="0"/>
              <w:rPr>
                <w:sz w:val="22"/>
                <w:szCs w:val="22"/>
                <w:color w:val="auto"/>
              </w:rPr>
            </w:pP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53,569</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70,534</w:t>
            </w:r>
          </w:p>
        </w:tc>
        <w:tc>
          <w:tcPr>
            <w:tcW w:w="128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-29.9%</w:t>
            </w: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-7.7%</w:t>
            </w:r>
          </w:p>
        </w:tc>
      </w:tr>
      <w:tr>
        <w:trPr>
          <w:trHeight w:val="243"/>
        </w:trPr>
        <w:tc>
          <w:tcPr>
            <w:tcW w:w="5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spacing w:after="0"/>
              <w:rPr>
                <w:sz w:val="21"/>
                <w:szCs w:val="21"/>
                <w:color w:val="auto"/>
              </w:rPr>
            </w:pPr>
          </w:p>
        </w:tc>
        <w:tc>
          <w:tcPr>
            <w:tcW w:w="1280" w:type="dxa"/>
            <w:vAlign w:val="bottom"/>
            <w:gridSpan w:val="2"/>
          </w:tcPr>
          <w:p>
            <w:pPr>
              <w:spacing w:after="0"/>
              <w:rPr>
                <w:sz w:val="21"/>
                <w:szCs w:val="21"/>
                <w:color w:val="auto"/>
              </w:rPr>
            </w:pPr>
          </w:p>
        </w:tc>
        <w:tc>
          <w:tcPr>
            <w:tcW w:w="1280" w:type="dxa"/>
            <w:vAlign w:val="bottom"/>
            <w:gridSpan w:val="2"/>
          </w:tcPr>
          <w:p>
            <w:pPr>
              <w:spacing w:after="0"/>
              <w:rPr>
                <w:sz w:val="21"/>
                <w:szCs w:val="21"/>
                <w:color w:val="auto"/>
              </w:rPr>
            </w:pPr>
          </w:p>
        </w:tc>
      </w:tr>
      <w:tr>
        <w:trPr>
          <w:trHeight w:val="250"/>
        </w:trPr>
        <w:tc>
          <w:tcPr>
            <w:tcW w:w="51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4"/>
                <w:szCs w:val="14"/>
                <w:b w:val="1"/>
                <w:bCs w:val="1"/>
                <w:color w:val="auto"/>
              </w:rPr>
              <w:t>Loans</w:t>
            </w: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7,509,085</w:t>
            </w:r>
          </w:p>
        </w:tc>
        <w:tc>
          <w:tcPr>
            <w:tcW w:w="1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7,031,734</w:t>
            </w:r>
          </w:p>
        </w:tc>
        <w:tc>
          <w:tcPr>
            <w:tcW w:w="12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5,592,231</w:t>
            </w:r>
          </w:p>
        </w:tc>
        <w:tc>
          <w:tcPr>
            <w:tcW w:w="1280" w:type="dxa"/>
            <w:vAlign w:val="bottom"/>
            <w:tcBorders>
              <w:bottom w:val="single" w:sz="8" w:color="CCFFCC"/>
            </w:tcBorders>
            <w:gridSpan w:val="2"/>
            <w:shd w:val="clear" w:color="auto" w:fill="CCFFCC"/>
          </w:tcPr>
          <w:p>
            <w:pPr>
              <w:jc w:val="right"/>
              <w:ind w:right="40"/>
              <w:spacing w:after="0" w:line="243" w:lineRule="exact"/>
              <w:rPr>
                <w:sz w:val="20"/>
                <w:szCs w:val="20"/>
                <w:color w:val="auto"/>
              </w:rPr>
            </w:pPr>
            <w:r>
              <w:rPr>
                <w:rFonts w:ascii="Arial" w:cs="Arial" w:eastAsia="Arial" w:hAnsi="Arial"/>
                <w:sz w:val="14"/>
                <w:szCs w:val="14"/>
                <w:color w:val="auto"/>
              </w:rPr>
              <w:t>34.3</w:t>
            </w:r>
            <w:r>
              <w:rPr>
                <w:rFonts w:ascii="Arial" w:cs="Arial" w:eastAsia="Arial" w:hAnsi="Arial"/>
                <w:sz w:val="28"/>
                <w:szCs w:val="28"/>
                <w:color w:val="auto"/>
                <w:vertAlign w:val="superscript"/>
              </w:rPr>
              <w:t>%</w:t>
            </w:r>
          </w:p>
        </w:tc>
        <w:tc>
          <w:tcPr>
            <w:tcW w:w="1280" w:type="dxa"/>
            <w:vAlign w:val="bottom"/>
            <w:tcBorders>
              <w:bottom w:val="single" w:sz="8" w:color="CCFFCC"/>
            </w:tcBorders>
            <w:gridSpan w:val="2"/>
            <w:shd w:val="clear" w:color="auto" w:fill="CCFFCC"/>
          </w:tcPr>
          <w:p>
            <w:pPr>
              <w:jc w:val="right"/>
              <w:ind w:right="20"/>
              <w:spacing w:after="0" w:line="243" w:lineRule="exact"/>
              <w:rPr>
                <w:sz w:val="20"/>
                <w:szCs w:val="20"/>
                <w:color w:val="auto"/>
              </w:rPr>
            </w:pPr>
            <w:r>
              <w:rPr>
                <w:rFonts w:ascii="Arial" w:cs="Arial" w:eastAsia="Arial" w:hAnsi="Arial"/>
                <w:sz w:val="14"/>
                <w:szCs w:val="14"/>
                <w:color w:val="auto"/>
              </w:rPr>
              <w:t>6.8</w:t>
            </w:r>
            <w:r>
              <w:rPr>
                <w:rFonts w:ascii="Arial" w:cs="Arial" w:eastAsia="Arial" w:hAnsi="Arial"/>
                <w:sz w:val="28"/>
                <w:szCs w:val="28"/>
                <w:color w:val="auto"/>
                <w:vertAlign w:val="superscript"/>
              </w:rPr>
              <w:t>%</w:t>
            </w:r>
          </w:p>
        </w:tc>
      </w:tr>
      <w:tr>
        <w:trPr>
          <w:trHeight w:val="20"/>
        </w:trPr>
        <w:tc>
          <w:tcPr>
            <w:tcW w:w="51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r>
      <w:tr>
        <w:trPr>
          <w:trHeight w:val="250"/>
        </w:trPr>
        <w:tc>
          <w:tcPr>
            <w:tcW w:w="5120" w:type="dxa"/>
            <w:vAlign w:val="bottom"/>
          </w:tcPr>
          <w:p>
            <w:pPr>
              <w:ind w:left="340"/>
              <w:spacing w:after="0"/>
              <w:rPr>
                <w:sz w:val="20"/>
                <w:szCs w:val="20"/>
                <w:color w:val="auto"/>
              </w:rPr>
            </w:pPr>
            <w:r>
              <w:rPr>
                <w:rFonts w:ascii="Arial" w:cs="Arial" w:eastAsia="Arial" w:hAnsi="Arial"/>
                <w:sz w:val="14"/>
                <w:szCs w:val="14"/>
                <w:color w:val="auto"/>
              </w:rPr>
              <w:t>Current</w:t>
            </w:r>
          </w:p>
        </w:tc>
        <w:tc>
          <w:tcPr>
            <w:tcW w:w="1140" w:type="dxa"/>
            <w:vAlign w:val="bottom"/>
          </w:tcPr>
          <w:p>
            <w:pPr>
              <w:jc w:val="right"/>
              <w:spacing w:after="0"/>
              <w:rPr>
                <w:sz w:val="20"/>
                <w:szCs w:val="20"/>
                <w:color w:val="auto"/>
              </w:rPr>
            </w:pPr>
            <w:r>
              <w:rPr>
                <w:rFonts w:ascii="Arial" w:cs="Arial" w:eastAsia="Arial" w:hAnsi="Arial"/>
                <w:sz w:val="14"/>
                <w:szCs w:val="14"/>
                <w:color w:val="auto"/>
              </w:rPr>
              <w:t>7,440,873</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6,964,320</w:t>
            </w: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5,504,991</w:t>
            </w:r>
          </w:p>
        </w:tc>
        <w:tc>
          <w:tcPr>
            <w:tcW w:w="1280" w:type="dxa"/>
            <w:vAlign w:val="bottom"/>
            <w:gridSpan w:val="2"/>
          </w:tcPr>
          <w:p>
            <w:pPr>
              <w:jc w:val="right"/>
              <w:ind w:right="40"/>
              <w:spacing w:after="0"/>
              <w:rPr>
                <w:sz w:val="20"/>
                <w:szCs w:val="20"/>
                <w:color w:val="auto"/>
              </w:rPr>
            </w:pPr>
            <w:r>
              <w:rPr>
                <w:rFonts w:ascii="Arial" w:cs="Arial" w:eastAsia="Arial" w:hAnsi="Arial"/>
                <w:sz w:val="14"/>
                <w:szCs w:val="14"/>
                <w:color w:val="auto"/>
              </w:rPr>
              <w:t>35.2%</w:t>
            </w:r>
          </w:p>
        </w:tc>
        <w:tc>
          <w:tcPr>
            <w:tcW w:w="1280" w:type="dxa"/>
            <w:vAlign w:val="bottom"/>
            <w:gridSpan w:val="2"/>
          </w:tcPr>
          <w:p>
            <w:pPr>
              <w:jc w:val="right"/>
              <w:ind w:right="20"/>
              <w:spacing w:after="0"/>
              <w:rPr>
                <w:sz w:val="20"/>
                <w:szCs w:val="20"/>
                <w:color w:val="auto"/>
              </w:rPr>
            </w:pPr>
            <w:r>
              <w:rPr>
                <w:rFonts w:ascii="Arial" w:cs="Arial" w:eastAsia="Arial" w:hAnsi="Arial"/>
                <w:sz w:val="14"/>
                <w:szCs w:val="14"/>
                <w:color w:val="auto"/>
              </w:rPr>
              <w:t>6.8%</w:t>
            </w:r>
          </w:p>
        </w:tc>
      </w:tr>
      <w:tr>
        <w:trPr>
          <w:trHeight w:val="257"/>
        </w:trPr>
        <w:tc>
          <w:tcPr>
            <w:tcW w:w="5120" w:type="dxa"/>
            <w:vAlign w:val="bottom"/>
            <w:shd w:val="clear" w:color="auto" w:fill="CCFFCC"/>
          </w:tcPr>
          <w:p>
            <w:pPr>
              <w:ind w:left="340"/>
              <w:spacing w:after="0"/>
              <w:rPr>
                <w:sz w:val="20"/>
                <w:szCs w:val="20"/>
                <w:color w:val="auto"/>
              </w:rPr>
            </w:pPr>
            <w:r>
              <w:rPr>
                <w:rFonts w:ascii="Arial" w:cs="Arial" w:eastAsia="Arial" w:hAnsi="Arial"/>
                <w:sz w:val="14"/>
                <w:szCs w:val="14"/>
                <w:color w:val="auto"/>
              </w:rPr>
              <w:t>Past Due</w:t>
            </w:r>
          </w:p>
        </w:tc>
        <w:tc>
          <w:tcPr>
            <w:tcW w:w="11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68,212</w:t>
            </w:r>
          </w:p>
        </w:tc>
        <w:tc>
          <w:tcPr>
            <w:tcW w:w="100" w:type="dxa"/>
            <w:vAlign w:val="bottom"/>
            <w:shd w:val="clear" w:color="auto" w:fill="CCFFCC"/>
          </w:tcPr>
          <w:p>
            <w:pPr>
              <w:spacing w:after="0"/>
              <w:rPr>
                <w:sz w:val="22"/>
                <w:szCs w:val="22"/>
                <w:color w:val="auto"/>
              </w:rPr>
            </w:pP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67,414</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87,240</w:t>
            </w:r>
          </w:p>
        </w:tc>
        <w:tc>
          <w:tcPr>
            <w:tcW w:w="128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-21.8%</w:t>
            </w: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1.2%</w:t>
            </w:r>
          </w:p>
        </w:tc>
      </w:tr>
      <w:tr>
        <w:trPr>
          <w:trHeight w:val="270"/>
        </w:trPr>
        <w:tc>
          <w:tcPr>
            <w:tcW w:w="5120" w:type="dxa"/>
            <w:vAlign w:val="bottom"/>
          </w:tcPr>
          <w:p>
            <w:pPr>
              <w:ind w:left="340"/>
              <w:spacing w:after="0"/>
              <w:rPr>
                <w:sz w:val="20"/>
                <w:szCs w:val="20"/>
                <w:color w:val="auto"/>
              </w:rPr>
            </w:pPr>
            <w:r>
              <w:rPr>
                <w:rFonts w:ascii="Arial" w:cs="Arial" w:eastAsia="Arial" w:hAnsi="Arial"/>
                <w:sz w:val="14"/>
                <w:szCs w:val="14"/>
                <w:color w:val="auto"/>
              </w:rPr>
              <w:t>Less - Reserve for possible loan losses</w:t>
            </w:r>
          </w:p>
        </w:tc>
        <w:tc>
          <w:tcPr>
            <w:tcW w:w="1240" w:type="dxa"/>
            <w:vAlign w:val="bottom"/>
            <w:gridSpan w:val="2"/>
          </w:tcPr>
          <w:p>
            <w:pPr>
              <w:jc w:val="right"/>
              <w:ind w:right="60"/>
              <w:spacing w:after="0" w:line="270" w:lineRule="exact"/>
              <w:rPr>
                <w:sz w:val="20"/>
                <w:szCs w:val="20"/>
                <w:color w:val="auto"/>
              </w:rPr>
            </w:pPr>
            <w:r>
              <w:rPr>
                <w:rFonts w:ascii="Arial" w:cs="Arial" w:eastAsia="Arial" w:hAnsi="Arial"/>
                <w:sz w:val="14"/>
                <w:szCs w:val="14"/>
                <w:color w:val="auto"/>
              </w:rPr>
              <w:t>(204,204</w:t>
            </w:r>
            <w:r>
              <w:rPr>
                <w:rFonts w:ascii="Arial" w:cs="Arial" w:eastAsia="Arial" w:hAnsi="Arial"/>
                <w:sz w:val="28"/>
                <w:szCs w:val="28"/>
                <w:color w:val="auto"/>
                <w:vertAlign w:val="superscript"/>
              </w:rPr>
              <w:t>)</w:t>
            </w:r>
          </w:p>
        </w:tc>
        <w:tc>
          <w:tcPr>
            <w:tcW w:w="1260" w:type="dxa"/>
            <w:vAlign w:val="bottom"/>
            <w:gridSpan w:val="2"/>
          </w:tcPr>
          <w:p>
            <w:pPr>
              <w:jc w:val="right"/>
              <w:ind w:right="60"/>
              <w:spacing w:after="0" w:line="270" w:lineRule="exact"/>
              <w:rPr>
                <w:sz w:val="20"/>
                <w:szCs w:val="20"/>
                <w:color w:val="auto"/>
              </w:rPr>
            </w:pPr>
            <w:r>
              <w:rPr>
                <w:rFonts w:ascii="Arial" w:cs="Arial" w:eastAsia="Arial" w:hAnsi="Arial"/>
                <w:sz w:val="14"/>
                <w:szCs w:val="14"/>
                <w:color w:val="auto"/>
              </w:rPr>
              <w:t>(191,747</w:t>
            </w:r>
            <w:r>
              <w:rPr>
                <w:rFonts w:ascii="Arial" w:cs="Arial" w:eastAsia="Arial" w:hAnsi="Arial"/>
                <w:sz w:val="28"/>
                <w:szCs w:val="28"/>
                <w:color w:val="auto"/>
                <w:vertAlign w:val="superscript"/>
              </w:rPr>
              <w:t>)</w:t>
            </w:r>
          </w:p>
        </w:tc>
        <w:tc>
          <w:tcPr>
            <w:tcW w:w="1240" w:type="dxa"/>
            <w:vAlign w:val="bottom"/>
            <w:gridSpan w:val="2"/>
          </w:tcPr>
          <w:p>
            <w:pPr>
              <w:jc w:val="right"/>
              <w:ind w:right="60"/>
              <w:spacing w:after="0" w:line="270" w:lineRule="exact"/>
              <w:rPr>
                <w:sz w:val="20"/>
                <w:szCs w:val="20"/>
                <w:color w:val="auto"/>
              </w:rPr>
            </w:pPr>
            <w:r>
              <w:rPr>
                <w:rFonts w:ascii="Arial" w:cs="Arial" w:eastAsia="Arial" w:hAnsi="Arial"/>
                <w:sz w:val="14"/>
                <w:szCs w:val="14"/>
                <w:color w:val="auto"/>
              </w:rPr>
              <w:t>(188,198</w:t>
            </w:r>
            <w:r>
              <w:rPr>
                <w:rFonts w:ascii="Arial" w:cs="Arial" w:eastAsia="Arial" w:hAnsi="Arial"/>
                <w:sz w:val="28"/>
                <w:szCs w:val="28"/>
                <w:color w:val="auto"/>
                <w:vertAlign w:val="superscript"/>
              </w:rPr>
              <w:t>)</w:t>
            </w:r>
          </w:p>
        </w:tc>
        <w:tc>
          <w:tcPr>
            <w:tcW w:w="1280" w:type="dxa"/>
            <w:vAlign w:val="bottom"/>
            <w:gridSpan w:val="2"/>
          </w:tcPr>
          <w:p>
            <w:pPr>
              <w:jc w:val="right"/>
              <w:ind w:right="40"/>
              <w:spacing w:after="0" w:line="270" w:lineRule="exact"/>
              <w:rPr>
                <w:sz w:val="20"/>
                <w:szCs w:val="20"/>
                <w:color w:val="auto"/>
              </w:rPr>
            </w:pPr>
            <w:r>
              <w:rPr>
                <w:rFonts w:ascii="Arial" w:cs="Arial" w:eastAsia="Arial" w:hAnsi="Arial"/>
                <w:sz w:val="14"/>
                <w:szCs w:val="14"/>
                <w:color w:val="auto"/>
              </w:rPr>
              <w:t>8.5</w:t>
            </w:r>
            <w:r>
              <w:rPr>
                <w:rFonts w:ascii="Arial" w:cs="Arial" w:eastAsia="Arial" w:hAnsi="Arial"/>
                <w:sz w:val="28"/>
                <w:szCs w:val="28"/>
                <w:color w:val="auto"/>
                <w:vertAlign w:val="superscript"/>
              </w:rPr>
              <w:t>%</w:t>
            </w:r>
          </w:p>
        </w:tc>
        <w:tc>
          <w:tcPr>
            <w:tcW w:w="1280" w:type="dxa"/>
            <w:vAlign w:val="bottom"/>
            <w:gridSpan w:val="2"/>
          </w:tcPr>
          <w:p>
            <w:pPr>
              <w:jc w:val="right"/>
              <w:ind w:right="20"/>
              <w:spacing w:after="0" w:line="270" w:lineRule="exact"/>
              <w:rPr>
                <w:sz w:val="20"/>
                <w:szCs w:val="20"/>
                <w:color w:val="auto"/>
              </w:rPr>
            </w:pPr>
            <w:r>
              <w:rPr>
                <w:rFonts w:ascii="Arial" w:cs="Arial" w:eastAsia="Arial" w:hAnsi="Arial"/>
                <w:sz w:val="14"/>
                <w:szCs w:val="14"/>
                <w:color w:val="auto"/>
              </w:rPr>
              <w:t>6.5</w:t>
            </w:r>
            <w:r>
              <w:rPr>
                <w:rFonts w:ascii="Arial" w:cs="Arial" w:eastAsia="Arial" w:hAnsi="Arial"/>
                <w:sz w:val="28"/>
                <w:szCs w:val="28"/>
                <w:color w:val="auto"/>
                <w:vertAlign w:val="superscript"/>
              </w:rPr>
              <w:t>%</w:t>
            </w:r>
          </w:p>
        </w:tc>
      </w:tr>
      <w:tr>
        <w:trPr>
          <w:trHeight w:val="20"/>
        </w:trPr>
        <w:tc>
          <w:tcPr>
            <w:tcW w:w="5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9"/>
        </w:trPr>
        <w:tc>
          <w:tcPr>
            <w:tcW w:w="51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4"/>
                <w:szCs w:val="14"/>
                <w:b w:val="1"/>
                <w:bCs w:val="1"/>
                <w:color w:val="auto"/>
              </w:rPr>
              <w:t>Loans, net</w:t>
            </w: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7,304,881</w:t>
            </w:r>
          </w:p>
        </w:tc>
        <w:tc>
          <w:tcPr>
            <w:tcW w:w="100" w:type="dxa"/>
            <w:vAlign w:val="bottom"/>
            <w:tcBorders>
              <w:bottom w:val="single" w:sz="8" w:color="CCFFCC"/>
            </w:tcBorders>
            <w:shd w:val="clear" w:color="auto" w:fill="CCFFCC"/>
          </w:tcPr>
          <w:p>
            <w:pPr>
              <w:spacing w:after="0"/>
              <w:rPr>
                <w:sz w:val="22"/>
                <w:szCs w:val="22"/>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6,839,987</w:t>
            </w:r>
          </w:p>
        </w:tc>
        <w:tc>
          <w:tcPr>
            <w:tcW w:w="120" w:type="dxa"/>
            <w:vAlign w:val="bottom"/>
            <w:tcBorders>
              <w:bottom w:val="single" w:sz="8" w:color="CCFFCC"/>
            </w:tcBorders>
            <w:shd w:val="clear" w:color="auto" w:fill="CCFFCC"/>
          </w:tcPr>
          <w:p>
            <w:pPr>
              <w:spacing w:after="0"/>
              <w:rPr>
                <w:sz w:val="22"/>
                <w:szCs w:val="22"/>
                <w:color w:val="auto"/>
              </w:rPr>
            </w:pPr>
          </w:p>
        </w:tc>
        <w:tc>
          <w:tcPr>
            <w:tcW w:w="124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5,404,033</w:t>
            </w:r>
          </w:p>
        </w:tc>
        <w:tc>
          <w:tcPr>
            <w:tcW w:w="1280" w:type="dxa"/>
            <w:vAlign w:val="bottom"/>
            <w:tcBorders>
              <w:bottom w:val="single" w:sz="8" w:color="CCFFCC"/>
            </w:tcBorders>
            <w:gridSpan w:val="2"/>
            <w:shd w:val="clear" w:color="auto" w:fill="CCFFCC"/>
          </w:tcPr>
          <w:p>
            <w:pPr>
              <w:jc w:val="right"/>
              <w:ind w:right="40"/>
              <w:spacing w:after="0" w:line="236" w:lineRule="exact"/>
              <w:rPr>
                <w:sz w:val="20"/>
                <w:szCs w:val="20"/>
                <w:color w:val="auto"/>
              </w:rPr>
            </w:pPr>
            <w:r>
              <w:rPr>
                <w:rFonts w:ascii="Arial" w:cs="Arial" w:eastAsia="Arial" w:hAnsi="Arial"/>
                <w:sz w:val="14"/>
                <w:szCs w:val="14"/>
                <w:color w:val="auto"/>
              </w:rPr>
              <w:t>35.2</w:t>
            </w:r>
            <w:r>
              <w:rPr>
                <w:rFonts w:ascii="Arial" w:cs="Arial" w:eastAsia="Arial" w:hAnsi="Arial"/>
                <w:sz w:val="27"/>
                <w:szCs w:val="27"/>
                <w:color w:val="auto"/>
                <w:vertAlign w:val="superscript"/>
              </w:rPr>
              <w:t>%</w:t>
            </w:r>
          </w:p>
        </w:tc>
        <w:tc>
          <w:tcPr>
            <w:tcW w:w="1280" w:type="dxa"/>
            <w:vAlign w:val="bottom"/>
            <w:tcBorders>
              <w:bottom w:val="single" w:sz="8" w:color="CCFFCC"/>
            </w:tcBorders>
            <w:gridSpan w:val="2"/>
            <w:shd w:val="clear" w:color="auto" w:fill="CCFFCC"/>
          </w:tcPr>
          <w:p>
            <w:pPr>
              <w:jc w:val="right"/>
              <w:ind w:right="20"/>
              <w:spacing w:after="0" w:line="236" w:lineRule="exact"/>
              <w:rPr>
                <w:sz w:val="20"/>
                <w:szCs w:val="20"/>
                <w:color w:val="auto"/>
              </w:rPr>
            </w:pPr>
            <w:r>
              <w:rPr>
                <w:rFonts w:ascii="Arial" w:cs="Arial" w:eastAsia="Arial" w:hAnsi="Arial"/>
                <w:sz w:val="14"/>
                <w:szCs w:val="14"/>
                <w:color w:val="auto"/>
              </w:rPr>
              <w:t>6.8</w:t>
            </w:r>
            <w:r>
              <w:rPr>
                <w:rFonts w:ascii="Arial" w:cs="Arial" w:eastAsia="Arial" w:hAnsi="Arial"/>
                <w:sz w:val="27"/>
                <w:szCs w:val="27"/>
                <w:color w:val="auto"/>
                <w:vertAlign w:val="superscript"/>
              </w:rPr>
              <w:t>%</w:t>
            </w:r>
          </w:p>
        </w:tc>
      </w:tr>
      <w:tr>
        <w:trPr>
          <w:trHeight w:val="237"/>
        </w:trPr>
        <w:tc>
          <w:tcPr>
            <w:tcW w:w="5120" w:type="dxa"/>
            <w:vAlign w:val="bottom"/>
            <w:tcBorders>
              <w:top w:val="single" w:sz="8" w:color="CCFFCC"/>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60" w:type="dxa"/>
            <w:vAlign w:val="bottom"/>
            <w:tcBorders>
              <w:top w:val="single" w:sz="8" w:color="CCFFCC"/>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40" w:type="dxa"/>
            <w:vAlign w:val="bottom"/>
            <w:tcBorders>
              <w:top w:val="single" w:sz="8" w:color="CCFFCC"/>
            </w:tcBorders>
          </w:tcPr>
          <w:p>
            <w:pPr>
              <w:spacing w:after="0"/>
              <w:rPr>
                <w:sz w:val="20"/>
                <w:szCs w:val="20"/>
                <w:color w:val="auto"/>
              </w:rPr>
            </w:pPr>
          </w:p>
        </w:tc>
      </w:tr>
      <w:tr>
        <w:trPr>
          <w:trHeight w:val="257"/>
        </w:trPr>
        <w:tc>
          <w:tcPr>
            <w:tcW w:w="512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Investments securities available for sale</w:t>
            </w:r>
          </w:p>
        </w:tc>
        <w:tc>
          <w:tcPr>
            <w:tcW w:w="11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4,657,859</w:t>
            </w:r>
          </w:p>
        </w:tc>
        <w:tc>
          <w:tcPr>
            <w:tcW w:w="100" w:type="dxa"/>
            <w:vAlign w:val="bottom"/>
            <w:shd w:val="clear" w:color="auto" w:fill="CCFFCC"/>
          </w:tcPr>
          <w:p>
            <w:pPr>
              <w:spacing w:after="0"/>
              <w:rPr>
                <w:sz w:val="22"/>
                <w:szCs w:val="22"/>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4,686,444</w:t>
            </w:r>
          </w:p>
        </w:tc>
        <w:tc>
          <w:tcPr>
            <w:tcW w:w="120" w:type="dxa"/>
            <w:vAlign w:val="bottom"/>
            <w:shd w:val="clear" w:color="auto" w:fill="CCFFCC"/>
          </w:tcPr>
          <w:p>
            <w:pPr>
              <w:spacing w:after="0"/>
              <w:rPr>
                <w:sz w:val="22"/>
                <w:szCs w:val="22"/>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2,803,636</w:t>
            </w:r>
          </w:p>
        </w:tc>
        <w:tc>
          <w:tcPr>
            <w:tcW w:w="128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66.1%</w:t>
            </w: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-0.6%</w:t>
            </w:r>
          </w:p>
        </w:tc>
      </w:tr>
      <w:tr>
        <w:trPr>
          <w:trHeight w:val="257"/>
        </w:trPr>
        <w:tc>
          <w:tcPr>
            <w:tcW w:w="5120" w:type="dxa"/>
            <w:vAlign w:val="bottom"/>
          </w:tcPr>
          <w:p>
            <w:pPr>
              <w:spacing w:after="0"/>
              <w:rPr>
                <w:sz w:val="20"/>
                <w:szCs w:val="20"/>
                <w:color w:val="auto"/>
              </w:rPr>
            </w:pPr>
            <w:r>
              <w:rPr>
                <w:rFonts w:ascii="Arial" w:cs="Arial" w:eastAsia="Arial" w:hAnsi="Arial"/>
                <w:sz w:val="14"/>
                <w:szCs w:val="14"/>
                <w:b w:val="1"/>
                <w:bCs w:val="1"/>
                <w:color w:val="auto"/>
              </w:rPr>
              <w:t>Reinsurance assets</w:t>
            </w:r>
          </w:p>
        </w:tc>
        <w:tc>
          <w:tcPr>
            <w:tcW w:w="1140" w:type="dxa"/>
            <w:vAlign w:val="bottom"/>
          </w:tcPr>
          <w:p>
            <w:pPr>
              <w:jc w:val="right"/>
              <w:spacing w:after="0"/>
              <w:rPr>
                <w:sz w:val="20"/>
                <w:szCs w:val="20"/>
                <w:color w:val="auto"/>
              </w:rPr>
            </w:pPr>
            <w:r>
              <w:rPr>
                <w:rFonts w:ascii="Arial" w:cs="Arial" w:eastAsia="Arial" w:hAnsi="Arial"/>
                <w:sz w:val="14"/>
                <w:szCs w:val="14"/>
                <w:color w:val="auto"/>
              </w:rPr>
              <w:t>91,325</w:t>
            </w:r>
          </w:p>
        </w:tc>
        <w:tc>
          <w:tcPr>
            <w:tcW w:w="100" w:type="dxa"/>
            <w:vAlign w:val="bottom"/>
          </w:tcPr>
          <w:p>
            <w:pPr>
              <w:spacing w:after="0"/>
              <w:rPr>
                <w:sz w:val="22"/>
                <w:szCs w:val="22"/>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65,831</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37,880</w:t>
            </w:r>
          </w:p>
        </w:tc>
        <w:tc>
          <w:tcPr>
            <w:tcW w:w="1280" w:type="dxa"/>
            <w:vAlign w:val="bottom"/>
            <w:gridSpan w:val="2"/>
          </w:tcPr>
          <w:p>
            <w:pPr>
              <w:jc w:val="right"/>
              <w:ind w:right="40"/>
              <w:spacing w:after="0"/>
              <w:rPr>
                <w:sz w:val="20"/>
                <w:szCs w:val="20"/>
                <w:color w:val="auto"/>
              </w:rPr>
            </w:pPr>
            <w:r>
              <w:rPr>
                <w:rFonts w:ascii="Arial" w:cs="Arial" w:eastAsia="Arial" w:hAnsi="Arial"/>
                <w:sz w:val="14"/>
                <w:szCs w:val="14"/>
                <w:color w:val="auto"/>
              </w:rPr>
              <w:t>141.1%</w:t>
            </w:r>
          </w:p>
        </w:tc>
        <w:tc>
          <w:tcPr>
            <w:tcW w:w="1280" w:type="dxa"/>
            <w:vAlign w:val="bottom"/>
            <w:gridSpan w:val="2"/>
          </w:tcPr>
          <w:p>
            <w:pPr>
              <w:jc w:val="right"/>
              <w:ind w:right="20"/>
              <w:spacing w:after="0"/>
              <w:rPr>
                <w:sz w:val="20"/>
                <w:szCs w:val="20"/>
                <w:color w:val="auto"/>
              </w:rPr>
            </w:pPr>
            <w:r>
              <w:rPr>
                <w:rFonts w:ascii="Arial" w:cs="Arial" w:eastAsia="Arial" w:hAnsi="Arial"/>
                <w:sz w:val="14"/>
                <w:szCs w:val="14"/>
                <w:color w:val="auto"/>
              </w:rPr>
              <w:t>38.7%</w:t>
            </w:r>
          </w:p>
        </w:tc>
      </w:tr>
      <w:tr>
        <w:trPr>
          <w:trHeight w:val="257"/>
        </w:trPr>
        <w:tc>
          <w:tcPr>
            <w:tcW w:w="512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Premiums and other policyholder receivables</w:t>
            </w:r>
          </w:p>
        </w:tc>
        <w:tc>
          <w:tcPr>
            <w:tcW w:w="11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86,779</w:t>
            </w:r>
          </w:p>
        </w:tc>
        <w:tc>
          <w:tcPr>
            <w:tcW w:w="100" w:type="dxa"/>
            <w:vAlign w:val="bottom"/>
            <w:shd w:val="clear" w:color="auto" w:fill="CCFFCC"/>
          </w:tcPr>
          <w:p>
            <w:pPr>
              <w:spacing w:after="0"/>
              <w:rPr>
                <w:sz w:val="22"/>
                <w:szCs w:val="22"/>
                <w:color w:val="auto"/>
              </w:rPr>
            </w:pP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85,780</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69,835</w:t>
            </w:r>
          </w:p>
        </w:tc>
        <w:tc>
          <w:tcPr>
            <w:tcW w:w="128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24.3%</w:t>
            </w: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1.2%</w:t>
            </w:r>
          </w:p>
        </w:tc>
      </w:tr>
      <w:tr>
        <w:trPr>
          <w:trHeight w:val="257"/>
        </w:trPr>
        <w:tc>
          <w:tcPr>
            <w:tcW w:w="5120" w:type="dxa"/>
            <w:vAlign w:val="bottom"/>
          </w:tcPr>
          <w:p>
            <w:pPr>
              <w:spacing w:after="0"/>
              <w:rPr>
                <w:sz w:val="20"/>
                <w:szCs w:val="20"/>
                <w:color w:val="auto"/>
              </w:rPr>
            </w:pPr>
            <w:r>
              <w:rPr>
                <w:rFonts w:ascii="Arial" w:cs="Arial" w:eastAsia="Arial" w:hAnsi="Arial"/>
                <w:sz w:val="14"/>
                <w:szCs w:val="14"/>
                <w:b w:val="1"/>
                <w:bCs w:val="1"/>
                <w:color w:val="auto"/>
              </w:rPr>
              <w:t>Property, plant and equipment, net</w:t>
            </w:r>
          </w:p>
        </w:tc>
        <w:tc>
          <w:tcPr>
            <w:tcW w:w="1140" w:type="dxa"/>
            <w:vAlign w:val="bottom"/>
          </w:tcPr>
          <w:p>
            <w:pPr>
              <w:jc w:val="right"/>
              <w:spacing w:after="0"/>
              <w:rPr>
                <w:sz w:val="20"/>
                <w:szCs w:val="20"/>
                <w:color w:val="auto"/>
              </w:rPr>
            </w:pPr>
            <w:r>
              <w:rPr>
                <w:rFonts w:ascii="Arial" w:cs="Arial" w:eastAsia="Arial" w:hAnsi="Arial"/>
                <w:sz w:val="14"/>
                <w:szCs w:val="14"/>
                <w:color w:val="auto"/>
              </w:rPr>
              <w:t>254,820</w:t>
            </w:r>
          </w:p>
        </w:tc>
        <w:tc>
          <w:tcPr>
            <w:tcW w:w="100" w:type="dxa"/>
            <w:vAlign w:val="bottom"/>
          </w:tcPr>
          <w:p>
            <w:pPr>
              <w:spacing w:after="0"/>
              <w:rPr>
                <w:sz w:val="22"/>
                <w:szCs w:val="22"/>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256,822</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239,705</w:t>
            </w:r>
          </w:p>
        </w:tc>
        <w:tc>
          <w:tcPr>
            <w:tcW w:w="1280" w:type="dxa"/>
            <w:vAlign w:val="bottom"/>
            <w:gridSpan w:val="2"/>
          </w:tcPr>
          <w:p>
            <w:pPr>
              <w:jc w:val="right"/>
              <w:ind w:right="40"/>
              <w:spacing w:after="0"/>
              <w:rPr>
                <w:sz w:val="20"/>
                <w:szCs w:val="20"/>
                <w:color w:val="auto"/>
              </w:rPr>
            </w:pPr>
            <w:r>
              <w:rPr>
                <w:rFonts w:ascii="Arial" w:cs="Arial" w:eastAsia="Arial" w:hAnsi="Arial"/>
                <w:sz w:val="14"/>
                <w:szCs w:val="14"/>
                <w:color w:val="auto"/>
              </w:rPr>
              <w:t>6.3%</w:t>
            </w:r>
          </w:p>
        </w:tc>
        <w:tc>
          <w:tcPr>
            <w:tcW w:w="1280" w:type="dxa"/>
            <w:vAlign w:val="bottom"/>
            <w:gridSpan w:val="2"/>
          </w:tcPr>
          <w:p>
            <w:pPr>
              <w:jc w:val="right"/>
              <w:ind w:right="20"/>
              <w:spacing w:after="0"/>
              <w:rPr>
                <w:sz w:val="20"/>
                <w:szCs w:val="20"/>
                <w:color w:val="auto"/>
              </w:rPr>
            </w:pPr>
            <w:r>
              <w:rPr>
                <w:rFonts w:ascii="Arial" w:cs="Arial" w:eastAsia="Arial" w:hAnsi="Arial"/>
                <w:sz w:val="14"/>
                <w:szCs w:val="14"/>
                <w:color w:val="auto"/>
              </w:rPr>
              <w:t>-0.8%</w:t>
            </w:r>
          </w:p>
        </w:tc>
      </w:tr>
      <w:tr>
        <w:trPr>
          <w:trHeight w:val="257"/>
        </w:trPr>
        <w:tc>
          <w:tcPr>
            <w:tcW w:w="512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Due from customers on acceptances</w:t>
            </w:r>
          </w:p>
        </w:tc>
        <w:tc>
          <w:tcPr>
            <w:tcW w:w="11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51,040</w:t>
            </w:r>
          </w:p>
        </w:tc>
        <w:tc>
          <w:tcPr>
            <w:tcW w:w="100" w:type="dxa"/>
            <w:vAlign w:val="bottom"/>
            <w:shd w:val="clear" w:color="auto" w:fill="CCFFCC"/>
          </w:tcPr>
          <w:p>
            <w:pPr>
              <w:spacing w:after="0"/>
              <w:rPr>
                <w:sz w:val="22"/>
                <w:szCs w:val="22"/>
                <w:color w:val="auto"/>
              </w:rPr>
            </w:pP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46,331</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50,761</w:t>
            </w:r>
          </w:p>
        </w:tc>
        <w:tc>
          <w:tcPr>
            <w:tcW w:w="128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0.5%</w:t>
            </w: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10.2%</w:t>
            </w:r>
          </w:p>
        </w:tc>
      </w:tr>
      <w:tr>
        <w:trPr>
          <w:trHeight w:val="257"/>
        </w:trPr>
        <w:tc>
          <w:tcPr>
            <w:tcW w:w="5120" w:type="dxa"/>
            <w:vAlign w:val="bottom"/>
          </w:tcPr>
          <w:p>
            <w:pPr>
              <w:spacing w:after="0"/>
              <w:rPr>
                <w:sz w:val="20"/>
                <w:szCs w:val="20"/>
                <w:color w:val="auto"/>
              </w:rPr>
            </w:pPr>
            <w:r>
              <w:rPr>
                <w:rFonts w:ascii="Arial" w:cs="Arial" w:eastAsia="Arial" w:hAnsi="Arial"/>
                <w:sz w:val="14"/>
                <w:szCs w:val="14"/>
                <w:b w:val="1"/>
                <w:bCs w:val="1"/>
                <w:color w:val="auto"/>
              </w:rPr>
              <w:t>Other assets</w:t>
            </w:r>
          </w:p>
        </w:tc>
        <w:tc>
          <w:tcPr>
            <w:tcW w:w="1140" w:type="dxa"/>
            <w:vAlign w:val="bottom"/>
          </w:tcPr>
          <w:p>
            <w:pPr>
              <w:jc w:val="right"/>
              <w:spacing w:after="0"/>
              <w:rPr>
                <w:sz w:val="20"/>
                <w:szCs w:val="20"/>
                <w:color w:val="auto"/>
              </w:rPr>
            </w:pPr>
            <w:r>
              <w:rPr>
                <w:rFonts w:ascii="Arial" w:cs="Arial" w:eastAsia="Arial" w:hAnsi="Arial"/>
                <w:sz w:val="14"/>
                <w:szCs w:val="14"/>
                <w:color w:val="auto"/>
              </w:rPr>
              <w:t>853,365</w:t>
            </w:r>
          </w:p>
        </w:tc>
        <w:tc>
          <w:tcPr>
            <w:tcW w:w="100" w:type="dxa"/>
            <w:vAlign w:val="bottom"/>
          </w:tcPr>
          <w:p>
            <w:pPr>
              <w:spacing w:after="0"/>
              <w:rPr>
                <w:sz w:val="22"/>
                <w:szCs w:val="22"/>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726,776</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486,987</w:t>
            </w:r>
          </w:p>
        </w:tc>
        <w:tc>
          <w:tcPr>
            <w:tcW w:w="1280" w:type="dxa"/>
            <w:vAlign w:val="bottom"/>
            <w:gridSpan w:val="2"/>
          </w:tcPr>
          <w:p>
            <w:pPr>
              <w:jc w:val="right"/>
              <w:ind w:right="40"/>
              <w:spacing w:after="0"/>
              <w:rPr>
                <w:sz w:val="20"/>
                <w:szCs w:val="20"/>
                <w:color w:val="auto"/>
              </w:rPr>
            </w:pPr>
            <w:r>
              <w:rPr>
                <w:rFonts w:ascii="Arial" w:cs="Arial" w:eastAsia="Arial" w:hAnsi="Arial"/>
                <w:sz w:val="14"/>
                <w:szCs w:val="14"/>
                <w:color w:val="auto"/>
              </w:rPr>
              <w:t>75.2%</w:t>
            </w:r>
          </w:p>
        </w:tc>
        <w:tc>
          <w:tcPr>
            <w:tcW w:w="1280" w:type="dxa"/>
            <w:vAlign w:val="bottom"/>
            <w:gridSpan w:val="2"/>
          </w:tcPr>
          <w:p>
            <w:pPr>
              <w:jc w:val="right"/>
              <w:ind w:right="20"/>
              <w:spacing w:after="0"/>
              <w:rPr>
                <w:sz w:val="20"/>
                <w:szCs w:val="20"/>
                <w:color w:val="auto"/>
              </w:rPr>
            </w:pPr>
            <w:r>
              <w:rPr>
                <w:rFonts w:ascii="Arial" w:cs="Arial" w:eastAsia="Arial" w:hAnsi="Arial"/>
                <w:sz w:val="14"/>
                <w:szCs w:val="14"/>
                <w:color w:val="auto"/>
              </w:rPr>
              <w:t>17.4%</w:t>
            </w:r>
          </w:p>
        </w:tc>
      </w:tr>
      <w:tr>
        <w:trPr>
          <w:trHeight w:val="243"/>
        </w:trPr>
        <w:tc>
          <w:tcPr>
            <w:tcW w:w="51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r>
      <w:tr>
        <w:trPr>
          <w:trHeight w:val="257"/>
        </w:trPr>
        <w:tc>
          <w:tcPr>
            <w:tcW w:w="5120" w:type="dxa"/>
            <w:vAlign w:val="bottom"/>
          </w:tcPr>
          <w:p>
            <w:pPr>
              <w:jc w:val="center"/>
              <w:ind w:right="128"/>
              <w:spacing w:after="0"/>
              <w:rPr>
                <w:sz w:val="20"/>
                <w:szCs w:val="20"/>
                <w:color w:val="auto"/>
              </w:rPr>
            </w:pPr>
            <w:r>
              <w:rPr>
                <w:rFonts w:ascii="Arial" w:cs="Arial" w:eastAsia="Arial" w:hAnsi="Arial"/>
                <w:sz w:val="14"/>
                <w:szCs w:val="14"/>
                <w:b w:val="1"/>
                <w:bCs w:val="1"/>
                <w:color w:val="auto"/>
                <w:w w:val="86"/>
              </w:rPr>
              <w:t>Total Assets</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15,781,656</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15,319,416</w:t>
            </w:r>
          </w:p>
        </w:tc>
        <w:tc>
          <w:tcPr>
            <w:tcW w:w="120" w:type="dxa"/>
            <w:vAlign w:val="bottom"/>
          </w:tcPr>
          <w:p>
            <w:pPr>
              <w:spacing w:after="0"/>
              <w:rPr>
                <w:sz w:val="22"/>
                <w:szCs w:val="22"/>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11,858,664</w:t>
            </w: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rPr>
              <w:t>33.1%</w:t>
            </w: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rPr>
              <w:t>3.0%</w:t>
            </w:r>
          </w:p>
        </w:tc>
      </w:tr>
      <w:tr>
        <w:trPr>
          <w:trHeight w:val="243"/>
        </w:trPr>
        <w:tc>
          <w:tcPr>
            <w:tcW w:w="51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r>
      <w:tr>
        <w:trPr>
          <w:trHeight w:val="257"/>
        </w:trPr>
        <w:tc>
          <w:tcPr>
            <w:tcW w:w="5120" w:type="dxa"/>
            <w:vAlign w:val="bottom"/>
          </w:tcPr>
          <w:p>
            <w:pPr>
              <w:jc w:val="center"/>
              <w:ind w:right="128"/>
              <w:spacing w:after="0"/>
              <w:rPr>
                <w:sz w:val="20"/>
                <w:szCs w:val="20"/>
                <w:color w:val="auto"/>
              </w:rPr>
            </w:pPr>
            <w:r>
              <w:rPr>
                <w:rFonts w:ascii="Arial" w:cs="Arial" w:eastAsia="Arial" w:hAnsi="Arial"/>
                <w:sz w:val="14"/>
                <w:szCs w:val="14"/>
                <w:b w:val="1"/>
                <w:bCs w:val="1"/>
                <w:color w:val="auto"/>
                <w:w w:val="92"/>
              </w:rPr>
              <w:t>Liabilities and shareholders' equity</w:t>
            </w: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57"/>
        </w:trPr>
        <w:tc>
          <w:tcPr>
            <w:tcW w:w="512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Deposits and Obligations</w:t>
            </w:r>
          </w:p>
        </w:tc>
        <w:tc>
          <w:tcPr>
            <w:tcW w:w="114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14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112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1120" w:type="dxa"/>
            <w:vAlign w:val="bottom"/>
            <w:shd w:val="clear" w:color="auto" w:fill="CCFFCC"/>
          </w:tcPr>
          <w:p>
            <w:pPr>
              <w:spacing w:after="0"/>
              <w:rPr>
                <w:sz w:val="22"/>
                <w:szCs w:val="22"/>
                <w:color w:val="auto"/>
              </w:rPr>
            </w:pPr>
          </w:p>
        </w:tc>
        <w:tc>
          <w:tcPr>
            <w:tcW w:w="160" w:type="dxa"/>
            <w:vAlign w:val="bottom"/>
            <w:shd w:val="clear" w:color="auto" w:fill="CCFFCC"/>
          </w:tcPr>
          <w:p>
            <w:pPr>
              <w:spacing w:after="0"/>
              <w:rPr>
                <w:sz w:val="22"/>
                <w:szCs w:val="22"/>
                <w:color w:val="auto"/>
              </w:rPr>
            </w:pPr>
          </w:p>
        </w:tc>
        <w:tc>
          <w:tcPr>
            <w:tcW w:w="1140" w:type="dxa"/>
            <w:vAlign w:val="bottom"/>
            <w:shd w:val="clear" w:color="auto" w:fill="CCFFCC"/>
          </w:tcPr>
          <w:p>
            <w:pPr>
              <w:spacing w:after="0"/>
              <w:rPr>
                <w:sz w:val="22"/>
                <w:szCs w:val="22"/>
                <w:color w:val="auto"/>
              </w:rPr>
            </w:pPr>
          </w:p>
        </w:tc>
        <w:tc>
          <w:tcPr>
            <w:tcW w:w="140" w:type="dxa"/>
            <w:vAlign w:val="bottom"/>
            <w:shd w:val="clear" w:color="auto" w:fill="CCFFCC"/>
          </w:tcPr>
          <w:p>
            <w:pPr>
              <w:spacing w:after="0"/>
              <w:rPr>
                <w:sz w:val="22"/>
                <w:szCs w:val="22"/>
                <w:color w:val="auto"/>
              </w:rPr>
            </w:pPr>
          </w:p>
        </w:tc>
      </w:tr>
      <w:tr>
        <w:trPr>
          <w:trHeight w:val="257"/>
        </w:trPr>
        <w:tc>
          <w:tcPr>
            <w:tcW w:w="5120" w:type="dxa"/>
            <w:vAlign w:val="bottom"/>
          </w:tcPr>
          <w:p>
            <w:pPr>
              <w:ind w:left="340"/>
              <w:spacing w:after="0"/>
              <w:rPr>
                <w:sz w:val="20"/>
                <w:szCs w:val="20"/>
                <w:color w:val="auto"/>
              </w:rPr>
            </w:pPr>
            <w:r>
              <w:rPr>
                <w:rFonts w:ascii="Arial" w:cs="Arial" w:eastAsia="Arial" w:hAnsi="Arial"/>
                <w:sz w:val="14"/>
                <w:szCs w:val="14"/>
                <w:color w:val="auto"/>
              </w:rPr>
              <w:t>Non-interest bearing</w:t>
            </w:r>
          </w:p>
        </w:tc>
        <w:tc>
          <w:tcPr>
            <w:tcW w:w="1140" w:type="dxa"/>
            <w:vAlign w:val="bottom"/>
          </w:tcPr>
          <w:p>
            <w:pPr>
              <w:jc w:val="right"/>
              <w:spacing w:after="0"/>
              <w:rPr>
                <w:sz w:val="20"/>
                <w:szCs w:val="20"/>
                <w:color w:val="auto"/>
              </w:rPr>
            </w:pPr>
            <w:r>
              <w:rPr>
                <w:rFonts w:ascii="Arial" w:cs="Arial" w:eastAsia="Arial" w:hAnsi="Arial"/>
                <w:sz w:val="14"/>
                <w:szCs w:val="14"/>
                <w:color w:val="auto"/>
              </w:rPr>
              <w:t>2,474,260</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2,339,402</w:t>
            </w:r>
          </w:p>
        </w:tc>
        <w:tc>
          <w:tcPr>
            <w:tcW w:w="120" w:type="dxa"/>
            <w:vAlign w:val="bottom"/>
          </w:tcPr>
          <w:p>
            <w:pPr>
              <w:spacing w:after="0"/>
              <w:rPr>
                <w:sz w:val="22"/>
                <w:szCs w:val="22"/>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1,721,411</w:t>
            </w:r>
          </w:p>
        </w:tc>
        <w:tc>
          <w:tcPr>
            <w:tcW w:w="1280" w:type="dxa"/>
            <w:vAlign w:val="bottom"/>
            <w:gridSpan w:val="2"/>
          </w:tcPr>
          <w:p>
            <w:pPr>
              <w:jc w:val="right"/>
              <w:ind w:right="40"/>
              <w:spacing w:after="0"/>
              <w:rPr>
                <w:sz w:val="20"/>
                <w:szCs w:val="20"/>
                <w:color w:val="auto"/>
              </w:rPr>
            </w:pPr>
            <w:r>
              <w:rPr>
                <w:rFonts w:ascii="Arial" w:cs="Arial" w:eastAsia="Arial" w:hAnsi="Arial"/>
                <w:sz w:val="14"/>
                <w:szCs w:val="14"/>
                <w:color w:val="auto"/>
              </w:rPr>
              <w:t>43.7%</w:t>
            </w:r>
          </w:p>
        </w:tc>
        <w:tc>
          <w:tcPr>
            <w:tcW w:w="1280" w:type="dxa"/>
            <w:vAlign w:val="bottom"/>
            <w:gridSpan w:val="2"/>
          </w:tcPr>
          <w:p>
            <w:pPr>
              <w:jc w:val="right"/>
              <w:ind w:right="20"/>
              <w:spacing w:after="0"/>
              <w:rPr>
                <w:sz w:val="20"/>
                <w:szCs w:val="20"/>
                <w:color w:val="auto"/>
              </w:rPr>
            </w:pPr>
            <w:r>
              <w:rPr>
                <w:rFonts w:ascii="Arial" w:cs="Arial" w:eastAsia="Arial" w:hAnsi="Arial"/>
                <w:sz w:val="14"/>
                <w:szCs w:val="14"/>
                <w:color w:val="auto"/>
              </w:rPr>
              <w:t>5.8%</w:t>
            </w:r>
          </w:p>
        </w:tc>
      </w:tr>
      <w:tr>
        <w:trPr>
          <w:trHeight w:val="250"/>
        </w:trPr>
        <w:tc>
          <w:tcPr>
            <w:tcW w:w="5120" w:type="dxa"/>
            <w:vAlign w:val="bottom"/>
            <w:tcBorders>
              <w:bottom w:val="single" w:sz="8" w:color="CCFFCC"/>
            </w:tcBorders>
            <w:shd w:val="clear" w:color="auto" w:fill="CCFFCC"/>
          </w:tcPr>
          <w:p>
            <w:pPr>
              <w:ind w:left="340"/>
              <w:spacing w:after="0"/>
              <w:rPr>
                <w:sz w:val="20"/>
                <w:szCs w:val="20"/>
                <w:color w:val="auto"/>
              </w:rPr>
            </w:pPr>
            <w:r>
              <w:rPr>
                <w:rFonts w:ascii="Arial" w:cs="Arial" w:eastAsia="Arial" w:hAnsi="Arial"/>
                <w:sz w:val="14"/>
                <w:szCs w:val="14"/>
                <w:color w:val="auto"/>
              </w:rPr>
              <w:t>Interest bearing</w:t>
            </w: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7,848,572</w:t>
            </w:r>
          </w:p>
        </w:tc>
        <w:tc>
          <w:tcPr>
            <w:tcW w:w="1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7,813,199</w:t>
            </w:r>
          </w:p>
        </w:tc>
        <w:tc>
          <w:tcPr>
            <w:tcW w:w="12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6,253,175</w:t>
            </w:r>
          </w:p>
        </w:tc>
        <w:tc>
          <w:tcPr>
            <w:tcW w:w="1280" w:type="dxa"/>
            <w:vAlign w:val="bottom"/>
            <w:tcBorders>
              <w:bottom w:val="single" w:sz="8" w:color="CCFFCC"/>
            </w:tcBorders>
            <w:gridSpan w:val="2"/>
            <w:shd w:val="clear" w:color="auto" w:fill="CCFFCC"/>
          </w:tcPr>
          <w:p>
            <w:pPr>
              <w:jc w:val="right"/>
              <w:ind w:right="40"/>
              <w:spacing w:after="0" w:line="243" w:lineRule="exact"/>
              <w:rPr>
                <w:sz w:val="20"/>
                <w:szCs w:val="20"/>
                <w:color w:val="auto"/>
              </w:rPr>
            </w:pPr>
            <w:r>
              <w:rPr>
                <w:rFonts w:ascii="Arial" w:cs="Arial" w:eastAsia="Arial" w:hAnsi="Arial"/>
                <w:sz w:val="14"/>
                <w:szCs w:val="14"/>
                <w:color w:val="auto"/>
              </w:rPr>
              <w:t>25.5</w:t>
            </w:r>
            <w:r>
              <w:rPr>
                <w:rFonts w:ascii="Arial" w:cs="Arial" w:eastAsia="Arial" w:hAnsi="Arial"/>
                <w:sz w:val="28"/>
                <w:szCs w:val="28"/>
                <w:color w:val="auto"/>
                <w:vertAlign w:val="superscript"/>
              </w:rPr>
              <w:t>%</w:t>
            </w:r>
          </w:p>
        </w:tc>
        <w:tc>
          <w:tcPr>
            <w:tcW w:w="1280" w:type="dxa"/>
            <w:vAlign w:val="bottom"/>
            <w:tcBorders>
              <w:bottom w:val="single" w:sz="8" w:color="CCFFCC"/>
            </w:tcBorders>
            <w:gridSpan w:val="2"/>
            <w:shd w:val="clear" w:color="auto" w:fill="CCFFCC"/>
          </w:tcPr>
          <w:p>
            <w:pPr>
              <w:jc w:val="right"/>
              <w:ind w:right="20"/>
              <w:spacing w:after="0" w:line="243" w:lineRule="exact"/>
              <w:rPr>
                <w:sz w:val="20"/>
                <w:szCs w:val="20"/>
                <w:color w:val="auto"/>
              </w:rPr>
            </w:pPr>
            <w:r>
              <w:rPr>
                <w:rFonts w:ascii="Arial" w:cs="Arial" w:eastAsia="Arial" w:hAnsi="Arial"/>
                <w:sz w:val="14"/>
                <w:szCs w:val="14"/>
                <w:color w:val="auto"/>
              </w:rPr>
              <w:t>0.5</w:t>
            </w:r>
            <w:r>
              <w:rPr>
                <w:rFonts w:ascii="Arial" w:cs="Arial" w:eastAsia="Arial" w:hAnsi="Arial"/>
                <w:sz w:val="28"/>
                <w:szCs w:val="28"/>
                <w:color w:val="auto"/>
                <w:vertAlign w:val="superscript"/>
              </w:rPr>
              <w:t>%</w:t>
            </w:r>
          </w:p>
        </w:tc>
      </w:tr>
      <w:tr>
        <w:trPr>
          <w:trHeight w:val="20"/>
        </w:trPr>
        <w:tc>
          <w:tcPr>
            <w:tcW w:w="51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r>
      <w:tr>
        <w:trPr>
          <w:trHeight w:val="264"/>
        </w:trPr>
        <w:tc>
          <w:tcPr>
            <w:tcW w:w="5120" w:type="dxa"/>
            <w:vAlign w:val="bottom"/>
          </w:tcPr>
          <w:p>
            <w:pPr>
              <w:ind w:left="340"/>
              <w:spacing w:after="0"/>
              <w:rPr>
                <w:sz w:val="20"/>
                <w:szCs w:val="20"/>
                <w:color w:val="auto"/>
              </w:rPr>
            </w:pPr>
            <w:r>
              <w:rPr>
                <w:rFonts w:ascii="Arial" w:cs="Arial" w:eastAsia="Arial" w:hAnsi="Arial"/>
                <w:sz w:val="14"/>
                <w:szCs w:val="14"/>
                <w:color w:val="auto"/>
              </w:rPr>
              <w:t>Total deposits and Obligations</w:t>
            </w:r>
          </w:p>
        </w:tc>
        <w:tc>
          <w:tcPr>
            <w:tcW w:w="1140" w:type="dxa"/>
            <w:vAlign w:val="bottom"/>
          </w:tcPr>
          <w:p>
            <w:pPr>
              <w:jc w:val="right"/>
              <w:spacing w:after="0"/>
              <w:rPr>
                <w:sz w:val="20"/>
                <w:szCs w:val="20"/>
                <w:color w:val="auto"/>
              </w:rPr>
            </w:pPr>
            <w:r>
              <w:rPr>
                <w:rFonts w:ascii="Arial" w:cs="Arial" w:eastAsia="Arial" w:hAnsi="Arial"/>
                <w:sz w:val="14"/>
                <w:szCs w:val="14"/>
                <w:color w:val="auto"/>
              </w:rPr>
              <w:t>10,322,832</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10,152,601</w:t>
            </w:r>
          </w:p>
        </w:tc>
        <w:tc>
          <w:tcPr>
            <w:tcW w:w="120" w:type="dxa"/>
            <w:vAlign w:val="bottom"/>
          </w:tcPr>
          <w:p>
            <w:pPr>
              <w:spacing w:after="0"/>
              <w:rPr>
                <w:sz w:val="22"/>
                <w:szCs w:val="22"/>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7,974,586</w:t>
            </w:r>
          </w:p>
        </w:tc>
        <w:tc>
          <w:tcPr>
            <w:tcW w:w="1280" w:type="dxa"/>
            <w:vAlign w:val="bottom"/>
            <w:gridSpan w:val="2"/>
          </w:tcPr>
          <w:p>
            <w:pPr>
              <w:jc w:val="right"/>
              <w:ind w:right="40"/>
              <w:spacing w:after="0" w:line="263" w:lineRule="exact"/>
              <w:rPr>
                <w:sz w:val="20"/>
                <w:szCs w:val="20"/>
                <w:color w:val="auto"/>
              </w:rPr>
            </w:pPr>
            <w:r>
              <w:rPr>
                <w:rFonts w:ascii="Arial" w:cs="Arial" w:eastAsia="Arial" w:hAnsi="Arial"/>
                <w:sz w:val="14"/>
                <w:szCs w:val="14"/>
                <w:color w:val="auto"/>
              </w:rPr>
              <w:t>29.4</w:t>
            </w:r>
            <w:r>
              <w:rPr>
                <w:rFonts w:ascii="Arial" w:cs="Arial" w:eastAsia="Arial" w:hAnsi="Arial"/>
                <w:sz w:val="28"/>
                <w:szCs w:val="28"/>
                <w:color w:val="auto"/>
                <w:vertAlign w:val="superscript"/>
              </w:rPr>
              <w:t>%</w:t>
            </w:r>
          </w:p>
        </w:tc>
        <w:tc>
          <w:tcPr>
            <w:tcW w:w="1280" w:type="dxa"/>
            <w:vAlign w:val="bottom"/>
            <w:gridSpan w:val="2"/>
          </w:tcPr>
          <w:p>
            <w:pPr>
              <w:jc w:val="right"/>
              <w:ind w:right="20"/>
              <w:spacing w:after="0" w:line="263" w:lineRule="exact"/>
              <w:rPr>
                <w:sz w:val="20"/>
                <w:szCs w:val="20"/>
                <w:color w:val="auto"/>
              </w:rPr>
            </w:pPr>
            <w:r>
              <w:rPr>
                <w:rFonts w:ascii="Arial" w:cs="Arial" w:eastAsia="Arial" w:hAnsi="Arial"/>
                <w:sz w:val="14"/>
                <w:szCs w:val="14"/>
                <w:color w:val="auto"/>
              </w:rPr>
              <w:t>1.7</w:t>
            </w:r>
            <w:r>
              <w:rPr>
                <w:rFonts w:ascii="Arial" w:cs="Arial" w:eastAsia="Arial" w:hAnsi="Arial"/>
                <w:sz w:val="28"/>
                <w:szCs w:val="28"/>
                <w:color w:val="auto"/>
                <w:vertAlign w:val="superscript"/>
              </w:rPr>
              <w:t>%</w:t>
            </w:r>
          </w:p>
        </w:tc>
      </w:tr>
      <w:tr>
        <w:trPr>
          <w:trHeight w:val="237"/>
        </w:trPr>
        <w:tc>
          <w:tcPr>
            <w:tcW w:w="5120" w:type="dxa"/>
            <w:vAlign w:val="bottom"/>
            <w:shd w:val="clear" w:color="auto" w:fill="CCFFCC"/>
          </w:tcPr>
          <w:p>
            <w:pPr>
              <w:spacing w:after="0"/>
              <w:rPr>
                <w:sz w:val="20"/>
                <w:szCs w:val="20"/>
                <w:color w:val="auto"/>
              </w:rPr>
            </w:pPr>
          </w:p>
        </w:tc>
        <w:tc>
          <w:tcPr>
            <w:tcW w:w="114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14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2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20" w:type="dxa"/>
            <w:vAlign w:val="bottom"/>
            <w:tcBorders>
              <w:top w:val="single" w:sz="8" w:color="auto"/>
            </w:tcBorders>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140" w:type="dxa"/>
            <w:vAlign w:val="bottom"/>
            <w:tcBorders>
              <w:top w:val="single" w:sz="8" w:color="auto"/>
            </w:tcBorders>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r>
      <w:tr>
        <w:trPr>
          <w:trHeight w:val="257"/>
        </w:trPr>
        <w:tc>
          <w:tcPr>
            <w:tcW w:w="5120" w:type="dxa"/>
            <w:vAlign w:val="bottom"/>
          </w:tcPr>
          <w:p>
            <w:pPr>
              <w:spacing w:after="0"/>
              <w:rPr>
                <w:sz w:val="20"/>
                <w:szCs w:val="20"/>
                <w:color w:val="auto"/>
              </w:rPr>
            </w:pPr>
            <w:r>
              <w:rPr>
                <w:rFonts w:ascii="Arial" w:cs="Arial" w:eastAsia="Arial" w:hAnsi="Arial"/>
                <w:sz w:val="14"/>
                <w:szCs w:val="14"/>
                <w:b w:val="1"/>
                <w:bCs w:val="1"/>
                <w:color w:val="auto"/>
              </w:rPr>
              <w:t>Due to banks and correspondents</w:t>
            </w:r>
          </w:p>
        </w:tc>
        <w:tc>
          <w:tcPr>
            <w:tcW w:w="1140" w:type="dxa"/>
            <w:vAlign w:val="bottom"/>
          </w:tcPr>
          <w:p>
            <w:pPr>
              <w:jc w:val="right"/>
              <w:spacing w:after="0"/>
              <w:rPr>
                <w:sz w:val="20"/>
                <w:szCs w:val="20"/>
                <w:color w:val="auto"/>
              </w:rPr>
            </w:pPr>
            <w:r>
              <w:rPr>
                <w:rFonts w:ascii="Arial" w:cs="Arial" w:eastAsia="Arial" w:hAnsi="Arial"/>
                <w:sz w:val="14"/>
                <w:szCs w:val="14"/>
                <w:color w:val="auto"/>
              </w:rPr>
              <w:t>1,695,923</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1,685,689</w:t>
            </w:r>
          </w:p>
        </w:tc>
        <w:tc>
          <w:tcPr>
            <w:tcW w:w="120" w:type="dxa"/>
            <w:vAlign w:val="bottom"/>
          </w:tcPr>
          <w:p>
            <w:pPr>
              <w:spacing w:after="0"/>
              <w:rPr>
                <w:sz w:val="22"/>
                <w:szCs w:val="22"/>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924,499</w:t>
            </w:r>
          </w:p>
        </w:tc>
        <w:tc>
          <w:tcPr>
            <w:tcW w:w="1280" w:type="dxa"/>
            <w:vAlign w:val="bottom"/>
            <w:gridSpan w:val="2"/>
          </w:tcPr>
          <w:p>
            <w:pPr>
              <w:jc w:val="right"/>
              <w:ind w:right="40"/>
              <w:spacing w:after="0"/>
              <w:rPr>
                <w:sz w:val="20"/>
                <w:szCs w:val="20"/>
                <w:color w:val="auto"/>
              </w:rPr>
            </w:pPr>
            <w:r>
              <w:rPr>
                <w:rFonts w:ascii="Arial" w:cs="Arial" w:eastAsia="Arial" w:hAnsi="Arial"/>
                <w:sz w:val="14"/>
                <w:szCs w:val="14"/>
                <w:color w:val="auto"/>
              </w:rPr>
              <w:t>83.4%</w:t>
            </w:r>
          </w:p>
        </w:tc>
        <w:tc>
          <w:tcPr>
            <w:tcW w:w="1280" w:type="dxa"/>
            <w:vAlign w:val="bottom"/>
            <w:gridSpan w:val="2"/>
          </w:tcPr>
          <w:p>
            <w:pPr>
              <w:jc w:val="right"/>
              <w:ind w:right="20"/>
              <w:spacing w:after="0"/>
              <w:rPr>
                <w:sz w:val="20"/>
                <w:szCs w:val="20"/>
                <w:color w:val="auto"/>
              </w:rPr>
            </w:pPr>
            <w:r>
              <w:rPr>
                <w:rFonts w:ascii="Arial" w:cs="Arial" w:eastAsia="Arial" w:hAnsi="Arial"/>
                <w:sz w:val="14"/>
                <w:szCs w:val="14"/>
                <w:color w:val="auto"/>
              </w:rPr>
              <w:t>0.6%</w:t>
            </w:r>
          </w:p>
        </w:tc>
      </w:tr>
      <w:tr>
        <w:trPr>
          <w:trHeight w:val="257"/>
        </w:trPr>
        <w:tc>
          <w:tcPr>
            <w:tcW w:w="512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Acceptances outstanding</w:t>
            </w:r>
          </w:p>
        </w:tc>
        <w:tc>
          <w:tcPr>
            <w:tcW w:w="11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51,040</w:t>
            </w:r>
          </w:p>
        </w:tc>
        <w:tc>
          <w:tcPr>
            <w:tcW w:w="100" w:type="dxa"/>
            <w:vAlign w:val="bottom"/>
            <w:shd w:val="clear" w:color="auto" w:fill="CCFFCC"/>
          </w:tcPr>
          <w:p>
            <w:pPr>
              <w:spacing w:after="0"/>
              <w:rPr>
                <w:sz w:val="22"/>
                <w:szCs w:val="22"/>
                <w:color w:val="auto"/>
              </w:rPr>
            </w:pP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46,331</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50,761</w:t>
            </w:r>
          </w:p>
        </w:tc>
        <w:tc>
          <w:tcPr>
            <w:tcW w:w="128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0.5%</w:t>
            </w: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10.2%</w:t>
            </w:r>
          </w:p>
        </w:tc>
      </w:tr>
      <w:tr>
        <w:trPr>
          <w:trHeight w:val="257"/>
        </w:trPr>
        <w:tc>
          <w:tcPr>
            <w:tcW w:w="5120" w:type="dxa"/>
            <w:vAlign w:val="bottom"/>
          </w:tcPr>
          <w:p>
            <w:pPr>
              <w:spacing w:after="0"/>
              <w:rPr>
                <w:sz w:val="20"/>
                <w:szCs w:val="20"/>
                <w:color w:val="auto"/>
              </w:rPr>
            </w:pPr>
            <w:r>
              <w:rPr>
                <w:rFonts w:ascii="Arial" w:cs="Arial" w:eastAsia="Arial" w:hAnsi="Arial"/>
                <w:sz w:val="14"/>
                <w:szCs w:val="14"/>
                <w:b w:val="1"/>
                <w:bCs w:val="1"/>
                <w:color w:val="auto"/>
              </w:rPr>
              <w:t>Reserves for property and casualty claims</w:t>
            </w:r>
          </w:p>
        </w:tc>
        <w:tc>
          <w:tcPr>
            <w:tcW w:w="1140" w:type="dxa"/>
            <w:vAlign w:val="bottom"/>
          </w:tcPr>
          <w:p>
            <w:pPr>
              <w:jc w:val="right"/>
              <w:spacing w:after="0"/>
              <w:rPr>
                <w:sz w:val="20"/>
                <w:szCs w:val="20"/>
                <w:color w:val="auto"/>
              </w:rPr>
            </w:pPr>
            <w:r>
              <w:rPr>
                <w:rFonts w:ascii="Arial" w:cs="Arial" w:eastAsia="Arial" w:hAnsi="Arial"/>
                <w:sz w:val="14"/>
                <w:szCs w:val="14"/>
                <w:color w:val="auto"/>
              </w:rPr>
              <w:t>638,270</w:t>
            </w:r>
          </w:p>
        </w:tc>
        <w:tc>
          <w:tcPr>
            <w:tcW w:w="100" w:type="dxa"/>
            <w:vAlign w:val="bottom"/>
          </w:tcPr>
          <w:p>
            <w:pPr>
              <w:spacing w:after="0"/>
              <w:rPr>
                <w:sz w:val="22"/>
                <w:szCs w:val="22"/>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578,754</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528,258</w:t>
            </w:r>
          </w:p>
        </w:tc>
        <w:tc>
          <w:tcPr>
            <w:tcW w:w="1280" w:type="dxa"/>
            <w:vAlign w:val="bottom"/>
            <w:gridSpan w:val="2"/>
          </w:tcPr>
          <w:p>
            <w:pPr>
              <w:jc w:val="right"/>
              <w:ind w:right="40"/>
              <w:spacing w:after="0"/>
              <w:rPr>
                <w:sz w:val="20"/>
                <w:szCs w:val="20"/>
                <w:color w:val="auto"/>
              </w:rPr>
            </w:pPr>
            <w:r>
              <w:rPr>
                <w:rFonts w:ascii="Arial" w:cs="Arial" w:eastAsia="Arial" w:hAnsi="Arial"/>
                <w:sz w:val="14"/>
                <w:szCs w:val="14"/>
                <w:color w:val="auto"/>
              </w:rPr>
              <w:t>20.8%</w:t>
            </w:r>
          </w:p>
        </w:tc>
        <w:tc>
          <w:tcPr>
            <w:tcW w:w="1280" w:type="dxa"/>
            <w:vAlign w:val="bottom"/>
            <w:gridSpan w:val="2"/>
          </w:tcPr>
          <w:p>
            <w:pPr>
              <w:jc w:val="right"/>
              <w:ind w:right="20"/>
              <w:spacing w:after="0"/>
              <w:rPr>
                <w:sz w:val="20"/>
                <w:szCs w:val="20"/>
                <w:color w:val="auto"/>
              </w:rPr>
            </w:pPr>
            <w:r>
              <w:rPr>
                <w:rFonts w:ascii="Arial" w:cs="Arial" w:eastAsia="Arial" w:hAnsi="Arial"/>
                <w:sz w:val="14"/>
                <w:szCs w:val="14"/>
                <w:color w:val="auto"/>
              </w:rPr>
              <w:t>10.3%</w:t>
            </w:r>
          </w:p>
        </w:tc>
      </w:tr>
      <w:tr>
        <w:trPr>
          <w:trHeight w:val="257"/>
        </w:trPr>
        <w:tc>
          <w:tcPr>
            <w:tcW w:w="512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Reserve for unearned premiums</w:t>
            </w:r>
          </w:p>
        </w:tc>
        <w:tc>
          <w:tcPr>
            <w:tcW w:w="11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118,986</w:t>
            </w:r>
          </w:p>
        </w:tc>
        <w:tc>
          <w:tcPr>
            <w:tcW w:w="100" w:type="dxa"/>
            <w:vAlign w:val="bottom"/>
            <w:shd w:val="clear" w:color="auto" w:fill="CCFFCC"/>
          </w:tcPr>
          <w:p>
            <w:pPr>
              <w:spacing w:after="0"/>
              <w:rPr>
                <w:sz w:val="22"/>
                <w:szCs w:val="22"/>
                <w:color w:val="auto"/>
              </w:rPr>
            </w:pP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112,086</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90,029</w:t>
            </w:r>
          </w:p>
        </w:tc>
        <w:tc>
          <w:tcPr>
            <w:tcW w:w="128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32.2%</w:t>
            </w: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6.2%</w:t>
            </w:r>
          </w:p>
        </w:tc>
      </w:tr>
      <w:tr>
        <w:trPr>
          <w:trHeight w:val="257"/>
        </w:trPr>
        <w:tc>
          <w:tcPr>
            <w:tcW w:w="5120" w:type="dxa"/>
            <w:vAlign w:val="bottom"/>
          </w:tcPr>
          <w:p>
            <w:pPr>
              <w:spacing w:after="0"/>
              <w:rPr>
                <w:sz w:val="20"/>
                <w:szCs w:val="20"/>
                <w:color w:val="auto"/>
              </w:rPr>
            </w:pPr>
            <w:r>
              <w:rPr>
                <w:rFonts w:ascii="Arial" w:cs="Arial" w:eastAsia="Arial" w:hAnsi="Arial"/>
                <w:sz w:val="14"/>
                <w:szCs w:val="14"/>
                <w:b w:val="1"/>
                <w:bCs w:val="1"/>
                <w:color w:val="auto"/>
              </w:rPr>
              <w:t>Reinsurance payable</w:t>
            </w:r>
          </w:p>
        </w:tc>
        <w:tc>
          <w:tcPr>
            <w:tcW w:w="1140" w:type="dxa"/>
            <w:vAlign w:val="bottom"/>
          </w:tcPr>
          <w:p>
            <w:pPr>
              <w:jc w:val="right"/>
              <w:spacing w:after="0"/>
              <w:rPr>
                <w:sz w:val="20"/>
                <w:szCs w:val="20"/>
                <w:color w:val="auto"/>
              </w:rPr>
            </w:pPr>
            <w:r>
              <w:rPr>
                <w:rFonts w:ascii="Arial" w:cs="Arial" w:eastAsia="Arial" w:hAnsi="Arial"/>
                <w:sz w:val="14"/>
                <w:szCs w:val="14"/>
                <w:color w:val="auto"/>
              </w:rPr>
              <w:t>30,247</w:t>
            </w:r>
          </w:p>
        </w:tc>
        <w:tc>
          <w:tcPr>
            <w:tcW w:w="100" w:type="dxa"/>
            <w:vAlign w:val="bottom"/>
          </w:tcPr>
          <w:p>
            <w:pPr>
              <w:spacing w:after="0"/>
              <w:rPr>
                <w:sz w:val="22"/>
                <w:szCs w:val="22"/>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25,024</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33,502</w:t>
            </w:r>
          </w:p>
        </w:tc>
        <w:tc>
          <w:tcPr>
            <w:tcW w:w="1280" w:type="dxa"/>
            <w:vAlign w:val="bottom"/>
            <w:gridSpan w:val="2"/>
          </w:tcPr>
          <w:p>
            <w:pPr>
              <w:jc w:val="right"/>
              <w:ind w:right="40"/>
              <w:spacing w:after="0"/>
              <w:rPr>
                <w:sz w:val="20"/>
                <w:szCs w:val="20"/>
                <w:color w:val="auto"/>
              </w:rPr>
            </w:pPr>
            <w:r>
              <w:rPr>
                <w:rFonts w:ascii="Arial" w:cs="Arial" w:eastAsia="Arial" w:hAnsi="Arial"/>
                <w:sz w:val="14"/>
                <w:szCs w:val="14"/>
                <w:color w:val="auto"/>
              </w:rPr>
              <w:t>-9.7%</w:t>
            </w:r>
          </w:p>
        </w:tc>
        <w:tc>
          <w:tcPr>
            <w:tcW w:w="1280" w:type="dxa"/>
            <w:vAlign w:val="bottom"/>
            <w:gridSpan w:val="2"/>
          </w:tcPr>
          <w:p>
            <w:pPr>
              <w:jc w:val="right"/>
              <w:ind w:right="20"/>
              <w:spacing w:after="0"/>
              <w:rPr>
                <w:sz w:val="20"/>
                <w:szCs w:val="20"/>
                <w:color w:val="auto"/>
              </w:rPr>
            </w:pPr>
            <w:r>
              <w:rPr>
                <w:rFonts w:ascii="Arial" w:cs="Arial" w:eastAsia="Arial" w:hAnsi="Arial"/>
                <w:sz w:val="14"/>
                <w:szCs w:val="14"/>
                <w:color w:val="auto"/>
              </w:rPr>
              <w:t>20.9%</w:t>
            </w:r>
          </w:p>
        </w:tc>
      </w:tr>
      <w:tr>
        <w:trPr>
          <w:trHeight w:val="257"/>
        </w:trPr>
        <w:tc>
          <w:tcPr>
            <w:tcW w:w="512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Bonds and subordinated debt</w:t>
            </w:r>
          </w:p>
        </w:tc>
        <w:tc>
          <w:tcPr>
            <w:tcW w:w="11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494,234</w:t>
            </w:r>
          </w:p>
        </w:tc>
        <w:tc>
          <w:tcPr>
            <w:tcW w:w="100" w:type="dxa"/>
            <w:vAlign w:val="bottom"/>
            <w:shd w:val="clear" w:color="auto" w:fill="CCFFCC"/>
          </w:tcPr>
          <w:p>
            <w:pPr>
              <w:spacing w:after="0"/>
              <w:rPr>
                <w:sz w:val="22"/>
                <w:szCs w:val="22"/>
                <w:color w:val="auto"/>
              </w:rPr>
            </w:pP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504,948</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406,734</w:t>
            </w:r>
          </w:p>
        </w:tc>
        <w:tc>
          <w:tcPr>
            <w:tcW w:w="128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21.5%</w:t>
            </w: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-2.1%</w:t>
            </w:r>
          </w:p>
        </w:tc>
      </w:tr>
      <w:tr>
        <w:trPr>
          <w:trHeight w:val="257"/>
        </w:trPr>
        <w:tc>
          <w:tcPr>
            <w:tcW w:w="5120" w:type="dxa"/>
            <w:vAlign w:val="bottom"/>
          </w:tcPr>
          <w:p>
            <w:pPr>
              <w:spacing w:after="0"/>
              <w:rPr>
                <w:sz w:val="20"/>
                <w:szCs w:val="20"/>
                <w:color w:val="auto"/>
              </w:rPr>
            </w:pPr>
            <w:r>
              <w:rPr>
                <w:rFonts w:ascii="Arial" w:cs="Arial" w:eastAsia="Arial" w:hAnsi="Arial"/>
                <w:sz w:val="14"/>
                <w:szCs w:val="14"/>
                <w:b w:val="1"/>
                <w:bCs w:val="1"/>
                <w:color w:val="auto"/>
              </w:rPr>
              <w:t>Other liabilities</w:t>
            </w:r>
          </w:p>
        </w:tc>
        <w:tc>
          <w:tcPr>
            <w:tcW w:w="1140" w:type="dxa"/>
            <w:vAlign w:val="bottom"/>
          </w:tcPr>
          <w:p>
            <w:pPr>
              <w:jc w:val="right"/>
              <w:spacing w:after="0"/>
              <w:rPr>
                <w:sz w:val="20"/>
                <w:szCs w:val="20"/>
                <w:color w:val="auto"/>
              </w:rPr>
            </w:pPr>
            <w:r>
              <w:rPr>
                <w:rFonts w:ascii="Arial" w:cs="Arial" w:eastAsia="Arial" w:hAnsi="Arial"/>
                <w:sz w:val="14"/>
                <w:szCs w:val="14"/>
                <w:color w:val="auto"/>
              </w:rPr>
              <w:t>693,131</w:t>
            </w:r>
          </w:p>
        </w:tc>
        <w:tc>
          <w:tcPr>
            <w:tcW w:w="100" w:type="dxa"/>
            <w:vAlign w:val="bottom"/>
          </w:tcPr>
          <w:p>
            <w:pPr>
              <w:spacing w:after="0"/>
              <w:rPr>
                <w:sz w:val="22"/>
                <w:szCs w:val="22"/>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548,719</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445,090</w:t>
            </w:r>
          </w:p>
        </w:tc>
        <w:tc>
          <w:tcPr>
            <w:tcW w:w="1280" w:type="dxa"/>
            <w:vAlign w:val="bottom"/>
            <w:gridSpan w:val="2"/>
          </w:tcPr>
          <w:p>
            <w:pPr>
              <w:jc w:val="right"/>
              <w:ind w:right="40"/>
              <w:spacing w:after="0"/>
              <w:rPr>
                <w:sz w:val="20"/>
                <w:szCs w:val="20"/>
                <w:color w:val="auto"/>
              </w:rPr>
            </w:pPr>
            <w:r>
              <w:rPr>
                <w:rFonts w:ascii="Arial" w:cs="Arial" w:eastAsia="Arial" w:hAnsi="Arial"/>
                <w:sz w:val="14"/>
                <w:szCs w:val="14"/>
                <w:color w:val="auto"/>
              </w:rPr>
              <w:t>55.7%</w:t>
            </w:r>
          </w:p>
        </w:tc>
        <w:tc>
          <w:tcPr>
            <w:tcW w:w="1280" w:type="dxa"/>
            <w:vAlign w:val="bottom"/>
            <w:gridSpan w:val="2"/>
          </w:tcPr>
          <w:p>
            <w:pPr>
              <w:jc w:val="right"/>
              <w:ind w:right="20"/>
              <w:spacing w:after="0"/>
              <w:rPr>
                <w:sz w:val="20"/>
                <w:szCs w:val="20"/>
                <w:color w:val="auto"/>
              </w:rPr>
            </w:pPr>
            <w:r>
              <w:rPr>
                <w:rFonts w:ascii="Arial" w:cs="Arial" w:eastAsia="Arial" w:hAnsi="Arial"/>
                <w:sz w:val="14"/>
                <w:szCs w:val="14"/>
                <w:color w:val="auto"/>
              </w:rPr>
              <w:t>26.3%</w:t>
            </w:r>
          </w:p>
        </w:tc>
      </w:tr>
      <w:tr>
        <w:trPr>
          <w:trHeight w:val="250"/>
        </w:trPr>
        <w:tc>
          <w:tcPr>
            <w:tcW w:w="51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4"/>
                <w:szCs w:val="14"/>
                <w:b w:val="1"/>
                <w:bCs w:val="1"/>
                <w:color w:val="auto"/>
              </w:rPr>
              <w:t>Minority interest</w:t>
            </w: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133,968</w:t>
            </w:r>
          </w:p>
        </w:tc>
        <w:tc>
          <w:tcPr>
            <w:tcW w:w="1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130,111</w:t>
            </w:r>
          </w:p>
        </w:tc>
        <w:tc>
          <w:tcPr>
            <w:tcW w:w="124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108,288</w:t>
            </w:r>
          </w:p>
        </w:tc>
        <w:tc>
          <w:tcPr>
            <w:tcW w:w="1280" w:type="dxa"/>
            <w:vAlign w:val="bottom"/>
            <w:tcBorders>
              <w:bottom w:val="single" w:sz="8" w:color="CCFFCC"/>
            </w:tcBorders>
            <w:gridSpan w:val="2"/>
            <w:shd w:val="clear" w:color="auto" w:fill="CCFFCC"/>
          </w:tcPr>
          <w:p>
            <w:pPr>
              <w:jc w:val="right"/>
              <w:ind w:right="40"/>
              <w:spacing w:after="0" w:line="243" w:lineRule="exact"/>
              <w:rPr>
                <w:sz w:val="20"/>
                <w:szCs w:val="20"/>
                <w:color w:val="auto"/>
              </w:rPr>
            </w:pPr>
            <w:r>
              <w:rPr>
                <w:rFonts w:ascii="Arial" w:cs="Arial" w:eastAsia="Arial" w:hAnsi="Arial"/>
                <w:sz w:val="14"/>
                <w:szCs w:val="14"/>
                <w:color w:val="auto"/>
              </w:rPr>
              <w:t>23.7</w:t>
            </w:r>
            <w:r>
              <w:rPr>
                <w:rFonts w:ascii="Arial" w:cs="Arial" w:eastAsia="Arial" w:hAnsi="Arial"/>
                <w:sz w:val="28"/>
                <w:szCs w:val="28"/>
                <w:color w:val="auto"/>
                <w:vertAlign w:val="superscript"/>
              </w:rPr>
              <w:t>%</w:t>
            </w:r>
          </w:p>
        </w:tc>
        <w:tc>
          <w:tcPr>
            <w:tcW w:w="1280" w:type="dxa"/>
            <w:vAlign w:val="bottom"/>
            <w:tcBorders>
              <w:bottom w:val="single" w:sz="8" w:color="CCFFCC"/>
            </w:tcBorders>
            <w:gridSpan w:val="2"/>
            <w:shd w:val="clear" w:color="auto" w:fill="CCFFCC"/>
          </w:tcPr>
          <w:p>
            <w:pPr>
              <w:jc w:val="right"/>
              <w:ind w:right="20"/>
              <w:spacing w:after="0" w:line="243" w:lineRule="exact"/>
              <w:rPr>
                <w:sz w:val="20"/>
                <w:szCs w:val="20"/>
                <w:color w:val="auto"/>
              </w:rPr>
            </w:pPr>
            <w:r>
              <w:rPr>
                <w:rFonts w:ascii="Arial" w:cs="Arial" w:eastAsia="Arial" w:hAnsi="Arial"/>
                <w:sz w:val="14"/>
                <w:szCs w:val="14"/>
                <w:color w:val="auto"/>
              </w:rPr>
              <w:t>3.0</w:t>
            </w:r>
            <w:r>
              <w:rPr>
                <w:rFonts w:ascii="Arial" w:cs="Arial" w:eastAsia="Arial" w:hAnsi="Arial"/>
                <w:sz w:val="28"/>
                <w:szCs w:val="28"/>
                <w:color w:val="auto"/>
                <w:vertAlign w:val="superscript"/>
              </w:rPr>
              <w:t>%</w:t>
            </w:r>
          </w:p>
        </w:tc>
      </w:tr>
      <w:tr>
        <w:trPr>
          <w:trHeight w:val="20"/>
        </w:trPr>
        <w:tc>
          <w:tcPr>
            <w:tcW w:w="51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r>
      <w:tr>
        <w:trPr>
          <w:trHeight w:val="250"/>
        </w:trPr>
        <w:tc>
          <w:tcPr>
            <w:tcW w:w="5120" w:type="dxa"/>
            <w:vAlign w:val="bottom"/>
          </w:tcPr>
          <w:p>
            <w:pPr>
              <w:jc w:val="center"/>
              <w:ind w:right="128"/>
              <w:spacing w:after="0"/>
              <w:rPr>
                <w:sz w:val="20"/>
                <w:szCs w:val="20"/>
                <w:color w:val="auto"/>
              </w:rPr>
            </w:pPr>
            <w:r>
              <w:rPr>
                <w:rFonts w:ascii="Arial" w:cs="Arial" w:eastAsia="Arial" w:hAnsi="Arial"/>
                <w:sz w:val="14"/>
                <w:szCs w:val="14"/>
                <w:b w:val="1"/>
                <w:bCs w:val="1"/>
                <w:color w:val="auto"/>
                <w:w w:val="94"/>
              </w:rPr>
              <w:t>Total liabilities</w:t>
            </w:r>
          </w:p>
        </w:tc>
        <w:tc>
          <w:tcPr>
            <w:tcW w:w="1140" w:type="dxa"/>
            <w:vAlign w:val="bottom"/>
          </w:tcPr>
          <w:p>
            <w:pPr>
              <w:jc w:val="right"/>
              <w:spacing w:after="0"/>
              <w:rPr>
                <w:sz w:val="20"/>
                <w:szCs w:val="20"/>
                <w:color w:val="auto"/>
              </w:rPr>
            </w:pPr>
            <w:r>
              <w:rPr>
                <w:rFonts w:ascii="Arial" w:cs="Arial" w:eastAsia="Arial" w:hAnsi="Arial"/>
                <w:sz w:val="14"/>
                <w:szCs w:val="14"/>
                <w:color w:val="auto"/>
              </w:rPr>
              <w:t>14,178,629</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13,784,262</w:t>
            </w: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10,561,747</w:t>
            </w:r>
          </w:p>
        </w:tc>
        <w:tc>
          <w:tcPr>
            <w:tcW w:w="1280" w:type="dxa"/>
            <w:vAlign w:val="bottom"/>
            <w:gridSpan w:val="2"/>
          </w:tcPr>
          <w:p>
            <w:pPr>
              <w:jc w:val="right"/>
              <w:ind w:right="40"/>
              <w:spacing w:after="0"/>
              <w:rPr>
                <w:sz w:val="20"/>
                <w:szCs w:val="20"/>
                <w:color w:val="auto"/>
              </w:rPr>
            </w:pPr>
            <w:r>
              <w:rPr>
                <w:rFonts w:ascii="Arial" w:cs="Arial" w:eastAsia="Arial" w:hAnsi="Arial"/>
                <w:sz w:val="14"/>
                <w:szCs w:val="14"/>
                <w:color w:val="auto"/>
              </w:rPr>
              <w:t>34.2%</w:t>
            </w:r>
          </w:p>
        </w:tc>
        <w:tc>
          <w:tcPr>
            <w:tcW w:w="1280" w:type="dxa"/>
            <w:vAlign w:val="bottom"/>
            <w:gridSpan w:val="2"/>
          </w:tcPr>
          <w:p>
            <w:pPr>
              <w:jc w:val="right"/>
              <w:ind w:right="20"/>
              <w:spacing w:after="0"/>
              <w:rPr>
                <w:sz w:val="20"/>
                <w:szCs w:val="20"/>
                <w:color w:val="auto"/>
              </w:rPr>
            </w:pPr>
            <w:r>
              <w:rPr>
                <w:rFonts w:ascii="Arial" w:cs="Arial" w:eastAsia="Arial" w:hAnsi="Arial"/>
                <w:sz w:val="14"/>
                <w:szCs w:val="14"/>
                <w:color w:val="auto"/>
              </w:rPr>
              <w:t>2.9%</w:t>
            </w:r>
          </w:p>
        </w:tc>
      </w:tr>
      <w:tr>
        <w:trPr>
          <w:trHeight w:val="243"/>
        </w:trPr>
        <w:tc>
          <w:tcPr>
            <w:tcW w:w="51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r>
      <w:tr>
        <w:trPr>
          <w:trHeight w:val="257"/>
        </w:trPr>
        <w:tc>
          <w:tcPr>
            <w:tcW w:w="5120" w:type="dxa"/>
            <w:vAlign w:val="bottom"/>
          </w:tcPr>
          <w:p>
            <w:pPr>
              <w:jc w:val="center"/>
              <w:ind w:right="128"/>
              <w:spacing w:after="0"/>
              <w:rPr>
                <w:sz w:val="20"/>
                <w:szCs w:val="20"/>
                <w:color w:val="auto"/>
              </w:rPr>
            </w:pPr>
            <w:r>
              <w:rPr>
                <w:rFonts w:ascii="Arial" w:cs="Arial" w:eastAsia="Arial" w:hAnsi="Arial"/>
                <w:sz w:val="14"/>
                <w:szCs w:val="14"/>
                <w:b w:val="1"/>
                <w:bCs w:val="1"/>
                <w:color w:val="auto"/>
                <w:w w:val="92"/>
              </w:rPr>
              <w:t>Net Shareholder's equity</w:t>
            </w:r>
          </w:p>
        </w:tc>
        <w:tc>
          <w:tcPr>
            <w:tcW w:w="1140" w:type="dxa"/>
            <w:vAlign w:val="bottom"/>
          </w:tcPr>
          <w:p>
            <w:pPr>
              <w:jc w:val="right"/>
              <w:spacing w:after="0"/>
              <w:rPr>
                <w:sz w:val="20"/>
                <w:szCs w:val="20"/>
                <w:color w:val="auto"/>
              </w:rPr>
            </w:pPr>
            <w:r>
              <w:rPr>
                <w:rFonts w:ascii="Arial" w:cs="Arial" w:eastAsia="Arial" w:hAnsi="Arial"/>
                <w:sz w:val="14"/>
                <w:szCs w:val="14"/>
                <w:color w:val="auto"/>
              </w:rPr>
              <w:t>1,603,026</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1,535,154</w:t>
            </w:r>
          </w:p>
        </w:tc>
        <w:tc>
          <w:tcPr>
            <w:tcW w:w="120" w:type="dxa"/>
            <w:vAlign w:val="bottom"/>
          </w:tcPr>
          <w:p>
            <w:pPr>
              <w:spacing w:after="0"/>
              <w:rPr>
                <w:sz w:val="22"/>
                <w:szCs w:val="22"/>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1,296,917</w:t>
            </w:r>
          </w:p>
        </w:tc>
        <w:tc>
          <w:tcPr>
            <w:tcW w:w="1280" w:type="dxa"/>
            <w:vAlign w:val="bottom"/>
            <w:gridSpan w:val="2"/>
          </w:tcPr>
          <w:p>
            <w:pPr>
              <w:jc w:val="right"/>
              <w:ind w:right="40"/>
              <w:spacing w:after="0"/>
              <w:rPr>
                <w:sz w:val="20"/>
                <w:szCs w:val="20"/>
                <w:color w:val="auto"/>
              </w:rPr>
            </w:pPr>
            <w:r>
              <w:rPr>
                <w:rFonts w:ascii="Arial" w:cs="Arial" w:eastAsia="Arial" w:hAnsi="Arial"/>
                <w:sz w:val="14"/>
                <w:szCs w:val="14"/>
                <w:color w:val="auto"/>
              </w:rPr>
              <w:t>23.6%</w:t>
            </w:r>
          </w:p>
        </w:tc>
        <w:tc>
          <w:tcPr>
            <w:tcW w:w="1280" w:type="dxa"/>
            <w:vAlign w:val="bottom"/>
            <w:gridSpan w:val="2"/>
          </w:tcPr>
          <w:p>
            <w:pPr>
              <w:jc w:val="right"/>
              <w:ind w:right="20"/>
              <w:spacing w:after="0"/>
              <w:rPr>
                <w:sz w:val="20"/>
                <w:szCs w:val="20"/>
                <w:color w:val="auto"/>
              </w:rPr>
            </w:pPr>
            <w:r>
              <w:rPr>
                <w:rFonts w:ascii="Arial" w:cs="Arial" w:eastAsia="Arial" w:hAnsi="Arial"/>
                <w:sz w:val="14"/>
                <w:szCs w:val="14"/>
                <w:color w:val="auto"/>
              </w:rPr>
              <w:t>4.4%</w:t>
            </w:r>
          </w:p>
        </w:tc>
      </w:tr>
      <w:tr>
        <w:trPr>
          <w:trHeight w:val="243"/>
        </w:trPr>
        <w:tc>
          <w:tcPr>
            <w:tcW w:w="51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r>
      <w:tr>
        <w:trPr>
          <w:trHeight w:val="257"/>
        </w:trPr>
        <w:tc>
          <w:tcPr>
            <w:tcW w:w="5120" w:type="dxa"/>
            <w:vAlign w:val="bottom"/>
          </w:tcPr>
          <w:p>
            <w:pPr>
              <w:spacing w:after="0"/>
              <w:rPr>
                <w:sz w:val="20"/>
                <w:szCs w:val="20"/>
                <w:color w:val="auto"/>
              </w:rPr>
            </w:pPr>
            <w:r>
              <w:rPr>
                <w:rFonts w:ascii="Arial" w:cs="Arial" w:eastAsia="Arial" w:hAnsi="Arial"/>
                <w:sz w:val="14"/>
                <w:szCs w:val="14"/>
                <w:b w:val="1"/>
                <w:bCs w:val="1"/>
                <w:color w:val="auto"/>
              </w:rPr>
              <w:t>Total liabilities and net shareholder's equity</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15,781,656</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15,319,416</w:t>
            </w:r>
          </w:p>
        </w:tc>
        <w:tc>
          <w:tcPr>
            <w:tcW w:w="120" w:type="dxa"/>
            <w:vAlign w:val="bottom"/>
          </w:tcPr>
          <w:p>
            <w:pPr>
              <w:spacing w:after="0"/>
              <w:rPr>
                <w:sz w:val="22"/>
                <w:szCs w:val="22"/>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11,858,664</w:t>
            </w: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rPr>
              <w:t>33.1%</w:t>
            </w: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rPr>
              <w:t>3.0%</w:t>
            </w:r>
          </w:p>
        </w:tc>
      </w:tr>
      <w:tr>
        <w:trPr>
          <w:trHeight w:val="243"/>
        </w:trPr>
        <w:tc>
          <w:tcPr>
            <w:tcW w:w="51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r>
      <w:tr>
        <w:trPr>
          <w:trHeight w:val="258"/>
        </w:trPr>
        <w:tc>
          <w:tcPr>
            <w:tcW w:w="5120" w:type="dxa"/>
            <w:vAlign w:val="bottom"/>
          </w:tcPr>
          <w:p>
            <w:pPr>
              <w:spacing w:after="0"/>
              <w:rPr>
                <w:sz w:val="20"/>
                <w:szCs w:val="20"/>
                <w:color w:val="auto"/>
              </w:rPr>
            </w:pPr>
            <w:r>
              <w:rPr>
                <w:rFonts w:ascii="Arial" w:cs="Arial" w:eastAsia="Arial" w:hAnsi="Arial"/>
                <w:sz w:val="14"/>
                <w:szCs w:val="14"/>
                <w:b w:val="1"/>
                <w:bCs w:val="1"/>
                <w:color w:val="auto"/>
              </w:rPr>
              <w:t>Contingent Credits</w:t>
            </w:r>
          </w:p>
        </w:tc>
        <w:tc>
          <w:tcPr>
            <w:tcW w:w="1140" w:type="dxa"/>
            <w:vAlign w:val="bottom"/>
          </w:tcPr>
          <w:p>
            <w:pPr>
              <w:jc w:val="right"/>
              <w:spacing w:after="0"/>
              <w:rPr>
                <w:sz w:val="20"/>
                <w:szCs w:val="20"/>
                <w:color w:val="auto"/>
              </w:rPr>
            </w:pPr>
            <w:r>
              <w:rPr>
                <w:rFonts w:ascii="Arial" w:cs="Arial" w:eastAsia="Arial" w:hAnsi="Arial"/>
                <w:sz w:val="14"/>
                <w:szCs w:val="14"/>
                <w:color w:val="auto"/>
              </w:rPr>
              <w:t>4,702,435</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4,393,139</w:t>
            </w:r>
          </w:p>
        </w:tc>
        <w:tc>
          <w:tcPr>
            <w:tcW w:w="120" w:type="dxa"/>
            <w:vAlign w:val="bottom"/>
          </w:tcPr>
          <w:p>
            <w:pPr>
              <w:spacing w:after="0"/>
              <w:rPr>
                <w:sz w:val="22"/>
                <w:szCs w:val="22"/>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3,555,593</w:t>
            </w:r>
          </w:p>
        </w:tc>
        <w:tc>
          <w:tcPr>
            <w:tcW w:w="1280" w:type="dxa"/>
            <w:vAlign w:val="bottom"/>
            <w:gridSpan w:val="2"/>
          </w:tcPr>
          <w:p>
            <w:pPr>
              <w:jc w:val="right"/>
              <w:ind w:right="40"/>
              <w:spacing w:after="0"/>
              <w:rPr>
                <w:sz w:val="20"/>
                <w:szCs w:val="20"/>
                <w:color w:val="auto"/>
              </w:rPr>
            </w:pPr>
            <w:r>
              <w:rPr>
                <w:rFonts w:ascii="Arial" w:cs="Arial" w:eastAsia="Arial" w:hAnsi="Arial"/>
                <w:sz w:val="14"/>
                <w:szCs w:val="14"/>
                <w:color w:val="auto"/>
              </w:rPr>
              <w:t>32.3%</w:t>
            </w:r>
          </w:p>
        </w:tc>
        <w:tc>
          <w:tcPr>
            <w:tcW w:w="1280" w:type="dxa"/>
            <w:vAlign w:val="bottom"/>
            <w:gridSpan w:val="2"/>
          </w:tcPr>
          <w:p>
            <w:pPr>
              <w:jc w:val="right"/>
              <w:ind w:right="20"/>
              <w:spacing w:after="0"/>
              <w:rPr>
                <w:sz w:val="20"/>
                <w:szCs w:val="20"/>
                <w:color w:val="auto"/>
              </w:rPr>
            </w:pPr>
            <w:r>
              <w:rPr>
                <w:rFonts w:ascii="Arial" w:cs="Arial" w:eastAsia="Arial" w:hAnsi="Arial"/>
                <w:sz w:val="14"/>
                <w:szCs w:val="14"/>
                <w:color w:val="auto"/>
              </w:rPr>
              <w:t>7.0%</w:t>
            </w:r>
          </w:p>
        </w:tc>
      </w:tr>
      <w:tr>
        <w:trPr>
          <w:trHeight w:val="485"/>
        </w:trPr>
        <w:tc>
          <w:tcPr>
            <w:tcW w:w="5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118"/>
        </w:trPr>
        <w:tc>
          <w:tcPr>
            <w:tcW w:w="51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40" w:right="239" w:bottom="910" w:gutter="0" w:footer="0" w:header="0"/>
        </w:sectPr>
      </w:pPr>
    </w:p>
    <w:bookmarkStart w:id="12" w:name="page13"/>
    <w:bookmarkEnd w:id="12"/>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CREDICORP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thousands, IFRS)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Quarter</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Change</w:t>
            </w:r>
          </w:p>
        </w:tc>
        <w:tc>
          <w:tcPr>
            <w:tcW w:w="196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Year ended</w:t>
            </w:r>
          </w:p>
        </w:tc>
        <w:tc>
          <w:tcPr>
            <w:tcW w:w="980" w:type="dxa"/>
            <w:vAlign w:val="bottom"/>
            <w:gridSpan w:val="2"/>
          </w:tcPr>
          <w:p>
            <w:pPr>
              <w:ind w:left="180"/>
              <w:spacing w:after="0"/>
              <w:rPr>
                <w:sz w:val="20"/>
                <w:szCs w:val="20"/>
                <w:color w:val="auto"/>
              </w:rPr>
            </w:pPr>
            <w:r>
              <w:rPr>
                <w:rFonts w:ascii="Arial" w:cs="Arial" w:eastAsia="Arial" w:hAnsi="Arial"/>
                <w:sz w:val="14"/>
                <w:szCs w:val="14"/>
                <w:b w:val="1"/>
                <w:bCs w:val="1"/>
                <w:color w:val="auto"/>
              </w:rPr>
              <w:t>Change</w:t>
            </w:r>
          </w:p>
        </w:tc>
      </w:tr>
      <w:tr>
        <w:trPr>
          <w:trHeight w:val="160"/>
        </w:trPr>
        <w:tc>
          <w:tcPr>
            <w:tcW w:w="382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Borders>
              <w:top w:val="single" w:sz="8" w:color="auto"/>
            </w:tcBorders>
            <w:gridSpan w:val="2"/>
          </w:tcPr>
          <w:p>
            <w:pPr>
              <w:jc w:val="right"/>
              <w:ind w:right="220"/>
              <w:spacing w:after="0" w:line="160" w:lineRule="exact"/>
              <w:rPr>
                <w:sz w:val="20"/>
                <w:szCs w:val="20"/>
                <w:color w:val="auto"/>
              </w:rPr>
            </w:pPr>
            <w:r>
              <w:rPr>
                <w:rFonts w:ascii="Arial" w:cs="Arial" w:eastAsia="Arial" w:hAnsi="Arial"/>
                <w:sz w:val="14"/>
                <w:szCs w:val="14"/>
                <w:b w:val="1"/>
                <w:bCs w:val="1"/>
                <w:color w:val="auto"/>
              </w:rPr>
              <w:t>September</w:t>
            </w:r>
          </w:p>
        </w:tc>
        <w:tc>
          <w:tcPr>
            <w:tcW w:w="840" w:type="dxa"/>
            <w:vAlign w:val="bottom"/>
            <w:tcBorders>
              <w:top w:val="single" w:sz="8" w:color="auto"/>
            </w:tcBorders>
          </w:tcPr>
          <w:p>
            <w:pPr>
              <w:jc w:val="right"/>
              <w:ind w:right="8"/>
              <w:spacing w:after="0" w:line="160" w:lineRule="exact"/>
              <w:rPr>
                <w:sz w:val="20"/>
                <w:szCs w:val="20"/>
                <w:color w:val="auto"/>
              </w:rPr>
            </w:pPr>
            <w:r>
              <w:rPr>
                <w:rFonts w:ascii="Arial" w:cs="Arial" w:eastAsia="Arial" w:hAnsi="Arial"/>
                <w:sz w:val="14"/>
                <w:szCs w:val="14"/>
                <w:b w:val="1"/>
                <w:bCs w:val="1"/>
                <w:color w:val="auto"/>
              </w:rPr>
              <w:t>September</w:t>
            </w:r>
          </w:p>
        </w:tc>
        <w:tc>
          <w:tcPr>
            <w:tcW w:w="140" w:type="dxa"/>
            <w:vAlign w:val="bottom"/>
          </w:tcPr>
          <w:p>
            <w:pPr>
              <w:spacing w:after="0"/>
              <w:rPr>
                <w:sz w:val="13"/>
                <w:szCs w:val="13"/>
                <w:color w:val="auto"/>
              </w:rPr>
            </w:pPr>
          </w:p>
        </w:tc>
        <w:tc>
          <w:tcPr>
            <w:tcW w:w="840" w:type="dxa"/>
            <w:vAlign w:val="bottom"/>
            <w:tcBorders>
              <w:top w:val="single" w:sz="8" w:color="auto"/>
            </w:tcBorders>
          </w:tcPr>
          <w:p>
            <w:pPr>
              <w:ind w:left="160"/>
              <w:spacing w:after="0" w:line="160" w:lineRule="exact"/>
              <w:rPr>
                <w:sz w:val="20"/>
                <w:szCs w:val="20"/>
                <w:color w:val="auto"/>
              </w:rPr>
            </w:pPr>
            <w:r>
              <w:rPr>
                <w:rFonts w:ascii="Arial" w:cs="Arial" w:eastAsia="Arial" w:hAnsi="Arial"/>
                <w:sz w:val="14"/>
                <w:szCs w:val="14"/>
                <w:b w:val="1"/>
                <w:bCs w:val="1"/>
                <w:color w:val="auto"/>
              </w:rPr>
              <w:t>Sept 07/</w:t>
            </w:r>
          </w:p>
        </w:tc>
        <w:tc>
          <w:tcPr>
            <w:tcW w:w="140" w:type="dxa"/>
            <w:vAlign w:val="bottom"/>
          </w:tcPr>
          <w:p>
            <w:pPr>
              <w:spacing w:after="0"/>
              <w:rPr>
                <w:sz w:val="13"/>
                <w:szCs w:val="13"/>
                <w:color w:val="auto"/>
              </w:rPr>
            </w:pPr>
          </w:p>
        </w:tc>
      </w:tr>
      <w:tr>
        <w:trPr>
          <w:trHeight w:val="185"/>
        </w:trPr>
        <w:tc>
          <w:tcPr>
            <w:tcW w:w="3820" w:type="dxa"/>
            <w:vAlign w:val="bottom"/>
          </w:tcPr>
          <w:p>
            <w:pPr>
              <w:spacing w:after="0"/>
              <w:rPr>
                <w:sz w:val="16"/>
                <w:szCs w:val="16"/>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3Q07</w:t>
            </w: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2Q07</w:t>
            </w: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3Q06</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3Q07/3Q06</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3Q07/2Q07</w:t>
            </w:r>
          </w:p>
        </w:tc>
        <w:tc>
          <w:tcPr>
            <w:tcW w:w="840" w:type="dxa"/>
            <w:vAlign w:val="bottom"/>
          </w:tcPr>
          <w:p>
            <w:pPr>
              <w:jc w:val="right"/>
              <w:ind w:right="268"/>
              <w:spacing w:after="0"/>
              <w:rPr>
                <w:sz w:val="20"/>
                <w:szCs w:val="20"/>
                <w:color w:val="auto"/>
              </w:rPr>
            </w:pPr>
            <w:r>
              <w:rPr>
                <w:rFonts w:ascii="Arial" w:cs="Arial" w:eastAsia="Arial" w:hAnsi="Arial"/>
                <w:sz w:val="14"/>
                <w:szCs w:val="14"/>
                <w:b w:val="1"/>
                <w:bCs w:val="1"/>
                <w:color w:val="auto"/>
              </w:rPr>
              <w:t>07</w:t>
            </w:r>
          </w:p>
        </w:tc>
        <w:tc>
          <w:tcPr>
            <w:tcW w:w="140" w:type="dxa"/>
            <w:vAlign w:val="bottom"/>
          </w:tcPr>
          <w:p>
            <w:pPr>
              <w:spacing w:after="0"/>
              <w:rPr>
                <w:sz w:val="16"/>
                <w:szCs w:val="16"/>
                <w:color w:val="auto"/>
              </w:rPr>
            </w:pPr>
          </w:p>
        </w:tc>
        <w:tc>
          <w:tcPr>
            <w:tcW w:w="840" w:type="dxa"/>
            <w:vAlign w:val="bottom"/>
          </w:tcPr>
          <w:p>
            <w:pPr>
              <w:jc w:val="right"/>
              <w:ind w:right="268"/>
              <w:spacing w:after="0"/>
              <w:rPr>
                <w:sz w:val="20"/>
                <w:szCs w:val="20"/>
                <w:color w:val="auto"/>
              </w:rPr>
            </w:pPr>
            <w:r>
              <w:rPr>
                <w:rFonts w:ascii="Arial" w:cs="Arial" w:eastAsia="Arial" w:hAnsi="Arial"/>
                <w:sz w:val="14"/>
                <w:szCs w:val="14"/>
                <w:b w:val="1"/>
                <w:bCs w:val="1"/>
                <w:color w:val="auto"/>
              </w:rPr>
              <w:t>06</w:t>
            </w:r>
          </w:p>
        </w:tc>
        <w:tc>
          <w:tcPr>
            <w:tcW w:w="140" w:type="dxa"/>
            <w:vAlign w:val="bottom"/>
          </w:tcPr>
          <w:p>
            <w:pPr>
              <w:spacing w:after="0"/>
              <w:rPr>
                <w:sz w:val="16"/>
                <w:szCs w:val="16"/>
                <w:color w:val="auto"/>
              </w:rPr>
            </w:pPr>
          </w:p>
        </w:tc>
        <w:tc>
          <w:tcPr>
            <w:tcW w:w="980" w:type="dxa"/>
            <w:vAlign w:val="bottom"/>
            <w:gridSpan w:val="2"/>
          </w:tcPr>
          <w:p>
            <w:pPr>
              <w:ind w:left="180"/>
              <w:spacing w:after="0"/>
              <w:rPr>
                <w:sz w:val="20"/>
                <w:szCs w:val="20"/>
                <w:color w:val="auto"/>
              </w:rPr>
            </w:pPr>
            <w:r>
              <w:rPr>
                <w:rFonts w:ascii="Arial" w:cs="Arial" w:eastAsia="Arial" w:hAnsi="Arial"/>
                <w:sz w:val="14"/>
                <w:szCs w:val="14"/>
                <w:b w:val="1"/>
                <w:bCs w:val="1"/>
                <w:color w:val="auto"/>
              </w:rPr>
              <w:t>Sept 06</w:t>
            </w:r>
          </w:p>
        </w:tc>
      </w:tr>
      <w:tr>
        <w:trPr>
          <w:trHeight w:val="237"/>
        </w:trPr>
        <w:tc>
          <w:tcPr>
            <w:tcW w:w="3820" w:type="dxa"/>
            <w:vAlign w:val="bottom"/>
          </w:tcPr>
          <w:p>
            <w:pPr>
              <w:spacing w:after="0"/>
              <w:rPr>
                <w:sz w:val="20"/>
                <w:szCs w:val="20"/>
                <w:color w:val="auto"/>
              </w:rPr>
            </w:pPr>
            <w:r>
              <w:rPr>
                <w:rFonts w:ascii="Arial" w:cs="Arial" w:eastAsia="Arial" w:hAnsi="Arial"/>
                <w:sz w:val="14"/>
                <w:szCs w:val="14"/>
                <w:b w:val="1"/>
                <w:bCs w:val="1"/>
                <w:color w:val="auto"/>
              </w:rPr>
              <w:t>Interest income and expense</w:t>
            </w: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43"/>
        </w:trPr>
        <w:tc>
          <w:tcPr>
            <w:tcW w:w="3820" w:type="dxa"/>
            <w:vAlign w:val="bottom"/>
            <w:shd w:val="clear" w:color="auto" w:fill="CCFFCC"/>
          </w:tcPr>
          <w:p>
            <w:pPr>
              <w:ind w:left="180"/>
              <w:spacing w:after="0"/>
              <w:rPr>
                <w:sz w:val="20"/>
                <w:szCs w:val="20"/>
                <w:color w:val="auto"/>
              </w:rPr>
            </w:pPr>
            <w:r>
              <w:rPr>
                <w:rFonts w:ascii="Arial" w:cs="Arial" w:eastAsia="Arial" w:hAnsi="Arial"/>
                <w:sz w:val="14"/>
                <w:szCs w:val="14"/>
                <w:color w:val="auto"/>
              </w:rPr>
              <w:t>Interest and dividend income</w:t>
            </w: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270,182</w:t>
            </w:r>
          </w:p>
        </w:tc>
        <w:tc>
          <w:tcPr>
            <w:tcW w:w="120" w:type="dxa"/>
            <w:vAlign w:val="bottom"/>
            <w:shd w:val="clear" w:color="auto" w:fill="CCFFCC"/>
          </w:tcPr>
          <w:p>
            <w:pPr>
              <w:spacing w:after="0"/>
              <w:rPr>
                <w:sz w:val="21"/>
                <w:szCs w:val="21"/>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248,976</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198,339</w:t>
            </w:r>
          </w:p>
        </w:tc>
        <w:tc>
          <w:tcPr>
            <w:tcW w:w="96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36.2%</w:t>
            </w:r>
          </w:p>
        </w:tc>
        <w:tc>
          <w:tcPr>
            <w:tcW w:w="94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8.5%</w:t>
            </w: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740,005</w:t>
            </w: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571,199</w:t>
            </w:r>
          </w:p>
        </w:tc>
        <w:tc>
          <w:tcPr>
            <w:tcW w:w="98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29.6%</w:t>
            </w:r>
          </w:p>
        </w:tc>
      </w:tr>
      <w:tr>
        <w:trPr>
          <w:trHeight w:val="270"/>
        </w:trPr>
        <w:tc>
          <w:tcPr>
            <w:tcW w:w="3820" w:type="dxa"/>
            <w:vAlign w:val="bottom"/>
          </w:tcPr>
          <w:p>
            <w:pPr>
              <w:ind w:left="180"/>
              <w:spacing w:after="0"/>
              <w:rPr>
                <w:sz w:val="20"/>
                <w:szCs w:val="20"/>
                <w:color w:val="auto"/>
              </w:rPr>
            </w:pPr>
            <w:r>
              <w:rPr>
                <w:rFonts w:ascii="Arial" w:cs="Arial" w:eastAsia="Arial" w:hAnsi="Arial"/>
                <w:sz w:val="14"/>
                <w:szCs w:val="14"/>
                <w:color w:val="auto"/>
              </w:rPr>
              <w:t>Interest expense</w:t>
            </w:r>
          </w:p>
        </w:tc>
        <w:tc>
          <w:tcPr>
            <w:tcW w:w="920" w:type="dxa"/>
            <w:vAlign w:val="bottom"/>
            <w:gridSpan w:val="2"/>
          </w:tcPr>
          <w:p>
            <w:pPr>
              <w:jc w:val="right"/>
              <w:ind w:right="80"/>
              <w:spacing w:after="0" w:line="270" w:lineRule="exact"/>
              <w:rPr>
                <w:sz w:val="20"/>
                <w:szCs w:val="20"/>
                <w:color w:val="auto"/>
              </w:rPr>
            </w:pPr>
            <w:r>
              <w:rPr>
                <w:rFonts w:ascii="Arial" w:cs="Arial" w:eastAsia="Arial" w:hAnsi="Arial"/>
                <w:sz w:val="14"/>
                <w:szCs w:val="14"/>
                <w:color w:val="auto"/>
              </w:rPr>
              <w:t>(109,127</w:t>
            </w:r>
            <w:r>
              <w:rPr>
                <w:rFonts w:ascii="Arial" w:cs="Arial" w:eastAsia="Arial" w:hAnsi="Arial"/>
                <w:sz w:val="28"/>
                <w:szCs w:val="28"/>
                <w:color w:val="auto"/>
                <w:vertAlign w:val="superscript"/>
              </w:rPr>
              <w:t>)</w:t>
            </w:r>
          </w:p>
        </w:tc>
        <w:tc>
          <w:tcPr>
            <w:tcW w:w="920" w:type="dxa"/>
            <w:vAlign w:val="bottom"/>
            <w:gridSpan w:val="2"/>
          </w:tcPr>
          <w:p>
            <w:pPr>
              <w:jc w:val="right"/>
              <w:ind w:right="80"/>
              <w:spacing w:after="0" w:line="270" w:lineRule="exact"/>
              <w:rPr>
                <w:sz w:val="20"/>
                <w:szCs w:val="20"/>
                <w:color w:val="auto"/>
              </w:rPr>
            </w:pPr>
            <w:r>
              <w:rPr>
                <w:rFonts w:ascii="Arial" w:cs="Arial" w:eastAsia="Arial" w:hAnsi="Arial"/>
                <w:sz w:val="14"/>
                <w:szCs w:val="14"/>
                <w:color w:val="auto"/>
              </w:rPr>
              <w:t>(89,671</w:t>
            </w:r>
            <w:r>
              <w:rPr>
                <w:rFonts w:ascii="Arial" w:cs="Arial" w:eastAsia="Arial" w:hAnsi="Arial"/>
                <w:sz w:val="28"/>
                <w:szCs w:val="28"/>
                <w:color w:val="auto"/>
                <w:vertAlign w:val="superscript"/>
              </w:rPr>
              <w:t>)</w:t>
            </w:r>
          </w:p>
        </w:tc>
        <w:tc>
          <w:tcPr>
            <w:tcW w:w="920" w:type="dxa"/>
            <w:vAlign w:val="bottom"/>
            <w:gridSpan w:val="2"/>
          </w:tcPr>
          <w:p>
            <w:pPr>
              <w:jc w:val="right"/>
              <w:ind w:right="80"/>
              <w:spacing w:after="0" w:line="270" w:lineRule="exact"/>
              <w:rPr>
                <w:sz w:val="20"/>
                <w:szCs w:val="20"/>
                <w:color w:val="auto"/>
              </w:rPr>
            </w:pPr>
            <w:r>
              <w:rPr>
                <w:rFonts w:ascii="Arial" w:cs="Arial" w:eastAsia="Arial" w:hAnsi="Arial"/>
                <w:sz w:val="14"/>
                <w:szCs w:val="14"/>
                <w:color w:val="auto"/>
              </w:rPr>
              <w:t>(77,672</w:t>
            </w:r>
            <w:r>
              <w:rPr>
                <w:rFonts w:ascii="Arial" w:cs="Arial" w:eastAsia="Arial" w:hAnsi="Arial"/>
                <w:sz w:val="28"/>
                <w:szCs w:val="28"/>
                <w:color w:val="auto"/>
                <w:vertAlign w:val="superscript"/>
              </w:rPr>
              <w:t>)</w:t>
            </w:r>
          </w:p>
        </w:tc>
        <w:tc>
          <w:tcPr>
            <w:tcW w:w="960" w:type="dxa"/>
            <w:vAlign w:val="bottom"/>
            <w:gridSpan w:val="2"/>
          </w:tcPr>
          <w:p>
            <w:pPr>
              <w:jc w:val="right"/>
              <w:ind w:right="20"/>
              <w:spacing w:after="0" w:line="270" w:lineRule="exact"/>
              <w:rPr>
                <w:sz w:val="20"/>
                <w:szCs w:val="20"/>
                <w:color w:val="auto"/>
              </w:rPr>
            </w:pPr>
            <w:r>
              <w:rPr>
                <w:rFonts w:ascii="Arial" w:cs="Arial" w:eastAsia="Arial" w:hAnsi="Arial"/>
                <w:sz w:val="14"/>
                <w:szCs w:val="14"/>
                <w:color w:val="auto"/>
              </w:rPr>
              <w:t>40.5</w:t>
            </w:r>
            <w:r>
              <w:rPr>
                <w:rFonts w:ascii="Arial" w:cs="Arial" w:eastAsia="Arial" w:hAnsi="Arial"/>
                <w:sz w:val="28"/>
                <w:szCs w:val="28"/>
                <w:color w:val="auto"/>
                <w:vertAlign w:val="superscript"/>
              </w:rPr>
              <w:t>%</w:t>
            </w:r>
          </w:p>
        </w:tc>
        <w:tc>
          <w:tcPr>
            <w:tcW w:w="940" w:type="dxa"/>
            <w:vAlign w:val="bottom"/>
            <w:gridSpan w:val="2"/>
          </w:tcPr>
          <w:p>
            <w:pPr>
              <w:jc w:val="right"/>
              <w:spacing w:after="0" w:line="270" w:lineRule="exact"/>
              <w:rPr>
                <w:sz w:val="20"/>
                <w:szCs w:val="20"/>
                <w:color w:val="auto"/>
              </w:rPr>
            </w:pPr>
            <w:r>
              <w:rPr>
                <w:rFonts w:ascii="Arial" w:cs="Arial" w:eastAsia="Arial" w:hAnsi="Arial"/>
                <w:sz w:val="14"/>
                <w:szCs w:val="14"/>
                <w:color w:val="auto"/>
              </w:rPr>
              <w:t>21.7</w:t>
            </w:r>
            <w:r>
              <w:rPr>
                <w:rFonts w:ascii="Arial" w:cs="Arial" w:eastAsia="Arial" w:hAnsi="Arial"/>
                <w:sz w:val="28"/>
                <w:szCs w:val="28"/>
                <w:color w:val="auto"/>
                <w:vertAlign w:val="superscript"/>
              </w:rPr>
              <w:t>%</w:t>
            </w:r>
          </w:p>
        </w:tc>
        <w:tc>
          <w:tcPr>
            <w:tcW w:w="980" w:type="dxa"/>
            <w:vAlign w:val="bottom"/>
            <w:gridSpan w:val="2"/>
          </w:tcPr>
          <w:p>
            <w:pPr>
              <w:jc w:val="right"/>
              <w:ind w:right="80"/>
              <w:spacing w:after="0" w:line="270" w:lineRule="exact"/>
              <w:rPr>
                <w:sz w:val="20"/>
                <w:szCs w:val="20"/>
                <w:color w:val="auto"/>
              </w:rPr>
            </w:pPr>
            <w:r>
              <w:rPr>
                <w:rFonts w:ascii="Arial" w:cs="Arial" w:eastAsia="Arial" w:hAnsi="Arial"/>
                <w:sz w:val="14"/>
                <w:szCs w:val="14"/>
                <w:color w:val="auto"/>
              </w:rPr>
              <w:t>(280,787</w:t>
            </w:r>
            <w:r>
              <w:rPr>
                <w:rFonts w:ascii="Arial" w:cs="Arial" w:eastAsia="Arial" w:hAnsi="Arial"/>
                <w:sz w:val="28"/>
                <w:szCs w:val="28"/>
                <w:color w:val="auto"/>
                <w:vertAlign w:val="superscript"/>
              </w:rPr>
              <w:t>)</w:t>
            </w:r>
          </w:p>
        </w:tc>
        <w:tc>
          <w:tcPr>
            <w:tcW w:w="980" w:type="dxa"/>
            <w:vAlign w:val="bottom"/>
            <w:gridSpan w:val="2"/>
          </w:tcPr>
          <w:p>
            <w:pPr>
              <w:jc w:val="right"/>
              <w:ind w:right="100"/>
              <w:spacing w:after="0" w:line="270" w:lineRule="exact"/>
              <w:rPr>
                <w:sz w:val="20"/>
                <w:szCs w:val="20"/>
                <w:color w:val="auto"/>
              </w:rPr>
            </w:pPr>
            <w:r>
              <w:rPr>
                <w:rFonts w:ascii="Arial" w:cs="Arial" w:eastAsia="Arial" w:hAnsi="Arial"/>
                <w:sz w:val="14"/>
                <w:szCs w:val="14"/>
                <w:color w:val="auto"/>
              </w:rPr>
              <w:t>(205,545</w:t>
            </w:r>
            <w:r>
              <w:rPr>
                <w:rFonts w:ascii="Arial" w:cs="Arial" w:eastAsia="Arial" w:hAnsi="Arial"/>
                <w:sz w:val="28"/>
                <w:szCs w:val="28"/>
                <w:color w:val="auto"/>
                <w:vertAlign w:val="superscript"/>
              </w:rPr>
              <w:t>)</w:t>
            </w:r>
          </w:p>
        </w:tc>
        <w:tc>
          <w:tcPr>
            <w:tcW w:w="980" w:type="dxa"/>
            <w:vAlign w:val="bottom"/>
            <w:gridSpan w:val="2"/>
          </w:tcPr>
          <w:p>
            <w:pPr>
              <w:jc w:val="right"/>
              <w:ind w:right="20"/>
              <w:spacing w:after="0" w:line="270" w:lineRule="exact"/>
              <w:rPr>
                <w:sz w:val="20"/>
                <w:szCs w:val="20"/>
                <w:color w:val="auto"/>
              </w:rPr>
            </w:pPr>
            <w:r>
              <w:rPr>
                <w:rFonts w:ascii="Arial" w:cs="Arial" w:eastAsia="Arial" w:hAnsi="Arial"/>
                <w:sz w:val="14"/>
                <w:szCs w:val="14"/>
                <w:color w:val="auto"/>
              </w:rPr>
              <w:t>36.6</w:t>
            </w:r>
            <w:r>
              <w:rPr>
                <w:rFonts w:ascii="Arial" w:cs="Arial" w:eastAsia="Arial" w:hAnsi="Arial"/>
                <w:sz w:val="28"/>
                <w:szCs w:val="28"/>
                <w:color w:val="auto"/>
                <w:vertAlign w:val="superscript"/>
              </w:rPr>
              <w:t>%</w:t>
            </w:r>
          </w:p>
        </w:tc>
      </w:tr>
      <w:tr>
        <w:trPr>
          <w:trHeight w:val="20"/>
        </w:trPr>
        <w:tc>
          <w:tcPr>
            <w:tcW w:w="38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44"/>
        </w:trPr>
        <w:tc>
          <w:tcPr>
            <w:tcW w:w="382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4"/>
                <w:szCs w:val="14"/>
                <w:color w:val="auto"/>
              </w:rPr>
              <w:t>Net interest and dividend income</w:t>
            </w:r>
          </w:p>
        </w:tc>
        <w:tc>
          <w:tcPr>
            <w:tcW w:w="8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161,055</w:t>
            </w:r>
          </w:p>
        </w:tc>
        <w:tc>
          <w:tcPr>
            <w:tcW w:w="120" w:type="dxa"/>
            <w:vAlign w:val="bottom"/>
            <w:tcBorders>
              <w:bottom w:val="single" w:sz="8" w:color="CCFFCC"/>
            </w:tcBorders>
            <w:shd w:val="clear" w:color="auto" w:fill="CCFFCC"/>
          </w:tcPr>
          <w:p>
            <w:pPr>
              <w:spacing w:after="0"/>
              <w:rPr>
                <w:sz w:val="21"/>
                <w:szCs w:val="21"/>
                <w:color w:val="auto"/>
              </w:rPr>
            </w:pPr>
          </w:p>
        </w:tc>
        <w:tc>
          <w:tcPr>
            <w:tcW w:w="8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159,305</w:t>
            </w:r>
          </w:p>
        </w:tc>
        <w:tc>
          <w:tcPr>
            <w:tcW w:w="120" w:type="dxa"/>
            <w:vAlign w:val="bottom"/>
            <w:tcBorders>
              <w:bottom w:val="single" w:sz="8" w:color="CCFFCC"/>
            </w:tcBorders>
            <w:shd w:val="clear" w:color="auto" w:fill="CCFFCC"/>
          </w:tcPr>
          <w:p>
            <w:pPr>
              <w:spacing w:after="0"/>
              <w:rPr>
                <w:sz w:val="21"/>
                <w:szCs w:val="21"/>
                <w:color w:val="auto"/>
              </w:rPr>
            </w:pPr>
          </w:p>
        </w:tc>
        <w:tc>
          <w:tcPr>
            <w:tcW w:w="8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120,667</w:t>
            </w:r>
          </w:p>
        </w:tc>
        <w:tc>
          <w:tcPr>
            <w:tcW w:w="12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CCFFCC"/>
            </w:tcBorders>
            <w:gridSpan w:val="2"/>
            <w:shd w:val="clear" w:color="auto" w:fill="CCFFCC"/>
          </w:tcPr>
          <w:p>
            <w:pPr>
              <w:jc w:val="right"/>
              <w:ind w:right="20"/>
              <w:spacing w:after="0" w:line="236" w:lineRule="exact"/>
              <w:rPr>
                <w:sz w:val="20"/>
                <w:szCs w:val="20"/>
                <w:color w:val="auto"/>
              </w:rPr>
            </w:pPr>
            <w:r>
              <w:rPr>
                <w:rFonts w:ascii="Arial" w:cs="Arial" w:eastAsia="Arial" w:hAnsi="Arial"/>
                <w:sz w:val="14"/>
                <w:szCs w:val="14"/>
                <w:color w:val="auto"/>
              </w:rPr>
              <w:t>33.5</w:t>
            </w:r>
            <w:r>
              <w:rPr>
                <w:rFonts w:ascii="Arial" w:cs="Arial" w:eastAsia="Arial" w:hAnsi="Arial"/>
                <w:sz w:val="27"/>
                <w:szCs w:val="27"/>
                <w:color w:val="auto"/>
                <w:vertAlign w:val="superscript"/>
              </w:rPr>
              <w:t>%</w:t>
            </w:r>
          </w:p>
        </w:tc>
        <w:tc>
          <w:tcPr>
            <w:tcW w:w="940" w:type="dxa"/>
            <w:vAlign w:val="bottom"/>
            <w:tcBorders>
              <w:bottom w:val="single" w:sz="8" w:color="CCFFCC"/>
            </w:tcBorders>
            <w:gridSpan w:val="2"/>
            <w:shd w:val="clear" w:color="auto" w:fill="CCFFCC"/>
          </w:tcPr>
          <w:p>
            <w:pPr>
              <w:jc w:val="right"/>
              <w:spacing w:after="0" w:line="236" w:lineRule="exact"/>
              <w:rPr>
                <w:sz w:val="20"/>
                <w:szCs w:val="20"/>
                <w:color w:val="auto"/>
              </w:rPr>
            </w:pPr>
            <w:r>
              <w:rPr>
                <w:rFonts w:ascii="Arial" w:cs="Arial" w:eastAsia="Arial" w:hAnsi="Arial"/>
                <w:sz w:val="14"/>
                <w:szCs w:val="14"/>
                <w:color w:val="auto"/>
              </w:rPr>
              <w:t>1.1</w:t>
            </w:r>
            <w:r>
              <w:rPr>
                <w:rFonts w:ascii="Arial" w:cs="Arial" w:eastAsia="Arial" w:hAnsi="Arial"/>
                <w:sz w:val="27"/>
                <w:szCs w:val="27"/>
                <w:color w:val="auto"/>
                <w:vertAlign w:val="superscript"/>
              </w:rPr>
              <w:t>%</w:t>
            </w:r>
          </w:p>
        </w:tc>
        <w:tc>
          <w:tcPr>
            <w:tcW w:w="980" w:type="dxa"/>
            <w:vAlign w:val="bottom"/>
            <w:tcBorders>
              <w:bottom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459,218</w:t>
            </w:r>
          </w:p>
        </w:tc>
        <w:tc>
          <w:tcPr>
            <w:tcW w:w="980" w:type="dxa"/>
            <w:vAlign w:val="bottom"/>
            <w:tcBorders>
              <w:bottom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365,653</w:t>
            </w:r>
          </w:p>
        </w:tc>
        <w:tc>
          <w:tcPr>
            <w:tcW w:w="980" w:type="dxa"/>
            <w:vAlign w:val="bottom"/>
            <w:tcBorders>
              <w:bottom w:val="single" w:sz="8" w:color="CCFFCC"/>
            </w:tcBorders>
            <w:gridSpan w:val="2"/>
            <w:shd w:val="clear" w:color="auto" w:fill="CCFFCC"/>
          </w:tcPr>
          <w:p>
            <w:pPr>
              <w:jc w:val="right"/>
              <w:ind w:right="20"/>
              <w:spacing w:after="0" w:line="236" w:lineRule="exact"/>
              <w:rPr>
                <w:sz w:val="20"/>
                <w:szCs w:val="20"/>
                <w:color w:val="auto"/>
              </w:rPr>
            </w:pPr>
            <w:r>
              <w:rPr>
                <w:rFonts w:ascii="Arial" w:cs="Arial" w:eastAsia="Arial" w:hAnsi="Arial"/>
                <w:sz w:val="14"/>
                <w:szCs w:val="14"/>
                <w:color w:val="auto"/>
              </w:rPr>
              <w:t>25.6</w:t>
            </w:r>
            <w:r>
              <w:rPr>
                <w:rFonts w:ascii="Arial" w:cs="Arial" w:eastAsia="Arial" w:hAnsi="Arial"/>
                <w:sz w:val="27"/>
                <w:szCs w:val="27"/>
                <w:color w:val="auto"/>
                <w:vertAlign w:val="superscript"/>
              </w:rPr>
              <w:t>%</w:t>
            </w:r>
          </w:p>
        </w:tc>
      </w:tr>
      <w:tr>
        <w:trPr>
          <w:trHeight w:val="20"/>
        </w:trPr>
        <w:tc>
          <w:tcPr>
            <w:tcW w:w="382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r>
      <w:tr>
        <w:trPr>
          <w:trHeight w:val="237"/>
        </w:trPr>
        <w:tc>
          <w:tcPr>
            <w:tcW w:w="3820" w:type="dxa"/>
            <w:vAlign w:val="bottom"/>
          </w:tcPr>
          <w:p>
            <w:pPr>
              <w:spacing w:after="0"/>
              <w:rPr>
                <w:sz w:val="20"/>
                <w:szCs w:val="20"/>
                <w:color w:val="auto"/>
              </w:rPr>
            </w:pPr>
            <w:r>
              <w:rPr>
                <w:rFonts w:ascii="Arial" w:cs="Arial" w:eastAsia="Arial" w:hAnsi="Arial"/>
                <w:sz w:val="14"/>
                <w:szCs w:val="14"/>
                <w:b w:val="1"/>
                <w:bCs w:val="1"/>
                <w:color w:val="auto"/>
              </w:rPr>
              <w:t>Provision for loan losses</w:t>
            </w:r>
          </w:p>
        </w:tc>
        <w:tc>
          <w:tcPr>
            <w:tcW w:w="9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(7,922</w:t>
            </w:r>
            <w:r>
              <w:rPr>
                <w:rFonts w:ascii="Arial" w:cs="Arial" w:eastAsia="Arial" w:hAnsi="Arial"/>
                <w:sz w:val="14"/>
                <w:szCs w:val="14"/>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(6,090</w:t>
            </w:r>
            <w:r>
              <w:rPr>
                <w:rFonts w:ascii="Arial" w:cs="Arial" w:eastAsia="Arial" w:hAnsi="Arial"/>
                <w:sz w:val="14"/>
                <w:szCs w:val="14"/>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9,795</w:t>
            </w:r>
          </w:p>
        </w:tc>
        <w:tc>
          <w:tcPr>
            <w:tcW w:w="9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-180.9</w:t>
            </w:r>
            <w:r>
              <w:rPr>
                <w:rFonts w:ascii="Arial" w:cs="Arial" w:eastAsia="Arial" w:hAnsi="Arial"/>
                <w:sz w:val="14"/>
                <w:szCs w:val="14"/>
                <w:color w:val="auto"/>
              </w:rPr>
              <w:t>%</w:t>
            </w: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30.1</w:t>
            </w:r>
            <w:r>
              <w:rPr>
                <w:rFonts w:ascii="Arial" w:cs="Arial" w:eastAsia="Arial" w:hAnsi="Arial"/>
                <w:sz w:val="14"/>
                <w:szCs w:val="14"/>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(18,430</w:t>
            </w:r>
            <w:r>
              <w:rPr>
                <w:rFonts w:ascii="Arial" w:cs="Arial" w:eastAsia="Arial" w:hAnsi="Arial"/>
                <w:sz w:val="14"/>
                <w:szCs w:val="14"/>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5,997</w:t>
            </w:r>
          </w:p>
        </w:tc>
        <w:tc>
          <w:tcPr>
            <w:tcW w:w="9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-407.3</w:t>
            </w:r>
            <w:r>
              <w:rPr>
                <w:rFonts w:ascii="Arial" w:cs="Arial" w:eastAsia="Arial" w:hAnsi="Arial"/>
                <w:sz w:val="14"/>
                <w:szCs w:val="14"/>
                <w:color w:val="auto"/>
              </w:rPr>
              <w:t>%</w:t>
            </w:r>
          </w:p>
        </w:tc>
      </w:tr>
      <w:tr>
        <w:trPr>
          <w:trHeight w:val="243"/>
        </w:trPr>
        <w:tc>
          <w:tcPr>
            <w:tcW w:w="382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Non financial income</w:t>
            </w:r>
          </w:p>
        </w:tc>
        <w:tc>
          <w:tcPr>
            <w:tcW w:w="8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8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8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82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r>
      <w:tr>
        <w:trPr>
          <w:trHeight w:val="243"/>
        </w:trPr>
        <w:tc>
          <w:tcPr>
            <w:tcW w:w="3820" w:type="dxa"/>
            <w:vAlign w:val="bottom"/>
          </w:tcPr>
          <w:p>
            <w:pPr>
              <w:ind w:left="180"/>
              <w:spacing w:after="0"/>
              <w:rPr>
                <w:sz w:val="20"/>
                <w:szCs w:val="20"/>
                <w:color w:val="auto"/>
              </w:rPr>
            </w:pPr>
            <w:r>
              <w:rPr>
                <w:rFonts w:ascii="Arial" w:cs="Arial" w:eastAsia="Arial" w:hAnsi="Arial"/>
                <w:sz w:val="14"/>
                <w:szCs w:val="14"/>
                <w:color w:val="auto"/>
              </w:rPr>
              <w:t>Fee income</w:t>
            </w:r>
          </w:p>
        </w:tc>
        <w:tc>
          <w:tcPr>
            <w:tcW w:w="800" w:type="dxa"/>
            <w:vAlign w:val="bottom"/>
          </w:tcPr>
          <w:p>
            <w:pPr>
              <w:jc w:val="right"/>
              <w:spacing w:after="0"/>
              <w:rPr>
                <w:sz w:val="20"/>
                <w:szCs w:val="20"/>
                <w:color w:val="auto"/>
              </w:rPr>
            </w:pPr>
            <w:r>
              <w:rPr>
                <w:rFonts w:ascii="Arial" w:cs="Arial" w:eastAsia="Arial" w:hAnsi="Arial"/>
                <w:sz w:val="14"/>
                <w:szCs w:val="14"/>
                <w:color w:val="auto"/>
              </w:rPr>
              <w:t>86,270</w:t>
            </w:r>
          </w:p>
        </w:tc>
        <w:tc>
          <w:tcPr>
            <w:tcW w:w="12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76,100</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63,935</w:t>
            </w: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34.9%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13.4%</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236,446</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174,218</w:t>
            </w: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35.7%</w:t>
            </w:r>
          </w:p>
        </w:tc>
      </w:tr>
      <w:tr>
        <w:trPr>
          <w:trHeight w:val="243"/>
        </w:trPr>
        <w:tc>
          <w:tcPr>
            <w:tcW w:w="3820" w:type="dxa"/>
            <w:vAlign w:val="bottom"/>
            <w:shd w:val="clear" w:color="auto" w:fill="CCFFCC"/>
          </w:tcPr>
          <w:p>
            <w:pPr>
              <w:ind w:left="180"/>
              <w:spacing w:after="0"/>
              <w:rPr>
                <w:sz w:val="20"/>
                <w:szCs w:val="20"/>
                <w:color w:val="auto"/>
              </w:rPr>
            </w:pPr>
            <w:r>
              <w:rPr>
                <w:rFonts w:ascii="Arial" w:cs="Arial" w:eastAsia="Arial" w:hAnsi="Arial"/>
                <w:sz w:val="14"/>
                <w:szCs w:val="14"/>
                <w:color w:val="auto"/>
              </w:rPr>
              <w:t>Net gain on foreign exchange transactions</w:t>
            </w: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14,710</w:t>
            </w:r>
          </w:p>
        </w:tc>
        <w:tc>
          <w:tcPr>
            <w:tcW w:w="120" w:type="dxa"/>
            <w:vAlign w:val="bottom"/>
            <w:shd w:val="clear" w:color="auto" w:fill="CCFFCC"/>
          </w:tcPr>
          <w:p>
            <w:pPr>
              <w:spacing w:after="0"/>
              <w:rPr>
                <w:sz w:val="21"/>
                <w:szCs w:val="21"/>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12,796</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9,515</w:t>
            </w:r>
          </w:p>
        </w:tc>
        <w:tc>
          <w:tcPr>
            <w:tcW w:w="96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54.6%</w:t>
            </w:r>
          </w:p>
        </w:tc>
        <w:tc>
          <w:tcPr>
            <w:tcW w:w="94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15.0%</w:t>
            </w: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39,462</w:t>
            </w: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31,095</w:t>
            </w:r>
          </w:p>
        </w:tc>
        <w:tc>
          <w:tcPr>
            <w:tcW w:w="98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26.9%</w:t>
            </w:r>
          </w:p>
        </w:tc>
      </w:tr>
      <w:tr>
        <w:trPr>
          <w:trHeight w:val="243"/>
        </w:trPr>
        <w:tc>
          <w:tcPr>
            <w:tcW w:w="3820" w:type="dxa"/>
            <w:vAlign w:val="bottom"/>
          </w:tcPr>
          <w:p>
            <w:pPr>
              <w:ind w:left="180"/>
              <w:spacing w:after="0"/>
              <w:rPr>
                <w:sz w:val="20"/>
                <w:szCs w:val="20"/>
                <w:color w:val="auto"/>
              </w:rPr>
            </w:pPr>
            <w:r>
              <w:rPr>
                <w:rFonts w:ascii="Arial" w:cs="Arial" w:eastAsia="Arial" w:hAnsi="Arial"/>
                <w:sz w:val="14"/>
                <w:szCs w:val="14"/>
                <w:color w:val="auto"/>
              </w:rPr>
              <w:t>Net gain on sales of securities</w:t>
            </w:r>
          </w:p>
        </w:tc>
        <w:tc>
          <w:tcPr>
            <w:tcW w:w="800" w:type="dxa"/>
            <w:vAlign w:val="bottom"/>
          </w:tcPr>
          <w:p>
            <w:pPr>
              <w:jc w:val="right"/>
              <w:spacing w:after="0"/>
              <w:rPr>
                <w:sz w:val="20"/>
                <w:szCs w:val="20"/>
                <w:color w:val="auto"/>
              </w:rPr>
            </w:pPr>
            <w:r>
              <w:rPr>
                <w:rFonts w:ascii="Arial" w:cs="Arial" w:eastAsia="Arial" w:hAnsi="Arial"/>
                <w:sz w:val="14"/>
                <w:szCs w:val="14"/>
                <w:color w:val="auto"/>
              </w:rPr>
              <w:t>5,124</w:t>
            </w:r>
          </w:p>
        </w:tc>
        <w:tc>
          <w:tcPr>
            <w:tcW w:w="12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14,644</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6,616</w:t>
            </w: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-22.6%</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-65.0%</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37,714</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12,857</w:t>
            </w: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193.3%</w:t>
            </w:r>
          </w:p>
        </w:tc>
      </w:tr>
      <w:tr>
        <w:trPr>
          <w:trHeight w:val="250"/>
        </w:trPr>
        <w:tc>
          <w:tcPr>
            <w:tcW w:w="382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4"/>
                <w:szCs w:val="14"/>
                <w:color w:val="auto"/>
              </w:rPr>
              <w:t>Other</w:t>
            </w:r>
          </w:p>
        </w:tc>
        <w:tc>
          <w:tcPr>
            <w:tcW w:w="8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6,837</w:t>
            </w:r>
          </w:p>
        </w:tc>
        <w:tc>
          <w:tcPr>
            <w:tcW w:w="120" w:type="dxa"/>
            <w:vAlign w:val="bottom"/>
            <w:tcBorders>
              <w:bottom w:val="single" w:sz="8" w:color="CCFFCC"/>
            </w:tcBorders>
            <w:shd w:val="clear" w:color="auto" w:fill="CCFFCC"/>
          </w:tcPr>
          <w:p>
            <w:pPr>
              <w:spacing w:after="0"/>
              <w:rPr>
                <w:sz w:val="21"/>
                <w:szCs w:val="21"/>
                <w:color w:val="auto"/>
              </w:rPr>
            </w:pPr>
          </w:p>
        </w:tc>
        <w:tc>
          <w:tcPr>
            <w:tcW w:w="92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4,486</w:t>
            </w:r>
          </w:p>
        </w:tc>
        <w:tc>
          <w:tcPr>
            <w:tcW w:w="92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5,220</w:t>
            </w:r>
          </w:p>
        </w:tc>
        <w:tc>
          <w:tcPr>
            <w:tcW w:w="960" w:type="dxa"/>
            <w:vAlign w:val="bottom"/>
            <w:tcBorders>
              <w:bottom w:val="single" w:sz="8" w:color="CCFFCC"/>
            </w:tcBorders>
            <w:gridSpan w:val="2"/>
            <w:shd w:val="clear" w:color="auto" w:fill="CCFFCC"/>
          </w:tcPr>
          <w:p>
            <w:pPr>
              <w:jc w:val="right"/>
              <w:ind w:right="20"/>
              <w:spacing w:after="0" w:line="243" w:lineRule="exact"/>
              <w:rPr>
                <w:sz w:val="20"/>
                <w:szCs w:val="20"/>
                <w:color w:val="auto"/>
              </w:rPr>
            </w:pPr>
            <w:r>
              <w:rPr>
                <w:rFonts w:ascii="Arial" w:cs="Arial" w:eastAsia="Arial" w:hAnsi="Arial"/>
                <w:sz w:val="14"/>
                <w:szCs w:val="14"/>
                <w:color w:val="auto"/>
              </w:rPr>
              <w:t>31.0</w:t>
            </w:r>
            <w:r>
              <w:rPr>
                <w:rFonts w:ascii="Arial" w:cs="Arial" w:eastAsia="Arial" w:hAnsi="Arial"/>
                <w:sz w:val="28"/>
                <w:szCs w:val="28"/>
                <w:color w:val="auto"/>
                <w:vertAlign w:val="superscript"/>
              </w:rPr>
              <w:t>%</w:t>
            </w:r>
          </w:p>
        </w:tc>
        <w:tc>
          <w:tcPr>
            <w:tcW w:w="940" w:type="dxa"/>
            <w:vAlign w:val="bottom"/>
            <w:tcBorders>
              <w:bottom w:val="single" w:sz="8" w:color="CCFFCC"/>
            </w:tcBorders>
            <w:gridSpan w:val="2"/>
            <w:shd w:val="clear" w:color="auto" w:fill="CCFFCC"/>
          </w:tcPr>
          <w:p>
            <w:pPr>
              <w:jc w:val="right"/>
              <w:spacing w:after="0" w:line="243" w:lineRule="exact"/>
              <w:rPr>
                <w:sz w:val="20"/>
                <w:szCs w:val="20"/>
                <w:color w:val="auto"/>
              </w:rPr>
            </w:pPr>
            <w:r>
              <w:rPr>
                <w:rFonts w:ascii="Arial" w:cs="Arial" w:eastAsia="Arial" w:hAnsi="Arial"/>
                <w:sz w:val="14"/>
                <w:szCs w:val="14"/>
                <w:color w:val="auto"/>
              </w:rPr>
              <w:t>52.4</w:t>
            </w:r>
            <w:r>
              <w:rPr>
                <w:rFonts w:ascii="Arial" w:cs="Arial" w:eastAsia="Arial" w:hAnsi="Arial"/>
                <w:sz w:val="28"/>
                <w:szCs w:val="28"/>
                <w:color w:val="auto"/>
                <w:vertAlign w:val="superscript"/>
              </w:rPr>
              <w:t>%</w:t>
            </w:r>
          </w:p>
        </w:tc>
        <w:tc>
          <w:tcPr>
            <w:tcW w:w="980" w:type="dxa"/>
            <w:vAlign w:val="bottom"/>
            <w:tcBorders>
              <w:bottom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18,540</w:t>
            </w:r>
          </w:p>
        </w:tc>
        <w:tc>
          <w:tcPr>
            <w:tcW w:w="980" w:type="dxa"/>
            <w:vAlign w:val="bottom"/>
            <w:tcBorders>
              <w:bottom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18,254</w:t>
            </w:r>
          </w:p>
        </w:tc>
        <w:tc>
          <w:tcPr>
            <w:tcW w:w="980" w:type="dxa"/>
            <w:vAlign w:val="bottom"/>
            <w:tcBorders>
              <w:bottom w:val="single" w:sz="8" w:color="CCFFCC"/>
            </w:tcBorders>
            <w:gridSpan w:val="2"/>
            <w:shd w:val="clear" w:color="auto" w:fill="CCFFCC"/>
          </w:tcPr>
          <w:p>
            <w:pPr>
              <w:jc w:val="right"/>
              <w:ind w:right="20"/>
              <w:spacing w:after="0" w:line="243" w:lineRule="exact"/>
              <w:rPr>
                <w:sz w:val="20"/>
                <w:szCs w:val="20"/>
                <w:color w:val="auto"/>
              </w:rPr>
            </w:pPr>
            <w:r>
              <w:rPr>
                <w:rFonts w:ascii="Arial" w:cs="Arial" w:eastAsia="Arial" w:hAnsi="Arial"/>
                <w:sz w:val="14"/>
                <w:szCs w:val="14"/>
                <w:color w:val="auto"/>
              </w:rPr>
              <w:t>1.6</w:t>
            </w:r>
            <w:r>
              <w:rPr>
                <w:rFonts w:ascii="Arial" w:cs="Arial" w:eastAsia="Arial" w:hAnsi="Arial"/>
                <w:sz w:val="28"/>
                <w:szCs w:val="28"/>
                <w:color w:val="auto"/>
                <w:vertAlign w:val="superscript"/>
              </w:rPr>
              <w:t>%</w:t>
            </w:r>
          </w:p>
        </w:tc>
      </w:tr>
      <w:tr>
        <w:trPr>
          <w:trHeight w:val="20"/>
        </w:trPr>
        <w:tc>
          <w:tcPr>
            <w:tcW w:w="382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r>
      <w:tr>
        <w:trPr>
          <w:trHeight w:val="237"/>
        </w:trPr>
        <w:tc>
          <w:tcPr>
            <w:tcW w:w="3820" w:type="dxa"/>
            <w:vAlign w:val="bottom"/>
          </w:tcPr>
          <w:p>
            <w:pPr>
              <w:ind w:left="340"/>
              <w:spacing w:after="0"/>
              <w:rPr>
                <w:sz w:val="20"/>
                <w:szCs w:val="20"/>
                <w:color w:val="auto"/>
              </w:rPr>
            </w:pPr>
            <w:r>
              <w:rPr>
                <w:rFonts w:ascii="Arial" w:cs="Arial" w:eastAsia="Arial" w:hAnsi="Arial"/>
                <w:sz w:val="14"/>
                <w:szCs w:val="14"/>
                <w:b w:val="1"/>
                <w:bCs w:val="1"/>
                <w:color w:val="auto"/>
              </w:rPr>
              <w:t>Total non financial income, net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112,942</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108,026</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85,286</w:t>
            </w:r>
          </w:p>
        </w:tc>
        <w:tc>
          <w:tcPr>
            <w:tcW w:w="12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32.4</w:t>
            </w:r>
            <w:r>
              <w:rPr>
                <w:rFonts w:ascii="Arial" w:cs="Arial" w:eastAsia="Arial" w:hAnsi="Arial"/>
                <w:sz w:val="14"/>
                <w:szCs w:val="14"/>
                <w:color w:val="auto"/>
              </w:rPr>
              <w:t>%</w:t>
            </w: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4.6</w:t>
            </w:r>
            <w:r>
              <w:rPr>
                <w:rFonts w:ascii="Arial" w:cs="Arial" w:eastAsia="Arial" w:hAnsi="Arial"/>
                <w:sz w:val="14"/>
                <w:szCs w:val="14"/>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332,162</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236,424</w:t>
            </w: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40.5%</w:t>
            </w:r>
          </w:p>
        </w:tc>
      </w:tr>
      <w:tr>
        <w:trPr>
          <w:trHeight w:val="243"/>
        </w:trPr>
        <w:tc>
          <w:tcPr>
            <w:tcW w:w="382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Insurance premiums and claims</w:t>
            </w:r>
          </w:p>
        </w:tc>
        <w:tc>
          <w:tcPr>
            <w:tcW w:w="8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8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8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82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r>
      <w:tr>
        <w:trPr>
          <w:trHeight w:val="243"/>
        </w:trPr>
        <w:tc>
          <w:tcPr>
            <w:tcW w:w="3820" w:type="dxa"/>
            <w:vAlign w:val="bottom"/>
          </w:tcPr>
          <w:p>
            <w:pPr>
              <w:ind w:left="180"/>
              <w:spacing w:after="0"/>
              <w:rPr>
                <w:sz w:val="20"/>
                <w:szCs w:val="20"/>
                <w:color w:val="auto"/>
              </w:rPr>
            </w:pPr>
            <w:r>
              <w:rPr>
                <w:rFonts w:ascii="Arial" w:cs="Arial" w:eastAsia="Arial" w:hAnsi="Arial"/>
                <w:sz w:val="14"/>
                <w:szCs w:val="14"/>
                <w:color w:val="auto"/>
              </w:rPr>
              <w:t>Net premiums earned</w:t>
            </w:r>
          </w:p>
        </w:tc>
        <w:tc>
          <w:tcPr>
            <w:tcW w:w="800" w:type="dxa"/>
            <w:vAlign w:val="bottom"/>
          </w:tcPr>
          <w:p>
            <w:pPr>
              <w:jc w:val="right"/>
              <w:spacing w:after="0"/>
              <w:rPr>
                <w:sz w:val="20"/>
                <w:szCs w:val="20"/>
                <w:color w:val="auto"/>
              </w:rPr>
            </w:pPr>
            <w:r>
              <w:rPr>
                <w:rFonts w:ascii="Arial" w:cs="Arial" w:eastAsia="Arial" w:hAnsi="Arial"/>
                <w:sz w:val="14"/>
                <w:szCs w:val="14"/>
                <w:color w:val="auto"/>
              </w:rPr>
              <w:t>74,511</w:t>
            </w:r>
          </w:p>
        </w:tc>
        <w:tc>
          <w:tcPr>
            <w:tcW w:w="12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71,657</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65,521</w:t>
            </w: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13.7%</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4.0%</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216,159</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186,521</w:t>
            </w: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15.9%</w:t>
            </w:r>
          </w:p>
        </w:tc>
      </w:tr>
      <w:tr>
        <w:trPr>
          <w:trHeight w:val="243"/>
        </w:trPr>
        <w:tc>
          <w:tcPr>
            <w:tcW w:w="3820" w:type="dxa"/>
            <w:vAlign w:val="bottom"/>
            <w:shd w:val="clear" w:color="auto" w:fill="CCFFCC"/>
          </w:tcPr>
          <w:p>
            <w:pPr>
              <w:ind w:left="180"/>
              <w:spacing w:after="0"/>
              <w:rPr>
                <w:sz w:val="20"/>
                <w:szCs w:val="20"/>
                <w:color w:val="auto"/>
              </w:rPr>
            </w:pPr>
            <w:r>
              <w:rPr>
                <w:rFonts w:ascii="Arial" w:cs="Arial" w:eastAsia="Arial" w:hAnsi="Arial"/>
                <w:sz w:val="14"/>
                <w:szCs w:val="14"/>
                <w:color w:val="auto"/>
              </w:rPr>
              <w:t>Net claims incurred</w:t>
            </w:r>
          </w:p>
        </w:tc>
        <w:tc>
          <w:tcPr>
            <w:tcW w:w="92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(19,617)</w:t>
            </w:r>
          </w:p>
        </w:tc>
        <w:tc>
          <w:tcPr>
            <w:tcW w:w="92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(14,017)</w:t>
            </w:r>
          </w:p>
        </w:tc>
        <w:tc>
          <w:tcPr>
            <w:tcW w:w="92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(9,553)</w:t>
            </w:r>
          </w:p>
        </w:tc>
        <w:tc>
          <w:tcPr>
            <w:tcW w:w="96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105.4%</w:t>
            </w:r>
          </w:p>
        </w:tc>
        <w:tc>
          <w:tcPr>
            <w:tcW w:w="94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40.0%</w:t>
            </w: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(47,173)</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(32,429)</w:t>
            </w:r>
          </w:p>
        </w:tc>
        <w:tc>
          <w:tcPr>
            <w:tcW w:w="98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45.5%</w:t>
            </w:r>
          </w:p>
        </w:tc>
      </w:tr>
      <w:tr>
        <w:trPr>
          <w:trHeight w:val="270"/>
        </w:trPr>
        <w:tc>
          <w:tcPr>
            <w:tcW w:w="3820" w:type="dxa"/>
            <w:vAlign w:val="bottom"/>
          </w:tcPr>
          <w:p>
            <w:pPr>
              <w:ind w:left="180"/>
              <w:spacing w:after="0"/>
              <w:rPr>
                <w:sz w:val="20"/>
                <w:szCs w:val="20"/>
                <w:color w:val="auto"/>
              </w:rPr>
            </w:pPr>
            <w:r>
              <w:rPr>
                <w:rFonts w:ascii="Arial" w:cs="Arial" w:eastAsia="Arial" w:hAnsi="Arial"/>
                <w:sz w:val="14"/>
                <w:szCs w:val="14"/>
                <w:color w:val="auto"/>
              </w:rPr>
              <w:t>Increase in cost for life and health policies</w:t>
            </w:r>
          </w:p>
        </w:tc>
        <w:tc>
          <w:tcPr>
            <w:tcW w:w="920" w:type="dxa"/>
            <w:vAlign w:val="bottom"/>
            <w:gridSpan w:val="2"/>
          </w:tcPr>
          <w:p>
            <w:pPr>
              <w:jc w:val="right"/>
              <w:ind w:right="80"/>
              <w:spacing w:after="0" w:line="270" w:lineRule="exact"/>
              <w:rPr>
                <w:sz w:val="20"/>
                <w:szCs w:val="20"/>
                <w:color w:val="auto"/>
              </w:rPr>
            </w:pPr>
            <w:r>
              <w:rPr>
                <w:rFonts w:ascii="Arial" w:cs="Arial" w:eastAsia="Arial" w:hAnsi="Arial"/>
                <w:sz w:val="14"/>
                <w:szCs w:val="14"/>
                <w:color w:val="auto"/>
              </w:rPr>
              <w:t>(45,085</w:t>
            </w:r>
            <w:r>
              <w:rPr>
                <w:rFonts w:ascii="Arial" w:cs="Arial" w:eastAsia="Arial" w:hAnsi="Arial"/>
                <w:sz w:val="28"/>
                <w:szCs w:val="28"/>
                <w:color w:val="auto"/>
                <w:vertAlign w:val="superscript"/>
              </w:rPr>
              <w:t>)</w:t>
            </w:r>
          </w:p>
        </w:tc>
        <w:tc>
          <w:tcPr>
            <w:tcW w:w="920" w:type="dxa"/>
            <w:vAlign w:val="bottom"/>
            <w:gridSpan w:val="2"/>
          </w:tcPr>
          <w:p>
            <w:pPr>
              <w:jc w:val="right"/>
              <w:ind w:right="80"/>
              <w:spacing w:after="0" w:line="270" w:lineRule="exact"/>
              <w:rPr>
                <w:sz w:val="20"/>
                <w:szCs w:val="20"/>
                <w:color w:val="auto"/>
              </w:rPr>
            </w:pPr>
            <w:r>
              <w:rPr>
                <w:rFonts w:ascii="Arial" w:cs="Arial" w:eastAsia="Arial" w:hAnsi="Arial"/>
                <w:sz w:val="14"/>
                <w:szCs w:val="14"/>
                <w:color w:val="auto"/>
              </w:rPr>
              <w:t>(38,363</w:t>
            </w:r>
            <w:r>
              <w:rPr>
                <w:rFonts w:ascii="Arial" w:cs="Arial" w:eastAsia="Arial" w:hAnsi="Arial"/>
                <w:sz w:val="28"/>
                <w:szCs w:val="28"/>
                <w:color w:val="auto"/>
                <w:vertAlign w:val="superscript"/>
              </w:rPr>
              <w:t>)</w:t>
            </w:r>
          </w:p>
        </w:tc>
        <w:tc>
          <w:tcPr>
            <w:tcW w:w="920" w:type="dxa"/>
            <w:vAlign w:val="bottom"/>
            <w:gridSpan w:val="2"/>
          </w:tcPr>
          <w:p>
            <w:pPr>
              <w:jc w:val="right"/>
              <w:ind w:right="80"/>
              <w:spacing w:after="0" w:line="270" w:lineRule="exact"/>
              <w:rPr>
                <w:sz w:val="20"/>
                <w:szCs w:val="20"/>
                <w:color w:val="auto"/>
              </w:rPr>
            </w:pPr>
            <w:r>
              <w:rPr>
                <w:rFonts w:ascii="Arial" w:cs="Arial" w:eastAsia="Arial" w:hAnsi="Arial"/>
                <w:sz w:val="14"/>
                <w:szCs w:val="14"/>
                <w:color w:val="auto"/>
              </w:rPr>
              <w:t>(36,585</w:t>
            </w:r>
            <w:r>
              <w:rPr>
                <w:rFonts w:ascii="Arial" w:cs="Arial" w:eastAsia="Arial" w:hAnsi="Arial"/>
                <w:sz w:val="28"/>
                <w:szCs w:val="28"/>
                <w:color w:val="auto"/>
                <w:vertAlign w:val="superscript"/>
              </w:rPr>
              <w:t>)</w:t>
            </w:r>
          </w:p>
        </w:tc>
        <w:tc>
          <w:tcPr>
            <w:tcW w:w="960" w:type="dxa"/>
            <w:vAlign w:val="bottom"/>
            <w:gridSpan w:val="2"/>
          </w:tcPr>
          <w:p>
            <w:pPr>
              <w:jc w:val="right"/>
              <w:ind w:right="20"/>
              <w:spacing w:after="0" w:line="270" w:lineRule="exact"/>
              <w:rPr>
                <w:sz w:val="20"/>
                <w:szCs w:val="20"/>
                <w:color w:val="auto"/>
              </w:rPr>
            </w:pPr>
            <w:r>
              <w:rPr>
                <w:rFonts w:ascii="Arial" w:cs="Arial" w:eastAsia="Arial" w:hAnsi="Arial"/>
                <w:sz w:val="14"/>
                <w:szCs w:val="14"/>
                <w:color w:val="auto"/>
              </w:rPr>
              <w:t>23.2</w:t>
            </w:r>
            <w:r>
              <w:rPr>
                <w:rFonts w:ascii="Arial" w:cs="Arial" w:eastAsia="Arial" w:hAnsi="Arial"/>
                <w:sz w:val="28"/>
                <w:szCs w:val="28"/>
                <w:color w:val="auto"/>
                <w:vertAlign w:val="superscript"/>
              </w:rPr>
              <w:t>%</w:t>
            </w:r>
          </w:p>
        </w:tc>
        <w:tc>
          <w:tcPr>
            <w:tcW w:w="940" w:type="dxa"/>
            <w:vAlign w:val="bottom"/>
            <w:gridSpan w:val="2"/>
          </w:tcPr>
          <w:p>
            <w:pPr>
              <w:jc w:val="right"/>
              <w:spacing w:after="0" w:line="270" w:lineRule="exact"/>
              <w:rPr>
                <w:sz w:val="20"/>
                <w:szCs w:val="20"/>
                <w:color w:val="auto"/>
              </w:rPr>
            </w:pPr>
            <w:r>
              <w:rPr>
                <w:rFonts w:ascii="Arial" w:cs="Arial" w:eastAsia="Arial" w:hAnsi="Arial"/>
                <w:sz w:val="14"/>
                <w:szCs w:val="14"/>
                <w:color w:val="auto"/>
              </w:rPr>
              <w:t>17.5</w:t>
            </w:r>
            <w:r>
              <w:rPr>
                <w:rFonts w:ascii="Arial" w:cs="Arial" w:eastAsia="Arial" w:hAnsi="Arial"/>
                <w:sz w:val="28"/>
                <w:szCs w:val="28"/>
                <w:color w:val="auto"/>
                <w:vertAlign w:val="superscript"/>
              </w:rPr>
              <w:t>%</w:t>
            </w:r>
          </w:p>
        </w:tc>
        <w:tc>
          <w:tcPr>
            <w:tcW w:w="980" w:type="dxa"/>
            <w:vAlign w:val="bottom"/>
            <w:gridSpan w:val="2"/>
          </w:tcPr>
          <w:p>
            <w:pPr>
              <w:jc w:val="right"/>
              <w:ind w:right="80"/>
              <w:spacing w:after="0" w:line="270" w:lineRule="exact"/>
              <w:rPr>
                <w:sz w:val="20"/>
                <w:szCs w:val="20"/>
                <w:color w:val="auto"/>
              </w:rPr>
            </w:pPr>
            <w:r>
              <w:rPr>
                <w:rFonts w:ascii="Arial" w:cs="Arial" w:eastAsia="Arial" w:hAnsi="Arial"/>
                <w:sz w:val="14"/>
                <w:szCs w:val="14"/>
                <w:color w:val="auto"/>
              </w:rPr>
              <w:t>(122,536</w:t>
            </w:r>
            <w:r>
              <w:rPr>
                <w:rFonts w:ascii="Arial" w:cs="Arial" w:eastAsia="Arial" w:hAnsi="Arial"/>
                <w:sz w:val="28"/>
                <w:szCs w:val="28"/>
                <w:color w:val="auto"/>
                <w:vertAlign w:val="superscript"/>
              </w:rPr>
              <w:t>)</w:t>
            </w:r>
          </w:p>
        </w:tc>
        <w:tc>
          <w:tcPr>
            <w:tcW w:w="980" w:type="dxa"/>
            <w:vAlign w:val="bottom"/>
            <w:gridSpan w:val="2"/>
          </w:tcPr>
          <w:p>
            <w:pPr>
              <w:jc w:val="right"/>
              <w:ind w:right="100"/>
              <w:spacing w:after="0" w:line="270" w:lineRule="exact"/>
              <w:rPr>
                <w:sz w:val="20"/>
                <w:szCs w:val="20"/>
                <w:color w:val="auto"/>
              </w:rPr>
            </w:pPr>
            <w:r>
              <w:rPr>
                <w:rFonts w:ascii="Arial" w:cs="Arial" w:eastAsia="Arial" w:hAnsi="Arial"/>
                <w:sz w:val="14"/>
                <w:szCs w:val="14"/>
                <w:color w:val="auto"/>
              </w:rPr>
              <w:t>(105,692</w:t>
            </w:r>
            <w:r>
              <w:rPr>
                <w:rFonts w:ascii="Arial" w:cs="Arial" w:eastAsia="Arial" w:hAnsi="Arial"/>
                <w:sz w:val="28"/>
                <w:szCs w:val="28"/>
                <w:color w:val="auto"/>
                <w:vertAlign w:val="superscript"/>
              </w:rPr>
              <w:t>)</w:t>
            </w:r>
          </w:p>
        </w:tc>
        <w:tc>
          <w:tcPr>
            <w:tcW w:w="980" w:type="dxa"/>
            <w:vAlign w:val="bottom"/>
            <w:gridSpan w:val="2"/>
          </w:tcPr>
          <w:p>
            <w:pPr>
              <w:jc w:val="right"/>
              <w:ind w:right="20"/>
              <w:spacing w:after="0" w:line="270" w:lineRule="exact"/>
              <w:rPr>
                <w:sz w:val="20"/>
                <w:szCs w:val="20"/>
                <w:color w:val="auto"/>
              </w:rPr>
            </w:pPr>
            <w:r>
              <w:rPr>
                <w:rFonts w:ascii="Arial" w:cs="Arial" w:eastAsia="Arial" w:hAnsi="Arial"/>
                <w:sz w:val="14"/>
                <w:szCs w:val="14"/>
                <w:color w:val="auto"/>
              </w:rPr>
              <w:t>15.9</w:t>
            </w:r>
            <w:r>
              <w:rPr>
                <w:rFonts w:ascii="Arial" w:cs="Arial" w:eastAsia="Arial" w:hAnsi="Arial"/>
                <w:sz w:val="28"/>
                <w:szCs w:val="28"/>
                <w:color w:val="auto"/>
                <w:vertAlign w:val="superscript"/>
              </w:rPr>
              <w:t>%</w:t>
            </w:r>
          </w:p>
        </w:tc>
      </w:tr>
      <w:tr>
        <w:trPr>
          <w:trHeight w:val="20"/>
        </w:trPr>
        <w:tc>
          <w:tcPr>
            <w:tcW w:w="38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7"/>
        </w:trPr>
        <w:tc>
          <w:tcPr>
            <w:tcW w:w="3820" w:type="dxa"/>
            <w:vAlign w:val="bottom"/>
            <w:shd w:val="clear" w:color="auto" w:fill="CCFFCC"/>
          </w:tcPr>
          <w:p>
            <w:pPr>
              <w:ind w:left="340"/>
              <w:spacing w:after="0"/>
              <w:rPr>
                <w:sz w:val="20"/>
                <w:szCs w:val="20"/>
                <w:color w:val="auto"/>
              </w:rPr>
            </w:pPr>
            <w:r>
              <w:rPr>
                <w:rFonts w:ascii="Arial" w:cs="Arial" w:eastAsia="Arial" w:hAnsi="Arial"/>
                <w:sz w:val="14"/>
                <w:szCs w:val="14"/>
                <w:color w:val="auto"/>
              </w:rPr>
              <w:t>Total other operating income, net</w:t>
            </w: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b w:val="1"/>
                <w:bCs w:val="1"/>
                <w:color w:val="auto"/>
              </w:rPr>
              <w:t>9,809</w:t>
            </w:r>
          </w:p>
        </w:tc>
        <w:tc>
          <w:tcPr>
            <w:tcW w:w="120" w:type="dxa"/>
            <w:vAlign w:val="bottom"/>
            <w:shd w:val="clear" w:color="auto" w:fill="CCFFCC"/>
          </w:tcPr>
          <w:p>
            <w:pPr>
              <w:spacing w:after="0"/>
              <w:rPr>
                <w:sz w:val="20"/>
                <w:szCs w:val="20"/>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b w:val="1"/>
                <w:bCs w:val="1"/>
                <w:color w:val="auto"/>
              </w:rPr>
              <w:t>19,278</w:t>
            </w:r>
          </w:p>
        </w:tc>
        <w:tc>
          <w:tcPr>
            <w:tcW w:w="120" w:type="dxa"/>
            <w:vAlign w:val="bottom"/>
            <w:shd w:val="clear" w:color="auto" w:fill="CCFFCC"/>
          </w:tcPr>
          <w:p>
            <w:pPr>
              <w:spacing w:after="0"/>
              <w:rPr>
                <w:sz w:val="20"/>
                <w:szCs w:val="20"/>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b w:val="1"/>
                <w:bCs w:val="1"/>
                <w:color w:val="auto"/>
              </w:rPr>
              <w:t>19,383</w:t>
            </w:r>
          </w:p>
        </w:tc>
        <w:tc>
          <w:tcPr>
            <w:tcW w:w="120" w:type="dxa"/>
            <w:vAlign w:val="bottom"/>
            <w:shd w:val="clear" w:color="auto" w:fill="CCFFCC"/>
          </w:tcPr>
          <w:p>
            <w:pPr>
              <w:spacing w:after="0"/>
              <w:rPr>
                <w:sz w:val="20"/>
                <w:szCs w:val="20"/>
                <w:color w:val="auto"/>
              </w:rPr>
            </w:pPr>
          </w:p>
        </w:tc>
        <w:tc>
          <w:tcPr>
            <w:tcW w:w="96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b w:val="1"/>
                <w:bCs w:val="1"/>
                <w:color w:val="auto"/>
              </w:rPr>
              <w:t>-49.4</w:t>
            </w:r>
            <w:r>
              <w:rPr>
                <w:rFonts w:ascii="Arial" w:cs="Arial" w:eastAsia="Arial" w:hAnsi="Arial"/>
                <w:sz w:val="14"/>
                <w:szCs w:val="14"/>
                <w:color w:val="auto"/>
              </w:rPr>
              <w:t>%</w:t>
            </w:r>
          </w:p>
        </w:tc>
        <w:tc>
          <w:tcPr>
            <w:tcW w:w="940" w:type="dxa"/>
            <w:vAlign w:val="bottom"/>
            <w:gridSpan w:val="2"/>
            <w:shd w:val="clear" w:color="auto" w:fill="CCFFCC"/>
          </w:tcPr>
          <w:p>
            <w:pPr>
              <w:jc w:val="right"/>
              <w:spacing w:after="0"/>
              <w:rPr>
                <w:sz w:val="20"/>
                <w:szCs w:val="20"/>
                <w:color w:val="auto"/>
              </w:rPr>
            </w:pPr>
            <w:r>
              <w:rPr>
                <w:rFonts w:ascii="Arial" w:cs="Arial" w:eastAsia="Arial" w:hAnsi="Arial"/>
                <w:sz w:val="14"/>
                <w:szCs w:val="14"/>
                <w:b w:val="1"/>
                <w:bCs w:val="1"/>
                <w:color w:val="auto"/>
              </w:rPr>
              <w:t>-49.1</w:t>
            </w:r>
            <w:r>
              <w:rPr>
                <w:rFonts w:ascii="Arial" w:cs="Arial" w:eastAsia="Arial" w:hAnsi="Arial"/>
                <w:sz w:val="14"/>
                <w:szCs w:val="14"/>
                <w:color w:val="auto"/>
              </w:rPr>
              <w:t>%</w:t>
            </w: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b w:val="1"/>
                <w:bCs w:val="1"/>
                <w:color w:val="auto"/>
              </w:rPr>
              <w:t>46,450</w:t>
            </w: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b w:val="1"/>
                <w:bCs w:val="1"/>
                <w:color w:val="auto"/>
              </w:rPr>
              <w:t>48,400</w:t>
            </w:r>
          </w:p>
        </w:tc>
        <w:tc>
          <w:tcPr>
            <w:tcW w:w="98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b w:val="1"/>
                <w:bCs w:val="1"/>
                <w:color w:val="auto"/>
              </w:rPr>
              <w:t>-4.0</w:t>
            </w:r>
            <w:r>
              <w:rPr>
                <w:rFonts w:ascii="Arial" w:cs="Arial" w:eastAsia="Arial" w:hAnsi="Arial"/>
                <w:sz w:val="14"/>
                <w:szCs w:val="14"/>
                <w:color w:val="auto"/>
              </w:rPr>
              <w:t>%</w:t>
            </w:r>
          </w:p>
        </w:tc>
      </w:tr>
      <w:tr>
        <w:trPr>
          <w:trHeight w:val="243"/>
        </w:trPr>
        <w:tc>
          <w:tcPr>
            <w:tcW w:w="3820" w:type="dxa"/>
            <w:vAlign w:val="bottom"/>
          </w:tcPr>
          <w:p>
            <w:pPr>
              <w:spacing w:after="0"/>
              <w:rPr>
                <w:sz w:val="20"/>
                <w:szCs w:val="20"/>
                <w:color w:val="auto"/>
              </w:rPr>
            </w:pPr>
            <w:r>
              <w:rPr>
                <w:rFonts w:ascii="Arial" w:cs="Arial" w:eastAsia="Arial" w:hAnsi="Arial"/>
                <w:sz w:val="14"/>
                <w:szCs w:val="14"/>
                <w:b w:val="1"/>
                <w:bCs w:val="1"/>
                <w:color w:val="auto"/>
              </w:rPr>
              <w:t>Operating expenses</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3820" w:type="dxa"/>
            <w:vAlign w:val="bottom"/>
            <w:shd w:val="clear" w:color="auto" w:fill="CCFFCC"/>
          </w:tcPr>
          <w:p>
            <w:pPr>
              <w:ind w:left="180"/>
              <w:spacing w:after="0"/>
              <w:rPr>
                <w:sz w:val="20"/>
                <w:szCs w:val="20"/>
                <w:color w:val="auto"/>
              </w:rPr>
            </w:pPr>
            <w:r>
              <w:rPr>
                <w:rFonts w:ascii="Arial" w:cs="Arial" w:eastAsia="Arial" w:hAnsi="Arial"/>
                <w:sz w:val="14"/>
                <w:szCs w:val="14"/>
                <w:color w:val="auto"/>
              </w:rPr>
              <w:t>Salaries and employees benefits</w:t>
            </w:r>
          </w:p>
        </w:tc>
        <w:tc>
          <w:tcPr>
            <w:tcW w:w="92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(75,649)</w:t>
            </w:r>
          </w:p>
        </w:tc>
        <w:tc>
          <w:tcPr>
            <w:tcW w:w="92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(74,385)</w:t>
            </w:r>
          </w:p>
        </w:tc>
        <w:tc>
          <w:tcPr>
            <w:tcW w:w="92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(61,676)</w:t>
            </w:r>
          </w:p>
        </w:tc>
        <w:tc>
          <w:tcPr>
            <w:tcW w:w="96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22.7%</w:t>
            </w:r>
          </w:p>
        </w:tc>
        <w:tc>
          <w:tcPr>
            <w:tcW w:w="94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1.7%</w:t>
            </w: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(219,013)</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(172,532)</w:t>
            </w:r>
          </w:p>
        </w:tc>
        <w:tc>
          <w:tcPr>
            <w:tcW w:w="98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26.9%</w:t>
            </w:r>
          </w:p>
        </w:tc>
      </w:tr>
      <w:tr>
        <w:trPr>
          <w:trHeight w:val="243"/>
        </w:trPr>
        <w:tc>
          <w:tcPr>
            <w:tcW w:w="3820" w:type="dxa"/>
            <w:vAlign w:val="bottom"/>
          </w:tcPr>
          <w:p>
            <w:pPr>
              <w:ind w:left="180"/>
              <w:spacing w:after="0"/>
              <w:rPr>
                <w:sz w:val="20"/>
                <w:szCs w:val="20"/>
                <w:color w:val="auto"/>
              </w:rPr>
            </w:pPr>
            <w:r>
              <w:rPr>
                <w:rFonts w:ascii="Arial" w:cs="Arial" w:eastAsia="Arial" w:hAnsi="Arial"/>
                <w:sz w:val="14"/>
                <w:szCs w:val="14"/>
                <w:color w:val="auto"/>
              </w:rPr>
              <w:t>Administrative, general and tax expenses</w:t>
            </w: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(48,703)</w:t>
            </w: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(47,981)</w:t>
            </w: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(39,669)</w:t>
            </w: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22.8%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1.5%</w:t>
            </w: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(140,528)</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(113,489)</w:t>
            </w: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23.8%</w:t>
            </w:r>
          </w:p>
        </w:tc>
      </w:tr>
      <w:tr>
        <w:trPr>
          <w:trHeight w:val="243"/>
        </w:trPr>
        <w:tc>
          <w:tcPr>
            <w:tcW w:w="3820" w:type="dxa"/>
            <w:vAlign w:val="bottom"/>
            <w:shd w:val="clear" w:color="auto" w:fill="CCFFCC"/>
          </w:tcPr>
          <w:p>
            <w:pPr>
              <w:ind w:left="180"/>
              <w:spacing w:after="0"/>
              <w:rPr>
                <w:sz w:val="20"/>
                <w:szCs w:val="20"/>
                <w:color w:val="auto"/>
              </w:rPr>
            </w:pPr>
            <w:r>
              <w:rPr>
                <w:rFonts w:ascii="Arial" w:cs="Arial" w:eastAsia="Arial" w:hAnsi="Arial"/>
                <w:sz w:val="14"/>
                <w:szCs w:val="14"/>
                <w:color w:val="auto"/>
              </w:rPr>
              <w:t>Depreciation and amortization</w:t>
            </w:r>
          </w:p>
        </w:tc>
        <w:tc>
          <w:tcPr>
            <w:tcW w:w="92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(12,857)</w:t>
            </w:r>
          </w:p>
        </w:tc>
        <w:tc>
          <w:tcPr>
            <w:tcW w:w="92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(12,488)</w:t>
            </w:r>
          </w:p>
        </w:tc>
        <w:tc>
          <w:tcPr>
            <w:tcW w:w="92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(10,115)</w:t>
            </w:r>
          </w:p>
        </w:tc>
        <w:tc>
          <w:tcPr>
            <w:tcW w:w="96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27.1%</w:t>
            </w:r>
          </w:p>
        </w:tc>
        <w:tc>
          <w:tcPr>
            <w:tcW w:w="94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3.0%</w:t>
            </w: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(37,809)</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(32,549)</w:t>
            </w:r>
          </w:p>
        </w:tc>
        <w:tc>
          <w:tcPr>
            <w:tcW w:w="98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16.2%</w:t>
            </w:r>
          </w:p>
        </w:tc>
      </w:tr>
      <w:tr>
        <w:trPr>
          <w:trHeight w:val="243"/>
        </w:trPr>
        <w:tc>
          <w:tcPr>
            <w:tcW w:w="3820" w:type="dxa"/>
            <w:vAlign w:val="bottom"/>
          </w:tcPr>
          <w:p>
            <w:pPr>
              <w:ind w:left="180"/>
              <w:spacing w:after="0"/>
              <w:rPr>
                <w:sz w:val="20"/>
                <w:szCs w:val="20"/>
                <w:color w:val="auto"/>
              </w:rPr>
            </w:pPr>
            <w:r>
              <w:rPr>
                <w:rFonts w:ascii="Arial" w:cs="Arial" w:eastAsia="Arial" w:hAnsi="Arial"/>
                <w:sz w:val="14"/>
                <w:szCs w:val="14"/>
                <w:color w:val="auto"/>
              </w:rPr>
              <w:t>Merger Expenses</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(271)</w:t>
            </w: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100.0%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100.0%</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(271)</w:t>
            </w: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-100.0%</w:t>
            </w:r>
          </w:p>
        </w:tc>
      </w:tr>
      <w:tr>
        <w:trPr>
          <w:trHeight w:val="250"/>
        </w:trPr>
        <w:tc>
          <w:tcPr>
            <w:tcW w:w="382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4"/>
                <w:szCs w:val="14"/>
                <w:color w:val="auto"/>
              </w:rPr>
              <w:t>Other</w:t>
            </w:r>
          </w:p>
        </w:tc>
        <w:tc>
          <w:tcPr>
            <w:tcW w:w="920" w:type="dxa"/>
            <w:vAlign w:val="bottom"/>
            <w:tcBorders>
              <w:bottom w:val="single" w:sz="8" w:color="CCFFCC"/>
            </w:tcBorders>
            <w:gridSpan w:val="2"/>
            <w:shd w:val="clear" w:color="auto" w:fill="CCFFCC"/>
          </w:tcPr>
          <w:p>
            <w:pPr>
              <w:jc w:val="right"/>
              <w:ind w:right="80"/>
              <w:spacing w:after="0" w:line="243" w:lineRule="exact"/>
              <w:rPr>
                <w:sz w:val="20"/>
                <w:szCs w:val="20"/>
                <w:color w:val="auto"/>
              </w:rPr>
            </w:pPr>
            <w:r>
              <w:rPr>
                <w:rFonts w:ascii="Arial" w:cs="Arial" w:eastAsia="Arial" w:hAnsi="Arial"/>
                <w:sz w:val="14"/>
                <w:szCs w:val="14"/>
                <w:color w:val="auto"/>
              </w:rPr>
              <w:t>(25,916</w:t>
            </w:r>
            <w:r>
              <w:rPr>
                <w:rFonts w:ascii="Arial" w:cs="Arial" w:eastAsia="Arial" w:hAnsi="Arial"/>
                <w:sz w:val="28"/>
                <w:szCs w:val="28"/>
                <w:color w:val="auto"/>
                <w:vertAlign w:val="superscript"/>
              </w:rPr>
              <w:t>)</w:t>
            </w:r>
          </w:p>
        </w:tc>
        <w:tc>
          <w:tcPr>
            <w:tcW w:w="920" w:type="dxa"/>
            <w:vAlign w:val="bottom"/>
            <w:tcBorders>
              <w:bottom w:val="single" w:sz="8" w:color="CCFFCC"/>
            </w:tcBorders>
            <w:gridSpan w:val="2"/>
            <w:shd w:val="clear" w:color="auto" w:fill="CCFFCC"/>
          </w:tcPr>
          <w:p>
            <w:pPr>
              <w:jc w:val="right"/>
              <w:ind w:right="80"/>
              <w:spacing w:after="0" w:line="243" w:lineRule="exact"/>
              <w:rPr>
                <w:sz w:val="20"/>
                <w:szCs w:val="20"/>
                <w:color w:val="auto"/>
              </w:rPr>
            </w:pPr>
            <w:r>
              <w:rPr>
                <w:rFonts w:ascii="Arial" w:cs="Arial" w:eastAsia="Arial" w:hAnsi="Arial"/>
                <w:sz w:val="14"/>
                <w:szCs w:val="14"/>
                <w:color w:val="auto"/>
              </w:rPr>
              <w:t>(25,031</w:t>
            </w:r>
            <w:r>
              <w:rPr>
                <w:rFonts w:ascii="Arial" w:cs="Arial" w:eastAsia="Arial" w:hAnsi="Arial"/>
                <w:sz w:val="28"/>
                <w:szCs w:val="28"/>
                <w:color w:val="auto"/>
                <w:vertAlign w:val="superscript"/>
              </w:rPr>
              <w:t>)</w:t>
            </w:r>
          </w:p>
        </w:tc>
        <w:tc>
          <w:tcPr>
            <w:tcW w:w="920" w:type="dxa"/>
            <w:vAlign w:val="bottom"/>
            <w:tcBorders>
              <w:bottom w:val="single" w:sz="8" w:color="CCFFCC"/>
            </w:tcBorders>
            <w:gridSpan w:val="2"/>
            <w:shd w:val="clear" w:color="auto" w:fill="CCFFCC"/>
          </w:tcPr>
          <w:p>
            <w:pPr>
              <w:jc w:val="right"/>
              <w:ind w:right="80"/>
              <w:spacing w:after="0" w:line="243" w:lineRule="exact"/>
              <w:rPr>
                <w:sz w:val="20"/>
                <w:szCs w:val="20"/>
                <w:color w:val="auto"/>
              </w:rPr>
            </w:pPr>
            <w:r>
              <w:rPr>
                <w:rFonts w:ascii="Arial" w:cs="Arial" w:eastAsia="Arial" w:hAnsi="Arial"/>
                <w:sz w:val="14"/>
                <w:szCs w:val="14"/>
                <w:color w:val="auto"/>
              </w:rPr>
              <w:t>(40,312</w:t>
            </w:r>
            <w:r>
              <w:rPr>
                <w:rFonts w:ascii="Arial" w:cs="Arial" w:eastAsia="Arial" w:hAnsi="Arial"/>
                <w:sz w:val="28"/>
                <w:szCs w:val="28"/>
                <w:color w:val="auto"/>
                <w:vertAlign w:val="superscript"/>
              </w:rPr>
              <w:t>)</w:t>
            </w:r>
          </w:p>
        </w:tc>
        <w:tc>
          <w:tcPr>
            <w:tcW w:w="960" w:type="dxa"/>
            <w:vAlign w:val="bottom"/>
            <w:tcBorders>
              <w:bottom w:val="single" w:sz="8" w:color="CCFFCC"/>
            </w:tcBorders>
            <w:gridSpan w:val="2"/>
            <w:shd w:val="clear" w:color="auto" w:fill="CCFFCC"/>
          </w:tcPr>
          <w:p>
            <w:pPr>
              <w:jc w:val="right"/>
              <w:ind w:right="20"/>
              <w:spacing w:after="0" w:line="243" w:lineRule="exact"/>
              <w:rPr>
                <w:sz w:val="20"/>
                <w:szCs w:val="20"/>
                <w:color w:val="auto"/>
              </w:rPr>
            </w:pPr>
            <w:r>
              <w:rPr>
                <w:rFonts w:ascii="Arial" w:cs="Arial" w:eastAsia="Arial" w:hAnsi="Arial"/>
                <w:sz w:val="14"/>
                <w:szCs w:val="14"/>
                <w:color w:val="auto"/>
              </w:rPr>
              <w:t>-35.7</w:t>
            </w:r>
            <w:r>
              <w:rPr>
                <w:rFonts w:ascii="Arial" w:cs="Arial" w:eastAsia="Arial" w:hAnsi="Arial"/>
                <w:sz w:val="28"/>
                <w:szCs w:val="28"/>
                <w:color w:val="auto"/>
                <w:vertAlign w:val="superscript"/>
              </w:rPr>
              <w:t>%</w:t>
            </w:r>
          </w:p>
        </w:tc>
        <w:tc>
          <w:tcPr>
            <w:tcW w:w="940" w:type="dxa"/>
            <w:vAlign w:val="bottom"/>
            <w:tcBorders>
              <w:bottom w:val="single" w:sz="8" w:color="CCFFCC"/>
            </w:tcBorders>
            <w:gridSpan w:val="2"/>
            <w:shd w:val="clear" w:color="auto" w:fill="CCFFCC"/>
          </w:tcPr>
          <w:p>
            <w:pPr>
              <w:jc w:val="right"/>
              <w:spacing w:after="0" w:line="243" w:lineRule="exact"/>
              <w:rPr>
                <w:sz w:val="20"/>
                <w:szCs w:val="20"/>
                <w:color w:val="auto"/>
              </w:rPr>
            </w:pPr>
            <w:r>
              <w:rPr>
                <w:rFonts w:ascii="Arial" w:cs="Arial" w:eastAsia="Arial" w:hAnsi="Arial"/>
                <w:sz w:val="14"/>
                <w:szCs w:val="14"/>
                <w:color w:val="auto"/>
              </w:rPr>
              <w:t>3.5</w:t>
            </w:r>
            <w:r>
              <w:rPr>
                <w:rFonts w:ascii="Arial" w:cs="Arial" w:eastAsia="Arial" w:hAnsi="Arial"/>
                <w:sz w:val="28"/>
                <w:szCs w:val="28"/>
                <w:color w:val="auto"/>
                <w:vertAlign w:val="superscript"/>
              </w:rPr>
              <w:t>%</w:t>
            </w:r>
          </w:p>
        </w:tc>
        <w:tc>
          <w:tcPr>
            <w:tcW w:w="980" w:type="dxa"/>
            <w:vAlign w:val="bottom"/>
            <w:tcBorders>
              <w:bottom w:val="single" w:sz="8" w:color="CCFFCC"/>
            </w:tcBorders>
            <w:gridSpan w:val="2"/>
            <w:shd w:val="clear" w:color="auto" w:fill="CCFFCC"/>
          </w:tcPr>
          <w:p>
            <w:pPr>
              <w:jc w:val="right"/>
              <w:ind w:right="80"/>
              <w:spacing w:after="0" w:line="243" w:lineRule="exact"/>
              <w:rPr>
                <w:sz w:val="20"/>
                <w:szCs w:val="20"/>
                <w:color w:val="auto"/>
              </w:rPr>
            </w:pPr>
            <w:r>
              <w:rPr>
                <w:rFonts w:ascii="Arial" w:cs="Arial" w:eastAsia="Arial" w:hAnsi="Arial"/>
                <w:sz w:val="14"/>
                <w:szCs w:val="14"/>
                <w:color w:val="auto"/>
              </w:rPr>
              <w:t>(75,472</w:t>
            </w:r>
            <w:r>
              <w:rPr>
                <w:rFonts w:ascii="Arial" w:cs="Arial" w:eastAsia="Arial" w:hAnsi="Arial"/>
                <w:sz w:val="28"/>
                <w:szCs w:val="28"/>
                <w:color w:val="auto"/>
                <w:vertAlign w:val="superscript"/>
              </w:rPr>
              <w:t>)</w:t>
            </w:r>
          </w:p>
        </w:tc>
        <w:tc>
          <w:tcPr>
            <w:tcW w:w="980" w:type="dxa"/>
            <w:vAlign w:val="bottom"/>
            <w:tcBorders>
              <w:bottom w:val="single" w:sz="8" w:color="CCFFCC"/>
            </w:tcBorders>
            <w:gridSpan w:val="2"/>
            <w:shd w:val="clear" w:color="auto" w:fill="CCFFCC"/>
          </w:tcPr>
          <w:p>
            <w:pPr>
              <w:jc w:val="right"/>
              <w:ind w:right="100"/>
              <w:spacing w:after="0" w:line="243" w:lineRule="exact"/>
              <w:rPr>
                <w:sz w:val="20"/>
                <w:szCs w:val="20"/>
                <w:color w:val="auto"/>
              </w:rPr>
            </w:pPr>
            <w:r>
              <w:rPr>
                <w:rFonts w:ascii="Arial" w:cs="Arial" w:eastAsia="Arial" w:hAnsi="Arial"/>
                <w:sz w:val="14"/>
                <w:szCs w:val="14"/>
                <w:color w:val="auto"/>
              </w:rPr>
              <w:t>(90,637</w:t>
            </w:r>
            <w:r>
              <w:rPr>
                <w:rFonts w:ascii="Arial" w:cs="Arial" w:eastAsia="Arial" w:hAnsi="Arial"/>
                <w:sz w:val="28"/>
                <w:szCs w:val="28"/>
                <w:color w:val="auto"/>
                <w:vertAlign w:val="superscript"/>
              </w:rPr>
              <w:t>)</w:t>
            </w:r>
          </w:p>
        </w:tc>
        <w:tc>
          <w:tcPr>
            <w:tcW w:w="980" w:type="dxa"/>
            <w:vAlign w:val="bottom"/>
            <w:tcBorders>
              <w:bottom w:val="single" w:sz="8" w:color="CCFFCC"/>
            </w:tcBorders>
            <w:gridSpan w:val="2"/>
            <w:shd w:val="clear" w:color="auto" w:fill="CCFFCC"/>
          </w:tcPr>
          <w:p>
            <w:pPr>
              <w:jc w:val="right"/>
              <w:ind w:right="20"/>
              <w:spacing w:after="0" w:line="243" w:lineRule="exact"/>
              <w:rPr>
                <w:sz w:val="20"/>
                <w:szCs w:val="20"/>
                <w:color w:val="auto"/>
              </w:rPr>
            </w:pPr>
            <w:r>
              <w:rPr>
                <w:rFonts w:ascii="Arial" w:cs="Arial" w:eastAsia="Arial" w:hAnsi="Arial"/>
                <w:sz w:val="14"/>
                <w:szCs w:val="14"/>
                <w:color w:val="auto"/>
              </w:rPr>
              <w:t>-16.7</w:t>
            </w:r>
            <w:r>
              <w:rPr>
                <w:rFonts w:ascii="Arial" w:cs="Arial" w:eastAsia="Arial" w:hAnsi="Arial"/>
                <w:sz w:val="28"/>
                <w:szCs w:val="28"/>
                <w:color w:val="auto"/>
                <w:vertAlign w:val="superscript"/>
              </w:rPr>
              <w:t>%</w:t>
            </w:r>
          </w:p>
        </w:tc>
      </w:tr>
      <w:tr>
        <w:trPr>
          <w:trHeight w:val="20"/>
        </w:trPr>
        <w:tc>
          <w:tcPr>
            <w:tcW w:w="382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r>
      <w:tr>
        <w:trPr>
          <w:trHeight w:val="237"/>
        </w:trPr>
        <w:tc>
          <w:tcPr>
            <w:tcW w:w="3820" w:type="dxa"/>
            <w:vAlign w:val="bottom"/>
          </w:tcPr>
          <w:p>
            <w:pPr>
              <w:ind w:left="340"/>
              <w:spacing w:after="0"/>
              <w:rPr>
                <w:sz w:val="20"/>
                <w:szCs w:val="20"/>
                <w:color w:val="auto"/>
              </w:rPr>
            </w:pPr>
            <w:r>
              <w:rPr>
                <w:rFonts w:ascii="Arial" w:cs="Arial" w:eastAsia="Arial" w:hAnsi="Arial"/>
                <w:sz w:val="14"/>
                <w:szCs w:val="14"/>
                <w:color w:val="auto"/>
              </w:rPr>
              <w:t>Total operating expenses</w:t>
            </w:r>
          </w:p>
        </w:tc>
        <w:tc>
          <w:tcPr>
            <w:tcW w:w="9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(163,125</w:t>
            </w:r>
            <w:r>
              <w:rPr>
                <w:rFonts w:ascii="Arial" w:cs="Arial" w:eastAsia="Arial" w:hAnsi="Arial"/>
                <w:sz w:val="14"/>
                <w:szCs w:val="14"/>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(159,886</w:t>
            </w:r>
            <w:r>
              <w:rPr>
                <w:rFonts w:ascii="Arial" w:cs="Arial" w:eastAsia="Arial" w:hAnsi="Arial"/>
                <w:sz w:val="14"/>
                <w:szCs w:val="14"/>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(152,042</w:t>
            </w:r>
            <w:r>
              <w:rPr>
                <w:rFonts w:ascii="Arial" w:cs="Arial" w:eastAsia="Arial" w:hAnsi="Arial"/>
                <w:sz w:val="14"/>
                <w:szCs w:val="14"/>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7.3</w:t>
            </w:r>
            <w:r>
              <w:rPr>
                <w:rFonts w:ascii="Arial" w:cs="Arial" w:eastAsia="Arial" w:hAnsi="Arial"/>
                <w:sz w:val="14"/>
                <w:szCs w:val="14"/>
                <w:color w:val="auto"/>
              </w:rPr>
              <w:t>%</w:t>
            </w: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w:t>
            </w:r>
            <w:r>
              <w:rPr>
                <w:rFonts w:ascii="Arial" w:cs="Arial" w:eastAsia="Arial" w:hAnsi="Arial"/>
                <w:sz w:val="14"/>
                <w:szCs w:val="14"/>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(472,821</w:t>
            </w: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(409,478</w:t>
            </w:r>
            <w:r>
              <w:rPr>
                <w:rFonts w:ascii="Arial" w:cs="Arial" w:eastAsia="Arial" w:hAnsi="Arial"/>
                <w:sz w:val="14"/>
                <w:szCs w:val="14"/>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15.5</w:t>
            </w:r>
            <w:r>
              <w:rPr>
                <w:rFonts w:ascii="Arial" w:cs="Arial" w:eastAsia="Arial" w:hAnsi="Arial"/>
                <w:sz w:val="14"/>
                <w:szCs w:val="14"/>
                <w:color w:val="auto"/>
              </w:rPr>
              <w:t>%</w:t>
            </w:r>
          </w:p>
        </w:tc>
      </w:tr>
      <w:tr>
        <w:trPr>
          <w:trHeight w:val="166"/>
        </w:trPr>
        <w:tc>
          <w:tcPr>
            <w:tcW w:w="382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Income before translation results,workers' profit sharing</w:t>
            </w:r>
          </w:p>
        </w:tc>
        <w:tc>
          <w:tcPr>
            <w:tcW w:w="8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84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84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84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r>
      <w:tr>
        <w:trPr>
          <w:trHeight w:val="185"/>
        </w:trPr>
        <w:tc>
          <w:tcPr>
            <w:tcW w:w="382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and income taxes</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b w:val="1"/>
                <w:bCs w:val="1"/>
                <w:color w:val="auto"/>
              </w:rPr>
              <w:t>112,758</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b w:val="1"/>
                <w:bCs w:val="1"/>
                <w:color w:val="auto"/>
              </w:rPr>
              <w:t>120,633</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b w:val="1"/>
                <w:bCs w:val="1"/>
                <w:color w:val="auto"/>
              </w:rPr>
              <w:t>83,089</w:t>
            </w:r>
          </w:p>
        </w:tc>
        <w:tc>
          <w:tcPr>
            <w:tcW w:w="96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b w:val="1"/>
                <w:bCs w:val="1"/>
                <w:color w:val="auto"/>
              </w:rPr>
              <w:t>35.7</w:t>
            </w:r>
            <w:r>
              <w:rPr>
                <w:rFonts w:ascii="Arial" w:cs="Arial" w:eastAsia="Arial" w:hAnsi="Arial"/>
                <w:sz w:val="14"/>
                <w:szCs w:val="14"/>
                <w:color w:val="auto"/>
              </w:rPr>
              <w:t>%</w:t>
            </w:r>
          </w:p>
        </w:tc>
        <w:tc>
          <w:tcPr>
            <w:tcW w:w="940" w:type="dxa"/>
            <w:vAlign w:val="bottom"/>
            <w:gridSpan w:val="2"/>
            <w:shd w:val="clear" w:color="auto" w:fill="CCFFCC"/>
          </w:tcPr>
          <w:p>
            <w:pPr>
              <w:jc w:val="right"/>
              <w:spacing w:after="0"/>
              <w:rPr>
                <w:sz w:val="20"/>
                <w:szCs w:val="20"/>
                <w:color w:val="auto"/>
              </w:rPr>
            </w:pPr>
            <w:r>
              <w:rPr>
                <w:rFonts w:ascii="Arial" w:cs="Arial" w:eastAsia="Arial" w:hAnsi="Arial"/>
                <w:sz w:val="14"/>
                <w:szCs w:val="14"/>
                <w:b w:val="1"/>
                <w:bCs w:val="1"/>
                <w:color w:val="auto"/>
              </w:rPr>
              <w:t>-6.5</w:t>
            </w:r>
            <w:r>
              <w:rPr>
                <w:rFonts w:ascii="Arial" w:cs="Arial" w:eastAsia="Arial" w:hAnsi="Arial"/>
                <w:sz w:val="14"/>
                <w:szCs w:val="14"/>
                <w:color w:val="auto"/>
              </w:rPr>
              <w:t>%</w:t>
            </w: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b w:val="1"/>
                <w:bCs w:val="1"/>
                <w:color w:val="auto"/>
              </w:rPr>
              <w:t>346,579</w:t>
            </w: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b w:val="1"/>
                <w:bCs w:val="1"/>
                <w:color w:val="auto"/>
              </w:rPr>
              <w:t>246,997</w:t>
            </w:r>
          </w:p>
        </w:tc>
        <w:tc>
          <w:tcPr>
            <w:tcW w:w="98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b w:val="1"/>
                <w:bCs w:val="1"/>
                <w:color w:val="auto"/>
              </w:rPr>
              <w:t>40.3</w:t>
            </w:r>
            <w:r>
              <w:rPr>
                <w:rFonts w:ascii="Arial" w:cs="Arial" w:eastAsia="Arial" w:hAnsi="Arial"/>
                <w:sz w:val="14"/>
                <w:szCs w:val="14"/>
                <w:color w:val="auto"/>
              </w:rPr>
              <w:t>%</w:t>
            </w:r>
          </w:p>
        </w:tc>
      </w:tr>
      <w:tr>
        <w:trPr>
          <w:trHeight w:val="243"/>
        </w:trPr>
        <w:tc>
          <w:tcPr>
            <w:tcW w:w="3820" w:type="dxa"/>
            <w:vAlign w:val="bottom"/>
          </w:tcPr>
          <w:p>
            <w:pPr>
              <w:ind w:left="180"/>
              <w:spacing w:after="0"/>
              <w:rPr>
                <w:sz w:val="20"/>
                <w:szCs w:val="20"/>
                <w:color w:val="auto"/>
              </w:rPr>
            </w:pPr>
            <w:r>
              <w:rPr>
                <w:rFonts w:ascii="Arial" w:cs="Arial" w:eastAsia="Arial" w:hAnsi="Arial"/>
                <w:sz w:val="14"/>
                <w:szCs w:val="14"/>
                <w:color w:val="auto"/>
              </w:rPr>
              <w:t>Translation result</w:t>
            </w:r>
          </w:p>
        </w:tc>
        <w:tc>
          <w:tcPr>
            <w:tcW w:w="800" w:type="dxa"/>
            <w:vAlign w:val="bottom"/>
          </w:tcPr>
          <w:p>
            <w:pPr>
              <w:jc w:val="right"/>
              <w:spacing w:after="0"/>
              <w:rPr>
                <w:sz w:val="20"/>
                <w:szCs w:val="20"/>
                <w:color w:val="auto"/>
              </w:rPr>
            </w:pPr>
            <w:r>
              <w:rPr>
                <w:rFonts w:ascii="Arial" w:cs="Arial" w:eastAsia="Arial" w:hAnsi="Arial"/>
                <w:sz w:val="14"/>
                <w:szCs w:val="14"/>
                <w:color w:val="auto"/>
              </w:rPr>
              <w:t>13,811</w:t>
            </w:r>
          </w:p>
        </w:tc>
        <w:tc>
          <w:tcPr>
            <w:tcW w:w="12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1,728</w:t>
            </w:r>
          </w:p>
        </w:tc>
        <w:tc>
          <w:tcPr>
            <w:tcW w:w="800" w:type="dxa"/>
            <w:vAlign w:val="bottom"/>
          </w:tcPr>
          <w:p>
            <w:pPr>
              <w:jc w:val="right"/>
              <w:spacing w:after="0"/>
              <w:rPr>
                <w:sz w:val="20"/>
                <w:szCs w:val="20"/>
                <w:color w:val="auto"/>
              </w:rPr>
            </w:pPr>
            <w:r>
              <w:rPr>
                <w:rFonts w:ascii="Arial" w:cs="Arial" w:eastAsia="Arial" w:hAnsi="Arial"/>
                <w:sz w:val="14"/>
                <w:szCs w:val="14"/>
                <w:color w:val="auto"/>
              </w:rPr>
              <w:t>832</w:t>
            </w:r>
          </w:p>
        </w:tc>
        <w:tc>
          <w:tcPr>
            <w:tcW w:w="12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1559.2%</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699.3%</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17,184</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9,501</w:t>
            </w: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80.9%</w:t>
            </w:r>
          </w:p>
        </w:tc>
      </w:tr>
      <w:tr>
        <w:trPr>
          <w:trHeight w:val="243"/>
        </w:trPr>
        <w:tc>
          <w:tcPr>
            <w:tcW w:w="3820" w:type="dxa"/>
            <w:vAlign w:val="bottom"/>
            <w:shd w:val="clear" w:color="auto" w:fill="CCFFCC"/>
          </w:tcPr>
          <w:p>
            <w:pPr>
              <w:ind w:left="180"/>
              <w:spacing w:after="0"/>
              <w:rPr>
                <w:sz w:val="20"/>
                <w:szCs w:val="20"/>
                <w:color w:val="auto"/>
              </w:rPr>
            </w:pPr>
            <w:r>
              <w:rPr>
                <w:rFonts w:ascii="Arial" w:cs="Arial" w:eastAsia="Arial" w:hAnsi="Arial"/>
                <w:sz w:val="14"/>
                <w:szCs w:val="14"/>
                <w:color w:val="auto"/>
              </w:rPr>
              <w:t>Workers’ profit sharing</w:t>
            </w:r>
          </w:p>
        </w:tc>
        <w:tc>
          <w:tcPr>
            <w:tcW w:w="92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(4,274)</w:t>
            </w:r>
          </w:p>
        </w:tc>
        <w:tc>
          <w:tcPr>
            <w:tcW w:w="92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(2,874)</w:t>
            </w:r>
          </w:p>
        </w:tc>
        <w:tc>
          <w:tcPr>
            <w:tcW w:w="92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(3,216)</w:t>
            </w:r>
          </w:p>
        </w:tc>
        <w:tc>
          <w:tcPr>
            <w:tcW w:w="96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32.9%</w:t>
            </w:r>
          </w:p>
        </w:tc>
        <w:tc>
          <w:tcPr>
            <w:tcW w:w="94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48.7%</w:t>
            </w: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(10,910)</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(8,723)</w:t>
            </w:r>
          </w:p>
        </w:tc>
        <w:tc>
          <w:tcPr>
            <w:tcW w:w="98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25.1%</w:t>
            </w:r>
          </w:p>
        </w:tc>
      </w:tr>
      <w:tr>
        <w:trPr>
          <w:trHeight w:val="243"/>
        </w:trPr>
        <w:tc>
          <w:tcPr>
            <w:tcW w:w="3820" w:type="dxa"/>
            <w:vAlign w:val="bottom"/>
          </w:tcPr>
          <w:p>
            <w:pPr>
              <w:ind w:left="180"/>
              <w:spacing w:after="0"/>
              <w:rPr>
                <w:sz w:val="20"/>
                <w:szCs w:val="20"/>
                <w:color w:val="auto"/>
              </w:rPr>
            </w:pPr>
            <w:r>
              <w:rPr>
                <w:rFonts w:ascii="Arial" w:cs="Arial" w:eastAsia="Arial" w:hAnsi="Arial"/>
                <w:sz w:val="14"/>
                <w:szCs w:val="14"/>
                <w:color w:val="auto"/>
              </w:rPr>
              <w:t>Income taxes</w:t>
            </w: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(29,144)</w:t>
            </w: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(25,759)</w:t>
            </w: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(25,384)</w:t>
            </w: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14.8%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13.1%</w:t>
            </w: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(79,065)</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(69,319)</w:t>
            </w: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14.1%</w:t>
            </w:r>
          </w:p>
        </w:tc>
      </w:tr>
      <w:tr>
        <w:trPr>
          <w:trHeight w:val="243"/>
        </w:trPr>
        <w:tc>
          <w:tcPr>
            <w:tcW w:w="3820" w:type="dxa"/>
            <w:vAlign w:val="bottom"/>
            <w:shd w:val="clear" w:color="auto" w:fill="CCFFCC"/>
          </w:tcPr>
          <w:p>
            <w:pPr>
              <w:spacing w:after="0"/>
              <w:rPr>
                <w:sz w:val="20"/>
                <w:szCs w:val="20"/>
                <w:color w:val="auto"/>
              </w:rPr>
            </w:pPr>
            <w:r>
              <w:rPr>
                <w:rFonts w:ascii="Arial" w:cs="Arial" w:eastAsia="Arial" w:hAnsi="Arial"/>
                <w:sz w:val="14"/>
                <w:szCs w:val="14"/>
                <w:color w:val="auto"/>
              </w:rPr>
              <w:t>Net income</w:t>
            </w: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93,152</w:t>
            </w:r>
          </w:p>
        </w:tc>
        <w:tc>
          <w:tcPr>
            <w:tcW w:w="120" w:type="dxa"/>
            <w:vAlign w:val="bottom"/>
            <w:shd w:val="clear" w:color="auto" w:fill="CCFFCC"/>
          </w:tcPr>
          <w:p>
            <w:pPr>
              <w:spacing w:after="0"/>
              <w:rPr>
                <w:sz w:val="21"/>
                <w:szCs w:val="21"/>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93,727</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55,322</w:t>
            </w:r>
          </w:p>
        </w:tc>
        <w:tc>
          <w:tcPr>
            <w:tcW w:w="96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68.4%</w:t>
            </w:r>
          </w:p>
        </w:tc>
        <w:tc>
          <w:tcPr>
            <w:tcW w:w="94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-0.6%</w:t>
            </w: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273,788</w:t>
            </w: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178,456</w:t>
            </w:r>
          </w:p>
        </w:tc>
        <w:tc>
          <w:tcPr>
            <w:tcW w:w="98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53.4%</w:t>
            </w:r>
          </w:p>
        </w:tc>
      </w:tr>
      <w:tr>
        <w:trPr>
          <w:trHeight w:val="270"/>
        </w:trPr>
        <w:tc>
          <w:tcPr>
            <w:tcW w:w="3820" w:type="dxa"/>
            <w:vAlign w:val="bottom"/>
          </w:tcPr>
          <w:p>
            <w:pPr>
              <w:spacing w:after="0"/>
              <w:rPr>
                <w:sz w:val="20"/>
                <w:szCs w:val="20"/>
                <w:color w:val="auto"/>
              </w:rPr>
            </w:pPr>
            <w:r>
              <w:rPr>
                <w:rFonts w:ascii="Arial" w:cs="Arial" w:eastAsia="Arial" w:hAnsi="Arial"/>
                <w:sz w:val="14"/>
                <w:szCs w:val="14"/>
                <w:color w:val="auto"/>
              </w:rPr>
              <w:t>Minority interest</w:t>
            </w:r>
          </w:p>
        </w:tc>
        <w:tc>
          <w:tcPr>
            <w:tcW w:w="920" w:type="dxa"/>
            <w:vAlign w:val="bottom"/>
            <w:gridSpan w:val="2"/>
          </w:tcPr>
          <w:p>
            <w:pPr>
              <w:jc w:val="right"/>
              <w:ind w:right="80"/>
              <w:spacing w:after="0" w:line="270" w:lineRule="exact"/>
              <w:rPr>
                <w:sz w:val="20"/>
                <w:szCs w:val="20"/>
                <w:color w:val="auto"/>
              </w:rPr>
            </w:pPr>
            <w:r>
              <w:rPr>
                <w:rFonts w:ascii="Arial" w:cs="Arial" w:eastAsia="Arial" w:hAnsi="Arial"/>
                <w:sz w:val="14"/>
                <w:szCs w:val="14"/>
                <w:color w:val="auto"/>
              </w:rPr>
              <w:t>(2,848</w:t>
            </w:r>
            <w:r>
              <w:rPr>
                <w:rFonts w:ascii="Arial" w:cs="Arial" w:eastAsia="Arial" w:hAnsi="Arial"/>
                <w:sz w:val="28"/>
                <w:szCs w:val="28"/>
                <w:color w:val="auto"/>
                <w:vertAlign w:val="superscript"/>
              </w:rPr>
              <w:t>)</w:t>
            </w:r>
          </w:p>
        </w:tc>
        <w:tc>
          <w:tcPr>
            <w:tcW w:w="920" w:type="dxa"/>
            <w:vAlign w:val="bottom"/>
            <w:gridSpan w:val="2"/>
          </w:tcPr>
          <w:p>
            <w:pPr>
              <w:jc w:val="right"/>
              <w:ind w:right="80"/>
              <w:spacing w:after="0" w:line="270" w:lineRule="exact"/>
              <w:rPr>
                <w:sz w:val="20"/>
                <w:szCs w:val="20"/>
                <w:color w:val="auto"/>
              </w:rPr>
            </w:pPr>
            <w:r>
              <w:rPr>
                <w:rFonts w:ascii="Arial" w:cs="Arial" w:eastAsia="Arial" w:hAnsi="Arial"/>
                <w:sz w:val="14"/>
                <w:szCs w:val="14"/>
                <w:color w:val="auto"/>
              </w:rPr>
              <w:t>(6,324</w:t>
            </w:r>
            <w:r>
              <w:rPr>
                <w:rFonts w:ascii="Arial" w:cs="Arial" w:eastAsia="Arial" w:hAnsi="Arial"/>
                <w:sz w:val="28"/>
                <w:szCs w:val="28"/>
                <w:color w:val="auto"/>
                <w:vertAlign w:val="superscript"/>
              </w:rPr>
              <w:t>)</w:t>
            </w:r>
          </w:p>
        </w:tc>
        <w:tc>
          <w:tcPr>
            <w:tcW w:w="920" w:type="dxa"/>
            <w:vAlign w:val="bottom"/>
            <w:gridSpan w:val="2"/>
          </w:tcPr>
          <w:p>
            <w:pPr>
              <w:jc w:val="right"/>
              <w:ind w:right="80"/>
              <w:spacing w:after="0" w:line="270" w:lineRule="exact"/>
              <w:rPr>
                <w:sz w:val="20"/>
                <w:szCs w:val="20"/>
                <w:color w:val="auto"/>
              </w:rPr>
            </w:pPr>
            <w:r>
              <w:rPr>
                <w:rFonts w:ascii="Arial" w:cs="Arial" w:eastAsia="Arial" w:hAnsi="Arial"/>
                <w:sz w:val="14"/>
                <w:szCs w:val="14"/>
                <w:color w:val="auto"/>
              </w:rPr>
              <w:t>(3,997</w:t>
            </w:r>
            <w:r>
              <w:rPr>
                <w:rFonts w:ascii="Arial" w:cs="Arial" w:eastAsia="Arial" w:hAnsi="Arial"/>
                <w:sz w:val="28"/>
                <w:szCs w:val="28"/>
                <w:color w:val="auto"/>
                <w:vertAlign w:val="superscript"/>
              </w:rPr>
              <w:t>)</w:t>
            </w:r>
          </w:p>
        </w:tc>
        <w:tc>
          <w:tcPr>
            <w:tcW w:w="960" w:type="dxa"/>
            <w:vAlign w:val="bottom"/>
            <w:gridSpan w:val="2"/>
          </w:tcPr>
          <w:p>
            <w:pPr>
              <w:jc w:val="right"/>
              <w:ind w:right="20"/>
              <w:spacing w:after="0" w:line="270" w:lineRule="exact"/>
              <w:rPr>
                <w:sz w:val="20"/>
                <w:szCs w:val="20"/>
                <w:color w:val="auto"/>
              </w:rPr>
            </w:pPr>
            <w:r>
              <w:rPr>
                <w:rFonts w:ascii="Arial" w:cs="Arial" w:eastAsia="Arial" w:hAnsi="Arial"/>
                <w:sz w:val="14"/>
                <w:szCs w:val="14"/>
                <w:color w:val="auto"/>
              </w:rPr>
              <w:t>-28.8</w:t>
            </w:r>
            <w:r>
              <w:rPr>
                <w:rFonts w:ascii="Arial" w:cs="Arial" w:eastAsia="Arial" w:hAnsi="Arial"/>
                <w:sz w:val="28"/>
                <w:szCs w:val="28"/>
                <w:color w:val="auto"/>
                <w:vertAlign w:val="superscript"/>
              </w:rPr>
              <w:t>%</w:t>
            </w:r>
          </w:p>
        </w:tc>
        <w:tc>
          <w:tcPr>
            <w:tcW w:w="940" w:type="dxa"/>
            <w:vAlign w:val="bottom"/>
            <w:gridSpan w:val="2"/>
          </w:tcPr>
          <w:p>
            <w:pPr>
              <w:jc w:val="right"/>
              <w:spacing w:after="0" w:line="270" w:lineRule="exact"/>
              <w:rPr>
                <w:sz w:val="20"/>
                <w:szCs w:val="20"/>
                <w:color w:val="auto"/>
              </w:rPr>
            </w:pPr>
            <w:r>
              <w:rPr>
                <w:rFonts w:ascii="Arial" w:cs="Arial" w:eastAsia="Arial" w:hAnsi="Arial"/>
                <w:sz w:val="14"/>
                <w:szCs w:val="14"/>
                <w:color w:val="auto"/>
              </w:rPr>
              <w:t>-55.0</w:t>
            </w:r>
            <w:r>
              <w:rPr>
                <w:rFonts w:ascii="Arial" w:cs="Arial" w:eastAsia="Arial" w:hAnsi="Arial"/>
                <w:sz w:val="28"/>
                <w:szCs w:val="28"/>
                <w:color w:val="auto"/>
                <w:vertAlign w:val="superscript"/>
              </w:rPr>
              <w:t>%</w:t>
            </w:r>
          </w:p>
        </w:tc>
        <w:tc>
          <w:tcPr>
            <w:tcW w:w="980" w:type="dxa"/>
            <w:vAlign w:val="bottom"/>
            <w:gridSpan w:val="2"/>
          </w:tcPr>
          <w:p>
            <w:pPr>
              <w:jc w:val="right"/>
              <w:ind w:right="80"/>
              <w:spacing w:after="0" w:line="270" w:lineRule="exact"/>
              <w:rPr>
                <w:sz w:val="20"/>
                <w:szCs w:val="20"/>
                <w:color w:val="auto"/>
              </w:rPr>
            </w:pPr>
            <w:r>
              <w:rPr>
                <w:rFonts w:ascii="Arial" w:cs="Arial" w:eastAsia="Arial" w:hAnsi="Arial"/>
                <w:sz w:val="14"/>
                <w:szCs w:val="14"/>
                <w:color w:val="auto"/>
              </w:rPr>
              <w:t>(17,068</w:t>
            </w:r>
            <w:r>
              <w:rPr>
                <w:rFonts w:ascii="Arial" w:cs="Arial" w:eastAsia="Arial" w:hAnsi="Arial"/>
                <w:sz w:val="28"/>
                <w:szCs w:val="28"/>
                <w:color w:val="auto"/>
                <w:vertAlign w:val="superscript"/>
              </w:rPr>
              <w:t>)</w:t>
            </w:r>
          </w:p>
        </w:tc>
        <w:tc>
          <w:tcPr>
            <w:tcW w:w="980" w:type="dxa"/>
            <w:vAlign w:val="bottom"/>
            <w:gridSpan w:val="2"/>
          </w:tcPr>
          <w:p>
            <w:pPr>
              <w:jc w:val="right"/>
              <w:ind w:right="100"/>
              <w:spacing w:after="0" w:line="270" w:lineRule="exact"/>
              <w:rPr>
                <w:sz w:val="20"/>
                <w:szCs w:val="20"/>
                <w:color w:val="auto"/>
              </w:rPr>
            </w:pPr>
            <w:r>
              <w:rPr>
                <w:rFonts w:ascii="Arial" w:cs="Arial" w:eastAsia="Arial" w:hAnsi="Arial"/>
                <w:sz w:val="14"/>
                <w:szCs w:val="14"/>
                <w:color w:val="auto"/>
              </w:rPr>
              <w:t>(11,513</w:t>
            </w:r>
            <w:r>
              <w:rPr>
                <w:rFonts w:ascii="Arial" w:cs="Arial" w:eastAsia="Arial" w:hAnsi="Arial"/>
                <w:sz w:val="28"/>
                <w:szCs w:val="28"/>
                <w:color w:val="auto"/>
                <w:vertAlign w:val="superscript"/>
              </w:rPr>
              <w:t>)</w:t>
            </w:r>
          </w:p>
        </w:tc>
        <w:tc>
          <w:tcPr>
            <w:tcW w:w="980" w:type="dxa"/>
            <w:vAlign w:val="bottom"/>
            <w:gridSpan w:val="2"/>
          </w:tcPr>
          <w:p>
            <w:pPr>
              <w:jc w:val="right"/>
              <w:ind w:right="20"/>
              <w:spacing w:after="0" w:line="270" w:lineRule="exact"/>
              <w:rPr>
                <w:sz w:val="20"/>
                <w:szCs w:val="20"/>
                <w:color w:val="auto"/>
              </w:rPr>
            </w:pPr>
            <w:r>
              <w:rPr>
                <w:rFonts w:ascii="Arial" w:cs="Arial" w:eastAsia="Arial" w:hAnsi="Arial"/>
                <w:sz w:val="14"/>
                <w:szCs w:val="14"/>
                <w:color w:val="auto"/>
              </w:rPr>
              <w:t>48.2</w:t>
            </w:r>
            <w:r>
              <w:rPr>
                <w:rFonts w:ascii="Arial" w:cs="Arial" w:eastAsia="Arial" w:hAnsi="Arial"/>
                <w:sz w:val="28"/>
                <w:szCs w:val="28"/>
                <w:color w:val="auto"/>
                <w:vertAlign w:val="superscript"/>
              </w:rPr>
              <w:t>%</w:t>
            </w:r>
          </w:p>
        </w:tc>
      </w:tr>
      <w:tr>
        <w:trPr>
          <w:trHeight w:val="20"/>
        </w:trPr>
        <w:tc>
          <w:tcPr>
            <w:tcW w:w="38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7"/>
        </w:trPr>
        <w:tc>
          <w:tcPr>
            <w:tcW w:w="382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Net income attributed to Credicorp</w:t>
            </w: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b w:val="1"/>
                <w:bCs w:val="1"/>
                <w:color w:val="auto"/>
              </w:rPr>
              <w:t>90,304</w:t>
            </w:r>
          </w:p>
        </w:tc>
        <w:tc>
          <w:tcPr>
            <w:tcW w:w="120" w:type="dxa"/>
            <w:vAlign w:val="bottom"/>
            <w:shd w:val="clear" w:color="auto" w:fill="CCFFCC"/>
          </w:tcPr>
          <w:p>
            <w:pPr>
              <w:spacing w:after="0"/>
              <w:rPr>
                <w:sz w:val="20"/>
                <w:szCs w:val="20"/>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b w:val="1"/>
                <w:bCs w:val="1"/>
                <w:color w:val="auto"/>
              </w:rPr>
              <w:t>87,403</w:t>
            </w:r>
          </w:p>
        </w:tc>
        <w:tc>
          <w:tcPr>
            <w:tcW w:w="120" w:type="dxa"/>
            <w:vAlign w:val="bottom"/>
            <w:shd w:val="clear" w:color="auto" w:fill="CCFFCC"/>
          </w:tcPr>
          <w:p>
            <w:pPr>
              <w:spacing w:after="0"/>
              <w:rPr>
                <w:sz w:val="20"/>
                <w:szCs w:val="20"/>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b w:val="1"/>
                <w:bCs w:val="1"/>
                <w:color w:val="auto"/>
              </w:rPr>
              <w:t>51,324</w:t>
            </w:r>
          </w:p>
        </w:tc>
        <w:tc>
          <w:tcPr>
            <w:tcW w:w="120" w:type="dxa"/>
            <w:vAlign w:val="bottom"/>
            <w:shd w:val="clear" w:color="auto" w:fill="CCFFCC"/>
          </w:tcPr>
          <w:p>
            <w:pPr>
              <w:spacing w:after="0"/>
              <w:rPr>
                <w:sz w:val="20"/>
                <w:szCs w:val="20"/>
                <w:color w:val="auto"/>
              </w:rPr>
            </w:pPr>
          </w:p>
        </w:tc>
        <w:tc>
          <w:tcPr>
            <w:tcW w:w="96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b w:val="1"/>
                <w:bCs w:val="1"/>
                <w:color w:val="auto"/>
              </w:rPr>
              <w:t>75.9</w:t>
            </w:r>
            <w:r>
              <w:rPr>
                <w:rFonts w:ascii="Arial" w:cs="Arial" w:eastAsia="Arial" w:hAnsi="Arial"/>
                <w:sz w:val="14"/>
                <w:szCs w:val="14"/>
                <w:color w:val="auto"/>
              </w:rPr>
              <w:t>%</w:t>
            </w:r>
          </w:p>
        </w:tc>
        <w:tc>
          <w:tcPr>
            <w:tcW w:w="940" w:type="dxa"/>
            <w:vAlign w:val="bottom"/>
            <w:gridSpan w:val="2"/>
            <w:shd w:val="clear" w:color="auto" w:fill="CCFFCC"/>
          </w:tcPr>
          <w:p>
            <w:pPr>
              <w:jc w:val="right"/>
              <w:spacing w:after="0"/>
              <w:rPr>
                <w:sz w:val="20"/>
                <w:szCs w:val="20"/>
                <w:color w:val="auto"/>
              </w:rPr>
            </w:pPr>
            <w:r>
              <w:rPr>
                <w:rFonts w:ascii="Arial" w:cs="Arial" w:eastAsia="Arial" w:hAnsi="Arial"/>
                <w:sz w:val="14"/>
                <w:szCs w:val="14"/>
                <w:b w:val="1"/>
                <w:bCs w:val="1"/>
                <w:color w:val="auto"/>
              </w:rPr>
              <w:t>3.3</w:t>
            </w:r>
            <w:r>
              <w:rPr>
                <w:rFonts w:ascii="Arial" w:cs="Arial" w:eastAsia="Arial" w:hAnsi="Arial"/>
                <w:sz w:val="14"/>
                <w:szCs w:val="14"/>
                <w:color w:val="auto"/>
              </w:rPr>
              <w:t>%</w:t>
            </w: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b w:val="1"/>
                <w:bCs w:val="1"/>
                <w:color w:val="auto"/>
              </w:rPr>
              <w:t>256,720</w:t>
            </w: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b w:val="1"/>
                <w:bCs w:val="1"/>
                <w:color w:val="auto"/>
              </w:rPr>
              <w:t>166,943</w:t>
            </w:r>
          </w:p>
        </w:tc>
        <w:tc>
          <w:tcPr>
            <w:tcW w:w="98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b w:val="1"/>
                <w:bCs w:val="1"/>
                <w:color w:val="auto"/>
              </w:rPr>
              <w:t>53.8</w:t>
            </w:r>
            <w:r>
              <w:rPr>
                <w:rFonts w:ascii="Arial" w:cs="Arial" w:eastAsia="Arial" w:hAnsi="Arial"/>
                <w:sz w:val="14"/>
                <w:szCs w:val="14"/>
                <w:color w:val="auto"/>
              </w:rPr>
              <w:t>%</w:t>
            </w:r>
          </w:p>
        </w:tc>
      </w:tr>
      <w:tr>
        <w:trPr>
          <w:trHeight w:val="486"/>
        </w:trPr>
        <w:tc>
          <w:tcPr>
            <w:tcW w:w="3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118"/>
        </w:trPr>
        <w:tc>
          <w:tcPr>
            <w:tcW w:w="38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3" w:name="page14"/>
    <w:bookmarkEnd w:id="13"/>
    <w:p>
      <w:pPr>
        <w:spacing w:after="0" w:line="194"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CREDICORP LTD. AND SUBSISIARIES</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SELECTED FINANCIAL INDICATORS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rPr>
              <w:t>Quarter</w:t>
            </w: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tcBorders>
              <w:bottom w:val="single" w:sz="8" w:color="auto"/>
            </w:tcBorders>
            <w:gridSpan w:val="3"/>
          </w:tcPr>
          <w:p>
            <w:pPr>
              <w:jc w:val="right"/>
              <w:ind w:right="788"/>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6"/>
                <w:szCs w:val="16"/>
                <w:color w:val="auto"/>
              </w:rPr>
            </w:pPr>
          </w:p>
        </w:tc>
      </w:tr>
      <w:tr>
        <w:trPr>
          <w:trHeight w:val="264"/>
        </w:trPr>
        <w:tc>
          <w:tcPr>
            <w:tcW w:w="5140" w:type="dxa"/>
            <w:vAlign w:val="bottom"/>
          </w:tcPr>
          <w:p>
            <w:pPr>
              <w:spacing w:after="0"/>
              <w:rPr>
                <w:sz w:val="22"/>
                <w:szCs w:val="22"/>
                <w:color w:val="auto"/>
              </w:rPr>
            </w:pPr>
          </w:p>
        </w:tc>
        <w:tc>
          <w:tcPr>
            <w:tcW w:w="74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w w:val="93"/>
              </w:rPr>
              <w:t>3Q07</w:t>
            </w:r>
          </w:p>
        </w:tc>
        <w:tc>
          <w:tcPr>
            <w:tcW w:w="4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2Q07</w:t>
            </w:r>
          </w:p>
        </w:tc>
        <w:tc>
          <w:tcPr>
            <w:tcW w:w="120" w:type="dxa"/>
            <w:vAlign w:val="bottom"/>
          </w:tcPr>
          <w:p>
            <w:pPr>
              <w:spacing w:after="0"/>
              <w:rPr>
                <w:sz w:val="22"/>
                <w:szCs w:val="22"/>
                <w:color w:val="auto"/>
              </w:rPr>
            </w:pPr>
          </w:p>
        </w:tc>
        <w:tc>
          <w:tcPr>
            <w:tcW w:w="112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3Q06</w:t>
            </w:r>
          </w:p>
        </w:tc>
        <w:tc>
          <w:tcPr>
            <w:tcW w:w="120" w:type="dxa"/>
            <w:vAlign w:val="bottom"/>
          </w:tcPr>
          <w:p>
            <w:pPr>
              <w:spacing w:after="0"/>
              <w:rPr>
                <w:sz w:val="22"/>
                <w:szCs w:val="22"/>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September 07</w:t>
            </w:r>
          </w:p>
        </w:tc>
        <w:tc>
          <w:tcPr>
            <w:tcW w:w="120" w:type="dxa"/>
            <w:vAlign w:val="bottom"/>
          </w:tcPr>
          <w:p>
            <w:pPr>
              <w:spacing w:after="0"/>
              <w:rPr>
                <w:sz w:val="22"/>
                <w:szCs w:val="22"/>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September 06</w:t>
            </w:r>
          </w:p>
        </w:tc>
        <w:tc>
          <w:tcPr>
            <w:tcW w:w="120" w:type="dxa"/>
            <w:vAlign w:val="bottom"/>
          </w:tcPr>
          <w:p>
            <w:pPr>
              <w:spacing w:after="0"/>
              <w:rPr>
                <w:sz w:val="22"/>
                <w:szCs w:val="22"/>
                <w:color w:val="auto"/>
              </w:rPr>
            </w:pPr>
          </w:p>
        </w:tc>
      </w:tr>
      <w:tr>
        <w:trPr>
          <w:trHeight w:val="237"/>
        </w:trPr>
        <w:tc>
          <w:tcPr>
            <w:tcW w:w="5880" w:type="dxa"/>
            <w:vAlign w:val="bottom"/>
            <w:gridSpan w:val="2"/>
          </w:tcPr>
          <w:p>
            <w:pPr>
              <w:spacing w:after="0"/>
              <w:rPr>
                <w:sz w:val="20"/>
                <w:szCs w:val="20"/>
                <w:color w:val="auto"/>
              </w:rPr>
            </w:pPr>
            <w:r>
              <w:rPr>
                <w:rFonts w:ascii="Arial" w:cs="Arial" w:eastAsia="Arial" w:hAnsi="Arial"/>
                <w:sz w:val="14"/>
                <w:szCs w:val="14"/>
                <w:b w:val="1"/>
                <w:bCs w:val="1"/>
                <w:color w:val="auto"/>
              </w:rPr>
              <w:t>Profitability</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5880" w:type="dxa"/>
            <w:vAlign w:val="bottom"/>
            <w:gridSpan w:val="2"/>
            <w:shd w:val="clear" w:color="auto" w:fill="CCFFCC"/>
          </w:tcPr>
          <w:p>
            <w:pPr>
              <w:ind w:left="180"/>
              <w:spacing w:after="0"/>
              <w:rPr>
                <w:sz w:val="20"/>
                <w:szCs w:val="20"/>
                <w:color w:val="auto"/>
              </w:rPr>
            </w:pPr>
            <w:r>
              <w:rPr>
                <w:rFonts w:ascii="Arial" w:cs="Arial" w:eastAsia="Arial" w:hAnsi="Arial"/>
                <w:sz w:val="14"/>
                <w:szCs w:val="14"/>
                <w:color w:val="auto"/>
              </w:rPr>
              <w:t>Net income per common share (US$ per share) (1)</w:t>
            </w:r>
          </w:p>
        </w:tc>
        <w:tc>
          <w:tcPr>
            <w:tcW w:w="5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1.13</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1.10</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0.64</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3.22</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2.09</w:t>
            </w:r>
          </w:p>
        </w:tc>
      </w:tr>
      <w:tr>
        <w:trPr>
          <w:trHeight w:val="243"/>
        </w:trPr>
        <w:tc>
          <w:tcPr>
            <w:tcW w:w="5880" w:type="dxa"/>
            <w:vAlign w:val="bottom"/>
            <w:gridSpan w:val="2"/>
          </w:tcPr>
          <w:p>
            <w:pPr>
              <w:ind w:left="180"/>
              <w:spacing w:after="0"/>
              <w:rPr>
                <w:sz w:val="20"/>
                <w:szCs w:val="20"/>
                <w:color w:val="auto"/>
              </w:rPr>
            </w:pPr>
            <w:r>
              <w:rPr>
                <w:rFonts w:ascii="Arial" w:cs="Arial" w:eastAsia="Arial" w:hAnsi="Arial"/>
                <w:sz w:val="14"/>
                <w:szCs w:val="14"/>
                <w:color w:val="auto"/>
              </w:rPr>
              <w:t>Net interest margin on interest earning assets (2)</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5.16%</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5.46%</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4.88%</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5.43%</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5.15%</w:t>
            </w:r>
          </w:p>
        </w:tc>
      </w:tr>
      <w:tr>
        <w:trPr>
          <w:trHeight w:val="243"/>
        </w:trPr>
        <w:tc>
          <w:tcPr>
            <w:tcW w:w="5880" w:type="dxa"/>
            <w:vAlign w:val="bottom"/>
            <w:gridSpan w:val="2"/>
            <w:shd w:val="clear" w:color="auto" w:fill="CCFFCC"/>
          </w:tcPr>
          <w:p>
            <w:pPr>
              <w:ind w:left="180"/>
              <w:spacing w:after="0"/>
              <w:rPr>
                <w:sz w:val="20"/>
                <w:szCs w:val="20"/>
                <w:color w:val="auto"/>
              </w:rPr>
            </w:pPr>
            <w:r>
              <w:rPr>
                <w:rFonts w:ascii="Arial" w:cs="Arial" w:eastAsia="Arial" w:hAnsi="Arial"/>
                <w:sz w:val="14"/>
                <w:szCs w:val="14"/>
                <w:color w:val="auto"/>
              </w:rPr>
              <w:t>Return on average total assets (2)(3)</w:t>
            </w:r>
          </w:p>
        </w:tc>
        <w:tc>
          <w:tcPr>
            <w:tcW w:w="5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2.32%</w:t>
            </w:r>
          </w:p>
        </w:tc>
        <w:tc>
          <w:tcPr>
            <w:tcW w:w="126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2.41%</w:t>
            </w: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1.74%</w:t>
            </w:r>
          </w:p>
        </w:tc>
        <w:tc>
          <w:tcPr>
            <w:tcW w:w="126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1.84%</w:t>
            </w:r>
          </w:p>
        </w:tc>
        <w:tc>
          <w:tcPr>
            <w:tcW w:w="126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1.48%</w:t>
            </w:r>
          </w:p>
        </w:tc>
      </w:tr>
      <w:tr>
        <w:trPr>
          <w:trHeight w:val="243"/>
        </w:trPr>
        <w:tc>
          <w:tcPr>
            <w:tcW w:w="5880" w:type="dxa"/>
            <w:vAlign w:val="bottom"/>
            <w:gridSpan w:val="2"/>
          </w:tcPr>
          <w:p>
            <w:pPr>
              <w:ind w:left="180"/>
              <w:spacing w:after="0"/>
              <w:rPr>
                <w:sz w:val="20"/>
                <w:szCs w:val="20"/>
                <w:color w:val="auto"/>
              </w:rPr>
            </w:pPr>
            <w:r>
              <w:rPr>
                <w:rFonts w:ascii="Arial" w:cs="Arial" w:eastAsia="Arial" w:hAnsi="Arial"/>
                <w:sz w:val="14"/>
                <w:szCs w:val="14"/>
                <w:color w:val="auto"/>
              </w:rPr>
              <w:t>Return on average shareholders' equity (2)(3)</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23.02%</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23.66%</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16.34%</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22.87%</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18.35%</w:t>
            </w:r>
          </w:p>
        </w:tc>
      </w:tr>
      <w:tr>
        <w:trPr>
          <w:trHeight w:val="243"/>
        </w:trPr>
        <w:tc>
          <w:tcPr>
            <w:tcW w:w="5880" w:type="dxa"/>
            <w:vAlign w:val="bottom"/>
            <w:gridSpan w:val="2"/>
            <w:shd w:val="clear" w:color="auto" w:fill="CCFFCC"/>
          </w:tcPr>
          <w:p>
            <w:pPr>
              <w:ind w:left="180"/>
              <w:spacing w:after="0"/>
              <w:rPr>
                <w:sz w:val="20"/>
                <w:szCs w:val="20"/>
                <w:color w:val="auto"/>
              </w:rPr>
            </w:pPr>
            <w:r>
              <w:rPr>
                <w:rFonts w:ascii="Arial" w:cs="Arial" w:eastAsia="Arial" w:hAnsi="Arial"/>
                <w:sz w:val="14"/>
                <w:szCs w:val="14"/>
                <w:color w:val="auto"/>
              </w:rPr>
              <w:t>No. of outstanding shares (millions) (4)</w:t>
            </w:r>
          </w:p>
        </w:tc>
        <w:tc>
          <w:tcPr>
            <w:tcW w:w="5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79.76</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79.76</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79.76</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79.76</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79.76</w:t>
            </w:r>
          </w:p>
        </w:tc>
      </w:tr>
      <w:tr>
        <w:trPr>
          <w:trHeight w:val="243"/>
        </w:trPr>
        <w:tc>
          <w:tcPr>
            <w:tcW w:w="5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5880" w:type="dxa"/>
            <w:vAlign w:val="bottom"/>
            <w:gridSpan w:val="2"/>
            <w:shd w:val="clear" w:color="auto" w:fill="CCFFCC"/>
          </w:tcPr>
          <w:p>
            <w:pPr>
              <w:spacing w:after="0"/>
              <w:rPr>
                <w:sz w:val="20"/>
                <w:szCs w:val="20"/>
                <w:color w:val="auto"/>
              </w:rPr>
            </w:pPr>
            <w:r>
              <w:rPr>
                <w:rFonts w:ascii="Arial" w:cs="Arial" w:eastAsia="Arial" w:hAnsi="Arial"/>
                <w:sz w:val="14"/>
                <w:szCs w:val="14"/>
                <w:b w:val="1"/>
                <w:bCs w:val="1"/>
                <w:color w:val="auto"/>
              </w:rPr>
              <w:t>Quality of loan portfolio</w:t>
            </w:r>
          </w:p>
        </w:tc>
        <w:tc>
          <w:tcPr>
            <w:tcW w:w="4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r>
      <w:tr>
        <w:trPr>
          <w:trHeight w:val="243"/>
        </w:trPr>
        <w:tc>
          <w:tcPr>
            <w:tcW w:w="5880" w:type="dxa"/>
            <w:vAlign w:val="bottom"/>
            <w:gridSpan w:val="2"/>
          </w:tcPr>
          <w:p>
            <w:pPr>
              <w:ind w:left="200"/>
              <w:spacing w:after="0"/>
              <w:rPr>
                <w:sz w:val="20"/>
                <w:szCs w:val="20"/>
                <w:color w:val="auto"/>
              </w:rPr>
            </w:pPr>
            <w:r>
              <w:rPr>
                <w:rFonts w:ascii="Arial" w:cs="Arial" w:eastAsia="Arial" w:hAnsi="Arial"/>
                <w:sz w:val="14"/>
                <w:szCs w:val="14"/>
                <w:color w:val="auto"/>
              </w:rPr>
              <w:t>Past due loans as a percentage of total loans</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0.91%</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0.96%</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1.56%</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0.91%</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1.56%</w:t>
            </w:r>
          </w:p>
        </w:tc>
      </w:tr>
      <w:tr>
        <w:trPr>
          <w:trHeight w:val="243"/>
        </w:trPr>
        <w:tc>
          <w:tcPr>
            <w:tcW w:w="5880" w:type="dxa"/>
            <w:vAlign w:val="bottom"/>
            <w:gridSpan w:val="2"/>
            <w:shd w:val="clear" w:color="auto" w:fill="CCFFCC"/>
          </w:tcPr>
          <w:p>
            <w:pPr>
              <w:ind w:left="200"/>
              <w:spacing w:after="0"/>
              <w:rPr>
                <w:sz w:val="20"/>
                <w:szCs w:val="20"/>
                <w:color w:val="auto"/>
              </w:rPr>
            </w:pPr>
            <w:r>
              <w:rPr>
                <w:rFonts w:ascii="Arial" w:cs="Arial" w:eastAsia="Arial" w:hAnsi="Arial"/>
                <w:sz w:val="14"/>
                <w:szCs w:val="14"/>
                <w:color w:val="auto"/>
              </w:rPr>
              <w:t>Reserves for loan losses as a percentage of total past due loans</w:t>
            </w:r>
          </w:p>
        </w:tc>
        <w:tc>
          <w:tcPr>
            <w:tcW w:w="5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w w:val="90"/>
              </w:rPr>
              <w:t>299.37%</w:t>
            </w:r>
          </w:p>
        </w:tc>
        <w:tc>
          <w:tcPr>
            <w:tcW w:w="126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284.43%</w:t>
            </w: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215.72%</w:t>
            </w:r>
          </w:p>
        </w:tc>
        <w:tc>
          <w:tcPr>
            <w:tcW w:w="126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299.37%</w:t>
            </w:r>
          </w:p>
        </w:tc>
        <w:tc>
          <w:tcPr>
            <w:tcW w:w="126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215.72%</w:t>
            </w:r>
          </w:p>
        </w:tc>
      </w:tr>
      <w:tr>
        <w:trPr>
          <w:trHeight w:val="270"/>
        </w:trPr>
        <w:tc>
          <w:tcPr>
            <w:tcW w:w="5880" w:type="dxa"/>
            <w:vAlign w:val="bottom"/>
            <w:gridSpan w:val="2"/>
          </w:tcPr>
          <w:p>
            <w:pPr>
              <w:ind w:left="200"/>
              <w:spacing w:after="0"/>
              <w:rPr>
                <w:sz w:val="20"/>
                <w:szCs w:val="20"/>
                <w:color w:val="auto"/>
              </w:rPr>
            </w:pPr>
            <w:r>
              <w:rPr>
                <w:rFonts w:ascii="Arial" w:cs="Arial" w:eastAsia="Arial" w:hAnsi="Arial"/>
                <w:sz w:val="14"/>
                <w:szCs w:val="14"/>
                <w:color w:val="auto"/>
              </w:rPr>
              <w:t>Reserves for loan losses as a percentage of total loans</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2.72%</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3.71%</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3.37%</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2.72%</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3.37%</w:t>
            </w:r>
          </w:p>
        </w:tc>
      </w:tr>
      <w:tr>
        <w:trPr>
          <w:trHeight w:val="243"/>
        </w:trPr>
        <w:tc>
          <w:tcPr>
            <w:tcW w:w="5140" w:type="dxa"/>
            <w:vAlign w:val="bottom"/>
            <w:shd w:val="clear" w:color="auto" w:fill="CCFFCC"/>
          </w:tcPr>
          <w:p>
            <w:pPr>
              <w:spacing w:after="0"/>
              <w:rPr>
                <w:sz w:val="21"/>
                <w:szCs w:val="21"/>
                <w:color w:val="auto"/>
              </w:rPr>
            </w:pPr>
          </w:p>
        </w:tc>
        <w:tc>
          <w:tcPr>
            <w:tcW w:w="74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r>
      <w:tr>
        <w:trPr>
          <w:trHeight w:val="243"/>
        </w:trPr>
        <w:tc>
          <w:tcPr>
            <w:tcW w:w="5880" w:type="dxa"/>
            <w:vAlign w:val="bottom"/>
            <w:gridSpan w:val="2"/>
          </w:tcPr>
          <w:p>
            <w:pPr>
              <w:spacing w:after="0"/>
              <w:rPr>
                <w:sz w:val="20"/>
                <w:szCs w:val="20"/>
                <w:color w:val="auto"/>
              </w:rPr>
            </w:pPr>
            <w:r>
              <w:rPr>
                <w:rFonts w:ascii="Arial" w:cs="Arial" w:eastAsia="Arial" w:hAnsi="Arial"/>
                <w:sz w:val="14"/>
                <w:szCs w:val="14"/>
                <w:b w:val="1"/>
                <w:bCs w:val="1"/>
                <w:color w:val="auto"/>
              </w:rPr>
              <w:t>Operating efficiency</w:t>
            </w: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5880" w:type="dxa"/>
            <w:vAlign w:val="bottom"/>
            <w:gridSpan w:val="2"/>
            <w:shd w:val="clear" w:color="auto" w:fill="CCFFCC"/>
          </w:tcPr>
          <w:p>
            <w:pPr>
              <w:ind w:left="180"/>
              <w:spacing w:after="0"/>
              <w:rPr>
                <w:sz w:val="20"/>
                <w:szCs w:val="20"/>
                <w:color w:val="auto"/>
              </w:rPr>
            </w:pPr>
            <w:r>
              <w:rPr>
                <w:rFonts w:ascii="Arial" w:cs="Arial" w:eastAsia="Arial" w:hAnsi="Arial"/>
                <w:sz w:val="14"/>
                <w:szCs w:val="14"/>
                <w:color w:val="auto"/>
              </w:rPr>
              <w:t>Oper. expense as a percent. of total income (5)</w:t>
            </w:r>
          </w:p>
        </w:tc>
        <w:tc>
          <w:tcPr>
            <w:tcW w:w="5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40.77%</w:t>
            </w:r>
          </w:p>
        </w:tc>
        <w:tc>
          <w:tcPr>
            <w:tcW w:w="126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42.16%</w:t>
            </w: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42.93%</w:t>
            </w:r>
          </w:p>
        </w:tc>
        <w:tc>
          <w:tcPr>
            <w:tcW w:w="126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41.77%</w:t>
            </w:r>
          </w:p>
        </w:tc>
        <w:tc>
          <w:tcPr>
            <w:tcW w:w="126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42.06%</w:t>
            </w:r>
          </w:p>
        </w:tc>
      </w:tr>
      <w:tr>
        <w:trPr>
          <w:trHeight w:val="243"/>
        </w:trPr>
        <w:tc>
          <w:tcPr>
            <w:tcW w:w="5880" w:type="dxa"/>
            <w:vAlign w:val="bottom"/>
            <w:gridSpan w:val="2"/>
          </w:tcPr>
          <w:p>
            <w:pPr>
              <w:ind w:left="180"/>
              <w:spacing w:after="0"/>
              <w:rPr>
                <w:sz w:val="20"/>
                <w:szCs w:val="20"/>
                <w:color w:val="auto"/>
              </w:rPr>
            </w:pPr>
            <w:r>
              <w:rPr>
                <w:rFonts w:ascii="Arial" w:cs="Arial" w:eastAsia="Arial" w:hAnsi="Arial"/>
                <w:sz w:val="14"/>
                <w:szCs w:val="14"/>
                <w:color w:val="auto"/>
              </w:rPr>
              <w:t>Oper. expense as a percent. of av. tot. assets (2)(3)(5)</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3.53%</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3.71%</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3.78%</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3.80%</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3.76%</w:t>
            </w:r>
          </w:p>
        </w:tc>
      </w:tr>
      <w:tr>
        <w:trPr>
          <w:trHeight w:val="243"/>
        </w:trPr>
        <w:tc>
          <w:tcPr>
            <w:tcW w:w="5140" w:type="dxa"/>
            <w:vAlign w:val="bottom"/>
            <w:shd w:val="clear" w:color="auto" w:fill="CCFFCC"/>
          </w:tcPr>
          <w:p>
            <w:pPr>
              <w:spacing w:after="0"/>
              <w:rPr>
                <w:sz w:val="21"/>
                <w:szCs w:val="21"/>
                <w:color w:val="auto"/>
              </w:rPr>
            </w:pPr>
          </w:p>
        </w:tc>
        <w:tc>
          <w:tcPr>
            <w:tcW w:w="74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r>
      <w:tr>
        <w:trPr>
          <w:trHeight w:val="243"/>
        </w:trPr>
        <w:tc>
          <w:tcPr>
            <w:tcW w:w="5880" w:type="dxa"/>
            <w:vAlign w:val="bottom"/>
            <w:gridSpan w:val="2"/>
          </w:tcPr>
          <w:p>
            <w:pPr>
              <w:spacing w:after="0"/>
              <w:rPr>
                <w:sz w:val="20"/>
                <w:szCs w:val="20"/>
                <w:color w:val="auto"/>
              </w:rPr>
            </w:pPr>
            <w:r>
              <w:rPr>
                <w:rFonts w:ascii="Arial" w:cs="Arial" w:eastAsia="Arial" w:hAnsi="Arial"/>
                <w:sz w:val="14"/>
                <w:szCs w:val="14"/>
                <w:b w:val="1"/>
                <w:bCs w:val="1"/>
                <w:color w:val="auto"/>
              </w:rPr>
              <w:t>Average balances (millions of US$) (3)</w:t>
            </w: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5880" w:type="dxa"/>
            <w:vAlign w:val="bottom"/>
            <w:gridSpan w:val="2"/>
            <w:shd w:val="clear" w:color="auto" w:fill="CCFFCC"/>
          </w:tcPr>
          <w:p>
            <w:pPr>
              <w:ind w:left="200"/>
              <w:spacing w:after="0"/>
              <w:rPr>
                <w:sz w:val="20"/>
                <w:szCs w:val="20"/>
                <w:color w:val="auto"/>
              </w:rPr>
            </w:pPr>
            <w:r>
              <w:rPr>
                <w:rFonts w:ascii="Arial" w:cs="Arial" w:eastAsia="Arial" w:hAnsi="Arial"/>
                <w:sz w:val="14"/>
                <w:szCs w:val="14"/>
                <w:color w:val="auto"/>
              </w:rPr>
              <w:t>Interest earning assets</w:t>
            </w:r>
          </w:p>
        </w:tc>
        <w:tc>
          <w:tcPr>
            <w:tcW w:w="5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w w:val="88"/>
              </w:rPr>
              <w:t>12,491</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11,669</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9,893</w:t>
            </w:r>
          </w:p>
        </w:tc>
        <w:tc>
          <w:tcPr>
            <w:tcW w:w="11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11,280</w:t>
            </w:r>
          </w:p>
        </w:tc>
        <w:tc>
          <w:tcPr>
            <w:tcW w:w="120" w:type="dxa"/>
            <w:vAlign w:val="bottom"/>
            <w:shd w:val="clear" w:color="auto" w:fill="CCFFCC"/>
          </w:tcPr>
          <w:p>
            <w:pPr>
              <w:spacing w:after="0"/>
              <w:rPr>
                <w:sz w:val="21"/>
                <w:szCs w:val="21"/>
                <w:color w:val="auto"/>
              </w:rPr>
            </w:pP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9,463</w:t>
            </w:r>
          </w:p>
        </w:tc>
      </w:tr>
      <w:tr>
        <w:trPr>
          <w:trHeight w:val="243"/>
        </w:trPr>
        <w:tc>
          <w:tcPr>
            <w:tcW w:w="5880" w:type="dxa"/>
            <w:vAlign w:val="bottom"/>
            <w:gridSpan w:val="2"/>
          </w:tcPr>
          <w:p>
            <w:pPr>
              <w:ind w:left="200"/>
              <w:spacing w:after="0"/>
              <w:rPr>
                <w:sz w:val="20"/>
                <w:szCs w:val="20"/>
                <w:color w:val="auto"/>
              </w:rPr>
            </w:pPr>
            <w:r>
              <w:rPr>
                <w:rFonts w:ascii="Arial" w:cs="Arial" w:eastAsia="Arial" w:hAnsi="Arial"/>
                <w:sz w:val="14"/>
                <w:szCs w:val="14"/>
                <w:color w:val="auto"/>
              </w:rPr>
              <w:t>Total Assets</w:t>
            </w:r>
          </w:p>
        </w:tc>
        <w:tc>
          <w:tcPr>
            <w:tcW w:w="520" w:type="dxa"/>
            <w:vAlign w:val="bottom"/>
            <w:gridSpan w:val="2"/>
          </w:tcPr>
          <w:p>
            <w:pPr>
              <w:jc w:val="right"/>
              <w:ind w:right="120"/>
              <w:spacing w:after="0"/>
              <w:rPr>
                <w:sz w:val="20"/>
                <w:szCs w:val="20"/>
                <w:color w:val="auto"/>
              </w:rPr>
            </w:pPr>
            <w:r>
              <w:rPr>
                <w:rFonts w:ascii="Arial" w:cs="Arial" w:eastAsia="Arial" w:hAnsi="Arial"/>
                <w:sz w:val="14"/>
                <w:szCs w:val="14"/>
                <w:color w:val="auto"/>
                <w:w w:val="88"/>
              </w:rPr>
              <w:t>15,551</w:t>
            </w: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14,525</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11,795</w:t>
            </w: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13,938</w:t>
            </w:r>
          </w:p>
        </w:tc>
        <w:tc>
          <w:tcPr>
            <w:tcW w:w="1140" w:type="dxa"/>
            <w:vAlign w:val="bottom"/>
          </w:tcPr>
          <w:p>
            <w:pPr>
              <w:jc w:val="right"/>
              <w:spacing w:after="0"/>
              <w:rPr>
                <w:sz w:val="20"/>
                <w:szCs w:val="20"/>
                <w:color w:val="auto"/>
              </w:rPr>
            </w:pPr>
            <w:r>
              <w:rPr>
                <w:rFonts w:ascii="Arial" w:cs="Arial" w:eastAsia="Arial" w:hAnsi="Arial"/>
                <w:sz w:val="14"/>
                <w:szCs w:val="14"/>
                <w:color w:val="auto"/>
              </w:rPr>
              <w:t>11,309</w:t>
            </w:r>
          </w:p>
        </w:tc>
        <w:tc>
          <w:tcPr>
            <w:tcW w:w="120" w:type="dxa"/>
            <w:vAlign w:val="bottom"/>
          </w:tcPr>
          <w:p>
            <w:pPr>
              <w:spacing w:after="0"/>
              <w:rPr>
                <w:sz w:val="21"/>
                <w:szCs w:val="21"/>
                <w:color w:val="auto"/>
              </w:rPr>
            </w:pPr>
          </w:p>
        </w:tc>
      </w:tr>
      <w:tr>
        <w:trPr>
          <w:trHeight w:val="243"/>
        </w:trPr>
        <w:tc>
          <w:tcPr>
            <w:tcW w:w="5880" w:type="dxa"/>
            <w:vAlign w:val="bottom"/>
            <w:gridSpan w:val="2"/>
            <w:shd w:val="clear" w:color="auto" w:fill="CCFFCC"/>
          </w:tcPr>
          <w:p>
            <w:pPr>
              <w:ind w:left="200"/>
              <w:spacing w:after="0"/>
              <w:rPr>
                <w:sz w:val="20"/>
                <w:szCs w:val="20"/>
                <w:color w:val="auto"/>
              </w:rPr>
            </w:pPr>
            <w:r>
              <w:rPr>
                <w:rFonts w:ascii="Arial" w:cs="Arial" w:eastAsia="Arial" w:hAnsi="Arial"/>
                <w:sz w:val="14"/>
                <w:szCs w:val="14"/>
                <w:color w:val="auto"/>
              </w:rPr>
              <w:t>Net equity</w:t>
            </w:r>
          </w:p>
        </w:tc>
        <w:tc>
          <w:tcPr>
            <w:tcW w:w="5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1,569</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1,478</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1,256</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1,451</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1,200</w:t>
            </w:r>
          </w:p>
        </w:tc>
      </w:tr>
      <w:tr>
        <w:trPr>
          <w:trHeight w:val="182"/>
        </w:trPr>
        <w:tc>
          <w:tcPr>
            <w:tcW w:w="5140" w:type="dxa"/>
            <w:vAlign w:val="bottom"/>
          </w:tcPr>
          <w:p>
            <w:pPr>
              <w:spacing w:after="0"/>
              <w:rPr>
                <w:sz w:val="20"/>
                <w:szCs w:val="20"/>
                <w:color w:val="auto"/>
              </w:rPr>
            </w:pPr>
            <w:r>
              <w:rPr>
                <w:rFonts w:ascii="Arial" w:cs="Arial" w:eastAsia="Arial" w:hAnsi="Arial"/>
                <w:sz w:val="14"/>
                <w:szCs w:val="14"/>
                <w:color w:val="auto"/>
              </w:rPr>
              <w:t>____________________</w:t>
            </w: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r>
    </w:tbl>
    <w:p>
      <w:pPr>
        <w:ind w:left="220" w:hanging="212"/>
        <w:spacing w:after="0"/>
        <w:tabs>
          <w:tab w:leader="none" w:pos="220" w:val="left"/>
        </w:tabs>
        <w:numPr>
          <w:ilvl w:val="0"/>
          <w:numId w:val="3"/>
        </w:numPr>
        <w:rPr>
          <w:rFonts w:ascii="Arial" w:cs="Arial" w:eastAsia="Arial" w:hAnsi="Arial"/>
          <w:sz w:val="14"/>
          <w:szCs w:val="14"/>
          <w:color w:val="auto"/>
        </w:rPr>
      </w:pPr>
      <w:r>
        <w:rPr>
          <w:rFonts w:ascii="Arial" w:cs="Arial" w:eastAsia="Arial" w:hAnsi="Arial"/>
          <w:sz w:val="14"/>
          <w:szCs w:val="14"/>
          <w:color w:val="auto"/>
        </w:rPr>
        <w:t>Based on Net Income attributed to BAP. Number of shares outstanding of 79.8 million in all periods.</w:t>
      </w:r>
    </w:p>
    <w:p>
      <w:pPr>
        <w:spacing w:after="0" w:line="9" w:lineRule="exact"/>
        <w:rPr>
          <w:rFonts w:ascii="Arial" w:cs="Arial" w:eastAsia="Arial" w:hAnsi="Arial"/>
          <w:sz w:val="14"/>
          <w:szCs w:val="14"/>
          <w:color w:val="auto"/>
        </w:rPr>
      </w:pPr>
    </w:p>
    <w:p>
      <w:pPr>
        <w:ind w:left="220" w:hanging="212"/>
        <w:spacing w:after="0"/>
        <w:tabs>
          <w:tab w:leader="none" w:pos="220" w:val="left"/>
        </w:tabs>
        <w:numPr>
          <w:ilvl w:val="0"/>
          <w:numId w:val="3"/>
        </w:numPr>
        <w:rPr>
          <w:rFonts w:ascii="Arial" w:cs="Arial" w:eastAsia="Arial" w:hAnsi="Arial"/>
          <w:sz w:val="14"/>
          <w:szCs w:val="14"/>
          <w:color w:val="auto"/>
        </w:rPr>
      </w:pPr>
      <w:r>
        <w:rPr>
          <w:rFonts w:ascii="Arial" w:cs="Arial" w:eastAsia="Arial" w:hAnsi="Arial"/>
          <w:sz w:val="14"/>
          <w:szCs w:val="14"/>
          <w:color w:val="auto"/>
        </w:rPr>
        <w:t>Ratios are annualized.</w:t>
      </w:r>
    </w:p>
    <w:p>
      <w:pPr>
        <w:spacing w:after="0" w:line="14" w:lineRule="exact"/>
        <w:rPr>
          <w:rFonts w:ascii="Arial" w:cs="Arial" w:eastAsia="Arial" w:hAnsi="Arial"/>
          <w:sz w:val="14"/>
          <w:szCs w:val="14"/>
          <w:color w:val="auto"/>
        </w:rPr>
      </w:pPr>
    </w:p>
    <w:p>
      <w:pPr>
        <w:ind w:left="220" w:hanging="212"/>
        <w:spacing w:after="0"/>
        <w:tabs>
          <w:tab w:leader="none" w:pos="220" w:val="left"/>
        </w:tabs>
        <w:numPr>
          <w:ilvl w:val="0"/>
          <w:numId w:val="3"/>
        </w:numPr>
        <w:rPr>
          <w:rFonts w:ascii="Arial" w:cs="Arial" w:eastAsia="Arial" w:hAnsi="Arial"/>
          <w:sz w:val="14"/>
          <w:szCs w:val="14"/>
          <w:color w:val="auto"/>
        </w:rPr>
      </w:pPr>
      <w:r>
        <w:rPr>
          <w:rFonts w:ascii="Arial" w:cs="Arial" w:eastAsia="Arial" w:hAnsi="Arial"/>
          <w:sz w:val="14"/>
          <w:szCs w:val="14"/>
          <w:color w:val="auto"/>
        </w:rPr>
        <w:t>Averages are determined as the average of period-beginning and period-ending balances.</w:t>
      </w:r>
    </w:p>
    <w:p>
      <w:pPr>
        <w:spacing w:after="0" w:line="14" w:lineRule="exact"/>
        <w:rPr>
          <w:rFonts w:ascii="Arial" w:cs="Arial" w:eastAsia="Arial" w:hAnsi="Arial"/>
          <w:sz w:val="14"/>
          <w:szCs w:val="14"/>
          <w:color w:val="auto"/>
        </w:rPr>
      </w:pPr>
    </w:p>
    <w:p>
      <w:pPr>
        <w:ind w:left="220" w:hanging="212"/>
        <w:spacing w:after="0"/>
        <w:tabs>
          <w:tab w:leader="none" w:pos="220" w:val="left"/>
        </w:tabs>
        <w:numPr>
          <w:ilvl w:val="0"/>
          <w:numId w:val="3"/>
        </w:numPr>
        <w:rPr>
          <w:rFonts w:ascii="Arial" w:cs="Arial" w:eastAsia="Arial" w:hAnsi="Arial"/>
          <w:sz w:val="14"/>
          <w:szCs w:val="14"/>
          <w:color w:val="auto"/>
        </w:rPr>
      </w:pPr>
      <w:r>
        <w:rPr>
          <w:rFonts w:ascii="Arial" w:cs="Arial" w:eastAsia="Arial" w:hAnsi="Arial"/>
          <w:sz w:val="14"/>
          <w:szCs w:val="14"/>
          <w:color w:val="auto"/>
        </w:rPr>
        <w:t>Net of treasury shares. The total number of shares was of 94.38 million.</w:t>
      </w:r>
    </w:p>
    <w:p>
      <w:pPr>
        <w:spacing w:after="0" w:line="14" w:lineRule="exact"/>
        <w:rPr>
          <w:rFonts w:ascii="Arial" w:cs="Arial" w:eastAsia="Arial" w:hAnsi="Arial"/>
          <w:sz w:val="14"/>
          <w:szCs w:val="14"/>
          <w:color w:val="auto"/>
        </w:rPr>
      </w:pPr>
    </w:p>
    <w:p>
      <w:pPr>
        <w:ind w:right="4120" w:firstLine="8"/>
        <w:spacing w:after="0" w:line="283" w:lineRule="auto"/>
        <w:tabs>
          <w:tab w:leader="none" w:pos="204" w:val="left"/>
        </w:tabs>
        <w:numPr>
          <w:ilvl w:val="0"/>
          <w:numId w:val="3"/>
        </w:numPr>
        <w:rPr>
          <w:rFonts w:ascii="Arial" w:cs="Arial" w:eastAsia="Arial" w:hAnsi="Arial"/>
          <w:sz w:val="14"/>
          <w:szCs w:val="14"/>
          <w:color w:val="auto"/>
        </w:rPr>
      </w:pPr>
      <w:r>
        <w:rPr>
          <w:rFonts w:ascii="Arial" w:cs="Arial" w:eastAsia="Arial" w:hAnsi="Arial"/>
          <w:sz w:val="14"/>
          <w:szCs w:val="14"/>
          <w:color w:val="auto"/>
        </w:rPr>
        <w:t>Total income includes net interest income, fee income, net gain on foreign exchange transactions and net premiums earned. Operating expense does not include Other expenses.</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83"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CREDICORP LTD.</w:t>
      </w:r>
    </w:p>
    <w:p>
      <w:pPr>
        <w:spacing w:after="0" w:line="241"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October 30, 2007</w:t>
      </w:r>
      <w:r>
        <w:rPr>
          <w:sz w:val="20"/>
          <w:szCs w:val="20"/>
          <w:color w:val="auto"/>
        </w:rPr>
        <w:tab/>
      </w:r>
      <w:r>
        <w:rPr>
          <w:rFonts w:ascii="Arial" w:cs="Arial" w:eastAsia="Arial" w:hAnsi="Arial"/>
          <w:sz w:val="15"/>
          <w:szCs w:val="15"/>
          <w:color w:val="auto"/>
        </w:rPr>
        <w:t xml:space="preserve">By: </w:t>
      </w:r>
      <w:r>
        <w:rPr>
          <w:rFonts w:ascii="Arial" w:cs="Arial" w:eastAsia="Arial" w:hAnsi="Arial"/>
          <w:sz w:val="26"/>
          <w:szCs w:val="26"/>
          <w:color w:val="auto"/>
          <w:vertAlign w:val="subscript"/>
        </w:rPr>
        <w:t>/s/ Guillermo Castillo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3759200</wp:posOffset>
            </wp:positionH>
            <wp:positionV relativeFrom="paragraph">
              <wp:posOffset>184150</wp:posOffset>
            </wp:positionV>
            <wp:extent cx="281686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816860" cy="21590"/>
                    </a:xfrm>
                    <a:prstGeom prst="rect">
                      <a:avLst/>
                    </a:prstGeom>
                    <a:noFill/>
                  </pic:spPr>
                </pic:pic>
              </a:graphicData>
            </a:graphic>
          </wp:anchor>
        </w:drawing>
      </w:r>
    </w:p>
    <w:p>
      <w:pPr>
        <w:spacing w:after="0" w:line="394" w:lineRule="exact"/>
        <w:rPr>
          <w:sz w:val="20"/>
          <w:szCs w:val="20"/>
          <w:color w:val="auto"/>
        </w:rPr>
      </w:pPr>
    </w:p>
    <w:p>
      <w:pPr>
        <w:ind w:left="5920"/>
        <w:spacing w:after="0"/>
        <w:rPr>
          <w:sz w:val="20"/>
          <w:szCs w:val="20"/>
          <w:color w:val="auto"/>
        </w:rPr>
      </w:pPr>
      <w:r>
        <w:rPr>
          <w:rFonts w:ascii="Arial" w:cs="Arial" w:eastAsia="Arial" w:hAnsi="Arial"/>
          <w:sz w:val="18"/>
          <w:szCs w:val="18"/>
          <w:b w:val="1"/>
          <w:bCs w:val="1"/>
          <w:color w:val="auto"/>
        </w:rPr>
        <w:t>Guillermo Castillo</w:t>
      </w:r>
    </w:p>
    <w:p>
      <w:pPr>
        <w:spacing w:after="0" w:line="46" w:lineRule="exact"/>
        <w:rPr>
          <w:sz w:val="20"/>
          <w:szCs w:val="20"/>
          <w:color w:val="auto"/>
        </w:rPr>
      </w:pPr>
    </w:p>
    <w:p>
      <w:pPr>
        <w:ind w:left="592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435610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4" w:name="page15"/>
    <w:bookmarkEnd w:id="1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2019-12-11T23:31:18Z</dcterms:created>
  <dcterms:modified xsi:type="dcterms:W3CDTF">2019-12-11T23:31:18Z</dcterms:modified>
</cp:coreProperties>
</file>