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252095</wp:posOffset>
            </wp:positionH>
            <wp:positionV relativeFrom="page">
              <wp:posOffset>294640</wp:posOffset>
            </wp:positionV>
            <wp:extent cx="7031990"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031990" cy="317500"/>
                    </a:xfrm>
                    <a:prstGeom prst="rect">
                      <a:avLst/>
                    </a:prstGeom>
                    <a:noFill/>
                  </pic:spPr>
                </pic:pic>
              </a:graphicData>
            </a:graphic>
          </wp:anchor>
        </w:drawing>
        <w:t>Gregory Harrington</w:t>
      </w:r>
    </w:p>
    <w:p>
      <w:pPr>
        <w:spacing w:after="0" w:line="140" w:lineRule="exact"/>
        <w:rPr>
          <w:sz w:val="24"/>
          <w:szCs w:val="24"/>
          <w:color w:val="auto"/>
        </w:rPr>
      </w:pPr>
    </w:p>
    <w:p>
      <w:pPr>
        <w:ind w:left="8460"/>
        <w:spacing w:after="0"/>
        <w:rPr>
          <w:sz w:val="20"/>
          <w:szCs w:val="20"/>
          <w:color w:val="auto"/>
        </w:rPr>
      </w:pPr>
      <w:r>
        <w:rPr>
          <w:rFonts w:ascii="Arial" w:cs="Arial" w:eastAsia="Arial" w:hAnsi="Arial"/>
          <w:sz w:val="14"/>
          <w:szCs w:val="14"/>
          <w:color w:val="auto"/>
        </w:rPr>
        <w:t>+1 202.942.5082</w:t>
      </w:r>
    </w:p>
    <w:p>
      <w:pPr>
        <w:ind w:left="8460"/>
        <w:spacing w:after="0"/>
        <w:rPr>
          <w:sz w:val="20"/>
          <w:szCs w:val="20"/>
          <w:color w:val="auto"/>
        </w:rPr>
      </w:pPr>
      <w:r>
        <w:rPr>
          <w:rFonts w:ascii="Arial" w:cs="Arial" w:eastAsia="Arial" w:hAnsi="Arial"/>
          <w:sz w:val="14"/>
          <w:szCs w:val="14"/>
          <w:color w:val="auto"/>
        </w:rPr>
        <w:t>+1 202.942.5999 Fax</w:t>
      </w:r>
    </w:p>
    <w:p>
      <w:pPr>
        <w:spacing w:after="0" w:line="124" w:lineRule="exact"/>
        <w:rPr>
          <w:sz w:val="24"/>
          <w:szCs w:val="24"/>
          <w:color w:val="auto"/>
        </w:rPr>
      </w:pPr>
    </w:p>
    <w:p>
      <w:pPr>
        <w:ind w:left="8460"/>
        <w:spacing w:after="0"/>
        <w:rPr>
          <w:sz w:val="20"/>
          <w:szCs w:val="20"/>
          <w:color w:val="auto"/>
        </w:rPr>
      </w:pPr>
      <w:r>
        <w:rPr>
          <w:rFonts w:ascii="Arial" w:cs="Arial" w:eastAsia="Arial" w:hAnsi="Arial"/>
          <w:sz w:val="14"/>
          <w:szCs w:val="14"/>
          <w:color w:val="auto"/>
        </w:rPr>
        <w:t>555 Twelfth Street, NW</w:t>
      </w:r>
    </w:p>
    <w:p>
      <w:pPr>
        <w:ind w:left="8460"/>
        <w:spacing w:after="0"/>
        <w:rPr>
          <w:sz w:val="20"/>
          <w:szCs w:val="20"/>
          <w:color w:val="auto"/>
        </w:rPr>
      </w:pPr>
      <w:r>
        <w:rPr>
          <w:rFonts w:ascii="Arial" w:cs="Arial" w:eastAsia="Arial" w:hAnsi="Arial"/>
          <w:sz w:val="13"/>
          <w:szCs w:val="13"/>
          <w:color w:val="auto"/>
        </w:rPr>
        <w:t>Washington, DC 20004-1206</w:t>
      </w:r>
    </w:p>
    <w:p>
      <w:pPr>
        <w:spacing w:after="0" w:line="200" w:lineRule="exact"/>
        <w:rPr>
          <w:sz w:val="24"/>
          <w:szCs w:val="24"/>
          <w:color w:val="auto"/>
        </w:rPr>
      </w:pPr>
    </w:p>
    <w:p>
      <w:pPr>
        <w:spacing w:after="0" w:line="224"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October 2,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Brittany Ebbertt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800"/>
          </w:cols>
          <w:pgMar w:left="240" w:top="995" w:right="85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20-F for the Fiscal Year Ended December 31, 2011</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30, 2012, File No. 001-14014</w:t>
      </w:r>
    </w:p>
    <w:p>
      <w:pPr>
        <w:spacing w:after="0" w:line="200" w:lineRule="exact"/>
        <w:rPr>
          <w:sz w:val="24"/>
          <w:szCs w:val="24"/>
          <w:color w:val="auto"/>
        </w:rPr>
      </w:pPr>
    </w:p>
    <w:p>
      <w:pPr>
        <w:sectPr>
          <w:pgSz w:w="11900" w:h="16838" w:orient="portrait"/>
          <w:cols w:equalWidth="0" w:num="2">
            <w:col w:w="920" w:space="380"/>
            <w:col w:w="9500"/>
          </w:cols>
          <w:pgMar w:left="240" w:top="995" w:right="8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Ebbertt:</w:t>
      </w:r>
    </w:p>
    <w:p>
      <w:pPr>
        <w:spacing w:after="0" w:line="225" w:lineRule="exact"/>
        <w:rPr>
          <w:sz w:val="24"/>
          <w:szCs w:val="24"/>
          <w:color w:val="auto"/>
        </w:rPr>
      </w:pPr>
    </w:p>
    <w:p>
      <w:pPr>
        <w:ind w:firstLine="648"/>
        <w:spacing w:after="0" w:line="312" w:lineRule="auto"/>
        <w:rPr>
          <w:sz w:val="20"/>
          <w:szCs w:val="20"/>
          <w:color w:val="auto"/>
        </w:rPr>
      </w:pPr>
      <w:r>
        <w:rPr>
          <w:rFonts w:ascii="Arial" w:cs="Arial" w:eastAsia="Arial" w:hAnsi="Arial"/>
          <w:sz w:val="16"/>
          <w:szCs w:val="16"/>
          <w:color w:val="auto"/>
        </w:rPr>
        <w:t>Reference is made to the letter of the Staff of the Division of Corporation Finance (the “Staff”) dated September 28, 2012 and signed by Ms. Suzanne Hayes (Assistant Director) regarding the above-referenced filing of Credicorp Ltd. (“Credicorp”). As we discussed during our telephone conversation today, Credicorp believes that it will be in a position to provide a written response to each point in the Staff’s letter by October 30, 2012.</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do not hesitate to contact me at (202) 942-5082 if you have any questions or comments.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68"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Gregory Harrington</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Gregory Harrington</w:t>
      </w:r>
    </w:p>
    <w:p>
      <w:pPr>
        <w:spacing w:after="0" w:line="200" w:lineRule="exact"/>
        <w:rPr>
          <w:sz w:val="24"/>
          <w:szCs w:val="24"/>
          <w:color w:val="auto"/>
        </w:rPr>
      </w:pPr>
    </w:p>
    <w:p>
      <w:pPr>
        <w:spacing w:after="0" w:line="227" w:lineRule="exact"/>
        <w:rPr>
          <w:sz w:val="24"/>
          <w:szCs w:val="24"/>
          <w:color w:val="auto"/>
        </w:rPr>
      </w:pPr>
    </w:p>
    <w:p>
      <w:pPr>
        <w:ind w:left="660" w:right="8800" w:hanging="652"/>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Alvaro Correa Credicorp Ltd.</w:t>
      </w:r>
    </w:p>
    <w:p>
      <w:pPr>
        <w:spacing w:after="0" w:line="1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Ms. Suzanne Hayes</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U.S.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00"/>
      </w:cols>
      <w:pgMar w:left="240" w:top="995"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2019-12-09T11:33:27Z</dcterms:created>
  <dcterms:modified xsi:type="dcterms:W3CDTF">2019-12-09T11:33:27Z</dcterms:modified>
</cp:coreProperties>
</file>