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For the month of April 2017</w:t>
      </w:r>
    </w:p>
    <w:p>
      <w:pPr>
        <w:spacing w:after="0" w:line="22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22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CREDICORP LTD.</w:t>
      </w:r>
    </w:p>
    <w:p>
      <w:pPr>
        <w:spacing w:after="0" w:line="31"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Church Street</w:t>
      </w:r>
    </w:p>
    <w:p>
      <w:pPr>
        <w:spacing w:after="0" w:line="9"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Hamilton HM 11 Bermuda</w:t>
      </w:r>
    </w:p>
    <w:p>
      <w:pPr>
        <w:spacing w:after="0" w:line="9"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208" w:lineRule="exact"/>
        <w:rPr>
          <w:sz w:val="24"/>
          <w:szCs w:val="24"/>
          <w:color w:val="auto"/>
        </w:rPr>
      </w:pPr>
    </w:p>
    <w:p>
      <w:pPr>
        <w:ind w:left="4180"/>
        <w:spacing w:after="0" w:line="207" w:lineRule="exact"/>
        <w:tabs>
          <w:tab w:leader="none" w:pos="61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 ____</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309245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59"/>
          </w:cols>
          <w:pgMar w:left="300" w:top="468"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2058035" cy="574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058035" cy="57467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2017</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SUPERINTENDENCIA DEL MERCADO DE VALORES – SMV</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MATERIAL EVENT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accordance with article 28 of the Capital Markets Law approved by Law N° 093-2002-EF and SMV Resolution for Material Events and Reserved Information and Other Communications N° 005-2014-SMV-01 (the “Resolution”), Credicorp Ltd. complies with notifying you of the following Material Event.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Today, April 24th, 2017, we have been given notice that our subsidiary Grupo Crédito S.A. has launched a voluntary purchase offer to acquire up to 1,383,542 shares representing 1.32% of the capital stock of El Pacífico Peruano-Suiza Cía. de Seguros y Reaseguros, at S/10.00 par value each, not currently held by Grupo Crédito S.A. or by any person related to Credicorp. It is worth mentioning that Grupo Crédito S.A. currently owns 36.58% of the capital stock of El Pacífico Peruano-Suiza Cía. de Seguros y Reaseguros.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details of the offer are detailed below:</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311"/>
        </w:trPr>
        <w:tc>
          <w:tcPr>
            <w:tcW w:w="10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10340" w:type="dxa"/>
            <w:vAlign w:val="bottom"/>
            <w:tcBorders>
              <w:top w:val="single" w:sz="8" w:color="auto"/>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EL PACIFICO – PERUANO SUIZA CIA. DE SEGUROS Y REASEGUROS</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bottom w:val="single" w:sz="8" w:color="auto"/>
              <w:right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1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1034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Grupo Crédito S.A.</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bottom w:val="single" w:sz="8" w:color="auto"/>
              <w:right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Procedure:</w:t>
            </w:r>
          </w:p>
        </w:tc>
        <w:tc>
          <w:tcPr>
            <w:tcW w:w="1034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The purchase offer (the “Offer”) shall be in the form of a stock exchange operation, through an open purchase order within the Floor</w:t>
            </w:r>
          </w:p>
        </w:tc>
        <w:tc>
          <w:tcPr>
            <w:tcW w:w="0" w:type="dxa"/>
            <w:vAlign w:val="bottom"/>
          </w:tcPr>
          <w:p>
            <w:pPr>
              <w:spacing w:after="0"/>
              <w:rPr>
                <w:sz w:val="1"/>
                <w:szCs w:val="1"/>
                <w:color w:val="auto"/>
              </w:rPr>
            </w:pPr>
          </w:p>
        </w:tc>
      </w:tr>
      <w:tr>
        <w:trPr>
          <w:trHeight w:val="20"/>
        </w:trPr>
        <w:tc>
          <w:tcPr>
            <w:tcW w:w="1080" w:type="dxa"/>
            <w:vAlign w:val="bottom"/>
            <w:tcBorders>
              <w:left w:val="single" w:sz="8" w:color="auto"/>
              <w:right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Borders>
              <w:left w:val="single" w:sz="8" w:color="auto"/>
              <w:right w:val="single" w:sz="8" w:color="auto"/>
            </w:tcBorders>
          </w:tcPr>
          <w:p>
            <w:pPr>
              <w:spacing w:after="0"/>
              <w:rPr>
                <w:sz w:val="20"/>
                <w:szCs w:val="20"/>
                <w:color w:val="auto"/>
              </w:rPr>
            </w:pPr>
          </w:p>
        </w:tc>
        <w:tc>
          <w:tcPr>
            <w:tcW w:w="1034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Trading centralized mechanism of the Lima Stock Exchange, by continuous trading.</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bottom w:val="single" w:sz="8" w:color="auto"/>
              <w:right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Broker:</w:t>
            </w:r>
          </w:p>
        </w:tc>
        <w:tc>
          <w:tcPr>
            <w:tcW w:w="1034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Credicorp Capital Sociedad Agente de Bolsa S.A. (“Credicorp Capital Bolsa”), with registered office at Av. El Derby N° 055, Torre 4, Piso</w:t>
            </w:r>
          </w:p>
        </w:tc>
        <w:tc>
          <w:tcPr>
            <w:tcW w:w="0" w:type="dxa"/>
            <w:vAlign w:val="bottom"/>
          </w:tcPr>
          <w:p>
            <w:pPr>
              <w:spacing w:after="0"/>
              <w:rPr>
                <w:sz w:val="1"/>
                <w:szCs w:val="1"/>
                <w:color w:val="auto"/>
              </w:rPr>
            </w:pPr>
          </w:p>
        </w:tc>
      </w:tr>
      <w:tr>
        <w:trPr>
          <w:trHeight w:val="20"/>
        </w:trPr>
        <w:tc>
          <w:tcPr>
            <w:tcW w:w="1080" w:type="dxa"/>
            <w:vAlign w:val="bottom"/>
            <w:tcBorders>
              <w:left w:val="single" w:sz="8" w:color="auto"/>
              <w:right w:val="single" w:sz="8" w:color="auto"/>
            </w:tcBorders>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7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80" w:type="dxa"/>
            <w:vAlign w:val="bottom"/>
            <w:tcBorders>
              <w:left w:val="single" w:sz="8" w:color="auto"/>
              <w:right w:val="single" w:sz="8" w:color="auto"/>
            </w:tcBorders>
          </w:tcPr>
          <w:p>
            <w:pPr>
              <w:spacing w:after="0"/>
              <w:rPr>
                <w:sz w:val="20"/>
                <w:szCs w:val="20"/>
                <w:color w:val="auto"/>
              </w:rPr>
            </w:pPr>
          </w:p>
        </w:tc>
        <w:tc>
          <w:tcPr>
            <w:tcW w:w="1034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8, District of Santiago de Surco, Province and Department of Lima, Peru.</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bottom w:val="single" w:sz="8" w:color="auto"/>
              <w:right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1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034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The Offer is made for up to 1,383,542 outstanding shares (the “Shares”) (mnemonic PSUIZAC1) representing 1.32% of the capital stock of</w:t>
            </w:r>
          </w:p>
        </w:tc>
        <w:tc>
          <w:tcPr>
            <w:tcW w:w="0" w:type="dxa"/>
            <w:vAlign w:val="bottom"/>
          </w:tcPr>
          <w:p>
            <w:pPr>
              <w:spacing w:after="0"/>
              <w:rPr>
                <w:sz w:val="1"/>
                <w:szCs w:val="1"/>
                <w:color w:val="auto"/>
              </w:rPr>
            </w:pPr>
          </w:p>
        </w:tc>
      </w:tr>
      <w:tr>
        <w:trPr>
          <w:trHeight w:val="20"/>
        </w:trPr>
        <w:tc>
          <w:tcPr>
            <w:tcW w:w="10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4700" w:type="dxa"/>
            <w:vAlign w:val="bottom"/>
            <w:gridSpan w:val="4"/>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160" w:type="dxa"/>
            <w:vAlign w:val="bottom"/>
            <w:tcBorders>
              <w:right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080" w:type="dxa"/>
            <w:vAlign w:val="bottom"/>
            <w:tcBorders>
              <w:left w:val="single" w:sz="8" w:color="auto"/>
              <w:right w:val="single" w:sz="8" w:color="auto"/>
            </w:tcBorders>
            <w:vMerge w:val="continue"/>
          </w:tcPr>
          <w:p>
            <w:pPr>
              <w:spacing w:after="0"/>
              <w:rPr>
                <w:sz w:val="18"/>
                <w:szCs w:val="18"/>
                <w:color w:val="auto"/>
              </w:rPr>
            </w:pPr>
          </w:p>
        </w:tc>
        <w:tc>
          <w:tcPr>
            <w:tcW w:w="1034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the Issuer. The Shares are S/10.00 par value each and entered in the Public Registry of the Securities Market of the Securities Market</w:t>
            </w:r>
          </w:p>
        </w:tc>
        <w:tc>
          <w:tcPr>
            <w:tcW w:w="0" w:type="dxa"/>
            <w:vAlign w:val="bottom"/>
          </w:tcPr>
          <w:p>
            <w:pPr>
              <w:spacing w:after="0"/>
              <w:rPr>
                <w:sz w:val="1"/>
                <w:szCs w:val="1"/>
                <w:color w:val="auto"/>
              </w:rPr>
            </w:pPr>
          </w:p>
        </w:tc>
      </w:tr>
      <w:tr>
        <w:trPr>
          <w:trHeight w:val="238"/>
        </w:trPr>
        <w:tc>
          <w:tcPr>
            <w:tcW w:w="1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034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Superintendence and listed on the Lima Stock Exchange.</w:t>
            </w:r>
          </w:p>
        </w:tc>
        <w:tc>
          <w:tcPr>
            <w:tcW w:w="0" w:type="dxa"/>
            <w:vAlign w:val="bottom"/>
          </w:tcPr>
          <w:p>
            <w:pPr>
              <w:spacing w:after="0"/>
              <w:rPr>
                <w:sz w:val="1"/>
                <w:szCs w:val="1"/>
                <w:color w:val="auto"/>
              </w:rPr>
            </w:pPr>
          </w:p>
        </w:tc>
      </w:tr>
      <w:tr>
        <w:trPr>
          <w:trHeight w:val="432"/>
        </w:trPr>
        <w:tc>
          <w:tcPr>
            <w:tcW w:w="1080" w:type="dxa"/>
            <w:vAlign w:val="bottom"/>
            <w:tcBorders>
              <w:left w:val="single" w:sz="8" w:color="auto"/>
              <w:right w:val="single" w:sz="8" w:color="auto"/>
            </w:tcBorders>
          </w:tcPr>
          <w:p>
            <w:pPr>
              <w:spacing w:after="0"/>
              <w:rPr>
                <w:sz w:val="24"/>
                <w:szCs w:val="24"/>
                <w:color w:val="auto"/>
              </w:rPr>
            </w:pPr>
          </w:p>
        </w:tc>
        <w:tc>
          <w:tcPr>
            <w:tcW w:w="1034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The effect of the Offer is not subject to the purchase of a minimum number of Shares.</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bottom w:val="single" w:sz="8" w:color="auto"/>
              <w:right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91"/>
        </w:trPr>
        <w:tc>
          <w:tcPr>
            <w:tcW w:w="1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034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The Offer price is S/31.76 per Share. Payment shall be made in cash, upfront and in Soles.</w:t>
            </w:r>
          </w:p>
        </w:tc>
        <w:tc>
          <w:tcPr>
            <w:tcW w:w="0" w:type="dxa"/>
            <w:vAlign w:val="bottom"/>
          </w:tcPr>
          <w:p>
            <w:pPr>
              <w:spacing w:after="0"/>
              <w:rPr>
                <w:sz w:val="1"/>
                <w:szCs w:val="1"/>
                <w:color w:val="auto"/>
              </w:rPr>
            </w:pPr>
          </w:p>
        </w:tc>
      </w:tr>
      <w:tr>
        <w:trPr>
          <w:trHeight w:val="432"/>
        </w:trPr>
        <w:tc>
          <w:tcPr>
            <w:tcW w:w="1080" w:type="dxa"/>
            <w:vAlign w:val="bottom"/>
            <w:tcBorders>
              <w:left w:val="single" w:sz="8" w:color="auto"/>
              <w:right w:val="single" w:sz="8" w:color="auto"/>
            </w:tcBorders>
          </w:tcPr>
          <w:p>
            <w:pPr>
              <w:spacing w:after="0"/>
              <w:rPr>
                <w:sz w:val="24"/>
                <w:szCs w:val="24"/>
                <w:color w:val="auto"/>
              </w:rPr>
            </w:pPr>
          </w:p>
        </w:tc>
        <w:tc>
          <w:tcPr>
            <w:tcW w:w="1034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The Offer price is the resulting after the payment of cash dividends of S/.2.30 per Share, executed on April 21, 2017.</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bottom w:val="single" w:sz="8" w:color="auto"/>
              <w:right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Term of</w:t>
            </w:r>
          </w:p>
        </w:tc>
        <w:tc>
          <w:tcPr>
            <w:tcW w:w="1034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The term of the Offer is 64 days of Floor Trading as from Tuesday, April 25, 2017. This term may be extended if so decided by the</w:t>
            </w:r>
          </w:p>
        </w:tc>
        <w:tc>
          <w:tcPr>
            <w:tcW w:w="0" w:type="dxa"/>
            <w:vAlign w:val="bottom"/>
          </w:tcPr>
          <w:p>
            <w:pPr>
              <w:spacing w:after="0"/>
              <w:rPr>
                <w:sz w:val="1"/>
                <w:szCs w:val="1"/>
                <w:color w:val="auto"/>
              </w:rPr>
            </w:pPr>
          </w:p>
        </w:tc>
      </w:tr>
      <w:tr>
        <w:trPr>
          <w:trHeight w:val="238"/>
        </w:trPr>
        <w:tc>
          <w:tcPr>
            <w:tcW w:w="1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the Offer:</w:t>
            </w:r>
          </w:p>
        </w:tc>
        <w:tc>
          <w:tcPr>
            <w:tcW w:w="1034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Purchaser.</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bottom w:val="single" w:sz="8" w:color="auto"/>
              <w:right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1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Deadline</w:t>
            </w:r>
          </w:p>
        </w:tc>
        <w:tc>
          <w:tcPr>
            <w:tcW w:w="1034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 xml:space="preserve">Stock brokerage firms who have obtained purchase orders shall enter the proposals in the Standard Ledger, with the mnemonic </w:t>
            </w:r>
            <w:r>
              <w:rPr>
                <w:rFonts w:ascii="Times New Roman" w:cs="Times New Roman" w:eastAsia="Times New Roman" w:hAnsi="Times New Roman"/>
                <w:sz w:val="18"/>
                <w:szCs w:val="18"/>
                <w:b w:val="1"/>
                <w:bCs w:val="1"/>
                <w:color w:val="auto"/>
              </w:rPr>
              <w:t>PSUIZAC1</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 enter</w:t>
            </w:r>
          </w:p>
        </w:tc>
        <w:tc>
          <w:tcPr>
            <w:tcW w:w="1034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at the continuous trading hours for cash operations applicable to the security, from April 25, 2017  to July 25, 2017, unless the Offer is</w:t>
            </w:r>
          </w:p>
        </w:tc>
        <w:tc>
          <w:tcPr>
            <w:tcW w:w="0" w:type="dxa"/>
            <w:vAlign w:val="bottom"/>
          </w:tcPr>
          <w:p>
            <w:pPr>
              <w:spacing w:after="0"/>
              <w:rPr>
                <w:sz w:val="1"/>
                <w:szCs w:val="1"/>
                <w:color w:val="auto"/>
              </w:rPr>
            </w:pPr>
          </w:p>
        </w:tc>
      </w:tr>
      <w:tr>
        <w:trPr>
          <w:trHeight w:val="238"/>
        </w:trPr>
        <w:tc>
          <w:tcPr>
            <w:tcW w:w="1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proposals:</w:t>
            </w:r>
          </w:p>
        </w:tc>
        <w:tc>
          <w:tcPr>
            <w:tcW w:w="10340" w:type="dxa"/>
            <w:vAlign w:val="bottom"/>
            <w:tcBorders>
              <w:right w:val="single" w:sz="8" w:color="auto"/>
            </w:tcBorders>
            <w:gridSpan w:val="7"/>
          </w:tcPr>
          <w:p>
            <w:pPr>
              <w:ind w:left="80"/>
              <w:spacing w:after="0"/>
              <w:rPr>
                <w:sz w:val="20"/>
                <w:szCs w:val="20"/>
                <w:color w:val="auto"/>
              </w:rPr>
            </w:pPr>
            <w:r>
              <w:rPr>
                <w:rFonts w:ascii="Times New Roman" w:cs="Times New Roman" w:eastAsia="Times New Roman" w:hAnsi="Times New Roman"/>
                <w:sz w:val="18"/>
                <w:szCs w:val="18"/>
                <w:color w:val="auto"/>
              </w:rPr>
              <w:t>extended.</w:t>
            </w:r>
          </w:p>
        </w:tc>
        <w:tc>
          <w:tcPr>
            <w:tcW w:w="0" w:type="dxa"/>
            <w:vAlign w:val="bottom"/>
          </w:tcPr>
          <w:p>
            <w:pPr>
              <w:spacing w:after="0"/>
              <w:rPr>
                <w:sz w:val="1"/>
                <w:szCs w:val="1"/>
                <w:color w:val="auto"/>
              </w:rPr>
            </w:pPr>
          </w:p>
        </w:tc>
      </w:tr>
      <w:tr>
        <w:trPr>
          <w:trHeight w:val="81"/>
        </w:trPr>
        <w:tc>
          <w:tcPr>
            <w:tcW w:w="1080" w:type="dxa"/>
            <w:vAlign w:val="bottom"/>
            <w:tcBorders>
              <w:left w:val="single" w:sz="8" w:color="auto"/>
              <w:bottom w:val="single" w:sz="8" w:color="auto"/>
              <w:right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47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80"/>
        </w:trPr>
        <w:tc>
          <w:tcPr>
            <w:tcW w:w="10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146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Settlement of</w:t>
            </w:r>
          </w:p>
        </w:tc>
        <w:tc>
          <w:tcPr>
            <w:tcW w:w="996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Settlement shall be made at the T+3 as from completion of the operations arising from the Offer, in Soles, through Cavali S.A. ICLV,</w:t>
            </w:r>
          </w:p>
        </w:tc>
      </w:tr>
      <w:tr>
        <w:trPr>
          <w:trHeight w:val="238"/>
        </w:trPr>
        <w:tc>
          <w:tcPr>
            <w:tcW w:w="1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the Offer:</w:t>
            </w:r>
          </w:p>
        </w:tc>
        <w:tc>
          <w:tcPr>
            <w:tcW w:w="9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by the usual settlement mechanism for cash operations in continuous trading at the secondary stock market.</w:t>
            </w:r>
          </w:p>
        </w:tc>
      </w:tr>
      <w:tr>
        <w:trPr>
          <w:trHeight w:val="81"/>
        </w:trPr>
        <w:tc>
          <w:tcPr>
            <w:tcW w:w="1460" w:type="dxa"/>
            <w:vAlign w:val="bottom"/>
            <w:tcBorders>
              <w:left w:val="single" w:sz="8" w:color="auto"/>
              <w:bottom w:val="single" w:sz="8" w:color="auto"/>
              <w:right w:val="single" w:sz="8" w:color="auto"/>
            </w:tcBorders>
          </w:tcPr>
          <w:p>
            <w:pPr>
              <w:spacing w:after="0"/>
              <w:rPr>
                <w:sz w:val="7"/>
                <w:szCs w:val="7"/>
                <w:color w:val="auto"/>
              </w:rPr>
            </w:pPr>
          </w:p>
        </w:tc>
        <w:tc>
          <w:tcPr>
            <w:tcW w:w="9960" w:type="dxa"/>
            <w:vAlign w:val="bottom"/>
            <w:tcBorders>
              <w:bottom w:val="single" w:sz="8" w:color="auto"/>
              <w:right w:val="single" w:sz="8" w:color="auto"/>
            </w:tcBorders>
          </w:tcPr>
          <w:p>
            <w:pPr>
              <w:spacing w:after="0"/>
              <w:rPr>
                <w:sz w:val="7"/>
                <w:szCs w:val="7"/>
                <w:color w:val="auto"/>
              </w:rPr>
            </w:pPr>
          </w:p>
        </w:tc>
      </w:tr>
      <w:tr>
        <w:trPr>
          <w:trHeight w:val="268"/>
        </w:trPr>
        <w:tc>
          <w:tcPr>
            <w:tcW w:w="1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Place and</w:t>
            </w:r>
          </w:p>
        </w:tc>
        <w:tc>
          <w:tcPr>
            <w:tcW w:w="9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Within the term of the Offer, holders of Shares wishing to participate in Offer shall issue a sale order to the stock brokerage firm with</w:t>
            </w:r>
          </w:p>
        </w:tc>
      </w:tr>
      <w:tr>
        <w:trPr>
          <w:trHeight w:val="216"/>
        </w:trPr>
        <w:tc>
          <w:tcPr>
            <w:tcW w:w="1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procedure of</w:t>
            </w:r>
          </w:p>
        </w:tc>
        <w:tc>
          <w:tcPr>
            <w:tcW w:w="9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whom they work.</w:t>
            </w:r>
          </w:p>
        </w:tc>
      </w:tr>
      <w:tr>
        <w:trPr>
          <w:trHeight w:val="216"/>
        </w:trPr>
        <w:tc>
          <w:tcPr>
            <w:tcW w:w="1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acceptance of</w:t>
            </w:r>
          </w:p>
        </w:tc>
        <w:tc>
          <w:tcPr>
            <w:tcW w:w="9960" w:type="dxa"/>
            <w:vAlign w:val="bottom"/>
            <w:tcBorders>
              <w:right w:val="single" w:sz="8" w:color="auto"/>
            </w:tcBorders>
          </w:tcPr>
          <w:p>
            <w:pPr>
              <w:spacing w:after="0"/>
              <w:rPr>
                <w:sz w:val="18"/>
                <w:szCs w:val="18"/>
                <w:color w:val="auto"/>
              </w:rPr>
            </w:pPr>
          </w:p>
        </w:tc>
      </w:tr>
      <w:tr>
        <w:trPr>
          <w:trHeight w:val="220"/>
        </w:trPr>
        <w:tc>
          <w:tcPr>
            <w:tcW w:w="1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the Offer:</w:t>
            </w:r>
          </w:p>
        </w:tc>
        <w:tc>
          <w:tcPr>
            <w:tcW w:w="9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Placement of a sale proposal by a stock brokerage firm implies full acceptance of the terms and conditions of the Offer as they appear</w:t>
            </w:r>
          </w:p>
        </w:tc>
      </w:tr>
      <w:tr>
        <w:trPr>
          <w:trHeight w:val="234"/>
        </w:trPr>
        <w:tc>
          <w:tcPr>
            <w:tcW w:w="1460" w:type="dxa"/>
            <w:vAlign w:val="bottom"/>
            <w:tcBorders>
              <w:left w:val="single" w:sz="8" w:color="auto"/>
              <w:right w:val="single" w:sz="8" w:color="auto"/>
            </w:tcBorders>
          </w:tcPr>
          <w:p>
            <w:pPr>
              <w:spacing w:after="0"/>
              <w:rPr>
                <w:sz w:val="20"/>
                <w:szCs w:val="20"/>
                <w:color w:val="auto"/>
              </w:rPr>
            </w:pPr>
          </w:p>
        </w:tc>
        <w:tc>
          <w:tcPr>
            <w:tcW w:w="9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 this document.</w:t>
            </w:r>
          </w:p>
        </w:tc>
      </w:tr>
      <w:tr>
        <w:trPr>
          <w:trHeight w:val="414"/>
        </w:trPr>
        <w:tc>
          <w:tcPr>
            <w:tcW w:w="1460" w:type="dxa"/>
            <w:vAlign w:val="bottom"/>
            <w:tcBorders>
              <w:left w:val="single" w:sz="8" w:color="auto"/>
              <w:right w:val="single" w:sz="8" w:color="auto"/>
            </w:tcBorders>
          </w:tcPr>
          <w:p>
            <w:pPr>
              <w:spacing w:after="0"/>
              <w:rPr>
                <w:sz w:val="24"/>
                <w:szCs w:val="24"/>
                <w:color w:val="auto"/>
              </w:rPr>
            </w:pPr>
          </w:p>
        </w:tc>
        <w:tc>
          <w:tcPr>
            <w:tcW w:w="9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If the Shares are represented by physical certificates, prior to submitting the sale order, the shareholder shall coordinate with its stock</w:t>
            </w:r>
          </w:p>
        </w:tc>
      </w:tr>
      <w:tr>
        <w:trPr>
          <w:trHeight w:val="234"/>
        </w:trPr>
        <w:tc>
          <w:tcPr>
            <w:tcW w:w="1460" w:type="dxa"/>
            <w:vAlign w:val="bottom"/>
            <w:tcBorders>
              <w:left w:val="single" w:sz="8" w:color="auto"/>
              <w:right w:val="single" w:sz="8" w:color="auto"/>
            </w:tcBorders>
          </w:tcPr>
          <w:p>
            <w:pPr>
              <w:spacing w:after="0"/>
              <w:rPr>
                <w:sz w:val="20"/>
                <w:szCs w:val="20"/>
                <w:color w:val="auto"/>
              </w:rPr>
            </w:pPr>
          </w:p>
        </w:tc>
        <w:tc>
          <w:tcPr>
            <w:tcW w:w="9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brokerage firm to proceed to dematerialize the shares within the term of the Offer.</w:t>
            </w:r>
          </w:p>
        </w:tc>
      </w:tr>
      <w:tr>
        <w:trPr>
          <w:trHeight w:val="81"/>
        </w:trPr>
        <w:tc>
          <w:tcPr>
            <w:tcW w:w="1460" w:type="dxa"/>
            <w:vAlign w:val="bottom"/>
            <w:tcBorders>
              <w:left w:val="single" w:sz="8" w:color="auto"/>
              <w:bottom w:val="single" w:sz="8" w:color="auto"/>
              <w:right w:val="single" w:sz="8" w:color="auto"/>
            </w:tcBorders>
          </w:tcPr>
          <w:p>
            <w:pPr>
              <w:spacing w:after="0"/>
              <w:rPr>
                <w:sz w:val="7"/>
                <w:szCs w:val="7"/>
                <w:color w:val="auto"/>
              </w:rPr>
            </w:pPr>
          </w:p>
        </w:tc>
        <w:tc>
          <w:tcPr>
            <w:tcW w:w="9960" w:type="dxa"/>
            <w:vAlign w:val="bottom"/>
            <w:tcBorders>
              <w:bottom w:val="single" w:sz="8" w:color="auto"/>
              <w:right w:val="single" w:sz="8" w:color="auto"/>
            </w:tcBorders>
          </w:tcPr>
          <w:p>
            <w:pPr>
              <w:spacing w:after="0"/>
              <w:rPr>
                <w:sz w:val="7"/>
                <w:szCs w:val="7"/>
                <w:color w:val="auto"/>
              </w:rPr>
            </w:pPr>
          </w:p>
        </w:tc>
      </w:tr>
      <w:tr>
        <w:trPr>
          <w:trHeight w:val="272"/>
        </w:trPr>
        <w:tc>
          <w:tcPr>
            <w:tcW w:w="1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Offer expenses:</w:t>
            </w:r>
          </w:p>
        </w:tc>
        <w:tc>
          <w:tcPr>
            <w:tcW w:w="9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Purchaser shall bear all costs, expenses and fees which, as purchaser, may arise as a result of the participation of Credicorp Capital</w:t>
            </w:r>
          </w:p>
        </w:tc>
      </w:tr>
      <w:tr>
        <w:trPr>
          <w:trHeight w:val="234"/>
        </w:trPr>
        <w:tc>
          <w:tcPr>
            <w:tcW w:w="1460" w:type="dxa"/>
            <w:vAlign w:val="bottom"/>
            <w:tcBorders>
              <w:left w:val="single" w:sz="8" w:color="auto"/>
              <w:right w:val="single" w:sz="8" w:color="auto"/>
            </w:tcBorders>
          </w:tcPr>
          <w:p>
            <w:pPr>
              <w:spacing w:after="0"/>
              <w:rPr>
                <w:sz w:val="20"/>
                <w:szCs w:val="20"/>
                <w:color w:val="auto"/>
              </w:rPr>
            </w:pPr>
          </w:p>
        </w:tc>
        <w:tc>
          <w:tcPr>
            <w:tcW w:w="9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Bolsa as stock broker for the Offer.</w:t>
            </w:r>
          </w:p>
        </w:tc>
      </w:tr>
      <w:tr>
        <w:trPr>
          <w:trHeight w:val="414"/>
        </w:trPr>
        <w:tc>
          <w:tcPr>
            <w:tcW w:w="1460" w:type="dxa"/>
            <w:vAlign w:val="bottom"/>
            <w:tcBorders>
              <w:left w:val="single" w:sz="8" w:color="auto"/>
              <w:right w:val="single" w:sz="8" w:color="auto"/>
            </w:tcBorders>
          </w:tcPr>
          <w:p>
            <w:pPr>
              <w:spacing w:after="0"/>
              <w:rPr>
                <w:sz w:val="24"/>
                <w:szCs w:val="24"/>
                <w:color w:val="auto"/>
              </w:rPr>
            </w:pPr>
          </w:p>
        </w:tc>
        <w:tc>
          <w:tcPr>
            <w:tcW w:w="9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parties accepting the Offer shall bear and pay at their sole cost and expense all brokerage costs on account of stock broker fees,</w:t>
            </w:r>
          </w:p>
        </w:tc>
      </w:tr>
      <w:tr>
        <w:trPr>
          <w:trHeight w:val="216"/>
        </w:trPr>
        <w:tc>
          <w:tcPr>
            <w:tcW w:w="1460" w:type="dxa"/>
            <w:vAlign w:val="bottom"/>
            <w:tcBorders>
              <w:left w:val="single" w:sz="8" w:color="auto"/>
              <w:right w:val="single" w:sz="8" w:color="auto"/>
            </w:tcBorders>
          </w:tcPr>
          <w:p>
            <w:pPr>
              <w:spacing w:after="0"/>
              <w:rPr>
                <w:sz w:val="18"/>
                <w:szCs w:val="18"/>
                <w:color w:val="auto"/>
              </w:rPr>
            </w:pPr>
          </w:p>
        </w:tc>
        <w:tc>
          <w:tcPr>
            <w:tcW w:w="9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payments to the Securities Market Superintendence, the Lima Stock Exchange, Security Fund, CAVALI S.A. I.C.L.V. and all other</w:t>
            </w:r>
          </w:p>
        </w:tc>
      </w:tr>
      <w:tr>
        <w:trPr>
          <w:trHeight w:val="234"/>
        </w:trPr>
        <w:tc>
          <w:tcPr>
            <w:tcW w:w="1460" w:type="dxa"/>
            <w:vAlign w:val="bottom"/>
            <w:tcBorders>
              <w:left w:val="single" w:sz="8" w:color="auto"/>
              <w:right w:val="single" w:sz="8" w:color="auto"/>
            </w:tcBorders>
          </w:tcPr>
          <w:p>
            <w:pPr>
              <w:spacing w:after="0"/>
              <w:rPr>
                <w:sz w:val="20"/>
                <w:szCs w:val="20"/>
                <w:color w:val="auto"/>
              </w:rPr>
            </w:pPr>
          </w:p>
        </w:tc>
        <w:tc>
          <w:tcPr>
            <w:tcW w:w="9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costs, expenses and taxes due by parties accepting the offer as a result of the floor-traded sale of their shares.</w:t>
            </w:r>
          </w:p>
        </w:tc>
      </w:tr>
      <w:tr>
        <w:trPr>
          <w:trHeight w:val="81"/>
        </w:trPr>
        <w:tc>
          <w:tcPr>
            <w:tcW w:w="1460" w:type="dxa"/>
            <w:vAlign w:val="bottom"/>
            <w:tcBorders>
              <w:left w:val="single" w:sz="8" w:color="auto"/>
              <w:bottom w:val="single" w:sz="8" w:color="auto"/>
              <w:right w:val="single" w:sz="8" w:color="auto"/>
            </w:tcBorders>
          </w:tcPr>
          <w:p>
            <w:pPr>
              <w:spacing w:after="0"/>
              <w:rPr>
                <w:sz w:val="7"/>
                <w:szCs w:val="7"/>
                <w:color w:val="auto"/>
              </w:rPr>
            </w:pPr>
          </w:p>
        </w:tc>
        <w:tc>
          <w:tcPr>
            <w:tcW w:w="9960" w:type="dxa"/>
            <w:vAlign w:val="bottom"/>
            <w:tcBorders>
              <w:bottom w:val="single" w:sz="8" w:color="auto"/>
              <w:right w:val="single" w:sz="8" w:color="auto"/>
            </w:tcBorders>
          </w:tcPr>
          <w:p>
            <w:pPr>
              <w:spacing w:after="0"/>
              <w:rPr>
                <w:sz w:val="7"/>
                <w:szCs w:val="7"/>
                <w:color w:val="auto"/>
              </w:rPr>
            </w:pPr>
          </w:p>
        </w:tc>
      </w:tr>
      <w:tr>
        <w:trPr>
          <w:trHeight w:val="291"/>
        </w:trPr>
        <w:tc>
          <w:tcPr>
            <w:tcW w:w="14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Tax treatment</w:t>
            </w:r>
          </w:p>
        </w:tc>
        <w:tc>
          <w:tcPr>
            <w:tcW w:w="9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parties accepting the Offer shall assess with their tax advisors the tax effects associated with the sale of the Shares.</w:t>
            </w:r>
          </w:p>
        </w:tc>
      </w:tr>
      <w:tr>
        <w:trPr>
          <w:trHeight w:val="414"/>
        </w:trPr>
        <w:tc>
          <w:tcPr>
            <w:tcW w:w="1460" w:type="dxa"/>
            <w:vAlign w:val="bottom"/>
            <w:tcBorders>
              <w:left w:val="single" w:sz="8" w:color="auto"/>
              <w:right w:val="single" w:sz="8" w:color="auto"/>
            </w:tcBorders>
          </w:tcPr>
          <w:p>
            <w:pPr>
              <w:spacing w:after="0"/>
              <w:rPr>
                <w:sz w:val="24"/>
                <w:szCs w:val="24"/>
                <w:color w:val="auto"/>
              </w:rPr>
            </w:pPr>
          </w:p>
        </w:tc>
        <w:tc>
          <w:tcPr>
            <w:tcW w:w="9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 of the date of the Offer, the Shares are not listed in the stock exchange, whereby any capital gains from the sale thereof is subject to</w:t>
            </w:r>
          </w:p>
        </w:tc>
      </w:tr>
      <w:tr>
        <w:trPr>
          <w:trHeight w:val="234"/>
        </w:trPr>
        <w:tc>
          <w:tcPr>
            <w:tcW w:w="1460" w:type="dxa"/>
            <w:vAlign w:val="bottom"/>
            <w:tcBorders>
              <w:left w:val="single" w:sz="8" w:color="auto"/>
              <w:right w:val="single" w:sz="8" w:color="auto"/>
            </w:tcBorders>
          </w:tcPr>
          <w:p>
            <w:pPr>
              <w:spacing w:after="0"/>
              <w:rPr>
                <w:sz w:val="20"/>
                <w:szCs w:val="20"/>
                <w:color w:val="auto"/>
              </w:rPr>
            </w:pPr>
          </w:p>
        </w:tc>
        <w:tc>
          <w:tcPr>
            <w:tcW w:w="99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payment of Income Tax, as provided in Law N° 30341 and its Regulations, approved by Supreme Decree N° 382-2015-EF.</w:t>
            </w:r>
          </w:p>
        </w:tc>
      </w:tr>
      <w:tr>
        <w:trPr>
          <w:trHeight w:val="81"/>
        </w:trPr>
        <w:tc>
          <w:tcPr>
            <w:tcW w:w="1460" w:type="dxa"/>
            <w:vAlign w:val="bottom"/>
            <w:tcBorders>
              <w:left w:val="single" w:sz="8" w:color="auto"/>
              <w:bottom w:val="single" w:sz="8" w:color="auto"/>
              <w:right w:val="single" w:sz="8" w:color="auto"/>
            </w:tcBorders>
          </w:tcPr>
          <w:p>
            <w:pPr>
              <w:spacing w:after="0"/>
              <w:rPr>
                <w:sz w:val="7"/>
                <w:szCs w:val="7"/>
                <w:color w:val="auto"/>
              </w:rPr>
            </w:pPr>
          </w:p>
        </w:tc>
        <w:tc>
          <w:tcPr>
            <w:tcW w:w="9960" w:type="dxa"/>
            <w:vAlign w:val="bottom"/>
            <w:tcBorders>
              <w:bottom w:val="single" w:sz="8" w:color="auto"/>
              <w:right w:val="single" w:sz="8" w:color="auto"/>
            </w:tcBorders>
          </w:tcPr>
          <w:p>
            <w:pPr>
              <w:spacing w:after="0"/>
              <w:rPr>
                <w:sz w:val="7"/>
                <w:szCs w:val="7"/>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8"/>
          <w:szCs w:val="18"/>
          <w:u w:val="single" w:color="auto"/>
          <w:color w:val="auto"/>
        </w:rPr>
        <w:t>Miriam Böttger</w:t>
      </w:r>
      <w:r>
        <w:rPr>
          <w:rFonts w:ascii="Times New Roman" w:cs="Times New Roman" w:eastAsia="Times New Roman" w:hAnsi="Times New Roman"/>
          <w:sz w:val="18"/>
          <w:szCs w:val="18"/>
          <w:color w:val="auto"/>
        </w:rPr>
        <w:t>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Market Representative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57" w:right="239" w:bottom="1440" w:gutter="0" w:footer="0" w:header="0"/>
        </w:sectPr>
      </w:pPr>
    </w:p>
    <w:bookmarkStart w:id="3" w:name="page4"/>
    <w:bookmarkEnd w:id="3"/>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April 24</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2017</w:t>
      </w:r>
    </w:p>
    <w:p>
      <w:pPr>
        <w:spacing w:after="0" w:line="124"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23"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By: /s/ Miriam Böttger</w:t>
      </w:r>
    </w:p>
    <w:p>
      <w:pPr>
        <w:spacing w:after="0" w:line="27"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820"/>
      </w:cols>
      <w:pgMar w:left="240" w:top="684" w:right="8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2019-12-06T03:32:55Z</dcterms:created>
  <dcterms:modified xsi:type="dcterms:W3CDTF">2019-12-06T03:32:55Z</dcterms:modified>
</cp:coreProperties>
</file>