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 the month of March 2014</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0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4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706120</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March 27,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DS N° 093-2002-EF, and CONASEV Resolution for Material Events, Reserved Information and Other Communications N° 107-2002-EF/94.10, as modified by CONASEV Resolution N° 009-2003-EF/94.10, Credicorp Ltd. complies with notifying you of the following Material Event.</w:t>
      </w:r>
    </w:p>
    <w:p>
      <w:pPr>
        <w:spacing w:after="0" w:line="18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Credicorp’s Board of Directors, in its session held on March 26, 2014, agreed unanimously on appointing Mr. Martin Bazo Bustamante as the new Corporate Regulatory Compliance Officer. Mr. Bazo will start his role on April 1</w:t>
      </w:r>
      <w:r>
        <w:rPr>
          <w:rFonts w:ascii="Arial" w:cs="Arial" w:eastAsia="Arial" w:hAnsi="Arial"/>
          <w:sz w:val="30"/>
          <w:szCs w:val="30"/>
          <w:color w:val="auto"/>
          <w:vertAlign w:val="superscript"/>
        </w:rPr>
        <w:t>st</w:t>
      </w:r>
      <w:r>
        <w:rPr>
          <w:rFonts w:ascii="Arial" w:cs="Arial" w:eastAsia="Arial" w:hAnsi="Arial"/>
          <w:sz w:val="18"/>
          <w:szCs w:val="18"/>
          <w:color w:val="auto"/>
        </w:rPr>
        <w:t>, 2014.</w:t>
      </w:r>
    </w:p>
    <w:p>
      <w:pPr>
        <w:spacing w:after="0" w:line="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Mario Ferrari</w:t>
      </w:r>
      <w:r>
        <w:rPr>
          <w:rFonts w:ascii="Arial" w:cs="Arial" w:eastAsia="Arial" w:hAnsi="Arial"/>
          <w:sz w:val="18"/>
          <w:szCs w:val="18"/>
          <w:color w:val="auto"/>
        </w:rPr>
        <w:t>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March 27,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Mario Ferrari</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829310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87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2019-12-06T13:24:54Z</dcterms:created>
  <dcterms:modified xsi:type="dcterms:W3CDTF">2019-12-06T13:24:54Z</dcterms:modified>
</cp:coreProperties>
</file>