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February 2021</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20"/>
        <w:spacing w:after="0" w:line="207" w:lineRule="exact"/>
        <w:tabs>
          <w:tab w:leader="none" w:pos="5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630555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72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 Ltd. (the ‘Company’) notifies you, as a Material Event, that in its session held on February 25, 2021, the Company’s Board of Directors agreed unanimously on the following matters:</w:t>
      </w:r>
    </w:p>
    <w:p>
      <w:pPr>
        <w:spacing w:after="0" w:line="170" w:lineRule="exact"/>
        <w:rPr>
          <w:sz w:val="20"/>
          <w:szCs w:val="20"/>
          <w:color w:val="auto"/>
        </w:rPr>
      </w:pPr>
    </w:p>
    <w:p>
      <w:pPr>
        <w:ind w:left="34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2020 that the Chairman will present at the Annual General Meeting of Shareholders on March 31, 2021 (‘AGM’).</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2020, including the report of the external independent auditors Gaveglio Aparicio y Asociados Sociedad Civil de Responsabilidad Limitada, members of PricewaterhouseCoopers in Peru, to be presented at the AGM.</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for consideration of the AGM (i) the reappointment of Gaveglio Aparicio y Asociados Sociedad Civil de Responsabilidad Limitada, members of PricewaterhouseCoopers in Peru, as the external independent auditors of the Company and its subsidiaries for the financial year 2021, with the previous authorization of the Audit Committee; and (ii) to delegate the power to set and approve fees for such audit services to the Board of Directors (for further delegation to the Audit Committee thereof).</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Board of Directors also agreed unanimously to transfer S/346,994,407.43 to non-restricted special reserves, resulting from earnings corresponding to fiscal year 2020. As a result, non-restricted special reserves will amount to S/7,031,722,398.58, which cannot be used without the authorization of the Superintendency of Banks, Insurance and Pension Fund Managers of Peru.</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2021-02-26T06:45:13Z</dcterms:created>
  <dcterms:modified xsi:type="dcterms:W3CDTF">2021-02-26T06:45:13Z</dcterms:modified>
</cp:coreProperties>
</file>