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2023</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4592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06095"/>
                    </a:xfrm>
                    <a:prstGeom prst="rect">
                      <a:avLst/>
                    </a:prstGeom>
                    <a:noFill/>
                  </pic:spPr>
                </pic:pic>
              </a:graphicData>
            </a:graphic>
          </wp:anchor>
        </w:drawing>
        <w:t>May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notify you as a Material Event that today the Board of Directors of Credicorp Ltd. (the ‘Company) has unanimously agreed to pay the dividend referred to in Form 6-K published on April 28, 2023 in US Dollars using the weighted exchange rate registered by the Peruvian Superintendency of Banks, Insurance and Pension Funds (Superintendencia de Banca, Seguros y AFP) for the transactions at the close of business on June 6, 2023, instead of June 7, 2023, as originally informed. All other terms and conditions of the dividend distribution remain unchanged.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4, 2023</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3749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Guillermo Morales</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2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2023-05-05T05:18:42Z</dcterms:created>
  <dcterms:modified xsi:type="dcterms:W3CDTF">2023-05-05T05:18:42Z</dcterms:modified>
</cp:coreProperties>
</file>