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January 2018</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5320030</wp:posOffset>
            </wp:positionH>
            <wp:positionV relativeFrom="page">
              <wp:posOffset>431800</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January 24</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 complies with notifying you of the following Material Event:</w:t>
      </w:r>
    </w:p>
    <w:p>
      <w:pPr>
        <w:spacing w:after="0" w:line="229" w:lineRule="exact"/>
        <w:rPr>
          <w:sz w:val="20"/>
          <w:szCs w:val="20"/>
          <w:color w:val="auto"/>
        </w:rPr>
      </w:pPr>
    </w:p>
    <w:p>
      <w:pPr>
        <w:jc w:val="both"/>
        <w:ind w:left="340" w:hanging="332"/>
        <w:spacing w:after="0" w:line="204" w:lineRule="auto"/>
        <w:tabs>
          <w:tab w:leader="none" w:pos="34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In its session held on January 24</w:t>
      </w:r>
      <w:r>
        <w:rPr>
          <w:rFonts w:ascii="Arial" w:cs="Arial" w:eastAsia="Arial" w:hAnsi="Arial"/>
          <w:sz w:val="30"/>
          <w:szCs w:val="30"/>
          <w:color w:val="auto"/>
          <w:vertAlign w:val="superscript"/>
        </w:rPr>
        <w:t>th</w:t>
      </w:r>
      <w:r>
        <w:rPr>
          <w:rFonts w:ascii="Arial" w:cs="Arial" w:eastAsia="Arial" w:hAnsi="Arial"/>
          <w:sz w:val="18"/>
          <w:szCs w:val="18"/>
          <w:color w:val="auto"/>
        </w:rPr>
        <w:t>, 2018, Credicorp’s Board of Directors unanimously agreed to set the date for the Annual General Meeting of Shareholders for Wednesday March 28</w:t>
      </w:r>
      <w:r>
        <w:rPr>
          <w:rFonts w:ascii="Arial" w:cs="Arial" w:eastAsia="Arial" w:hAnsi="Arial"/>
          <w:sz w:val="30"/>
          <w:szCs w:val="30"/>
          <w:color w:val="auto"/>
          <w:vertAlign w:val="superscript"/>
        </w:rPr>
        <w:t>th</w:t>
      </w:r>
      <w:r>
        <w:rPr>
          <w:rFonts w:ascii="Arial" w:cs="Arial" w:eastAsia="Arial" w:hAnsi="Arial"/>
          <w:sz w:val="18"/>
          <w:szCs w:val="18"/>
          <w:color w:val="auto"/>
        </w:rPr>
        <w:t>, 2018, at 3 p.m. (Peruvian time), at the main offices of Banco de Credito del Peru, located at 156 Calle Centenario, Laderas de Melgarejo, in La Molina, Lima, Peru. In accordance with the Company’s Bye-Laws, if the required quorum is not met in the first instance, the meeting will be postponed until Wednesday April 4</w:t>
      </w:r>
      <w:r>
        <w:rPr>
          <w:rFonts w:ascii="Arial" w:cs="Arial" w:eastAsia="Arial" w:hAnsi="Arial"/>
          <w:sz w:val="30"/>
          <w:szCs w:val="30"/>
          <w:color w:val="auto"/>
          <w:vertAlign w:val="superscript"/>
        </w:rPr>
        <w:t>th</w:t>
      </w:r>
      <w:r>
        <w:rPr>
          <w:rFonts w:ascii="Arial" w:cs="Arial" w:eastAsia="Arial" w:hAnsi="Arial"/>
          <w:sz w:val="18"/>
          <w:szCs w:val="18"/>
          <w:color w:val="auto"/>
        </w:rPr>
        <w:t>, 2018 at the same place and time.</w:t>
      </w:r>
    </w:p>
    <w:p>
      <w:pPr>
        <w:spacing w:after="0" w:line="87" w:lineRule="exact"/>
        <w:rPr>
          <w:rFonts w:ascii="Arial" w:cs="Arial" w:eastAsia="Arial" w:hAnsi="Arial"/>
          <w:sz w:val="36"/>
          <w:szCs w:val="36"/>
          <w:color w:val="auto"/>
          <w:vertAlign w:val="superscript"/>
        </w:rPr>
      </w:pPr>
    </w:p>
    <w:p>
      <w:pPr>
        <w:ind w:left="340" w:right="20"/>
        <w:spacing w:after="0" w:line="210" w:lineRule="auto"/>
        <w:rPr>
          <w:rFonts w:ascii="Arial" w:cs="Arial" w:eastAsia="Arial" w:hAnsi="Arial"/>
          <w:sz w:val="36"/>
          <w:szCs w:val="36"/>
          <w:color w:val="auto"/>
          <w:vertAlign w:val="superscript"/>
        </w:rPr>
      </w:pPr>
      <w:r>
        <w:rPr>
          <w:rFonts w:ascii="Arial" w:cs="Arial" w:eastAsia="Arial" w:hAnsi="Arial"/>
          <w:sz w:val="18"/>
          <w:szCs w:val="18"/>
          <w:color w:val="auto"/>
        </w:rPr>
        <w:t>The Board has established that those shareholders who are officially registered as shareholders of the Company as of February 7</w:t>
      </w:r>
      <w:r>
        <w:rPr>
          <w:rFonts w:ascii="Arial" w:cs="Arial" w:eastAsia="Arial" w:hAnsi="Arial"/>
          <w:sz w:val="30"/>
          <w:szCs w:val="30"/>
          <w:color w:val="auto"/>
          <w:vertAlign w:val="superscript"/>
        </w:rPr>
        <w:t>th</w:t>
      </w:r>
      <w:r>
        <w:rPr>
          <w:rFonts w:ascii="Arial" w:cs="Arial" w:eastAsia="Arial" w:hAnsi="Arial"/>
          <w:sz w:val="18"/>
          <w:szCs w:val="18"/>
          <w:color w:val="auto"/>
        </w:rPr>
        <w:t>, 2018 (“Record Date”) will be entitled to attend and vote in the above mentioned meeting.</w:t>
      </w:r>
    </w:p>
    <w:p>
      <w:pPr>
        <w:spacing w:after="0" w:line="202"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meeting will attend to the following matters:</w:t>
      </w:r>
    </w:p>
    <w:p>
      <w:pPr>
        <w:spacing w:after="0" w:line="12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Presentation by the Chairman of the Board of the Annual Report for the financial year ended December 31</w:t>
      </w:r>
      <w:r>
        <w:rPr>
          <w:rFonts w:ascii="Arial" w:cs="Arial" w:eastAsia="Arial" w:hAnsi="Arial"/>
          <w:sz w:val="30"/>
          <w:szCs w:val="30"/>
          <w:color w:val="auto"/>
          <w:vertAlign w:val="superscript"/>
        </w:rPr>
        <w:t>st</w:t>
      </w:r>
      <w:r>
        <w:rPr>
          <w:rFonts w:ascii="Arial" w:cs="Arial" w:eastAsia="Arial" w:hAnsi="Arial"/>
          <w:sz w:val="18"/>
          <w:szCs w:val="18"/>
          <w:color w:val="auto"/>
        </w:rPr>
        <w:t>, 2017.</w:t>
      </w:r>
    </w:p>
    <w:p>
      <w:pPr>
        <w:ind w:left="340" w:hanging="332"/>
        <w:spacing w:after="0" w:line="191" w:lineRule="auto"/>
        <w:tabs>
          <w:tab w:leader="none" w:pos="340"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To consider and approve the audited consolidated financial statements of the Company and its subsidiaries for the financial year ended December 31</w:t>
      </w:r>
      <w:r>
        <w:rPr>
          <w:rFonts w:ascii="Arial" w:cs="Arial" w:eastAsia="Arial" w:hAnsi="Arial"/>
          <w:sz w:val="26"/>
          <w:szCs w:val="26"/>
          <w:color w:val="auto"/>
          <w:vertAlign w:val="superscript"/>
        </w:rPr>
        <w:t>st</w:t>
      </w:r>
      <w:r>
        <w:rPr>
          <w:rFonts w:ascii="Arial" w:cs="Arial" w:eastAsia="Arial" w:hAnsi="Arial"/>
          <w:sz w:val="16"/>
          <w:szCs w:val="16"/>
          <w:color w:val="auto"/>
        </w:rPr>
        <w:t>, 2017 including the report of the external independent auditors of the Company thereon.</w:t>
      </w: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the external independent auditors of the Company to perform such services for the financial year 2018 and to define the fees for such audit services.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ind w:left="5720"/>
        <w:spacing w:after="0"/>
        <w:rPr>
          <w:sz w:val="20"/>
          <w:szCs w:val="20"/>
          <w:color w:val="auto"/>
        </w:rPr>
      </w:pPr>
      <w:r>
        <w:rPr>
          <w:rFonts w:ascii="Arial" w:cs="Arial" w:eastAsia="Arial" w:hAnsi="Arial"/>
          <w:sz w:val="18"/>
          <w:szCs w:val="18"/>
          <w:color w:val="auto"/>
        </w:rPr>
        <w:t>CREDICORP LTD.</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87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2019-12-06T05:50:31Z</dcterms:created>
  <dcterms:modified xsi:type="dcterms:W3CDTF">2019-12-06T05:50:31Z</dcterms:modified>
</cp:coreProperties>
</file>