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February 2015</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3540"/>
        <w:spacing w:after="0" w:line="207" w:lineRule="exact"/>
        <w:tabs>
          <w:tab w:leader="none" w:pos="55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304165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311785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accordance with article 28 of the Securities Market Act approved by Law N° 093-2002-EF and SMV Resolution for Material Events and Reserved Information and Other Communications N° 005-2014-SMV/01, Credicorp Ltd. complies with notifying you of the following Material Event:</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Today at an extraordinary General Meeting of Shareholders, our subsidiary Grupo Crédito S.A. has agreed to undertake a reorganization whereby it will transfer to Credicorp Capital Holding Peru S.A. an equity block valued in approximately S/. 511 million, consisting of (i) 72,213,777 shares issued by Credicorp Capital Perú S.A.A., fully subscribed and paid, with a nominal value of S/. 1.00 (one and 00/100 Nuevos Soles) each, and (ii) 3,148,257 additional shares to be issued by Credicorp Capital Peru S.A.A., with nominal value of S/. 1.00 (one and 00/100 Nuevos Soles) product of a previous transaction in which Grupo Crédito contributed to Credicorp Capital Peru S.A.A. the full amount of their investment in La Fiduciaria S.A.</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704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8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11,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Mario Ferrari</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2019-12-06T15:01:45Z</dcterms:created>
  <dcterms:modified xsi:type="dcterms:W3CDTF">2019-12-06T15:01:45Z</dcterms:modified>
</cp:coreProperties>
</file>