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26"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FORM 6-K/A</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Report of Foreign Private Issuer</w:t>
      </w:r>
    </w:p>
    <w:p>
      <w:pPr>
        <w:spacing w:after="0" w:line="22"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Pursuant to Rule 13a-16 or 15d-16 under the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Securities Exchange Act of 1934</w:t>
      </w:r>
    </w:p>
    <w:p>
      <w:pPr>
        <w:spacing w:after="0" w:line="187"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For the month of March 2017</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Commission File Number: 001-14014</w:t>
      </w:r>
    </w:p>
    <w:p>
      <w:pPr>
        <w:spacing w:after="0" w:line="199"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CREDICORP LTD.</w:t>
      </w:r>
    </w:p>
    <w:p>
      <w:pPr>
        <w:spacing w:after="0" w:line="26"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(Translation of registrant’s name into English)</w:t>
      </w:r>
    </w:p>
    <w:p>
      <w:pPr>
        <w:spacing w:after="0" w:line="187"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Clarendon House</w:t>
      </w:r>
    </w:p>
    <w:p>
      <w:pPr>
        <w:spacing w:after="0" w:line="26"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Church Street</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Hamilton HM 11 Bermuda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(Address of principal executive office)</w:t>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73" w:lineRule="exact"/>
        <w:rPr>
          <w:sz w:val="24"/>
          <w:szCs w:val="24"/>
          <w:color w:val="auto"/>
        </w:rPr>
      </w:pPr>
    </w:p>
    <w:p>
      <w:pPr>
        <w:ind w:left="4820"/>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33" w:lineRule="exact"/>
        <w:rPr>
          <w:sz w:val="24"/>
          <w:szCs w:val="24"/>
          <w:color w:val="auto"/>
        </w:rPr>
      </w:pPr>
    </w:p>
    <w:p>
      <w:pPr>
        <w:ind w:left="40"/>
        <w:spacing w:after="0"/>
        <w:rPr>
          <w:sz w:val="20"/>
          <w:szCs w:val="20"/>
          <w:color w:val="auto"/>
        </w:rPr>
      </w:pPr>
      <w:r>
        <w:rPr>
          <w:rFonts w:ascii="Arial" w:cs="Arial" w:eastAsia="Arial" w:hAnsi="Arial"/>
          <w:sz w:val="14"/>
          <w:szCs w:val="14"/>
          <w:color w:val="auto"/>
        </w:rPr>
        <w:t>Indicate by check mark if the registrant is submitting the Form 6-K in paper as permitted by Regulation S-T Rule 101(b)(1): ____</w:t>
      </w:r>
    </w:p>
    <w:p>
      <w:pPr>
        <w:spacing w:after="0" w:line="226" w:lineRule="exact"/>
        <w:rPr>
          <w:sz w:val="24"/>
          <w:szCs w:val="24"/>
          <w:color w:val="auto"/>
        </w:rPr>
      </w:pPr>
    </w:p>
    <w:p>
      <w:pPr>
        <w:ind w:left="40"/>
        <w:spacing w:after="0"/>
        <w:rPr>
          <w:sz w:val="20"/>
          <w:szCs w:val="20"/>
          <w:color w:val="auto"/>
        </w:rPr>
      </w:pPr>
      <w:r>
        <w:rPr>
          <w:rFonts w:ascii="Arial" w:cs="Arial" w:eastAsia="Arial" w:hAnsi="Arial"/>
          <w:sz w:val="14"/>
          <w:szCs w:val="14"/>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289560</wp:posOffset>
            </wp:positionV>
            <wp:extent cx="72612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219"/>
          </w:cols>
          <w:pgMar w:left="240" w:top="437" w:right="1440" w:bottom="1440" w:gutter="0" w:footer="0" w:header="0"/>
        </w:sectPr>
      </w:pPr>
    </w:p>
    <w:bookmarkStart w:id="1" w:name="page2"/>
    <w:bookmarkEnd w:id="1"/>
    <w:p>
      <w:pPr>
        <w:jc w:val="both"/>
        <w:spacing w:after="0" w:line="261" w:lineRule="auto"/>
        <w:rPr>
          <w:sz w:val="20"/>
          <w:szCs w:val="20"/>
          <w:color w:val="auto"/>
        </w:rPr>
      </w:pPr>
      <w:r>
        <w:rPr>
          <w:rFonts w:ascii="Arial" w:cs="Arial" w:eastAsia="Arial" w:hAnsi="Arial"/>
          <w:sz w:val="16"/>
          <w:szCs w:val="16"/>
          <w:color w:val="auto"/>
        </w:rPr>
        <w:t>This Form 6-K/A is being furnished to add the report of independent external auditors of Gaveglio, Aparicio y Asociados Sociedad de Responsabilidad Limitada, members of PricewaterhouseCoopers in Peru, to the “Financial Statements and Notes of Credicorp Ltd. and its subsidiaries as of December 31, 2016, together with the Audit Report thereon”, which was included as Exhibit 99.2 on Form 6-K furnished on February 24th 2017. Other than the inclusion of the audit report, which had been inadvertently excluded from such Exhibit 99.2, the financial statements have not changed.</w:t>
      </w:r>
    </w:p>
    <w:p>
      <w:pPr>
        <w:spacing w:after="0" w:line="167"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w:t>
      </w:r>
    </w:p>
    <w:p>
      <w:pPr>
        <w:spacing w:after="0" w:line="207" w:lineRule="exact"/>
        <w:rPr>
          <w:sz w:val="20"/>
          <w:szCs w:val="20"/>
          <w:color w:val="auto"/>
        </w:rPr>
      </w:pPr>
    </w:p>
    <w:p>
      <w:pPr>
        <w:ind w:right="220" w:firstLine="479"/>
        <w:spacing w:after="0" w:line="28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Date: March 9</w:t>
      </w:r>
      <w:r>
        <w:rPr>
          <w:rFonts w:ascii="Arial" w:cs="Arial" w:eastAsia="Arial" w:hAnsi="Arial"/>
          <w:sz w:val="26"/>
          <w:szCs w:val="26"/>
          <w:color w:val="auto"/>
          <w:vertAlign w:val="superscript"/>
        </w:rPr>
        <w:t>th</w:t>
      </w:r>
      <w:r>
        <w:rPr>
          <w:rFonts w:ascii="Arial" w:cs="Arial" w:eastAsia="Arial" w:hAnsi="Arial"/>
          <w:sz w:val="16"/>
          <w:szCs w:val="16"/>
          <w:color w:val="auto"/>
        </w:rPr>
        <w:t>, 2017</w:t>
      </w:r>
    </w:p>
    <w:p>
      <w:pPr>
        <w:spacing w:after="0" w:line="12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CREDICORP LTD.</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(Registrant)</w:t>
      </w:r>
    </w:p>
    <w:p>
      <w:pPr>
        <w:spacing w:after="0" w:line="384"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Miriam Böttger</w:t>
      </w:r>
    </w:p>
    <w:p>
      <w:pPr>
        <w:spacing w:after="0" w:line="22" w:lineRule="exact"/>
        <w:rPr>
          <w:sz w:val="20"/>
          <w:szCs w:val="20"/>
          <w:color w:val="auto"/>
        </w:rPr>
      </w:pPr>
    </w:p>
    <w:p>
      <w:pPr>
        <w:ind w:left="7440"/>
        <w:spacing w:after="0"/>
        <w:rPr>
          <w:sz w:val="20"/>
          <w:szCs w:val="20"/>
          <w:color w:val="auto"/>
        </w:rPr>
      </w:pPr>
      <w:r>
        <w:rPr>
          <w:rFonts w:ascii="Arial" w:cs="Arial" w:eastAsia="Arial" w:hAnsi="Arial"/>
          <w:sz w:val="16"/>
          <w:szCs w:val="16"/>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-116205</wp:posOffset>
            </wp:positionV>
            <wp:extent cx="21723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2335" cy="7620"/>
                    </a:xfrm>
                    <a:prstGeom prst="rect">
                      <a:avLst/>
                    </a:prstGeom>
                    <a:noFill/>
                  </pic:spPr>
                </pic:pic>
              </a:graphicData>
            </a:graphic>
          </wp:anchor>
        </w:drawing>
      </w:r>
    </w:p>
    <w:p>
      <w:pPr>
        <w:spacing w:after="0" w:line="1" w:lineRule="exact"/>
        <w:rPr>
          <w:sz w:val="20"/>
          <w:szCs w:val="20"/>
          <w:color w:val="auto"/>
        </w:rPr>
      </w:pPr>
    </w:p>
    <w:p>
      <w:pPr>
        <w:ind w:left="7440"/>
        <w:spacing w:after="0"/>
        <w:rPr>
          <w:sz w:val="20"/>
          <w:szCs w:val="20"/>
          <w:color w:val="auto"/>
        </w:rPr>
      </w:pPr>
      <w:r>
        <w:rPr>
          <w:rFonts w:ascii="Arial" w:cs="Arial" w:eastAsia="Arial" w:hAnsi="Arial"/>
          <w:sz w:val="16"/>
          <w:szCs w:val="16"/>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267335</wp:posOffset>
            </wp:positionV>
            <wp:extent cx="72612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0"/>
          </w:cols>
          <w:pgMar w:left="240" w:top="635"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CREDICORP LTD.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CONSOLIDATED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72612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219"/>
          </w:cols>
          <w:pgMar w:left="240" w:top="6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0"/>
        </w:trPr>
        <w:tc>
          <w:tcPr>
            <w:tcW w:w="8420" w:type="dxa"/>
            <w:vAlign w:val="bottom"/>
            <w:gridSpan w:val="4"/>
          </w:tcPr>
          <w:p>
            <w:pPr>
              <w:spacing w:after="0"/>
              <w:rPr>
                <w:sz w:val="20"/>
                <w:szCs w:val="20"/>
                <w:color w:val="auto"/>
              </w:rPr>
            </w:pPr>
            <w:r>
              <w:rPr>
                <w:rFonts w:ascii="Arial" w:cs="Arial" w:eastAsia="Arial" w:hAnsi="Arial"/>
                <w:sz w:val="16"/>
                <w:szCs w:val="16"/>
                <w:b w:val="1"/>
                <w:bCs w:val="1"/>
                <w:color w:val="auto"/>
              </w:rPr>
              <w:t>CREDICORP LTD. AND SUBSIDIARIES</w:t>
            </w:r>
          </w:p>
        </w:tc>
        <w:tc>
          <w:tcPr>
            <w:tcW w:w="3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8420" w:type="dxa"/>
            <w:vAlign w:val="bottom"/>
            <w:gridSpan w:val="4"/>
          </w:tcPr>
          <w:p>
            <w:pPr>
              <w:spacing w:after="0"/>
              <w:rPr>
                <w:sz w:val="20"/>
                <w:szCs w:val="20"/>
                <w:color w:val="auto"/>
              </w:rPr>
            </w:pPr>
            <w:r>
              <w:rPr>
                <w:rFonts w:ascii="Arial" w:cs="Arial" w:eastAsia="Arial" w:hAnsi="Arial"/>
                <w:sz w:val="16"/>
                <w:szCs w:val="16"/>
                <w:color w:val="auto"/>
              </w:rPr>
              <w:t>CONSOLIDATED FINANCIAL STATEMENTS AS OF DECEMBER 31, 2016 AND 2015</w:t>
            </w: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420" w:type="dxa"/>
            <w:vAlign w:val="bottom"/>
            <w:gridSpan w:val="4"/>
          </w:tcPr>
          <w:p>
            <w:pPr>
              <w:spacing w:after="0"/>
              <w:rPr>
                <w:sz w:val="20"/>
                <w:szCs w:val="20"/>
                <w:color w:val="auto"/>
              </w:rPr>
            </w:pPr>
            <w:r>
              <w:rPr>
                <w:rFonts w:ascii="Arial" w:cs="Arial" w:eastAsia="Arial" w:hAnsi="Arial"/>
                <w:sz w:val="16"/>
                <w:szCs w:val="16"/>
                <w:color w:val="auto"/>
              </w:rPr>
              <w:t>CONTENTS</w:t>
            </w:r>
          </w:p>
        </w:tc>
        <w:tc>
          <w:tcPr>
            <w:tcW w:w="3040" w:type="dxa"/>
            <w:vAlign w:val="bottom"/>
            <w:gridSpan w:val="2"/>
          </w:tcPr>
          <w:p>
            <w:pPr>
              <w:ind w:left="2640"/>
              <w:spacing w:after="0"/>
              <w:rPr>
                <w:sz w:val="20"/>
                <w:szCs w:val="20"/>
                <w:color w:val="auto"/>
              </w:rPr>
            </w:pPr>
            <w:r>
              <w:rPr>
                <w:rFonts w:ascii="Arial" w:cs="Arial" w:eastAsia="Arial" w:hAnsi="Arial"/>
                <w:sz w:val="16"/>
                <w:szCs w:val="16"/>
                <w:color w:val="auto"/>
                <w:w w:val="83"/>
              </w:rPr>
              <w:t>Pages</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400" w:type="dxa"/>
            <w:vAlign w:val="bottom"/>
            <w:gridSpan w:val="3"/>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Independent auditor’s report</w:t>
            </w:r>
          </w:p>
        </w:tc>
        <w:tc>
          <w:tcPr>
            <w:tcW w:w="3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1 - 8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8400" w:type="dxa"/>
            <w:vAlign w:val="bottom"/>
            <w:gridSpan w:val="3"/>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Consolidated financial statements of financial position</w:t>
            </w:r>
          </w:p>
        </w:tc>
        <w:tc>
          <w:tcPr>
            <w:tcW w:w="3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8400" w:type="dxa"/>
            <w:vAlign w:val="bottom"/>
            <w:gridSpan w:val="3"/>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Consolidated statement of income</w:t>
            </w:r>
          </w:p>
        </w:tc>
        <w:tc>
          <w:tcPr>
            <w:tcW w:w="3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10 - 11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8400" w:type="dxa"/>
            <w:vAlign w:val="bottom"/>
            <w:gridSpan w:val="3"/>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Consolidated statement of comprehensive income</w:t>
            </w:r>
          </w:p>
        </w:tc>
        <w:tc>
          <w:tcPr>
            <w:tcW w:w="3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8400" w:type="dxa"/>
            <w:vAlign w:val="bottom"/>
            <w:gridSpan w:val="3"/>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Consolidated statement of changes in equity</w:t>
            </w:r>
          </w:p>
        </w:tc>
        <w:tc>
          <w:tcPr>
            <w:tcW w:w="3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8400" w:type="dxa"/>
            <w:vAlign w:val="bottom"/>
            <w:gridSpan w:val="3"/>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Consolidated statement of cash flows</w:t>
            </w:r>
          </w:p>
        </w:tc>
        <w:tc>
          <w:tcPr>
            <w:tcW w:w="3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14 - 15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8400" w:type="dxa"/>
            <w:vAlign w:val="bottom"/>
            <w:gridSpan w:val="3"/>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Notes to the consolidated financial statements</w:t>
            </w:r>
          </w:p>
        </w:tc>
        <w:tc>
          <w:tcPr>
            <w:tcW w:w="3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16 - 150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340" w:type="dxa"/>
            <w:vAlign w:val="bottom"/>
            <w:gridSpan w:val="2"/>
          </w:tcPr>
          <w:p>
            <w:pPr>
              <w:spacing w:after="0"/>
              <w:rPr>
                <w:sz w:val="20"/>
                <w:szCs w:val="20"/>
                <w:color w:val="auto"/>
              </w:rPr>
            </w:pPr>
            <w:r>
              <w:rPr>
                <w:rFonts w:ascii="Arial" w:cs="Arial" w:eastAsia="Arial" w:hAnsi="Arial"/>
                <w:sz w:val="16"/>
                <w:szCs w:val="16"/>
                <w:color w:val="auto"/>
              </w:rPr>
              <w:t>S/</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40" w:type="dxa"/>
            <w:vAlign w:val="bottom"/>
          </w:tcPr>
          <w:p>
            <w:pPr>
              <w:ind w:left="100"/>
              <w:spacing w:after="0"/>
              <w:rPr>
                <w:sz w:val="20"/>
                <w:szCs w:val="20"/>
                <w:color w:val="auto"/>
              </w:rPr>
            </w:pPr>
            <w:r>
              <w:rPr>
                <w:rFonts w:ascii="Arial" w:cs="Arial" w:eastAsia="Arial" w:hAnsi="Arial"/>
                <w:sz w:val="16"/>
                <w:szCs w:val="16"/>
                <w:color w:val="auto"/>
              </w:rPr>
              <w:t>Peruvian Sol</w:t>
            </w: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40" w:type="dxa"/>
            <w:vAlign w:val="bottom"/>
            <w:gridSpan w:val="2"/>
          </w:tcPr>
          <w:p>
            <w:pPr>
              <w:spacing w:after="0"/>
              <w:rPr>
                <w:sz w:val="20"/>
                <w:szCs w:val="20"/>
                <w:color w:val="auto"/>
              </w:rPr>
            </w:pPr>
            <w:r>
              <w:rPr>
                <w:rFonts w:ascii="Arial" w:cs="Arial" w:eastAsia="Arial" w:hAnsi="Arial"/>
                <w:sz w:val="16"/>
                <w:szCs w:val="16"/>
                <w:color w:val="auto"/>
              </w:rPr>
              <w:t>US$</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40" w:type="dxa"/>
            <w:vAlign w:val="bottom"/>
          </w:tcPr>
          <w:p>
            <w:pPr>
              <w:ind w:left="100"/>
              <w:spacing w:after="0"/>
              <w:rPr>
                <w:sz w:val="20"/>
                <w:szCs w:val="20"/>
                <w:color w:val="auto"/>
              </w:rPr>
            </w:pPr>
            <w:r>
              <w:rPr>
                <w:rFonts w:ascii="Arial" w:cs="Arial" w:eastAsia="Arial" w:hAnsi="Arial"/>
                <w:sz w:val="16"/>
                <w:szCs w:val="16"/>
                <w:color w:val="auto"/>
              </w:rPr>
              <w:t>United States dollar</w:t>
            </w: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5"/>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4" w:right="2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779780</wp:posOffset>
            </wp:positionV>
            <wp:extent cx="1043940" cy="798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43940" cy="798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 free translation of the original in Spanish)</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REPORT OF THE INDEPENDENT AUDITORS</w:t>
      </w:r>
    </w:p>
    <w:p>
      <w:pPr>
        <w:spacing w:after="0" w:line="400" w:lineRule="exact"/>
        <w:rPr>
          <w:sz w:val="20"/>
          <w:szCs w:val="20"/>
          <w:color w:val="auto"/>
        </w:rPr>
      </w:pPr>
    </w:p>
    <w:p>
      <w:pPr>
        <w:ind w:left="3"/>
        <w:spacing w:after="0"/>
        <w:rPr>
          <w:sz w:val="20"/>
          <w:szCs w:val="20"/>
          <w:color w:val="auto"/>
        </w:rPr>
      </w:pPr>
      <w:r>
        <w:rPr>
          <w:rFonts w:ascii="Arial" w:cs="Arial" w:eastAsia="Arial" w:hAnsi="Arial"/>
          <w:sz w:val="16"/>
          <w:szCs w:val="16"/>
          <w:color w:val="auto"/>
        </w:rPr>
        <w:t>To The Shareholders</w:t>
      </w:r>
    </w:p>
    <w:p>
      <w:pPr>
        <w:spacing w:after="0" w:line="2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Credicorp Ltd.</w:t>
      </w:r>
    </w:p>
    <w:p>
      <w:pPr>
        <w:spacing w:after="0" w:line="38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Opinion on the audit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pacing w:after="0" w:line="19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Our opinion</w:t>
      </w:r>
    </w:p>
    <w:p>
      <w:pPr>
        <w:spacing w:after="0" w:line="203" w:lineRule="exact"/>
        <w:rPr>
          <w:sz w:val="20"/>
          <w:szCs w:val="20"/>
          <w:color w:val="auto"/>
        </w:rPr>
      </w:pPr>
    </w:p>
    <w:p>
      <w:pPr>
        <w:ind w:left="3" w:right="180"/>
        <w:spacing w:after="0" w:line="268" w:lineRule="auto"/>
        <w:rPr>
          <w:sz w:val="20"/>
          <w:szCs w:val="20"/>
          <w:color w:val="auto"/>
        </w:rPr>
      </w:pPr>
      <w:r>
        <w:rPr>
          <w:rFonts w:ascii="Arial" w:cs="Arial" w:eastAsia="Arial" w:hAnsi="Arial"/>
          <w:sz w:val="16"/>
          <w:szCs w:val="16"/>
          <w:color w:val="auto"/>
        </w:rPr>
        <w:t xml:space="preserve">In our opinion, the consolidated financial statements present fairly, in all material aspects the consolidated financial position of </w:t>
      </w:r>
      <w:r>
        <w:rPr>
          <w:rFonts w:ascii="Arial" w:cs="Arial" w:eastAsia="Arial" w:hAnsi="Arial"/>
          <w:sz w:val="16"/>
          <w:szCs w:val="16"/>
          <w:b w:val="1"/>
          <w:bCs w:val="1"/>
          <w:color w:val="auto"/>
        </w:rPr>
        <w:t>Credicorp Ltd. and its subsidiaries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Group) </w:t>
      </w:r>
      <w:r>
        <w:rPr>
          <w:rFonts w:ascii="Arial" w:cs="Arial" w:eastAsia="Arial" w:hAnsi="Arial"/>
          <w:sz w:val="16"/>
          <w:szCs w:val="16"/>
          <w:color w:val="auto"/>
        </w:rPr>
        <w:t>as at December 31, 2016, their consolidated financial performance and consolidated cash flows for the year then ended in accordance with the International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Reporting Standards (IFRS) issued by the International Accounting Standards Board (IASB).</w:t>
      </w:r>
    </w:p>
    <w:p>
      <w:pPr>
        <w:spacing w:after="0" w:line="16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What we have audited</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Group’s consolidated financial statements comprise:</w:t>
      </w:r>
    </w:p>
    <w:p>
      <w:pPr>
        <w:spacing w:after="0" w:line="203" w:lineRule="exact"/>
        <w:rPr>
          <w:sz w:val="20"/>
          <w:szCs w:val="20"/>
          <w:color w:val="auto"/>
        </w:rPr>
      </w:pPr>
    </w:p>
    <w:p>
      <w:pPr>
        <w:ind w:left="263" w:hanging="263"/>
        <w:spacing w:after="0"/>
        <w:tabs>
          <w:tab w:leader="none" w:pos="26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consolidated statement of financial position as at December 31, 2016;</w:t>
      </w:r>
    </w:p>
    <w:p>
      <w:pPr>
        <w:spacing w:after="0" w:line="202" w:lineRule="exact"/>
        <w:rPr>
          <w:rFonts w:ascii="Arial" w:cs="Arial" w:eastAsia="Arial" w:hAnsi="Arial"/>
          <w:sz w:val="16"/>
          <w:szCs w:val="16"/>
          <w:color w:val="auto"/>
        </w:rPr>
      </w:pPr>
    </w:p>
    <w:p>
      <w:pPr>
        <w:ind w:left="263" w:hanging="263"/>
        <w:spacing w:after="0"/>
        <w:tabs>
          <w:tab w:leader="none" w:pos="26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consolidated statement of income for the year then ended;</w:t>
      </w:r>
    </w:p>
    <w:p>
      <w:pPr>
        <w:spacing w:after="0" w:line="202" w:lineRule="exact"/>
        <w:rPr>
          <w:rFonts w:ascii="Arial" w:cs="Arial" w:eastAsia="Arial" w:hAnsi="Arial"/>
          <w:sz w:val="16"/>
          <w:szCs w:val="16"/>
          <w:color w:val="auto"/>
        </w:rPr>
      </w:pPr>
    </w:p>
    <w:p>
      <w:pPr>
        <w:ind w:left="263" w:hanging="263"/>
        <w:spacing w:after="0"/>
        <w:tabs>
          <w:tab w:leader="none" w:pos="26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consolidated statement of comprehensive income for the year then ended;</w:t>
      </w:r>
    </w:p>
    <w:p>
      <w:pPr>
        <w:spacing w:after="0" w:line="202" w:lineRule="exact"/>
        <w:rPr>
          <w:rFonts w:ascii="Arial" w:cs="Arial" w:eastAsia="Arial" w:hAnsi="Arial"/>
          <w:sz w:val="16"/>
          <w:szCs w:val="16"/>
          <w:color w:val="auto"/>
        </w:rPr>
      </w:pPr>
    </w:p>
    <w:p>
      <w:pPr>
        <w:ind w:left="263" w:hanging="263"/>
        <w:spacing w:after="0"/>
        <w:tabs>
          <w:tab w:leader="none" w:pos="26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consolidated statement of changes in equity for the year then ended;</w:t>
      </w:r>
    </w:p>
    <w:p>
      <w:pPr>
        <w:spacing w:after="0" w:line="202" w:lineRule="exact"/>
        <w:rPr>
          <w:rFonts w:ascii="Arial" w:cs="Arial" w:eastAsia="Arial" w:hAnsi="Arial"/>
          <w:sz w:val="16"/>
          <w:szCs w:val="16"/>
          <w:color w:val="auto"/>
        </w:rPr>
      </w:pPr>
    </w:p>
    <w:p>
      <w:pPr>
        <w:ind w:left="263" w:hanging="263"/>
        <w:spacing w:after="0"/>
        <w:tabs>
          <w:tab w:leader="none" w:pos="26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consolidated statement of cash flows for the year then ended; and</w:t>
      </w:r>
    </w:p>
    <w:p>
      <w:pPr>
        <w:spacing w:after="0" w:line="202" w:lineRule="exact"/>
        <w:rPr>
          <w:rFonts w:ascii="Arial" w:cs="Arial" w:eastAsia="Arial" w:hAnsi="Arial"/>
          <w:sz w:val="16"/>
          <w:szCs w:val="16"/>
          <w:color w:val="auto"/>
        </w:rPr>
      </w:pPr>
    </w:p>
    <w:p>
      <w:pPr>
        <w:ind w:left="263" w:hanging="263"/>
        <w:spacing w:after="0"/>
        <w:tabs>
          <w:tab w:leader="none" w:pos="26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notes to the consolidated financial statements, which include a summary of the significant accounting policies.</w:t>
      </w:r>
    </w:p>
    <w:p>
      <w:pPr>
        <w:spacing w:after="0" w:line="19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Basis for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612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pacing w:after="0" w:line="187" w:lineRule="exact"/>
        <w:rPr>
          <w:sz w:val="20"/>
          <w:szCs w:val="20"/>
          <w:color w:val="auto"/>
        </w:rPr>
      </w:pPr>
    </w:p>
    <w:p>
      <w:pPr>
        <w:ind w:left="3" w:right="780"/>
        <w:spacing w:after="0" w:line="280" w:lineRule="auto"/>
        <w:rPr>
          <w:sz w:val="20"/>
          <w:szCs w:val="20"/>
          <w:color w:val="auto"/>
        </w:rPr>
      </w:pPr>
      <w:r>
        <w:rPr>
          <w:rFonts w:ascii="Arial" w:cs="Arial" w:eastAsia="Arial" w:hAnsi="Arial"/>
          <w:sz w:val="16"/>
          <w:szCs w:val="16"/>
          <w:color w:val="auto"/>
        </w:rPr>
        <w:t xml:space="preserve">We conducted our audit in accordance with International Auditing Standards (ISAs). Our responsibilities under those standards are further described in the </w:t>
      </w:r>
      <w:r>
        <w:rPr>
          <w:rFonts w:ascii="Arial" w:cs="Arial" w:eastAsia="Arial" w:hAnsi="Arial"/>
          <w:sz w:val="16"/>
          <w:szCs w:val="16"/>
          <w:i w:val="1"/>
          <w:iCs w:val="1"/>
          <w:color w:val="auto"/>
        </w:rPr>
        <w:t>Auditor’s</w:t>
      </w:r>
      <w:r>
        <w:rPr>
          <w:rFonts w:ascii="Arial" w:cs="Arial" w:eastAsia="Arial" w:hAnsi="Arial"/>
          <w:sz w:val="16"/>
          <w:szCs w:val="16"/>
          <w:color w:val="auto"/>
        </w:rPr>
        <w:t xml:space="preserve"> </w:t>
      </w:r>
      <w:r>
        <w:rPr>
          <w:rFonts w:ascii="Arial" w:cs="Arial" w:eastAsia="Arial" w:hAnsi="Arial"/>
          <w:sz w:val="16"/>
          <w:szCs w:val="16"/>
          <w:i w:val="1"/>
          <w:iCs w:val="1"/>
          <w:color w:val="auto"/>
        </w:rPr>
        <w:t>responsibilities for the audit of the consolidated financial statements section of our report.</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believe that the audit evidence we have obtained is sufficient and appropriate to provide a basis for our opinion.</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Independence</w:t>
      </w:r>
    </w:p>
    <w:p>
      <w:pPr>
        <w:spacing w:after="0" w:line="203"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 xml:space="preserve">We are independent of the Group in accordance with the </w:t>
      </w:r>
      <w:r>
        <w:rPr>
          <w:rFonts w:ascii="Arial" w:cs="Arial" w:eastAsia="Arial" w:hAnsi="Arial"/>
          <w:sz w:val="16"/>
          <w:szCs w:val="16"/>
          <w:i w:val="1"/>
          <w:iCs w:val="1"/>
          <w:color w:val="auto"/>
        </w:rPr>
        <w:t>International Ethics Standards Board for Accountants’ Code of Ethics for Professional Accountants</w:t>
      </w:r>
      <w:r>
        <w:rPr>
          <w:rFonts w:ascii="Arial" w:cs="Arial" w:eastAsia="Arial" w:hAnsi="Arial"/>
          <w:sz w:val="16"/>
          <w:szCs w:val="16"/>
          <w:color w:val="auto"/>
        </w:rPr>
        <w:t xml:space="preserve"> (IESBA code) and the ethical requirements of the </w:t>
      </w:r>
      <w:r>
        <w:rPr>
          <w:rFonts w:ascii="Arial" w:cs="Arial" w:eastAsia="Arial" w:hAnsi="Arial"/>
          <w:sz w:val="16"/>
          <w:szCs w:val="16"/>
          <w:i w:val="1"/>
          <w:iCs w:val="1"/>
          <w:color w:val="auto"/>
        </w:rPr>
        <w:t>Code of Professional Ethics</w:t>
      </w:r>
      <w:r>
        <w:rPr>
          <w:rFonts w:ascii="Arial" w:cs="Arial" w:eastAsia="Arial" w:hAnsi="Arial"/>
          <w:sz w:val="16"/>
          <w:szCs w:val="16"/>
          <w:color w:val="auto"/>
        </w:rPr>
        <w:t xml:space="preserve"> issued by the Board of Deans of the Institutes of Peruvian Certified Public Accountants, which are relevant for our audit of the consolidated financial statements. We have fulfilled our other ethical responsibilities in accordance with the IESBA code and the ethical requirements of the </w:t>
      </w:r>
      <w:r>
        <w:rPr>
          <w:rFonts w:ascii="Arial" w:cs="Arial" w:eastAsia="Arial" w:hAnsi="Arial"/>
          <w:sz w:val="16"/>
          <w:szCs w:val="16"/>
          <w:i w:val="1"/>
          <w:iCs w:val="1"/>
          <w:color w:val="auto"/>
        </w:rPr>
        <w:t>Code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Professional Ethics </w:t>
      </w:r>
      <w:r>
        <w:rPr>
          <w:rFonts w:ascii="Arial" w:cs="Arial" w:eastAsia="Arial" w:hAnsi="Arial"/>
          <w:sz w:val="16"/>
          <w:szCs w:val="16"/>
          <w:color w:val="auto"/>
        </w:rPr>
        <w:t>issued by the Board of Deans of the Institutes of Peruvian Certified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2612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83"/>
          </w:cols>
          <w:pgMar w:left="237" w:top="1440" w:right="27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Our audit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-105410</wp:posOffset>
            </wp:positionV>
            <wp:extent cx="72612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ED7D31"/>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1816735</wp:posOffset>
            </wp:positionH>
            <wp:positionV relativeFrom="paragraph">
              <wp:posOffset>136525</wp:posOffset>
            </wp:positionV>
            <wp:extent cx="54419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41950" cy="7620"/>
                    </a:xfrm>
                    <a:prstGeom prst="rect">
                      <a:avLst/>
                    </a:prstGeom>
                    <a:noFill/>
                  </pic:spPr>
                </pic:pic>
              </a:graphicData>
            </a:graphic>
          </wp:anchor>
        </w:drawing>
      </w:r>
    </w:p>
    <w:p>
      <w:pPr>
        <w:spacing w:after="0" w:line="388" w:lineRule="exact"/>
        <w:rPr>
          <w:sz w:val="20"/>
          <w:szCs w:val="20"/>
          <w:color w:val="auto"/>
        </w:rPr>
      </w:pPr>
    </w:p>
    <w:p>
      <w:pPr>
        <w:ind w:left="2860" w:right="40"/>
        <w:spacing w:after="0" w:line="292" w:lineRule="auto"/>
        <w:rPr>
          <w:sz w:val="20"/>
          <w:szCs w:val="20"/>
          <w:color w:val="auto"/>
        </w:rPr>
      </w:pPr>
      <w:r>
        <w:rPr>
          <w:rFonts w:ascii="Arial" w:cs="Arial" w:eastAsia="Arial" w:hAnsi="Arial"/>
          <w:sz w:val="15"/>
          <w:szCs w:val="15"/>
          <w:color w:val="auto"/>
        </w:rPr>
        <w:t>An audit is designed to obtain reasonable assurance about whether the consolidated financial statements are free from material misstatement. Errors may arise due to error or fraud. These are considered material if, individually or in total, they could reasonably influence the economic decisions that users make based on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1816735</wp:posOffset>
            </wp:positionH>
            <wp:positionV relativeFrom="paragraph">
              <wp:posOffset>99695</wp:posOffset>
            </wp:positionV>
            <wp:extent cx="76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1832610</wp:posOffset>
            </wp:positionH>
            <wp:positionV relativeFrom="paragraph">
              <wp:posOffset>99695</wp:posOffset>
            </wp:positionV>
            <wp:extent cx="76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99695</wp:posOffset>
            </wp:positionV>
            <wp:extent cx="76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99695</wp:posOffset>
            </wp:positionV>
            <wp:extent cx="76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1878330</wp:posOffset>
            </wp:positionH>
            <wp:positionV relativeFrom="paragraph">
              <wp:posOffset>99695</wp:posOffset>
            </wp:positionV>
            <wp:extent cx="76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1893570</wp:posOffset>
            </wp:positionH>
            <wp:positionV relativeFrom="paragraph">
              <wp:posOffset>99695</wp:posOffset>
            </wp:positionV>
            <wp:extent cx="762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99695</wp:posOffset>
            </wp:positionV>
            <wp:extent cx="762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99695</wp:posOffset>
            </wp:positionV>
            <wp:extent cx="76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99695</wp:posOffset>
            </wp:positionV>
            <wp:extent cx="762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99695</wp:posOffset>
            </wp:positionV>
            <wp:extent cx="762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99695</wp:posOffset>
            </wp:positionV>
            <wp:extent cx="762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99695</wp:posOffset>
            </wp:positionV>
            <wp:extent cx="762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99695</wp:posOffset>
            </wp:positionV>
            <wp:extent cx="762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2016760</wp:posOffset>
            </wp:positionH>
            <wp:positionV relativeFrom="paragraph">
              <wp:posOffset>99695</wp:posOffset>
            </wp:positionV>
            <wp:extent cx="762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2032000</wp:posOffset>
            </wp:positionH>
            <wp:positionV relativeFrom="paragraph">
              <wp:posOffset>99695</wp:posOffset>
            </wp:positionV>
            <wp:extent cx="762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2047240</wp:posOffset>
            </wp:positionH>
            <wp:positionV relativeFrom="paragraph">
              <wp:posOffset>99695</wp:posOffset>
            </wp:positionV>
            <wp:extent cx="762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99695</wp:posOffset>
            </wp:positionV>
            <wp:extent cx="762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2077720</wp:posOffset>
            </wp:positionH>
            <wp:positionV relativeFrom="paragraph">
              <wp:posOffset>99695</wp:posOffset>
            </wp:positionV>
            <wp:extent cx="762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2093595</wp:posOffset>
            </wp:positionH>
            <wp:positionV relativeFrom="paragraph">
              <wp:posOffset>99695</wp:posOffset>
            </wp:positionV>
            <wp:extent cx="762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99695</wp:posOffset>
            </wp:positionV>
            <wp:extent cx="762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99695</wp:posOffset>
            </wp:positionV>
            <wp:extent cx="762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99695</wp:posOffset>
            </wp:positionV>
            <wp:extent cx="762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99695</wp:posOffset>
            </wp:positionV>
            <wp:extent cx="762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99695</wp:posOffset>
            </wp:positionV>
            <wp:extent cx="762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2185670</wp:posOffset>
            </wp:positionH>
            <wp:positionV relativeFrom="paragraph">
              <wp:posOffset>99695</wp:posOffset>
            </wp:positionV>
            <wp:extent cx="762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99695</wp:posOffset>
            </wp:positionV>
            <wp:extent cx="762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99695</wp:posOffset>
            </wp:positionV>
            <wp:extent cx="762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99695</wp:posOffset>
            </wp:positionV>
            <wp:extent cx="762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99695</wp:posOffset>
            </wp:positionV>
            <wp:extent cx="762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99695</wp:posOffset>
            </wp:positionV>
            <wp:extent cx="762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99695</wp:posOffset>
            </wp:positionV>
            <wp:extent cx="762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99695</wp:posOffset>
            </wp:positionV>
            <wp:extent cx="762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2308225</wp:posOffset>
            </wp:positionH>
            <wp:positionV relativeFrom="paragraph">
              <wp:posOffset>99695</wp:posOffset>
            </wp:positionV>
            <wp:extent cx="762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99695</wp:posOffset>
            </wp:positionV>
            <wp:extent cx="762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99695</wp:posOffset>
            </wp:positionV>
            <wp:extent cx="762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99695</wp:posOffset>
            </wp:positionV>
            <wp:extent cx="762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99695</wp:posOffset>
            </wp:positionV>
            <wp:extent cx="762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2385060</wp:posOffset>
            </wp:positionH>
            <wp:positionV relativeFrom="paragraph">
              <wp:posOffset>99695</wp:posOffset>
            </wp:positionV>
            <wp:extent cx="762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99695</wp:posOffset>
            </wp:positionV>
            <wp:extent cx="762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99695</wp:posOffset>
            </wp:positionV>
            <wp:extent cx="762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99695</wp:posOffset>
            </wp:positionV>
            <wp:extent cx="762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99695</wp:posOffset>
            </wp:positionV>
            <wp:extent cx="762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2461895</wp:posOffset>
            </wp:positionH>
            <wp:positionV relativeFrom="paragraph">
              <wp:posOffset>99695</wp:posOffset>
            </wp:positionV>
            <wp:extent cx="762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2477135</wp:posOffset>
            </wp:positionH>
            <wp:positionV relativeFrom="paragraph">
              <wp:posOffset>99695</wp:posOffset>
            </wp:positionV>
            <wp:extent cx="762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99695</wp:posOffset>
            </wp:positionV>
            <wp:extent cx="762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99695</wp:posOffset>
            </wp:positionV>
            <wp:extent cx="762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99695</wp:posOffset>
            </wp:positionV>
            <wp:extent cx="762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99695</wp:posOffset>
            </wp:positionV>
            <wp:extent cx="762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99695</wp:posOffset>
            </wp:positionV>
            <wp:extent cx="762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99695</wp:posOffset>
            </wp:positionV>
            <wp:extent cx="762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99695</wp:posOffset>
            </wp:positionV>
            <wp:extent cx="762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99695</wp:posOffset>
            </wp:positionV>
            <wp:extent cx="762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2614930</wp:posOffset>
            </wp:positionH>
            <wp:positionV relativeFrom="paragraph">
              <wp:posOffset>99695</wp:posOffset>
            </wp:positionV>
            <wp:extent cx="762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2630805</wp:posOffset>
            </wp:positionH>
            <wp:positionV relativeFrom="paragraph">
              <wp:posOffset>99695</wp:posOffset>
            </wp:positionV>
            <wp:extent cx="762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2646045</wp:posOffset>
            </wp:positionH>
            <wp:positionV relativeFrom="paragraph">
              <wp:posOffset>99695</wp:posOffset>
            </wp:positionV>
            <wp:extent cx="762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99695</wp:posOffset>
            </wp:positionV>
            <wp:extent cx="762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99695</wp:posOffset>
            </wp:positionV>
            <wp:extent cx="762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99695</wp:posOffset>
            </wp:positionV>
            <wp:extent cx="762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2707640</wp:posOffset>
            </wp:positionH>
            <wp:positionV relativeFrom="paragraph">
              <wp:posOffset>99695</wp:posOffset>
            </wp:positionV>
            <wp:extent cx="762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99695</wp:posOffset>
            </wp:positionV>
            <wp:extent cx="762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99695</wp:posOffset>
            </wp:positionV>
            <wp:extent cx="762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99695</wp:posOffset>
            </wp:positionV>
            <wp:extent cx="762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2768600</wp:posOffset>
            </wp:positionH>
            <wp:positionV relativeFrom="paragraph">
              <wp:posOffset>99695</wp:posOffset>
            </wp:positionV>
            <wp:extent cx="762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99695</wp:posOffset>
            </wp:positionV>
            <wp:extent cx="762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99695</wp:posOffset>
            </wp:positionV>
            <wp:extent cx="762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2814955</wp:posOffset>
            </wp:positionH>
            <wp:positionV relativeFrom="paragraph">
              <wp:posOffset>99695</wp:posOffset>
            </wp:positionV>
            <wp:extent cx="762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2830195</wp:posOffset>
            </wp:positionH>
            <wp:positionV relativeFrom="paragraph">
              <wp:posOffset>99695</wp:posOffset>
            </wp:positionV>
            <wp:extent cx="762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2845435</wp:posOffset>
            </wp:positionH>
            <wp:positionV relativeFrom="paragraph">
              <wp:posOffset>99695</wp:posOffset>
            </wp:positionV>
            <wp:extent cx="762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99695</wp:posOffset>
            </wp:positionV>
            <wp:extent cx="762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99695</wp:posOffset>
            </wp:positionV>
            <wp:extent cx="762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99695</wp:posOffset>
            </wp:positionV>
            <wp:extent cx="762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99695</wp:posOffset>
            </wp:positionV>
            <wp:extent cx="762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99695</wp:posOffset>
            </wp:positionV>
            <wp:extent cx="762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99695</wp:posOffset>
            </wp:positionV>
            <wp:extent cx="762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2952750</wp:posOffset>
            </wp:positionH>
            <wp:positionV relativeFrom="paragraph">
              <wp:posOffset>99695</wp:posOffset>
            </wp:positionV>
            <wp:extent cx="762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99695</wp:posOffset>
            </wp:positionV>
            <wp:extent cx="762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99695</wp:posOffset>
            </wp:positionV>
            <wp:extent cx="762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2999105</wp:posOffset>
            </wp:positionH>
            <wp:positionV relativeFrom="paragraph">
              <wp:posOffset>99695</wp:posOffset>
            </wp:positionV>
            <wp:extent cx="762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99695</wp:posOffset>
            </wp:positionV>
            <wp:extent cx="762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99695</wp:posOffset>
            </wp:positionV>
            <wp:extent cx="762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99695</wp:posOffset>
            </wp:positionV>
            <wp:extent cx="762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99695</wp:posOffset>
            </wp:positionV>
            <wp:extent cx="762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99695</wp:posOffset>
            </wp:positionV>
            <wp:extent cx="762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99695</wp:posOffset>
            </wp:positionV>
            <wp:extent cx="762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99695</wp:posOffset>
            </wp:positionV>
            <wp:extent cx="762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3121660</wp:posOffset>
            </wp:positionH>
            <wp:positionV relativeFrom="paragraph">
              <wp:posOffset>99695</wp:posOffset>
            </wp:positionV>
            <wp:extent cx="762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3136900</wp:posOffset>
            </wp:positionH>
            <wp:positionV relativeFrom="paragraph">
              <wp:posOffset>99695</wp:posOffset>
            </wp:positionV>
            <wp:extent cx="762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99695</wp:posOffset>
            </wp:positionV>
            <wp:extent cx="762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99695</wp:posOffset>
            </wp:positionV>
            <wp:extent cx="762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99695</wp:posOffset>
            </wp:positionV>
            <wp:extent cx="762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99695</wp:posOffset>
            </wp:positionV>
            <wp:extent cx="762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99695</wp:posOffset>
            </wp:positionV>
            <wp:extent cx="762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3228975</wp:posOffset>
            </wp:positionH>
            <wp:positionV relativeFrom="paragraph">
              <wp:posOffset>99695</wp:posOffset>
            </wp:positionV>
            <wp:extent cx="762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99695</wp:posOffset>
            </wp:positionV>
            <wp:extent cx="762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99695</wp:posOffset>
            </wp:positionV>
            <wp:extent cx="762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99695</wp:posOffset>
            </wp:positionV>
            <wp:extent cx="762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99695</wp:posOffset>
            </wp:positionV>
            <wp:extent cx="762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99695</wp:posOffset>
            </wp:positionV>
            <wp:extent cx="762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99695</wp:posOffset>
            </wp:positionV>
            <wp:extent cx="762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99695</wp:posOffset>
            </wp:positionV>
            <wp:extent cx="762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99695</wp:posOffset>
            </wp:positionV>
            <wp:extent cx="762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99695</wp:posOffset>
            </wp:positionV>
            <wp:extent cx="762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99695</wp:posOffset>
            </wp:positionV>
            <wp:extent cx="762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99695</wp:posOffset>
            </wp:positionV>
            <wp:extent cx="762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3413760</wp:posOffset>
            </wp:positionH>
            <wp:positionV relativeFrom="paragraph">
              <wp:posOffset>99695</wp:posOffset>
            </wp:positionV>
            <wp:extent cx="762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99695</wp:posOffset>
            </wp:positionV>
            <wp:extent cx="762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99695</wp:posOffset>
            </wp:positionV>
            <wp:extent cx="762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99695</wp:posOffset>
            </wp:positionV>
            <wp:extent cx="762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99695</wp:posOffset>
            </wp:positionV>
            <wp:extent cx="762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99695</wp:posOffset>
            </wp:positionV>
            <wp:extent cx="762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99695</wp:posOffset>
            </wp:positionV>
            <wp:extent cx="762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99695</wp:posOffset>
            </wp:positionV>
            <wp:extent cx="762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99695</wp:posOffset>
            </wp:positionV>
            <wp:extent cx="762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99695</wp:posOffset>
            </wp:positionV>
            <wp:extent cx="762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99695</wp:posOffset>
            </wp:positionV>
            <wp:extent cx="762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3582035</wp:posOffset>
            </wp:positionH>
            <wp:positionV relativeFrom="paragraph">
              <wp:posOffset>99695</wp:posOffset>
            </wp:positionV>
            <wp:extent cx="762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99695</wp:posOffset>
            </wp:positionV>
            <wp:extent cx="762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99695</wp:posOffset>
            </wp:positionV>
            <wp:extent cx="762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99695</wp:posOffset>
            </wp:positionV>
            <wp:extent cx="762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3643630</wp:posOffset>
            </wp:positionH>
            <wp:positionV relativeFrom="paragraph">
              <wp:posOffset>99695</wp:posOffset>
            </wp:positionV>
            <wp:extent cx="762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3658870</wp:posOffset>
            </wp:positionH>
            <wp:positionV relativeFrom="paragraph">
              <wp:posOffset>99695</wp:posOffset>
            </wp:positionV>
            <wp:extent cx="762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99695</wp:posOffset>
            </wp:positionV>
            <wp:extent cx="762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99695</wp:posOffset>
            </wp:positionV>
            <wp:extent cx="762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99695</wp:posOffset>
            </wp:positionV>
            <wp:extent cx="762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3720465</wp:posOffset>
            </wp:positionH>
            <wp:positionV relativeFrom="paragraph">
              <wp:posOffset>99695</wp:posOffset>
            </wp:positionV>
            <wp:extent cx="762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99695</wp:posOffset>
            </wp:positionV>
            <wp:extent cx="762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99695</wp:posOffset>
            </wp:positionV>
            <wp:extent cx="762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99695</wp:posOffset>
            </wp:positionV>
            <wp:extent cx="762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3782060</wp:posOffset>
            </wp:positionH>
            <wp:positionV relativeFrom="paragraph">
              <wp:posOffset>99695</wp:posOffset>
            </wp:positionV>
            <wp:extent cx="762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99695</wp:posOffset>
            </wp:positionV>
            <wp:extent cx="762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99695</wp:posOffset>
            </wp:positionV>
            <wp:extent cx="762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99695</wp:posOffset>
            </wp:positionV>
            <wp:extent cx="762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99695</wp:posOffset>
            </wp:positionV>
            <wp:extent cx="762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3858895</wp:posOffset>
            </wp:positionH>
            <wp:positionV relativeFrom="paragraph">
              <wp:posOffset>99695</wp:posOffset>
            </wp:positionV>
            <wp:extent cx="762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3874135</wp:posOffset>
            </wp:positionH>
            <wp:positionV relativeFrom="paragraph">
              <wp:posOffset>99695</wp:posOffset>
            </wp:positionV>
            <wp:extent cx="762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99695</wp:posOffset>
            </wp:positionV>
            <wp:extent cx="762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3904615</wp:posOffset>
            </wp:positionH>
            <wp:positionV relativeFrom="paragraph">
              <wp:posOffset>99695</wp:posOffset>
            </wp:positionV>
            <wp:extent cx="762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99695</wp:posOffset>
            </wp:positionV>
            <wp:extent cx="762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99695</wp:posOffset>
            </wp:positionV>
            <wp:extent cx="762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99695</wp:posOffset>
            </wp:positionV>
            <wp:extent cx="762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99695</wp:posOffset>
            </wp:positionV>
            <wp:extent cx="762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99695</wp:posOffset>
            </wp:positionV>
            <wp:extent cx="762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99695</wp:posOffset>
            </wp:positionV>
            <wp:extent cx="762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99695</wp:posOffset>
            </wp:positionV>
            <wp:extent cx="762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4027805</wp:posOffset>
            </wp:positionH>
            <wp:positionV relativeFrom="paragraph">
              <wp:posOffset>99695</wp:posOffset>
            </wp:positionV>
            <wp:extent cx="762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99695</wp:posOffset>
            </wp:positionV>
            <wp:extent cx="762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99695</wp:posOffset>
            </wp:positionV>
            <wp:extent cx="762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99695</wp:posOffset>
            </wp:positionV>
            <wp:extent cx="762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99695</wp:posOffset>
            </wp:positionV>
            <wp:extent cx="762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99695</wp:posOffset>
            </wp:positionV>
            <wp:extent cx="762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99695</wp:posOffset>
            </wp:positionV>
            <wp:extent cx="762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4135120</wp:posOffset>
            </wp:positionH>
            <wp:positionV relativeFrom="paragraph">
              <wp:posOffset>99695</wp:posOffset>
            </wp:positionV>
            <wp:extent cx="762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99695</wp:posOffset>
            </wp:positionV>
            <wp:extent cx="762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4165600</wp:posOffset>
            </wp:positionH>
            <wp:positionV relativeFrom="paragraph">
              <wp:posOffset>99695</wp:posOffset>
            </wp:positionV>
            <wp:extent cx="762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99695</wp:posOffset>
            </wp:positionV>
            <wp:extent cx="762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4196080</wp:posOffset>
            </wp:positionH>
            <wp:positionV relativeFrom="paragraph">
              <wp:posOffset>99695</wp:posOffset>
            </wp:positionV>
            <wp:extent cx="762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99695</wp:posOffset>
            </wp:positionV>
            <wp:extent cx="762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99695</wp:posOffset>
            </wp:positionV>
            <wp:extent cx="762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99695</wp:posOffset>
            </wp:positionV>
            <wp:extent cx="762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4257675</wp:posOffset>
            </wp:positionH>
            <wp:positionV relativeFrom="paragraph">
              <wp:posOffset>99695</wp:posOffset>
            </wp:positionV>
            <wp:extent cx="762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4272915</wp:posOffset>
            </wp:positionH>
            <wp:positionV relativeFrom="paragraph">
              <wp:posOffset>99695</wp:posOffset>
            </wp:positionV>
            <wp:extent cx="762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99695</wp:posOffset>
            </wp:positionV>
            <wp:extent cx="762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4304030</wp:posOffset>
            </wp:positionH>
            <wp:positionV relativeFrom="paragraph">
              <wp:posOffset>99695</wp:posOffset>
            </wp:positionV>
            <wp:extent cx="762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99695</wp:posOffset>
            </wp:positionV>
            <wp:extent cx="762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99695</wp:posOffset>
            </wp:positionV>
            <wp:extent cx="762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99695</wp:posOffset>
            </wp:positionV>
            <wp:extent cx="762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99695</wp:posOffset>
            </wp:positionV>
            <wp:extent cx="762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99695</wp:posOffset>
            </wp:positionV>
            <wp:extent cx="762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99695</wp:posOffset>
            </wp:positionV>
            <wp:extent cx="762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99695</wp:posOffset>
            </wp:positionV>
            <wp:extent cx="762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99695</wp:posOffset>
            </wp:positionV>
            <wp:extent cx="762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99695</wp:posOffset>
            </wp:positionV>
            <wp:extent cx="762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4457065</wp:posOffset>
            </wp:positionH>
            <wp:positionV relativeFrom="paragraph">
              <wp:posOffset>99695</wp:posOffset>
            </wp:positionV>
            <wp:extent cx="762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99695</wp:posOffset>
            </wp:positionV>
            <wp:extent cx="762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99695</wp:posOffset>
            </wp:positionV>
            <wp:extent cx="762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99695</wp:posOffset>
            </wp:positionV>
            <wp:extent cx="762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4518660</wp:posOffset>
            </wp:positionH>
            <wp:positionV relativeFrom="paragraph">
              <wp:posOffset>99695</wp:posOffset>
            </wp:positionV>
            <wp:extent cx="762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4533900</wp:posOffset>
            </wp:positionH>
            <wp:positionV relativeFrom="paragraph">
              <wp:posOffset>99695</wp:posOffset>
            </wp:positionV>
            <wp:extent cx="762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4549140</wp:posOffset>
            </wp:positionH>
            <wp:positionV relativeFrom="paragraph">
              <wp:posOffset>99695</wp:posOffset>
            </wp:positionV>
            <wp:extent cx="762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99695</wp:posOffset>
            </wp:positionV>
            <wp:extent cx="762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99695</wp:posOffset>
            </wp:positionV>
            <wp:extent cx="762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99695</wp:posOffset>
            </wp:positionV>
            <wp:extent cx="762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4610735</wp:posOffset>
            </wp:positionH>
            <wp:positionV relativeFrom="paragraph">
              <wp:posOffset>99695</wp:posOffset>
            </wp:positionV>
            <wp:extent cx="762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99695</wp:posOffset>
            </wp:positionV>
            <wp:extent cx="762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4641850</wp:posOffset>
            </wp:positionH>
            <wp:positionV relativeFrom="paragraph">
              <wp:posOffset>99695</wp:posOffset>
            </wp:positionV>
            <wp:extent cx="762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4657090</wp:posOffset>
            </wp:positionH>
            <wp:positionV relativeFrom="paragraph">
              <wp:posOffset>99695</wp:posOffset>
            </wp:positionV>
            <wp:extent cx="762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4672330</wp:posOffset>
            </wp:positionH>
            <wp:positionV relativeFrom="paragraph">
              <wp:posOffset>99695</wp:posOffset>
            </wp:positionV>
            <wp:extent cx="762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99695</wp:posOffset>
            </wp:positionV>
            <wp:extent cx="762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99695</wp:posOffset>
            </wp:positionV>
            <wp:extent cx="762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4718050</wp:posOffset>
            </wp:positionH>
            <wp:positionV relativeFrom="paragraph">
              <wp:posOffset>99695</wp:posOffset>
            </wp:positionV>
            <wp:extent cx="762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4733925</wp:posOffset>
            </wp:positionH>
            <wp:positionV relativeFrom="paragraph">
              <wp:posOffset>99695</wp:posOffset>
            </wp:positionV>
            <wp:extent cx="762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99695</wp:posOffset>
            </wp:positionV>
            <wp:extent cx="762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99695</wp:posOffset>
            </wp:positionV>
            <wp:extent cx="762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99695</wp:posOffset>
            </wp:positionV>
            <wp:extent cx="762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99695</wp:posOffset>
            </wp:positionV>
            <wp:extent cx="762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99695</wp:posOffset>
            </wp:positionV>
            <wp:extent cx="762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4826000</wp:posOffset>
            </wp:positionH>
            <wp:positionV relativeFrom="paragraph">
              <wp:posOffset>99695</wp:posOffset>
            </wp:positionV>
            <wp:extent cx="762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99695</wp:posOffset>
            </wp:positionV>
            <wp:extent cx="762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99695</wp:posOffset>
            </wp:positionV>
            <wp:extent cx="762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99695</wp:posOffset>
            </wp:positionV>
            <wp:extent cx="762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99695</wp:posOffset>
            </wp:positionV>
            <wp:extent cx="762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99695</wp:posOffset>
            </wp:positionV>
            <wp:extent cx="762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99695</wp:posOffset>
            </wp:positionV>
            <wp:extent cx="762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4933315</wp:posOffset>
            </wp:positionH>
            <wp:positionV relativeFrom="paragraph">
              <wp:posOffset>99695</wp:posOffset>
            </wp:positionV>
            <wp:extent cx="762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4948555</wp:posOffset>
            </wp:positionH>
            <wp:positionV relativeFrom="paragraph">
              <wp:posOffset>99695</wp:posOffset>
            </wp:positionV>
            <wp:extent cx="762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4963795</wp:posOffset>
            </wp:positionH>
            <wp:positionV relativeFrom="paragraph">
              <wp:posOffset>99695</wp:posOffset>
            </wp:positionV>
            <wp:extent cx="762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99695</wp:posOffset>
            </wp:positionV>
            <wp:extent cx="762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99695</wp:posOffset>
            </wp:positionV>
            <wp:extent cx="762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5010150</wp:posOffset>
            </wp:positionH>
            <wp:positionV relativeFrom="paragraph">
              <wp:posOffset>99695</wp:posOffset>
            </wp:positionV>
            <wp:extent cx="762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99695</wp:posOffset>
            </wp:positionV>
            <wp:extent cx="762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99695</wp:posOffset>
            </wp:positionV>
            <wp:extent cx="762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99695</wp:posOffset>
            </wp:positionV>
            <wp:extent cx="762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99695</wp:posOffset>
            </wp:positionV>
            <wp:extent cx="762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99695</wp:posOffset>
            </wp:positionV>
            <wp:extent cx="762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99695</wp:posOffset>
            </wp:positionV>
            <wp:extent cx="762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99695</wp:posOffset>
            </wp:positionV>
            <wp:extent cx="762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5132705</wp:posOffset>
            </wp:positionH>
            <wp:positionV relativeFrom="paragraph">
              <wp:posOffset>99695</wp:posOffset>
            </wp:positionV>
            <wp:extent cx="762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99695</wp:posOffset>
            </wp:positionV>
            <wp:extent cx="762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99695</wp:posOffset>
            </wp:positionV>
            <wp:extent cx="762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99695</wp:posOffset>
            </wp:positionV>
            <wp:extent cx="762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5194300</wp:posOffset>
            </wp:positionH>
            <wp:positionV relativeFrom="paragraph">
              <wp:posOffset>99695</wp:posOffset>
            </wp:positionV>
            <wp:extent cx="762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99695</wp:posOffset>
            </wp:positionV>
            <wp:extent cx="762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5224780</wp:posOffset>
            </wp:positionH>
            <wp:positionV relativeFrom="paragraph">
              <wp:posOffset>99695</wp:posOffset>
            </wp:positionV>
            <wp:extent cx="762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99695</wp:posOffset>
            </wp:positionV>
            <wp:extent cx="762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5255895</wp:posOffset>
            </wp:positionH>
            <wp:positionV relativeFrom="paragraph">
              <wp:posOffset>99695</wp:posOffset>
            </wp:positionV>
            <wp:extent cx="762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99695</wp:posOffset>
            </wp:positionV>
            <wp:extent cx="762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99695</wp:posOffset>
            </wp:positionV>
            <wp:extent cx="762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5301615</wp:posOffset>
            </wp:positionH>
            <wp:positionV relativeFrom="paragraph">
              <wp:posOffset>99695</wp:posOffset>
            </wp:positionV>
            <wp:extent cx="762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5316855</wp:posOffset>
            </wp:positionH>
            <wp:positionV relativeFrom="paragraph">
              <wp:posOffset>99695</wp:posOffset>
            </wp:positionV>
            <wp:extent cx="762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5332095</wp:posOffset>
            </wp:positionH>
            <wp:positionV relativeFrom="paragraph">
              <wp:posOffset>99695</wp:posOffset>
            </wp:positionV>
            <wp:extent cx="762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99695</wp:posOffset>
            </wp:positionV>
            <wp:extent cx="762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99695</wp:posOffset>
            </wp:positionV>
            <wp:extent cx="762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99695</wp:posOffset>
            </wp:positionV>
            <wp:extent cx="762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5393690</wp:posOffset>
            </wp:positionH>
            <wp:positionV relativeFrom="paragraph">
              <wp:posOffset>99695</wp:posOffset>
            </wp:positionV>
            <wp:extent cx="762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5408930</wp:posOffset>
            </wp:positionH>
            <wp:positionV relativeFrom="paragraph">
              <wp:posOffset>99695</wp:posOffset>
            </wp:positionV>
            <wp:extent cx="762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99695</wp:posOffset>
            </wp:positionV>
            <wp:extent cx="762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99695</wp:posOffset>
            </wp:positionV>
            <wp:extent cx="762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99695</wp:posOffset>
            </wp:positionV>
            <wp:extent cx="762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5470525</wp:posOffset>
            </wp:positionH>
            <wp:positionV relativeFrom="paragraph">
              <wp:posOffset>99695</wp:posOffset>
            </wp:positionV>
            <wp:extent cx="762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99695</wp:posOffset>
            </wp:positionV>
            <wp:extent cx="762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99695</wp:posOffset>
            </wp:positionV>
            <wp:extent cx="762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5516245</wp:posOffset>
            </wp:positionH>
            <wp:positionV relativeFrom="paragraph">
              <wp:posOffset>99695</wp:posOffset>
            </wp:positionV>
            <wp:extent cx="762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99695</wp:posOffset>
            </wp:positionV>
            <wp:extent cx="762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5547360</wp:posOffset>
            </wp:positionH>
            <wp:positionV relativeFrom="paragraph">
              <wp:posOffset>99695</wp:posOffset>
            </wp:positionV>
            <wp:extent cx="762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99695</wp:posOffset>
            </wp:positionV>
            <wp:extent cx="762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99695</wp:posOffset>
            </wp:positionV>
            <wp:extent cx="762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5593080</wp:posOffset>
            </wp:positionH>
            <wp:positionV relativeFrom="paragraph">
              <wp:posOffset>99695</wp:posOffset>
            </wp:positionV>
            <wp:extent cx="762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99695</wp:posOffset>
            </wp:positionV>
            <wp:extent cx="762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99695</wp:posOffset>
            </wp:positionV>
            <wp:extent cx="762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99695</wp:posOffset>
            </wp:positionV>
            <wp:extent cx="762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99695</wp:posOffset>
            </wp:positionV>
            <wp:extent cx="762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99695</wp:posOffset>
            </wp:positionV>
            <wp:extent cx="762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99695</wp:posOffset>
            </wp:positionV>
            <wp:extent cx="762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5701030</wp:posOffset>
            </wp:positionH>
            <wp:positionV relativeFrom="paragraph">
              <wp:posOffset>99695</wp:posOffset>
            </wp:positionV>
            <wp:extent cx="762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99695</wp:posOffset>
            </wp:positionV>
            <wp:extent cx="762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99695</wp:posOffset>
            </wp:positionV>
            <wp:extent cx="762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5746750</wp:posOffset>
            </wp:positionH>
            <wp:positionV relativeFrom="paragraph">
              <wp:posOffset>99695</wp:posOffset>
            </wp:positionV>
            <wp:extent cx="762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5761990</wp:posOffset>
            </wp:positionH>
            <wp:positionV relativeFrom="paragraph">
              <wp:posOffset>99695</wp:posOffset>
            </wp:positionV>
            <wp:extent cx="762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99695</wp:posOffset>
            </wp:positionV>
            <wp:extent cx="762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99695</wp:posOffset>
            </wp:positionV>
            <wp:extent cx="762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99695</wp:posOffset>
            </wp:positionV>
            <wp:extent cx="762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99695</wp:posOffset>
            </wp:positionV>
            <wp:extent cx="762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99695</wp:posOffset>
            </wp:positionV>
            <wp:extent cx="762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99695</wp:posOffset>
            </wp:positionV>
            <wp:extent cx="762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99695</wp:posOffset>
            </wp:positionV>
            <wp:extent cx="762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5885180</wp:posOffset>
            </wp:positionH>
            <wp:positionV relativeFrom="paragraph">
              <wp:posOffset>99695</wp:posOffset>
            </wp:positionV>
            <wp:extent cx="762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99695</wp:posOffset>
            </wp:positionV>
            <wp:extent cx="762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99695</wp:posOffset>
            </wp:positionV>
            <wp:extent cx="762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99695</wp:posOffset>
            </wp:positionV>
            <wp:extent cx="762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99695</wp:posOffset>
            </wp:positionV>
            <wp:extent cx="762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99695</wp:posOffset>
            </wp:positionV>
            <wp:extent cx="762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99695</wp:posOffset>
            </wp:positionV>
            <wp:extent cx="762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99695</wp:posOffset>
            </wp:positionV>
            <wp:extent cx="762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6007735</wp:posOffset>
            </wp:positionH>
            <wp:positionV relativeFrom="paragraph">
              <wp:posOffset>99695</wp:posOffset>
            </wp:positionV>
            <wp:extent cx="762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99695</wp:posOffset>
            </wp:positionV>
            <wp:extent cx="762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6038215</wp:posOffset>
            </wp:positionH>
            <wp:positionV relativeFrom="paragraph">
              <wp:posOffset>99695</wp:posOffset>
            </wp:positionV>
            <wp:extent cx="762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6054090</wp:posOffset>
            </wp:positionH>
            <wp:positionV relativeFrom="paragraph">
              <wp:posOffset>99695</wp:posOffset>
            </wp:positionV>
            <wp:extent cx="762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99695</wp:posOffset>
            </wp:positionV>
            <wp:extent cx="762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99695</wp:posOffset>
            </wp:positionV>
            <wp:extent cx="762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99695</wp:posOffset>
            </wp:positionV>
            <wp:extent cx="762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6115050</wp:posOffset>
            </wp:positionH>
            <wp:positionV relativeFrom="paragraph">
              <wp:posOffset>99695</wp:posOffset>
            </wp:positionV>
            <wp:extent cx="762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99695</wp:posOffset>
            </wp:positionV>
            <wp:extent cx="762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99695</wp:posOffset>
            </wp:positionV>
            <wp:extent cx="762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99695</wp:posOffset>
            </wp:positionV>
            <wp:extent cx="762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6176645</wp:posOffset>
            </wp:positionH>
            <wp:positionV relativeFrom="paragraph">
              <wp:posOffset>99695</wp:posOffset>
            </wp:positionV>
            <wp:extent cx="762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6191885</wp:posOffset>
            </wp:positionH>
            <wp:positionV relativeFrom="paragraph">
              <wp:posOffset>99695</wp:posOffset>
            </wp:positionV>
            <wp:extent cx="762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99695</wp:posOffset>
            </wp:positionV>
            <wp:extent cx="762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99695</wp:posOffset>
            </wp:positionV>
            <wp:extent cx="762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99695</wp:posOffset>
            </wp:positionV>
            <wp:extent cx="762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6253480</wp:posOffset>
            </wp:positionH>
            <wp:positionV relativeFrom="paragraph">
              <wp:posOffset>99695</wp:posOffset>
            </wp:positionV>
            <wp:extent cx="762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99695</wp:posOffset>
            </wp:positionV>
            <wp:extent cx="762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6283960</wp:posOffset>
            </wp:positionH>
            <wp:positionV relativeFrom="paragraph">
              <wp:posOffset>99695</wp:posOffset>
            </wp:positionV>
            <wp:extent cx="762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6299200</wp:posOffset>
            </wp:positionH>
            <wp:positionV relativeFrom="paragraph">
              <wp:posOffset>99695</wp:posOffset>
            </wp:positionV>
            <wp:extent cx="762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99695</wp:posOffset>
            </wp:positionV>
            <wp:extent cx="762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6330315</wp:posOffset>
            </wp:positionH>
            <wp:positionV relativeFrom="paragraph">
              <wp:posOffset>99695</wp:posOffset>
            </wp:positionV>
            <wp:extent cx="762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6345555</wp:posOffset>
            </wp:positionH>
            <wp:positionV relativeFrom="paragraph">
              <wp:posOffset>99695</wp:posOffset>
            </wp:positionV>
            <wp:extent cx="762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99695</wp:posOffset>
            </wp:positionV>
            <wp:extent cx="762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6376035</wp:posOffset>
            </wp:positionH>
            <wp:positionV relativeFrom="paragraph">
              <wp:posOffset>99695</wp:posOffset>
            </wp:positionV>
            <wp:extent cx="762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99695</wp:posOffset>
            </wp:positionV>
            <wp:extent cx="762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6407150</wp:posOffset>
            </wp:positionH>
            <wp:positionV relativeFrom="paragraph">
              <wp:posOffset>99695</wp:posOffset>
            </wp:positionV>
            <wp:extent cx="762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6422390</wp:posOffset>
            </wp:positionH>
            <wp:positionV relativeFrom="paragraph">
              <wp:posOffset>99695</wp:posOffset>
            </wp:positionV>
            <wp:extent cx="762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6437630</wp:posOffset>
            </wp:positionH>
            <wp:positionV relativeFrom="paragraph">
              <wp:posOffset>99695</wp:posOffset>
            </wp:positionV>
            <wp:extent cx="762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6452870</wp:posOffset>
            </wp:positionH>
            <wp:positionV relativeFrom="paragraph">
              <wp:posOffset>99695</wp:posOffset>
            </wp:positionV>
            <wp:extent cx="762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6468110</wp:posOffset>
            </wp:positionH>
            <wp:positionV relativeFrom="paragraph">
              <wp:posOffset>99695</wp:posOffset>
            </wp:positionV>
            <wp:extent cx="762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6483350</wp:posOffset>
            </wp:positionH>
            <wp:positionV relativeFrom="paragraph">
              <wp:posOffset>99695</wp:posOffset>
            </wp:positionV>
            <wp:extent cx="762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99695</wp:posOffset>
            </wp:positionV>
            <wp:extent cx="762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99695</wp:posOffset>
            </wp:positionV>
            <wp:extent cx="762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99695</wp:posOffset>
            </wp:positionV>
            <wp:extent cx="762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99695</wp:posOffset>
            </wp:positionV>
            <wp:extent cx="762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6560185</wp:posOffset>
            </wp:positionH>
            <wp:positionV relativeFrom="paragraph">
              <wp:posOffset>99695</wp:posOffset>
            </wp:positionV>
            <wp:extent cx="762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6576060</wp:posOffset>
            </wp:positionH>
            <wp:positionV relativeFrom="paragraph">
              <wp:posOffset>99695</wp:posOffset>
            </wp:positionV>
            <wp:extent cx="762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99695</wp:posOffset>
            </wp:positionV>
            <wp:extent cx="762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99695</wp:posOffset>
            </wp:positionV>
            <wp:extent cx="762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6621780</wp:posOffset>
            </wp:positionH>
            <wp:positionV relativeFrom="paragraph">
              <wp:posOffset>99695</wp:posOffset>
            </wp:positionV>
            <wp:extent cx="762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6637020</wp:posOffset>
            </wp:positionH>
            <wp:positionV relativeFrom="paragraph">
              <wp:posOffset>99695</wp:posOffset>
            </wp:positionV>
            <wp:extent cx="762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99695</wp:posOffset>
            </wp:positionV>
            <wp:extent cx="762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6668135</wp:posOffset>
            </wp:positionH>
            <wp:positionV relativeFrom="paragraph">
              <wp:posOffset>99695</wp:posOffset>
            </wp:positionV>
            <wp:extent cx="762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99695</wp:posOffset>
            </wp:positionV>
            <wp:extent cx="762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6698615</wp:posOffset>
            </wp:positionH>
            <wp:positionV relativeFrom="paragraph">
              <wp:posOffset>99695</wp:posOffset>
            </wp:positionV>
            <wp:extent cx="762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6713855</wp:posOffset>
            </wp:positionH>
            <wp:positionV relativeFrom="paragraph">
              <wp:posOffset>99695</wp:posOffset>
            </wp:positionV>
            <wp:extent cx="762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99695</wp:posOffset>
            </wp:positionV>
            <wp:extent cx="762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6744335</wp:posOffset>
            </wp:positionH>
            <wp:positionV relativeFrom="paragraph">
              <wp:posOffset>99695</wp:posOffset>
            </wp:positionV>
            <wp:extent cx="762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99695</wp:posOffset>
            </wp:positionV>
            <wp:extent cx="762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6775450</wp:posOffset>
            </wp:positionH>
            <wp:positionV relativeFrom="paragraph">
              <wp:posOffset>99695</wp:posOffset>
            </wp:positionV>
            <wp:extent cx="762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6790690</wp:posOffset>
            </wp:positionH>
            <wp:positionV relativeFrom="paragraph">
              <wp:posOffset>99695</wp:posOffset>
            </wp:positionV>
            <wp:extent cx="762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99695</wp:posOffset>
            </wp:positionV>
            <wp:extent cx="762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6821170</wp:posOffset>
            </wp:positionH>
            <wp:positionV relativeFrom="paragraph">
              <wp:posOffset>99695</wp:posOffset>
            </wp:positionV>
            <wp:extent cx="762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6836410</wp:posOffset>
            </wp:positionH>
            <wp:positionV relativeFrom="paragraph">
              <wp:posOffset>99695</wp:posOffset>
            </wp:positionV>
            <wp:extent cx="762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6852285</wp:posOffset>
            </wp:positionH>
            <wp:positionV relativeFrom="paragraph">
              <wp:posOffset>99695</wp:posOffset>
            </wp:positionV>
            <wp:extent cx="762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6867525</wp:posOffset>
            </wp:positionH>
            <wp:positionV relativeFrom="paragraph">
              <wp:posOffset>99695</wp:posOffset>
            </wp:positionV>
            <wp:extent cx="762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99695</wp:posOffset>
            </wp:positionV>
            <wp:extent cx="762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99695</wp:posOffset>
            </wp:positionV>
            <wp:extent cx="762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6913245</wp:posOffset>
            </wp:positionH>
            <wp:positionV relativeFrom="paragraph">
              <wp:posOffset>99695</wp:posOffset>
            </wp:positionV>
            <wp:extent cx="762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6929120</wp:posOffset>
            </wp:positionH>
            <wp:positionV relativeFrom="paragraph">
              <wp:posOffset>99695</wp:posOffset>
            </wp:positionV>
            <wp:extent cx="762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6944360</wp:posOffset>
            </wp:positionH>
            <wp:positionV relativeFrom="paragraph">
              <wp:posOffset>99695</wp:posOffset>
            </wp:positionV>
            <wp:extent cx="762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6959600</wp:posOffset>
            </wp:positionH>
            <wp:positionV relativeFrom="paragraph">
              <wp:posOffset>99695</wp:posOffset>
            </wp:positionV>
            <wp:extent cx="762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99695</wp:posOffset>
            </wp:positionV>
            <wp:extent cx="762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99695</wp:posOffset>
            </wp:positionV>
            <wp:extent cx="762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7005320</wp:posOffset>
            </wp:positionH>
            <wp:positionV relativeFrom="paragraph">
              <wp:posOffset>99695</wp:posOffset>
            </wp:positionV>
            <wp:extent cx="762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7021195</wp:posOffset>
            </wp:positionH>
            <wp:positionV relativeFrom="paragraph">
              <wp:posOffset>99695</wp:posOffset>
            </wp:positionV>
            <wp:extent cx="762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7036435</wp:posOffset>
            </wp:positionH>
            <wp:positionV relativeFrom="paragraph">
              <wp:posOffset>99695</wp:posOffset>
            </wp:positionV>
            <wp:extent cx="762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99695</wp:posOffset>
            </wp:positionV>
            <wp:extent cx="762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7066915</wp:posOffset>
            </wp:positionH>
            <wp:positionV relativeFrom="paragraph">
              <wp:posOffset>99695</wp:posOffset>
            </wp:positionV>
            <wp:extent cx="762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99695</wp:posOffset>
            </wp:positionV>
            <wp:extent cx="762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99695</wp:posOffset>
            </wp:positionV>
            <wp:extent cx="7620"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7113270</wp:posOffset>
            </wp:positionH>
            <wp:positionV relativeFrom="paragraph">
              <wp:posOffset>99695</wp:posOffset>
            </wp:positionV>
            <wp:extent cx="762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99695</wp:posOffset>
            </wp:positionV>
            <wp:extent cx="762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7143750</wp:posOffset>
            </wp:positionH>
            <wp:positionV relativeFrom="paragraph">
              <wp:posOffset>99695</wp:posOffset>
            </wp:positionV>
            <wp:extent cx="762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7158990</wp:posOffset>
            </wp:positionH>
            <wp:positionV relativeFrom="paragraph">
              <wp:posOffset>99695</wp:posOffset>
            </wp:positionV>
            <wp:extent cx="762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99695</wp:posOffset>
            </wp:positionV>
            <wp:extent cx="762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7190105</wp:posOffset>
            </wp:positionH>
            <wp:positionV relativeFrom="paragraph">
              <wp:posOffset>99695</wp:posOffset>
            </wp:positionV>
            <wp:extent cx="762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7205345</wp:posOffset>
            </wp:positionH>
            <wp:positionV relativeFrom="paragraph">
              <wp:posOffset>99695</wp:posOffset>
            </wp:positionV>
            <wp:extent cx="762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7220585</wp:posOffset>
            </wp:positionH>
            <wp:positionV relativeFrom="paragraph">
              <wp:posOffset>99695</wp:posOffset>
            </wp:positionV>
            <wp:extent cx="7620"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7235825</wp:posOffset>
            </wp:positionH>
            <wp:positionV relativeFrom="paragraph">
              <wp:posOffset>99695</wp:posOffset>
            </wp:positionV>
            <wp:extent cx="7620"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7251065</wp:posOffset>
            </wp:positionH>
            <wp:positionV relativeFrom="paragraph">
              <wp:posOffset>99695</wp:posOffset>
            </wp:positionV>
            <wp:extent cx="762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-398780</wp:posOffset>
            </wp:positionV>
            <wp:extent cx="1005205" cy="18345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05205" cy="1834515"/>
                    </a:xfrm>
                    <a:prstGeom prst="rect">
                      <a:avLst/>
                    </a:prstGeom>
                    <a:noFill/>
                  </pic:spPr>
                </pic:pic>
              </a:graphicData>
            </a:graphic>
          </wp:anchor>
        </w:drawing>
      </w:r>
    </w:p>
    <w:p>
      <w:pPr>
        <w:spacing w:after="0" w:line="330" w:lineRule="exact"/>
        <w:rPr>
          <w:sz w:val="20"/>
          <w:szCs w:val="20"/>
          <w:color w:val="auto"/>
        </w:rPr>
      </w:pPr>
    </w:p>
    <w:p>
      <w:pPr>
        <w:ind w:left="2860" w:right="280"/>
        <w:spacing w:after="0" w:line="310" w:lineRule="auto"/>
        <w:rPr>
          <w:sz w:val="20"/>
          <w:szCs w:val="20"/>
          <w:color w:val="auto"/>
        </w:rPr>
      </w:pPr>
      <w:r>
        <w:rPr>
          <w:rFonts w:ascii="Arial" w:cs="Arial" w:eastAsia="Arial" w:hAnsi="Arial"/>
          <w:sz w:val="14"/>
          <w:szCs w:val="14"/>
          <w:color w:val="auto"/>
        </w:rPr>
        <w:t>The scope of our audit and the nature, timing and extent of our procedures was determined by our risk assessment that the consolidated financial statements may contain material errors, whether due to fraud or error. We carried out our audit procedures based on the approach of legal entities considered financially significant in the context of the Group, with a combination of full scope audits and audits of specific accounts to achieve the desired level of evidence at a consolidated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1816735</wp:posOffset>
            </wp:positionH>
            <wp:positionV relativeFrom="paragraph">
              <wp:posOffset>93980</wp:posOffset>
            </wp:positionV>
            <wp:extent cx="7620"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1832610</wp:posOffset>
            </wp:positionH>
            <wp:positionV relativeFrom="paragraph">
              <wp:posOffset>93980</wp:posOffset>
            </wp:positionV>
            <wp:extent cx="762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93980</wp:posOffset>
            </wp:positionV>
            <wp:extent cx="7620"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93980</wp:posOffset>
            </wp:positionV>
            <wp:extent cx="762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1878330</wp:posOffset>
            </wp:positionH>
            <wp:positionV relativeFrom="paragraph">
              <wp:posOffset>93980</wp:posOffset>
            </wp:positionV>
            <wp:extent cx="762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1893570</wp:posOffset>
            </wp:positionH>
            <wp:positionV relativeFrom="paragraph">
              <wp:posOffset>93980</wp:posOffset>
            </wp:positionV>
            <wp:extent cx="762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93980</wp:posOffset>
            </wp:positionV>
            <wp:extent cx="762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93980</wp:posOffset>
            </wp:positionV>
            <wp:extent cx="762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93980</wp:posOffset>
            </wp:positionV>
            <wp:extent cx="762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93980</wp:posOffset>
            </wp:positionV>
            <wp:extent cx="762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93980</wp:posOffset>
            </wp:positionV>
            <wp:extent cx="762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93980</wp:posOffset>
            </wp:positionV>
            <wp:extent cx="762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93980</wp:posOffset>
            </wp:positionV>
            <wp:extent cx="762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2016760</wp:posOffset>
            </wp:positionH>
            <wp:positionV relativeFrom="paragraph">
              <wp:posOffset>93980</wp:posOffset>
            </wp:positionV>
            <wp:extent cx="762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2032000</wp:posOffset>
            </wp:positionH>
            <wp:positionV relativeFrom="paragraph">
              <wp:posOffset>93980</wp:posOffset>
            </wp:positionV>
            <wp:extent cx="762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2047240</wp:posOffset>
            </wp:positionH>
            <wp:positionV relativeFrom="paragraph">
              <wp:posOffset>93980</wp:posOffset>
            </wp:positionV>
            <wp:extent cx="762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93980</wp:posOffset>
            </wp:positionV>
            <wp:extent cx="7620"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2077720</wp:posOffset>
            </wp:positionH>
            <wp:positionV relativeFrom="paragraph">
              <wp:posOffset>93980</wp:posOffset>
            </wp:positionV>
            <wp:extent cx="762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2093595</wp:posOffset>
            </wp:positionH>
            <wp:positionV relativeFrom="paragraph">
              <wp:posOffset>93980</wp:posOffset>
            </wp:positionV>
            <wp:extent cx="762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93980</wp:posOffset>
            </wp:positionV>
            <wp:extent cx="762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93980</wp:posOffset>
            </wp:positionV>
            <wp:extent cx="762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93980</wp:posOffset>
            </wp:positionV>
            <wp:extent cx="762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93980</wp:posOffset>
            </wp:positionV>
            <wp:extent cx="762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93980</wp:posOffset>
            </wp:positionV>
            <wp:extent cx="762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2185670</wp:posOffset>
            </wp:positionH>
            <wp:positionV relativeFrom="paragraph">
              <wp:posOffset>93980</wp:posOffset>
            </wp:positionV>
            <wp:extent cx="762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93980</wp:posOffset>
            </wp:positionV>
            <wp:extent cx="762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93980</wp:posOffset>
            </wp:positionV>
            <wp:extent cx="762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93980</wp:posOffset>
            </wp:positionV>
            <wp:extent cx="762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93980</wp:posOffset>
            </wp:positionV>
            <wp:extent cx="762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93980</wp:posOffset>
            </wp:positionV>
            <wp:extent cx="762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93980</wp:posOffset>
            </wp:positionV>
            <wp:extent cx="762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93980</wp:posOffset>
            </wp:positionV>
            <wp:extent cx="762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2308225</wp:posOffset>
            </wp:positionH>
            <wp:positionV relativeFrom="paragraph">
              <wp:posOffset>93980</wp:posOffset>
            </wp:positionV>
            <wp:extent cx="762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93980</wp:posOffset>
            </wp:positionV>
            <wp:extent cx="7620"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93980</wp:posOffset>
            </wp:positionV>
            <wp:extent cx="7620"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93980</wp:posOffset>
            </wp:positionV>
            <wp:extent cx="762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93980</wp:posOffset>
            </wp:positionV>
            <wp:extent cx="762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2385060</wp:posOffset>
            </wp:positionH>
            <wp:positionV relativeFrom="paragraph">
              <wp:posOffset>93980</wp:posOffset>
            </wp:positionV>
            <wp:extent cx="762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93980</wp:posOffset>
            </wp:positionV>
            <wp:extent cx="762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93980</wp:posOffset>
            </wp:positionV>
            <wp:extent cx="762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93980</wp:posOffset>
            </wp:positionV>
            <wp:extent cx="7620"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93980</wp:posOffset>
            </wp:positionV>
            <wp:extent cx="762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2461895</wp:posOffset>
            </wp:positionH>
            <wp:positionV relativeFrom="paragraph">
              <wp:posOffset>93980</wp:posOffset>
            </wp:positionV>
            <wp:extent cx="762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2477135</wp:posOffset>
            </wp:positionH>
            <wp:positionV relativeFrom="paragraph">
              <wp:posOffset>93980</wp:posOffset>
            </wp:positionV>
            <wp:extent cx="762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93980</wp:posOffset>
            </wp:positionV>
            <wp:extent cx="762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93980</wp:posOffset>
            </wp:positionV>
            <wp:extent cx="762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93980</wp:posOffset>
            </wp:positionV>
            <wp:extent cx="762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93980</wp:posOffset>
            </wp:positionV>
            <wp:extent cx="762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93980</wp:posOffset>
            </wp:positionV>
            <wp:extent cx="762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93980</wp:posOffset>
            </wp:positionV>
            <wp:extent cx="7620"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93980</wp:posOffset>
            </wp:positionV>
            <wp:extent cx="762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93980</wp:posOffset>
            </wp:positionV>
            <wp:extent cx="762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2614930</wp:posOffset>
            </wp:positionH>
            <wp:positionV relativeFrom="paragraph">
              <wp:posOffset>93980</wp:posOffset>
            </wp:positionV>
            <wp:extent cx="762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2630805</wp:posOffset>
            </wp:positionH>
            <wp:positionV relativeFrom="paragraph">
              <wp:posOffset>93980</wp:posOffset>
            </wp:positionV>
            <wp:extent cx="762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2646045</wp:posOffset>
            </wp:positionH>
            <wp:positionV relativeFrom="paragraph">
              <wp:posOffset>93980</wp:posOffset>
            </wp:positionV>
            <wp:extent cx="7620"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93980</wp:posOffset>
            </wp:positionV>
            <wp:extent cx="762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93980</wp:posOffset>
            </wp:positionV>
            <wp:extent cx="762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93980</wp:posOffset>
            </wp:positionV>
            <wp:extent cx="762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2707640</wp:posOffset>
            </wp:positionH>
            <wp:positionV relativeFrom="paragraph">
              <wp:posOffset>93980</wp:posOffset>
            </wp:positionV>
            <wp:extent cx="762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93980</wp:posOffset>
            </wp:positionV>
            <wp:extent cx="762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93980</wp:posOffset>
            </wp:positionV>
            <wp:extent cx="7620"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93980</wp:posOffset>
            </wp:positionV>
            <wp:extent cx="762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2768600</wp:posOffset>
            </wp:positionH>
            <wp:positionV relativeFrom="paragraph">
              <wp:posOffset>93980</wp:posOffset>
            </wp:positionV>
            <wp:extent cx="762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93980</wp:posOffset>
            </wp:positionV>
            <wp:extent cx="7620"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93980</wp:posOffset>
            </wp:positionV>
            <wp:extent cx="762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2814955</wp:posOffset>
            </wp:positionH>
            <wp:positionV relativeFrom="paragraph">
              <wp:posOffset>93980</wp:posOffset>
            </wp:positionV>
            <wp:extent cx="762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2830195</wp:posOffset>
            </wp:positionH>
            <wp:positionV relativeFrom="paragraph">
              <wp:posOffset>93980</wp:posOffset>
            </wp:positionV>
            <wp:extent cx="7620"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2845435</wp:posOffset>
            </wp:positionH>
            <wp:positionV relativeFrom="paragraph">
              <wp:posOffset>93980</wp:posOffset>
            </wp:positionV>
            <wp:extent cx="7620"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93980</wp:posOffset>
            </wp:positionV>
            <wp:extent cx="762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93980</wp:posOffset>
            </wp:positionV>
            <wp:extent cx="762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93980</wp:posOffset>
            </wp:positionV>
            <wp:extent cx="762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93980</wp:posOffset>
            </wp:positionV>
            <wp:extent cx="762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93980</wp:posOffset>
            </wp:positionV>
            <wp:extent cx="762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93980</wp:posOffset>
            </wp:positionV>
            <wp:extent cx="762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2952750</wp:posOffset>
            </wp:positionH>
            <wp:positionV relativeFrom="paragraph">
              <wp:posOffset>93980</wp:posOffset>
            </wp:positionV>
            <wp:extent cx="762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93980</wp:posOffset>
            </wp:positionV>
            <wp:extent cx="762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93980</wp:posOffset>
            </wp:positionV>
            <wp:extent cx="762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2999105</wp:posOffset>
            </wp:positionH>
            <wp:positionV relativeFrom="paragraph">
              <wp:posOffset>93980</wp:posOffset>
            </wp:positionV>
            <wp:extent cx="762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93980</wp:posOffset>
            </wp:positionV>
            <wp:extent cx="762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93980</wp:posOffset>
            </wp:positionV>
            <wp:extent cx="7620"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93980</wp:posOffset>
            </wp:positionV>
            <wp:extent cx="762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93980</wp:posOffset>
            </wp:positionV>
            <wp:extent cx="762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93980</wp:posOffset>
            </wp:positionV>
            <wp:extent cx="762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93980</wp:posOffset>
            </wp:positionV>
            <wp:extent cx="762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93980</wp:posOffset>
            </wp:positionV>
            <wp:extent cx="762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3121660</wp:posOffset>
            </wp:positionH>
            <wp:positionV relativeFrom="paragraph">
              <wp:posOffset>93980</wp:posOffset>
            </wp:positionV>
            <wp:extent cx="762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3136900</wp:posOffset>
            </wp:positionH>
            <wp:positionV relativeFrom="paragraph">
              <wp:posOffset>93980</wp:posOffset>
            </wp:positionV>
            <wp:extent cx="762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93980</wp:posOffset>
            </wp:positionV>
            <wp:extent cx="762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93980</wp:posOffset>
            </wp:positionV>
            <wp:extent cx="762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93980</wp:posOffset>
            </wp:positionV>
            <wp:extent cx="762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93980</wp:posOffset>
            </wp:positionV>
            <wp:extent cx="762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93980</wp:posOffset>
            </wp:positionV>
            <wp:extent cx="762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3228975</wp:posOffset>
            </wp:positionH>
            <wp:positionV relativeFrom="paragraph">
              <wp:posOffset>93980</wp:posOffset>
            </wp:positionV>
            <wp:extent cx="762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93980</wp:posOffset>
            </wp:positionV>
            <wp:extent cx="762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93980</wp:posOffset>
            </wp:positionV>
            <wp:extent cx="7620"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93980</wp:posOffset>
            </wp:positionV>
            <wp:extent cx="762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93980</wp:posOffset>
            </wp:positionV>
            <wp:extent cx="762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93980</wp:posOffset>
            </wp:positionV>
            <wp:extent cx="762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93980</wp:posOffset>
            </wp:positionV>
            <wp:extent cx="7620"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93980</wp:posOffset>
            </wp:positionV>
            <wp:extent cx="762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93980</wp:posOffset>
            </wp:positionV>
            <wp:extent cx="762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93980</wp:posOffset>
            </wp:positionV>
            <wp:extent cx="7620"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93980</wp:posOffset>
            </wp:positionV>
            <wp:extent cx="762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93980</wp:posOffset>
            </wp:positionV>
            <wp:extent cx="7620"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3413760</wp:posOffset>
            </wp:positionH>
            <wp:positionV relativeFrom="paragraph">
              <wp:posOffset>93980</wp:posOffset>
            </wp:positionV>
            <wp:extent cx="7620"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93980</wp:posOffset>
            </wp:positionV>
            <wp:extent cx="7620"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93980</wp:posOffset>
            </wp:positionV>
            <wp:extent cx="762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93980</wp:posOffset>
            </wp:positionV>
            <wp:extent cx="7620"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93980</wp:posOffset>
            </wp:positionV>
            <wp:extent cx="762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93980</wp:posOffset>
            </wp:positionV>
            <wp:extent cx="762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93980</wp:posOffset>
            </wp:positionV>
            <wp:extent cx="762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93980</wp:posOffset>
            </wp:positionV>
            <wp:extent cx="7620"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93980</wp:posOffset>
            </wp:positionV>
            <wp:extent cx="762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93980</wp:posOffset>
            </wp:positionV>
            <wp:extent cx="762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93980</wp:posOffset>
            </wp:positionV>
            <wp:extent cx="762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3582035</wp:posOffset>
            </wp:positionH>
            <wp:positionV relativeFrom="paragraph">
              <wp:posOffset>93980</wp:posOffset>
            </wp:positionV>
            <wp:extent cx="7620"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93980</wp:posOffset>
            </wp:positionV>
            <wp:extent cx="7620"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93980</wp:posOffset>
            </wp:positionV>
            <wp:extent cx="7620"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93980</wp:posOffset>
            </wp:positionV>
            <wp:extent cx="7620"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3643630</wp:posOffset>
            </wp:positionH>
            <wp:positionV relativeFrom="paragraph">
              <wp:posOffset>93980</wp:posOffset>
            </wp:positionV>
            <wp:extent cx="762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3658870</wp:posOffset>
            </wp:positionH>
            <wp:positionV relativeFrom="paragraph">
              <wp:posOffset>93980</wp:posOffset>
            </wp:positionV>
            <wp:extent cx="762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93980</wp:posOffset>
            </wp:positionV>
            <wp:extent cx="762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93980</wp:posOffset>
            </wp:positionV>
            <wp:extent cx="762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93980</wp:posOffset>
            </wp:positionV>
            <wp:extent cx="7620"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3720465</wp:posOffset>
            </wp:positionH>
            <wp:positionV relativeFrom="paragraph">
              <wp:posOffset>93980</wp:posOffset>
            </wp:positionV>
            <wp:extent cx="7620"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93980</wp:posOffset>
            </wp:positionV>
            <wp:extent cx="7620"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93980</wp:posOffset>
            </wp:positionV>
            <wp:extent cx="7620"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93980</wp:posOffset>
            </wp:positionV>
            <wp:extent cx="762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3782060</wp:posOffset>
            </wp:positionH>
            <wp:positionV relativeFrom="paragraph">
              <wp:posOffset>93980</wp:posOffset>
            </wp:positionV>
            <wp:extent cx="762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93980</wp:posOffset>
            </wp:positionV>
            <wp:extent cx="7620"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93980</wp:posOffset>
            </wp:positionV>
            <wp:extent cx="7620"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93980</wp:posOffset>
            </wp:positionV>
            <wp:extent cx="7620"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93980</wp:posOffset>
            </wp:positionV>
            <wp:extent cx="762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3858895</wp:posOffset>
            </wp:positionH>
            <wp:positionV relativeFrom="paragraph">
              <wp:posOffset>93980</wp:posOffset>
            </wp:positionV>
            <wp:extent cx="762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3874135</wp:posOffset>
            </wp:positionH>
            <wp:positionV relativeFrom="paragraph">
              <wp:posOffset>93980</wp:posOffset>
            </wp:positionV>
            <wp:extent cx="762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93980</wp:posOffset>
            </wp:positionV>
            <wp:extent cx="762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3904615</wp:posOffset>
            </wp:positionH>
            <wp:positionV relativeFrom="paragraph">
              <wp:posOffset>93980</wp:posOffset>
            </wp:positionV>
            <wp:extent cx="762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93980</wp:posOffset>
            </wp:positionV>
            <wp:extent cx="762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93980</wp:posOffset>
            </wp:positionV>
            <wp:extent cx="7620"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93980</wp:posOffset>
            </wp:positionV>
            <wp:extent cx="762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93980</wp:posOffset>
            </wp:positionV>
            <wp:extent cx="762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93980</wp:posOffset>
            </wp:positionV>
            <wp:extent cx="7620"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93980</wp:posOffset>
            </wp:positionV>
            <wp:extent cx="762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93980</wp:posOffset>
            </wp:positionV>
            <wp:extent cx="762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4027805</wp:posOffset>
            </wp:positionH>
            <wp:positionV relativeFrom="paragraph">
              <wp:posOffset>93980</wp:posOffset>
            </wp:positionV>
            <wp:extent cx="762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93980</wp:posOffset>
            </wp:positionV>
            <wp:extent cx="762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93980</wp:posOffset>
            </wp:positionV>
            <wp:extent cx="762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93980</wp:posOffset>
            </wp:positionV>
            <wp:extent cx="7620"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93980</wp:posOffset>
            </wp:positionV>
            <wp:extent cx="7620"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93980</wp:posOffset>
            </wp:positionV>
            <wp:extent cx="7620"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93980</wp:posOffset>
            </wp:positionV>
            <wp:extent cx="7620"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4135120</wp:posOffset>
            </wp:positionH>
            <wp:positionV relativeFrom="paragraph">
              <wp:posOffset>93980</wp:posOffset>
            </wp:positionV>
            <wp:extent cx="762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93980</wp:posOffset>
            </wp:positionV>
            <wp:extent cx="7620"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4165600</wp:posOffset>
            </wp:positionH>
            <wp:positionV relativeFrom="paragraph">
              <wp:posOffset>93980</wp:posOffset>
            </wp:positionV>
            <wp:extent cx="7620"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93980</wp:posOffset>
            </wp:positionV>
            <wp:extent cx="7620"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4196080</wp:posOffset>
            </wp:positionH>
            <wp:positionV relativeFrom="paragraph">
              <wp:posOffset>93980</wp:posOffset>
            </wp:positionV>
            <wp:extent cx="762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93980</wp:posOffset>
            </wp:positionV>
            <wp:extent cx="7620"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93980</wp:posOffset>
            </wp:positionV>
            <wp:extent cx="7620"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93980</wp:posOffset>
            </wp:positionV>
            <wp:extent cx="762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4257675</wp:posOffset>
            </wp:positionH>
            <wp:positionV relativeFrom="paragraph">
              <wp:posOffset>93980</wp:posOffset>
            </wp:positionV>
            <wp:extent cx="7620"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4272915</wp:posOffset>
            </wp:positionH>
            <wp:positionV relativeFrom="paragraph">
              <wp:posOffset>93980</wp:posOffset>
            </wp:positionV>
            <wp:extent cx="762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93980</wp:posOffset>
            </wp:positionV>
            <wp:extent cx="7620"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4304030</wp:posOffset>
            </wp:positionH>
            <wp:positionV relativeFrom="paragraph">
              <wp:posOffset>93980</wp:posOffset>
            </wp:positionV>
            <wp:extent cx="7620"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93980</wp:posOffset>
            </wp:positionV>
            <wp:extent cx="7620"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93980</wp:posOffset>
            </wp:positionV>
            <wp:extent cx="7620"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93980</wp:posOffset>
            </wp:positionV>
            <wp:extent cx="7620"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93980</wp:posOffset>
            </wp:positionV>
            <wp:extent cx="7620"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93980</wp:posOffset>
            </wp:positionV>
            <wp:extent cx="7620"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93980</wp:posOffset>
            </wp:positionV>
            <wp:extent cx="7620"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93980</wp:posOffset>
            </wp:positionV>
            <wp:extent cx="762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93980</wp:posOffset>
            </wp:positionV>
            <wp:extent cx="7620"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93980</wp:posOffset>
            </wp:positionV>
            <wp:extent cx="7620"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4457065</wp:posOffset>
            </wp:positionH>
            <wp:positionV relativeFrom="paragraph">
              <wp:posOffset>93980</wp:posOffset>
            </wp:positionV>
            <wp:extent cx="762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93980</wp:posOffset>
            </wp:positionV>
            <wp:extent cx="7620"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93980</wp:posOffset>
            </wp:positionV>
            <wp:extent cx="7620"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93980</wp:posOffset>
            </wp:positionV>
            <wp:extent cx="7620"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4518660</wp:posOffset>
            </wp:positionH>
            <wp:positionV relativeFrom="paragraph">
              <wp:posOffset>93980</wp:posOffset>
            </wp:positionV>
            <wp:extent cx="7620"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4533900</wp:posOffset>
            </wp:positionH>
            <wp:positionV relativeFrom="paragraph">
              <wp:posOffset>93980</wp:posOffset>
            </wp:positionV>
            <wp:extent cx="7620"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4549140</wp:posOffset>
            </wp:positionH>
            <wp:positionV relativeFrom="paragraph">
              <wp:posOffset>93980</wp:posOffset>
            </wp:positionV>
            <wp:extent cx="7620"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93980</wp:posOffset>
            </wp:positionV>
            <wp:extent cx="7620"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93980</wp:posOffset>
            </wp:positionV>
            <wp:extent cx="7620" cy="76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93980</wp:posOffset>
            </wp:positionV>
            <wp:extent cx="7620"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4610735</wp:posOffset>
            </wp:positionH>
            <wp:positionV relativeFrom="paragraph">
              <wp:posOffset>93980</wp:posOffset>
            </wp:positionV>
            <wp:extent cx="7620"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93980</wp:posOffset>
            </wp:positionV>
            <wp:extent cx="7620" cy="76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4641850</wp:posOffset>
            </wp:positionH>
            <wp:positionV relativeFrom="paragraph">
              <wp:posOffset>93980</wp:posOffset>
            </wp:positionV>
            <wp:extent cx="7620"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4657090</wp:posOffset>
            </wp:positionH>
            <wp:positionV relativeFrom="paragraph">
              <wp:posOffset>93980</wp:posOffset>
            </wp:positionV>
            <wp:extent cx="7620"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4672330</wp:posOffset>
            </wp:positionH>
            <wp:positionV relativeFrom="paragraph">
              <wp:posOffset>93980</wp:posOffset>
            </wp:positionV>
            <wp:extent cx="7620" cy="76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93980</wp:posOffset>
            </wp:positionV>
            <wp:extent cx="7620"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93980</wp:posOffset>
            </wp:positionV>
            <wp:extent cx="7620"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4718050</wp:posOffset>
            </wp:positionH>
            <wp:positionV relativeFrom="paragraph">
              <wp:posOffset>93980</wp:posOffset>
            </wp:positionV>
            <wp:extent cx="7620" cy="7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4733925</wp:posOffset>
            </wp:positionH>
            <wp:positionV relativeFrom="paragraph">
              <wp:posOffset>93980</wp:posOffset>
            </wp:positionV>
            <wp:extent cx="7620"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93980</wp:posOffset>
            </wp:positionV>
            <wp:extent cx="7620"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93980</wp:posOffset>
            </wp:positionV>
            <wp:extent cx="7620"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93980</wp:posOffset>
            </wp:positionV>
            <wp:extent cx="7620" cy="76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93980</wp:posOffset>
            </wp:positionV>
            <wp:extent cx="7620"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93980</wp:posOffset>
            </wp:positionV>
            <wp:extent cx="7620"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4826000</wp:posOffset>
            </wp:positionH>
            <wp:positionV relativeFrom="paragraph">
              <wp:posOffset>93980</wp:posOffset>
            </wp:positionV>
            <wp:extent cx="7620"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93980</wp:posOffset>
            </wp:positionV>
            <wp:extent cx="7620"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93980</wp:posOffset>
            </wp:positionV>
            <wp:extent cx="7620"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93980</wp:posOffset>
            </wp:positionV>
            <wp:extent cx="7620"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93980</wp:posOffset>
            </wp:positionV>
            <wp:extent cx="7620"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93980</wp:posOffset>
            </wp:positionV>
            <wp:extent cx="7620" cy="76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93980</wp:posOffset>
            </wp:positionV>
            <wp:extent cx="7620"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4933315</wp:posOffset>
            </wp:positionH>
            <wp:positionV relativeFrom="paragraph">
              <wp:posOffset>93980</wp:posOffset>
            </wp:positionV>
            <wp:extent cx="7620"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4948555</wp:posOffset>
            </wp:positionH>
            <wp:positionV relativeFrom="paragraph">
              <wp:posOffset>93980</wp:posOffset>
            </wp:positionV>
            <wp:extent cx="7620"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4963795</wp:posOffset>
            </wp:positionH>
            <wp:positionV relativeFrom="paragraph">
              <wp:posOffset>93980</wp:posOffset>
            </wp:positionV>
            <wp:extent cx="7620" cy="76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93980</wp:posOffset>
            </wp:positionV>
            <wp:extent cx="7620"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93980</wp:posOffset>
            </wp:positionV>
            <wp:extent cx="7620"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5010150</wp:posOffset>
            </wp:positionH>
            <wp:positionV relativeFrom="paragraph">
              <wp:posOffset>93980</wp:posOffset>
            </wp:positionV>
            <wp:extent cx="7620"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93980</wp:posOffset>
            </wp:positionV>
            <wp:extent cx="7620"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93980</wp:posOffset>
            </wp:positionV>
            <wp:extent cx="7620"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93980</wp:posOffset>
            </wp:positionV>
            <wp:extent cx="7620"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93980</wp:posOffset>
            </wp:positionV>
            <wp:extent cx="7620"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93980</wp:posOffset>
            </wp:positionV>
            <wp:extent cx="7620"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93980</wp:posOffset>
            </wp:positionV>
            <wp:extent cx="7620"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93980</wp:posOffset>
            </wp:positionV>
            <wp:extent cx="7620"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5132705</wp:posOffset>
            </wp:positionH>
            <wp:positionV relativeFrom="paragraph">
              <wp:posOffset>93980</wp:posOffset>
            </wp:positionV>
            <wp:extent cx="7620"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93980</wp:posOffset>
            </wp:positionV>
            <wp:extent cx="7620"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93980</wp:posOffset>
            </wp:positionV>
            <wp:extent cx="7620"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93980</wp:posOffset>
            </wp:positionV>
            <wp:extent cx="7620"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5194300</wp:posOffset>
            </wp:positionH>
            <wp:positionV relativeFrom="paragraph">
              <wp:posOffset>93980</wp:posOffset>
            </wp:positionV>
            <wp:extent cx="7620"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93980</wp:posOffset>
            </wp:positionV>
            <wp:extent cx="7620"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5224780</wp:posOffset>
            </wp:positionH>
            <wp:positionV relativeFrom="paragraph">
              <wp:posOffset>93980</wp:posOffset>
            </wp:positionV>
            <wp:extent cx="7620"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93980</wp:posOffset>
            </wp:positionV>
            <wp:extent cx="7620"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5255895</wp:posOffset>
            </wp:positionH>
            <wp:positionV relativeFrom="paragraph">
              <wp:posOffset>93980</wp:posOffset>
            </wp:positionV>
            <wp:extent cx="7620"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93980</wp:posOffset>
            </wp:positionV>
            <wp:extent cx="7620"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93980</wp:posOffset>
            </wp:positionV>
            <wp:extent cx="7620"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5301615</wp:posOffset>
            </wp:positionH>
            <wp:positionV relativeFrom="paragraph">
              <wp:posOffset>93980</wp:posOffset>
            </wp:positionV>
            <wp:extent cx="7620"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5316855</wp:posOffset>
            </wp:positionH>
            <wp:positionV relativeFrom="paragraph">
              <wp:posOffset>93980</wp:posOffset>
            </wp:positionV>
            <wp:extent cx="7620"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5332095</wp:posOffset>
            </wp:positionH>
            <wp:positionV relativeFrom="paragraph">
              <wp:posOffset>93980</wp:posOffset>
            </wp:positionV>
            <wp:extent cx="7620"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93980</wp:posOffset>
            </wp:positionV>
            <wp:extent cx="7620"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93980</wp:posOffset>
            </wp:positionV>
            <wp:extent cx="7620"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93980</wp:posOffset>
            </wp:positionV>
            <wp:extent cx="762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5393690</wp:posOffset>
            </wp:positionH>
            <wp:positionV relativeFrom="paragraph">
              <wp:posOffset>93980</wp:posOffset>
            </wp:positionV>
            <wp:extent cx="7620"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5408930</wp:posOffset>
            </wp:positionH>
            <wp:positionV relativeFrom="paragraph">
              <wp:posOffset>93980</wp:posOffset>
            </wp:positionV>
            <wp:extent cx="7620"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93980</wp:posOffset>
            </wp:positionV>
            <wp:extent cx="7620"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93980</wp:posOffset>
            </wp:positionV>
            <wp:extent cx="7620" cy="76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93980</wp:posOffset>
            </wp:positionV>
            <wp:extent cx="7620" cy="76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5470525</wp:posOffset>
            </wp:positionH>
            <wp:positionV relativeFrom="paragraph">
              <wp:posOffset>93980</wp:posOffset>
            </wp:positionV>
            <wp:extent cx="7620"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93980</wp:posOffset>
            </wp:positionV>
            <wp:extent cx="7620"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93980</wp:posOffset>
            </wp:positionV>
            <wp:extent cx="7620"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5516245</wp:posOffset>
            </wp:positionH>
            <wp:positionV relativeFrom="paragraph">
              <wp:posOffset>93980</wp:posOffset>
            </wp:positionV>
            <wp:extent cx="7620"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93980</wp:posOffset>
            </wp:positionV>
            <wp:extent cx="7620"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5547360</wp:posOffset>
            </wp:positionH>
            <wp:positionV relativeFrom="paragraph">
              <wp:posOffset>93980</wp:posOffset>
            </wp:positionV>
            <wp:extent cx="7620"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93980</wp:posOffset>
            </wp:positionV>
            <wp:extent cx="7620"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93980</wp:posOffset>
            </wp:positionV>
            <wp:extent cx="7620" cy="76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5593080</wp:posOffset>
            </wp:positionH>
            <wp:positionV relativeFrom="paragraph">
              <wp:posOffset>93980</wp:posOffset>
            </wp:positionV>
            <wp:extent cx="7620"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93980</wp:posOffset>
            </wp:positionV>
            <wp:extent cx="7620"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93980</wp:posOffset>
            </wp:positionV>
            <wp:extent cx="7620" cy="76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93980</wp:posOffset>
            </wp:positionV>
            <wp:extent cx="7620" cy="76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93980</wp:posOffset>
            </wp:positionV>
            <wp:extent cx="7620"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93980</wp:posOffset>
            </wp:positionV>
            <wp:extent cx="7620" cy="76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93980</wp:posOffset>
            </wp:positionV>
            <wp:extent cx="7620"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5701030</wp:posOffset>
            </wp:positionH>
            <wp:positionV relativeFrom="paragraph">
              <wp:posOffset>93980</wp:posOffset>
            </wp:positionV>
            <wp:extent cx="7620"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93980</wp:posOffset>
            </wp:positionV>
            <wp:extent cx="7620" cy="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93980</wp:posOffset>
            </wp:positionV>
            <wp:extent cx="7620"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5746750</wp:posOffset>
            </wp:positionH>
            <wp:positionV relativeFrom="paragraph">
              <wp:posOffset>93980</wp:posOffset>
            </wp:positionV>
            <wp:extent cx="7620"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5761990</wp:posOffset>
            </wp:positionH>
            <wp:positionV relativeFrom="paragraph">
              <wp:posOffset>93980</wp:posOffset>
            </wp:positionV>
            <wp:extent cx="7620"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93980</wp:posOffset>
            </wp:positionV>
            <wp:extent cx="762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93980</wp:posOffset>
            </wp:positionV>
            <wp:extent cx="7620"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93980</wp:posOffset>
            </wp:positionV>
            <wp:extent cx="7620"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93980</wp:posOffset>
            </wp:positionV>
            <wp:extent cx="762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93980</wp:posOffset>
            </wp:positionV>
            <wp:extent cx="7620"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93980</wp:posOffset>
            </wp:positionV>
            <wp:extent cx="7620" cy="76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93980</wp:posOffset>
            </wp:positionV>
            <wp:extent cx="7620"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5885180</wp:posOffset>
            </wp:positionH>
            <wp:positionV relativeFrom="paragraph">
              <wp:posOffset>93980</wp:posOffset>
            </wp:positionV>
            <wp:extent cx="7620"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93980</wp:posOffset>
            </wp:positionV>
            <wp:extent cx="7620"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93980</wp:posOffset>
            </wp:positionV>
            <wp:extent cx="7620"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93980</wp:posOffset>
            </wp:positionV>
            <wp:extent cx="7620"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93980</wp:posOffset>
            </wp:positionV>
            <wp:extent cx="7620" cy="76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93980</wp:posOffset>
            </wp:positionV>
            <wp:extent cx="762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93980</wp:posOffset>
            </wp:positionV>
            <wp:extent cx="7620"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93980</wp:posOffset>
            </wp:positionV>
            <wp:extent cx="7620" cy="76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6007735</wp:posOffset>
            </wp:positionH>
            <wp:positionV relativeFrom="paragraph">
              <wp:posOffset>93980</wp:posOffset>
            </wp:positionV>
            <wp:extent cx="762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93980</wp:posOffset>
            </wp:positionV>
            <wp:extent cx="7620"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6038215</wp:posOffset>
            </wp:positionH>
            <wp:positionV relativeFrom="paragraph">
              <wp:posOffset>93980</wp:posOffset>
            </wp:positionV>
            <wp:extent cx="7620" cy="76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6054090</wp:posOffset>
            </wp:positionH>
            <wp:positionV relativeFrom="paragraph">
              <wp:posOffset>93980</wp:posOffset>
            </wp:positionV>
            <wp:extent cx="7620"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93980</wp:posOffset>
            </wp:positionV>
            <wp:extent cx="7620"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93980</wp:posOffset>
            </wp:positionV>
            <wp:extent cx="7620"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93980</wp:posOffset>
            </wp:positionV>
            <wp:extent cx="7620"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6115050</wp:posOffset>
            </wp:positionH>
            <wp:positionV relativeFrom="paragraph">
              <wp:posOffset>93980</wp:posOffset>
            </wp:positionV>
            <wp:extent cx="7620"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93980</wp:posOffset>
            </wp:positionV>
            <wp:extent cx="7620" cy="76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93980</wp:posOffset>
            </wp:positionV>
            <wp:extent cx="7620"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93980</wp:posOffset>
            </wp:positionV>
            <wp:extent cx="7620"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6176645</wp:posOffset>
            </wp:positionH>
            <wp:positionV relativeFrom="paragraph">
              <wp:posOffset>93980</wp:posOffset>
            </wp:positionV>
            <wp:extent cx="7620"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6191885</wp:posOffset>
            </wp:positionH>
            <wp:positionV relativeFrom="paragraph">
              <wp:posOffset>93980</wp:posOffset>
            </wp:positionV>
            <wp:extent cx="7620"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93980</wp:posOffset>
            </wp:positionV>
            <wp:extent cx="7620"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93980</wp:posOffset>
            </wp:positionV>
            <wp:extent cx="7620" cy="76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93980</wp:posOffset>
            </wp:positionV>
            <wp:extent cx="762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6253480</wp:posOffset>
            </wp:positionH>
            <wp:positionV relativeFrom="paragraph">
              <wp:posOffset>93980</wp:posOffset>
            </wp:positionV>
            <wp:extent cx="7620"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93980</wp:posOffset>
            </wp:positionV>
            <wp:extent cx="7620"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6283960</wp:posOffset>
            </wp:positionH>
            <wp:positionV relativeFrom="paragraph">
              <wp:posOffset>93980</wp:posOffset>
            </wp:positionV>
            <wp:extent cx="7620"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6299200</wp:posOffset>
            </wp:positionH>
            <wp:positionV relativeFrom="paragraph">
              <wp:posOffset>93980</wp:posOffset>
            </wp:positionV>
            <wp:extent cx="7620"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93980</wp:posOffset>
            </wp:positionV>
            <wp:extent cx="7620" cy="76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6330315</wp:posOffset>
            </wp:positionH>
            <wp:positionV relativeFrom="paragraph">
              <wp:posOffset>93980</wp:posOffset>
            </wp:positionV>
            <wp:extent cx="7620"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6345555</wp:posOffset>
            </wp:positionH>
            <wp:positionV relativeFrom="paragraph">
              <wp:posOffset>93980</wp:posOffset>
            </wp:positionV>
            <wp:extent cx="7620"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93980</wp:posOffset>
            </wp:positionV>
            <wp:extent cx="7620"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6376035</wp:posOffset>
            </wp:positionH>
            <wp:positionV relativeFrom="paragraph">
              <wp:posOffset>93980</wp:posOffset>
            </wp:positionV>
            <wp:extent cx="7620"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93980</wp:posOffset>
            </wp:positionV>
            <wp:extent cx="7620"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6407150</wp:posOffset>
            </wp:positionH>
            <wp:positionV relativeFrom="paragraph">
              <wp:posOffset>93980</wp:posOffset>
            </wp:positionV>
            <wp:extent cx="7620"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6422390</wp:posOffset>
            </wp:positionH>
            <wp:positionV relativeFrom="paragraph">
              <wp:posOffset>93980</wp:posOffset>
            </wp:positionV>
            <wp:extent cx="762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6437630</wp:posOffset>
            </wp:positionH>
            <wp:positionV relativeFrom="paragraph">
              <wp:posOffset>93980</wp:posOffset>
            </wp:positionV>
            <wp:extent cx="7620"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6452870</wp:posOffset>
            </wp:positionH>
            <wp:positionV relativeFrom="paragraph">
              <wp:posOffset>93980</wp:posOffset>
            </wp:positionV>
            <wp:extent cx="7620"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6468110</wp:posOffset>
            </wp:positionH>
            <wp:positionV relativeFrom="paragraph">
              <wp:posOffset>93980</wp:posOffset>
            </wp:positionV>
            <wp:extent cx="7620"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6483350</wp:posOffset>
            </wp:positionH>
            <wp:positionV relativeFrom="paragraph">
              <wp:posOffset>93980</wp:posOffset>
            </wp:positionV>
            <wp:extent cx="7620"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93980</wp:posOffset>
            </wp:positionV>
            <wp:extent cx="7620" cy="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93980</wp:posOffset>
            </wp:positionV>
            <wp:extent cx="7620"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93980</wp:posOffset>
            </wp:positionV>
            <wp:extent cx="7620"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93980</wp:posOffset>
            </wp:positionV>
            <wp:extent cx="7620" cy="76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6560185</wp:posOffset>
            </wp:positionH>
            <wp:positionV relativeFrom="paragraph">
              <wp:posOffset>93980</wp:posOffset>
            </wp:positionV>
            <wp:extent cx="762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6576060</wp:posOffset>
            </wp:positionH>
            <wp:positionV relativeFrom="paragraph">
              <wp:posOffset>93980</wp:posOffset>
            </wp:positionV>
            <wp:extent cx="7620"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93980</wp:posOffset>
            </wp:positionV>
            <wp:extent cx="7620" cy="76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93980</wp:posOffset>
            </wp:positionV>
            <wp:extent cx="762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6621780</wp:posOffset>
            </wp:positionH>
            <wp:positionV relativeFrom="paragraph">
              <wp:posOffset>93980</wp:posOffset>
            </wp:positionV>
            <wp:extent cx="7620"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6637020</wp:posOffset>
            </wp:positionH>
            <wp:positionV relativeFrom="paragraph">
              <wp:posOffset>93980</wp:posOffset>
            </wp:positionV>
            <wp:extent cx="7620" cy="76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93980</wp:posOffset>
            </wp:positionV>
            <wp:extent cx="7620"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6668135</wp:posOffset>
            </wp:positionH>
            <wp:positionV relativeFrom="paragraph">
              <wp:posOffset>93980</wp:posOffset>
            </wp:positionV>
            <wp:extent cx="7620"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93980</wp:posOffset>
            </wp:positionV>
            <wp:extent cx="7620"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6698615</wp:posOffset>
            </wp:positionH>
            <wp:positionV relativeFrom="paragraph">
              <wp:posOffset>93980</wp:posOffset>
            </wp:positionV>
            <wp:extent cx="7620"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6713855</wp:posOffset>
            </wp:positionH>
            <wp:positionV relativeFrom="paragraph">
              <wp:posOffset>93980</wp:posOffset>
            </wp:positionV>
            <wp:extent cx="7620"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93980</wp:posOffset>
            </wp:positionV>
            <wp:extent cx="7620" cy="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6744335</wp:posOffset>
            </wp:positionH>
            <wp:positionV relativeFrom="paragraph">
              <wp:posOffset>93980</wp:posOffset>
            </wp:positionV>
            <wp:extent cx="7620"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93980</wp:posOffset>
            </wp:positionV>
            <wp:extent cx="7620"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6775450</wp:posOffset>
            </wp:positionH>
            <wp:positionV relativeFrom="paragraph">
              <wp:posOffset>93980</wp:posOffset>
            </wp:positionV>
            <wp:extent cx="7620" cy="76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6790690</wp:posOffset>
            </wp:positionH>
            <wp:positionV relativeFrom="paragraph">
              <wp:posOffset>93980</wp:posOffset>
            </wp:positionV>
            <wp:extent cx="7620"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93980</wp:posOffset>
            </wp:positionV>
            <wp:extent cx="7620"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6821170</wp:posOffset>
            </wp:positionH>
            <wp:positionV relativeFrom="paragraph">
              <wp:posOffset>93980</wp:posOffset>
            </wp:positionV>
            <wp:extent cx="7620" cy="76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6836410</wp:posOffset>
            </wp:positionH>
            <wp:positionV relativeFrom="paragraph">
              <wp:posOffset>93980</wp:posOffset>
            </wp:positionV>
            <wp:extent cx="7620"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6852285</wp:posOffset>
            </wp:positionH>
            <wp:positionV relativeFrom="paragraph">
              <wp:posOffset>93980</wp:posOffset>
            </wp:positionV>
            <wp:extent cx="7620"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6867525</wp:posOffset>
            </wp:positionH>
            <wp:positionV relativeFrom="paragraph">
              <wp:posOffset>93980</wp:posOffset>
            </wp:positionV>
            <wp:extent cx="7620"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93980</wp:posOffset>
            </wp:positionV>
            <wp:extent cx="7620"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93980</wp:posOffset>
            </wp:positionV>
            <wp:extent cx="7620"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6913245</wp:posOffset>
            </wp:positionH>
            <wp:positionV relativeFrom="paragraph">
              <wp:posOffset>93980</wp:posOffset>
            </wp:positionV>
            <wp:extent cx="7620"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6929120</wp:posOffset>
            </wp:positionH>
            <wp:positionV relativeFrom="paragraph">
              <wp:posOffset>93980</wp:posOffset>
            </wp:positionV>
            <wp:extent cx="7620"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6944360</wp:posOffset>
            </wp:positionH>
            <wp:positionV relativeFrom="paragraph">
              <wp:posOffset>93980</wp:posOffset>
            </wp:positionV>
            <wp:extent cx="7620"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6959600</wp:posOffset>
            </wp:positionH>
            <wp:positionV relativeFrom="paragraph">
              <wp:posOffset>93980</wp:posOffset>
            </wp:positionV>
            <wp:extent cx="7620" cy="76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93980</wp:posOffset>
            </wp:positionV>
            <wp:extent cx="7620"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93980</wp:posOffset>
            </wp:positionV>
            <wp:extent cx="7620"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7005320</wp:posOffset>
            </wp:positionH>
            <wp:positionV relativeFrom="paragraph">
              <wp:posOffset>93980</wp:posOffset>
            </wp:positionV>
            <wp:extent cx="7620" cy="76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7021195</wp:posOffset>
            </wp:positionH>
            <wp:positionV relativeFrom="paragraph">
              <wp:posOffset>93980</wp:posOffset>
            </wp:positionV>
            <wp:extent cx="7620"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7036435</wp:posOffset>
            </wp:positionH>
            <wp:positionV relativeFrom="paragraph">
              <wp:posOffset>93980</wp:posOffset>
            </wp:positionV>
            <wp:extent cx="7620"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93980</wp:posOffset>
            </wp:positionV>
            <wp:extent cx="7620" cy="76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7066915</wp:posOffset>
            </wp:positionH>
            <wp:positionV relativeFrom="paragraph">
              <wp:posOffset>93980</wp:posOffset>
            </wp:positionV>
            <wp:extent cx="7620"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93980</wp:posOffset>
            </wp:positionV>
            <wp:extent cx="7620"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93980</wp:posOffset>
            </wp:positionV>
            <wp:extent cx="7620" cy="76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7113270</wp:posOffset>
            </wp:positionH>
            <wp:positionV relativeFrom="paragraph">
              <wp:posOffset>93980</wp:posOffset>
            </wp:positionV>
            <wp:extent cx="7620"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93980</wp:posOffset>
            </wp:positionV>
            <wp:extent cx="7620"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7143750</wp:posOffset>
            </wp:positionH>
            <wp:positionV relativeFrom="paragraph">
              <wp:posOffset>93980</wp:posOffset>
            </wp:positionV>
            <wp:extent cx="7620"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7158990</wp:posOffset>
            </wp:positionH>
            <wp:positionV relativeFrom="paragraph">
              <wp:posOffset>93980</wp:posOffset>
            </wp:positionV>
            <wp:extent cx="7620"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93980</wp:posOffset>
            </wp:positionV>
            <wp:extent cx="7620"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7190105</wp:posOffset>
            </wp:positionH>
            <wp:positionV relativeFrom="paragraph">
              <wp:posOffset>93980</wp:posOffset>
            </wp:positionV>
            <wp:extent cx="7620" cy="76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7205345</wp:posOffset>
            </wp:positionH>
            <wp:positionV relativeFrom="paragraph">
              <wp:posOffset>93980</wp:posOffset>
            </wp:positionV>
            <wp:extent cx="7620"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7220585</wp:posOffset>
            </wp:positionH>
            <wp:positionV relativeFrom="paragraph">
              <wp:posOffset>93980</wp:posOffset>
            </wp:positionV>
            <wp:extent cx="7620"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7235825</wp:posOffset>
            </wp:positionH>
            <wp:positionV relativeFrom="paragraph">
              <wp:posOffset>93980</wp:posOffset>
            </wp:positionV>
            <wp:extent cx="7620" cy="76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7251065</wp:posOffset>
            </wp:positionH>
            <wp:positionV relativeFrom="paragraph">
              <wp:posOffset>93980</wp:posOffset>
            </wp:positionV>
            <wp:extent cx="7620"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321" w:lineRule="exact"/>
        <w:rPr>
          <w:sz w:val="20"/>
          <w:szCs w:val="20"/>
          <w:color w:val="auto"/>
        </w:rPr>
      </w:pPr>
    </w:p>
    <w:p>
      <w:pPr>
        <w:ind w:left="2860" w:right="960"/>
        <w:spacing w:after="0" w:line="280" w:lineRule="auto"/>
        <w:rPr>
          <w:sz w:val="20"/>
          <w:szCs w:val="20"/>
          <w:color w:val="auto"/>
        </w:rPr>
      </w:pPr>
      <w:r>
        <w:rPr>
          <w:rFonts w:ascii="Arial" w:cs="Arial" w:eastAsia="Arial" w:hAnsi="Arial"/>
          <w:sz w:val="16"/>
          <w:szCs w:val="16"/>
          <w:i w:val="1"/>
          <w:iCs w:val="1"/>
          <w:color w:val="auto"/>
        </w:rPr>
        <w:t xml:space="preserve">Key Audit Matters (KAM) </w:t>
      </w:r>
      <w:r>
        <w:rPr>
          <w:rFonts w:ascii="Arial" w:cs="Arial" w:eastAsia="Arial" w:hAnsi="Arial"/>
          <w:sz w:val="16"/>
          <w:szCs w:val="16"/>
          <w:color w:val="auto"/>
        </w:rPr>
        <w:t>are those which, in our professional judgment, were of most significance in our audit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of the current period:</w:t>
      </w:r>
    </w:p>
    <w:p>
      <w:pPr>
        <w:spacing w:after="0" w:line="151" w:lineRule="exact"/>
        <w:rPr>
          <w:sz w:val="20"/>
          <w:szCs w:val="20"/>
          <w:color w:val="auto"/>
        </w:rPr>
      </w:pPr>
    </w:p>
    <w:p>
      <w:pPr>
        <w:ind w:left="3240" w:hanging="89"/>
        <w:spacing w:after="0"/>
        <w:tabs>
          <w:tab w:leader="none" w:pos="3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Information technology environment;</w:t>
      </w:r>
    </w:p>
    <w:p>
      <w:pPr>
        <w:spacing w:after="0" w:line="202" w:lineRule="exact"/>
        <w:rPr>
          <w:rFonts w:ascii="Arial" w:cs="Arial" w:eastAsia="Arial" w:hAnsi="Arial"/>
          <w:sz w:val="16"/>
          <w:szCs w:val="16"/>
          <w:color w:val="auto"/>
        </w:rPr>
      </w:pPr>
    </w:p>
    <w:p>
      <w:pPr>
        <w:ind w:left="3240" w:hanging="89"/>
        <w:spacing w:after="0"/>
        <w:tabs>
          <w:tab w:leader="none" w:pos="3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Allowance for loan losses;</w:t>
      </w:r>
    </w:p>
    <w:p>
      <w:pPr>
        <w:spacing w:after="0" w:line="202" w:lineRule="exact"/>
        <w:rPr>
          <w:rFonts w:ascii="Arial" w:cs="Arial" w:eastAsia="Arial" w:hAnsi="Arial"/>
          <w:sz w:val="16"/>
          <w:szCs w:val="16"/>
          <w:color w:val="auto"/>
        </w:rPr>
      </w:pPr>
    </w:p>
    <w:p>
      <w:pPr>
        <w:ind w:left="3240" w:hanging="89"/>
        <w:spacing w:after="0"/>
        <w:tabs>
          <w:tab w:leader="none" w:pos="3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Valuation of the mathematical life annuities reserves; and</w:t>
      </w:r>
    </w:p>
    <w:p>
      <w:pPr>
        <w:spacing w:after="0" w:line="202" w:lineRule="exact"/>
        <w:rPr>
          <w:rFonts w:ascii="Arial" w:cs="Arial" w:eastAsia="Arial" w:hAnsi="Arial"/>
          <w:sz w:val="16"/>
          <w:szCs w:val="16"/>
          <w:color w:val="auto"/>
        </w:rPr>
      </w:pPr>
    </w:p>
    <w:p>
      <w:pPr>
        <w:ind w:left="3240" w:hanging="89"/>
        <w:spacing w:after="0"/>
        <w:tabs>
          <w:tab w:leader="none" w:pos="3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Recoverable value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61225"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pacing w:after="0" w:line="388"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As part of designing of our audit, we determined materiality and assessed the risks of material misstatement in the consolidated financial statements. In particular, we considered where management made subjective judgments; for example, in respect of significant accounting estimates that involved making assumptions and considering future events that are inherently uncertain. We also addressed the risk of management override of internal controls, including, among other matters, consideration of whether there was evidence of bias that represented a risk of material misstatement due to fraud.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ED7D31"/>
        </w:rPr>
        <w:t>How we designed the scope of our audit of the Group</w:t>
      </w:r>
    </w:p>
    <w:p>
      <w:pPr>
        <w:spacing w:after="0" w:line="203" w:lineRule="exact"/>
        <w:rPr>
          <w:sz w:val="20"/>
          <w:szCs w:val="20"/>
          <w:color w:val="auto"/>
        </w:rPr>
      </w:pPr>
    </w:p>
    <w:p>
      <w:pPr>
        <w:ind w:right="380"/>
        <w:spacing w:after="0" w:line="315" w:lineRule="auto"/>
        <w:rPr>
          <w:sz w:val="20"/>
          <w:szCs w:val="20"/>
          <w:color w:val="auto"/>
        </w:rPr>
      </w:pPr>
      <w:r>
        <w:rPr>
          <w:rFonts w:ascii="Arial" w:cs="Arial" w:eastAsia="Arial" w:hAnsi="Arial"/>
          <w:sz w:val="15"/>
          <w:szCs w:val="15"/>
          <w:color w:val="auto"/>
        </w:rPr>
        <w:t>We have designed the scope of our audit in order to be able to carry out sufficient work to permit us to issue an opinion regarding the consolidated financial statements as a whole, taking into account the structure of the Group, the accounting processes and controls and the economic sector in which the Group operates.</w:t>
      </w:r>
    </w:p>
    <w:p>
      <w:pPr>
        <w:spacing w:after="0" w:line="127"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In establishing the general approach of the Group, we determined the type of work that required to be done on the components, based mainly on individual legal entities. In that sense, we consider Banco de Crédito del Perú S.A. and Mibanco, Banco de la Microempresa S.A., as significant components based on their individual contributions profit before tax, and El Pacífico Vida Compañía de Seguros y Reaseguros S.A. due to the significant risk related to the valuation of the mathematical life annuity reserves. Additionally, we have considered the individual work carried out in each subsidiary, for the purpose of the issue of the statutory audit opinion for each entity.</w:t>
      </w:r>
    </w:p>
    <w:p>
      <w:pPr>
        <w:spacing w:after="0" w:line="151" w:lineRule="exact"/>
        <w:rPr>
          <w:sz w:val="20"/>
          <w:szCs w:val="20"/>
          <w:color w:val="auto"/>
        </w:rPr>
      </w:pPr>
    </w:p>
    <w:p>
      <w:pPr>
        <w:ind w:right="80"/>
        <w:spacing w:after="0" w:line="280" w:lineRule="auto"/>
        <w:rPr>
          <w:sz w:val="20"/>
          <w:szCs w:val="20"/>
          <w:color w:val="auto"/>
        </w:rPr>
      </w:pPr>
      <w:r>
        <w:rPr>
          <w:rFonts w:ascii="Arial" w:cs="Arial" w:eastAsia="Arial" w:hAnsi="Arial"/>
          <w:sz w:val="15"/>
          <w:szCs w:val="15"/>
          <w:color w:val="auto"/>
        </w:rPr>
        <w:t>The statutory audit of the subsidiaries includes work performed by other firms of PwC in the region, like Panama, Chile, Colombia and Bolivia. For those works we determined the level of participation that we needed to obtain in the auditing work in those entities in order to conclude as to whether sufficient and appropriate audit evidence had been obtained as a basis for our opinion with regard to the consolidated financial statements as a whole. This includes regular communication with the other PwC firms mentioned above during the entire year, the issue of instructions, visits to the auditors of components by the members of the main work team, a review of the results of their audit procedures including the nature, timing and extent of the work which affect the audit opinion of the Group.</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these procedures covered almost 98% of the profit before tax and 99% of the total consolidated assets.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7261225"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0"/>
          </w:cols>
          <w:pgMar w:left="240" w:top="631"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i w:val="1"/>
          <w:iCs w:val="1"/>
          <w:color w:val="ED7D31"/>
        </w:rPr>
        <w:t>Key Audit Matters (KAM)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61225"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pacing w:after="0" w:line="18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Key audit matters are those matters that, in our professional judgment, were of most significance in our audit of the consolidated financial statements of the current period. These matters were addressed in the context of our audit of the consolidated financial statements as a whole, and in forming our opinion thereon; and, we do not provide a separate opinion on these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7261225" cy="23050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61225" cy="230505"/>
                    </a:xfrm>
                    <a:prstGeom prst="rect">
                      <a:avLst/>
                    </a:prstGeom>
                    <a:noFill/>
                  </pic:spPr>
                </pic:pic>
              </a:graphicData>
            </a:graphic>
          </wp:anchor>
        </w:drawing>
      </w:r>
    </w:p>
    <w:p>
      <w:pPr>
        <w:sectPr>
          <w:pgSz w:w="11900" w:h="16838" w:orient="portrait"/>
          <w:cols w:equalWidth="0" w:num="1">
            <w:col w:w="11440"/>
          </w:cols>
          <w:pgMar w:left="240" w:top="635" w:right="219" w:bottom="1440" w:gutter="0" w:footer="0" w:header="0"/>
        </w:sectPr>
      </w:pPr>
    </w:p>
    <w:p>
      <w:pPr>
        <w:spacing w:after="0" w:line="24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FFFFFF"/>
        </w:rPr>
        <w:t>Key Audit Matters (KAM)</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Information technology environment</w:t>
      </w:r>
    </w:p>
    <w:p>
      <w:pPr>
        <w:spacing w:after="0" w:line="171" w:lineRule="exact"/>
        <w:rPr>
          <w:sz w:val="20"/>
          <w:szCs w:val="20"/>
          <w:color w:val="auto"/>
        </w:rPr>
      </w:pPr>
    </w:p>
    <w:p>
      <w:pPr>
        <w:ind w:left="80" w:right="40"/>
        <w:spacing w:after="0" w:line="310" w:lineRule="auto"/>
        <w:rPr>
          <w:sz w:val="20"/>
          <w:szCs w:val="20"/>
          <w:color w:val="auto"/>
        </w:rPr>
      </w:pPr>
      <w:r>
        <w:rPr>
          <w:rFonts w:ascii="Arial" w:cs="Arial" w:eastAsia="Arial" w:hAnsi="Arial"/>
          <w:sz w:val="14"/>
          <w:szCs w:val="14"/>
          <w:color w:val="auto"/>
        </w:rPr>
        <w:t>We identified the information technology environment as an area of focus in our audit, since Credicorp Ltd. and subsidiaries are highly dependent on their technology structure, both for the processing of their operations, as well as for the reasonable preparation and presentation of their consolidated financial statements.</w:t>
      </w:r>
    </w:p>
    <w:p>
      <w:pPr>
        <w:spacing w:after="0" w:line="135" w:lineRule="exact"/>
        <w:rPr>
          <w:sz w:val="20"/>
          <w:szCs w:val="20"/>
          <w:color w:val="auto"/>
        </w:rPr>
      </w:pPr>
    </w:p>
    <w:p>
      <w:pPr>
        <w:ind w:left="80"/>
        <w:spacing w:after="0" w:line="255" w:lineRule="auto"/>
        <w:rPr>
          <w:sz w:val="20"/>
          <w:szCs w:val="20"/>
          <w:color w:val="auto"/>
        </w:rPr>
      </w:pPr>
      <w:r>
        <w:rPr>
          <w:rFonts w:ascii="Arial" w:cs="Arial" w:eastAsia="Arial" w:hAnsi="Arial"/>
          <w:sz w:val="16"/>
          <w:szCs w:val="16"/>
          <w:color w:val="auto"/>
        </w:rPr>
        <w:t>The Group has technological infrastructure for its business activities, as well as ongoing plans for the improvement and maintenance of the access of management and change in the pertinent systems and applications, the development of new programs and automated controls and automated components in the relevant business processes. The controls to authorize, control, restrict and cancel accesses to the technology environment and program changes are fundamental for mitigating the potential risk of fraud or error based on the misuse or improper change in the systems of the Group, thus ensuring the integrity of the financial information and accounting records.</w:t>
      </w:r>
    </w:p>
    <w:p>
      <w:pPr>
        <w:spacing w:after="0" w:line="175" w:lineRule="exact"/>
        <w:rPr>
          <w:sz w:val="20"/>
          <w:szCs w:val="20"/>
          <w:color w:val="auto"/>
        </w:rPr>
      </w:pPr>
    </w:p>
    <w:p>
      <w:pPr>
        <w:ind w:left="80" w:right="120"/>
        <w:spacing w:after="0" w:line="315" w:lineRule="auto"/>
        <w:rPr>
          <w:sz w:val="20"/>
          <w:szCs w:val="20"/>
          <w:color w:val="auto"/>
        </w:rPr>
      </w:pPr>
      <w:r>
        <w:rPr>
          <w:rFonts w:ascii="Arial" w:cs="Arial" w:eastAsia="Arial" w:hAnsi="Arial"/>
          <w:sz w:val="15"/>
          <w:szCs w:val="15"/>
          <w:color w:val="auto"/>
        </w:rPr>
        <w:t>The Group has an information technology structure which comprises more than one technology environment with different processes and segregated controls.</w:t>
      </w:r>
    </w:p>
    <w:p>
      <w:pPr>
        <w:spacing w:after="0" w:line="127" w:lineRule="exact"/>
        <w:rPr>
          <w:sz w:val="20"/>
          <w:szCs w:val="20"/>
          <w:color w:val="auto"/>
        </w:rPr>
      </w:pPr>
    </w:p>
    <w:p>
      <w:pPr>
        <w:ind w:left="80" w:right="160"/>
        <w:spacing w:after="0" w:line="266" w:lineRule="auto"/>
        <w:rPr>
          <w:sz w:val="20"/>
          <w:szCs w:val="20"/>
          <w:color w:val="auto"/>
        </w:rPr>
      </w:pPr>
      <w:r>
        <w:rPr>
          <w:rFonts w:ascii="Arial" w:cs="Arial" w:eastAsia="Arial" w:hAnsi="Arial"/>
          <w:sz w:val="16"/>
          <w:szCs w:val="16"/>
          <w:color w:val="auto"/>
        </w:rPr>
        <w:t>The lack of suitability of the general technology control environment and its dependent controls could trigger incorrect processing of critical information for the preparation of the consolidated financial statements.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FFFFFF"/>
        </w:rPr>
        <w:t>How our audit addressed the key audit matter</w:t>
      </w:r>
    </w:p>
    <w:p>
      <w:pPr>
        <w:spacing w:after="0" w:line="200" w:lineRule="exact"/>
        <w:rPr>
          <w:sz w:val="20"/>
          <w:szCs w:val="20"/>
          <w:color w:val="auto"/>
        </w:rPr>
      </w:pPr>
    </w:p>
    <w:p>
      <w:pPr>
        <w:spacing w:after="0" w:line="317" w:lineRule="exact"/>
        <w:rPr>
          <w:sz w:val="20"/>
          <w:szCs w:val="20"/>
          <w:color w:val="auto"/>
        </w:rPr>
      </w:pPr>
    </w:p>
    <w:p>
      <w:pPr>
        <w:ind w:right="220"/>
        <w:spacing w:after="0" w:line="299" w:lineRule="auto"/>
        <w:rPr>
          <w:sz w:val="20"/>
          <w:szCs w:val="20"/>
          <w:color w:val="auto"/>
        </w:rPr>
      </w:pPr>
      <w:r>
        <w:rPr>
          <w:rFonts w:ascii="Arial" w:cs="Arial" w:eastAsia="Arial" w:hAnsi="Arial"/>
          <w:sz w:val="14"/>
          <w:szCs w:val="14"/>
          <w:color w:val="auto"/>
        </w:rPr>
        <w:t>With the participation of specialists in systems audit, we evaluated and tested the design and operational effectiveness of the general controls of information technology. Although our audit is not for the purpose of giving an opinion on the effectiveness of the Information Technology (IT) controls, we reviewed the Group’s framework of governance of IT and the controls on the management of access to the programs, and data, the development of and changes in programs, the IT operations and the segregation of functions, including compensating controls, when necessary.</w:t>
      </w:r>
    </w:p>
    <w:p>
      <w:pPr>
        <w:spacing w:after="0" w:line="143" w:lineRule="exact"/>
        <w:rPr>
          <w:sz w:val="20"/>
          <w:szCs w:val="20"/>
          <w:color w:val="auto"/>
        </w:rPr>
      </w:pPr>
    </w:p>
    <w:p>
      <w:pPr>
        <w:jc w:val="both"/>
        <w:ind w:right="100"/>
        <w:spacing w:after="0" w:line="310" w:lineRule="auto"/>
        <w:rPr>
          <w:sz w:val="20"/>
          <w:szCs w:val="20"/>
          <w:color w:val="auto"/>
        </w:rPr>
      </w:pPr>
      <w:r>
        <w:rPr>
          <w:rFonts w:ascii="Arial" w:cs="Arial" w:eastAsia="Arial" w:hAnsi="Arial"/>
          <w:sz w:val="14"/>
          <w:szCs w:val="14"/>
          <w:color w:val="auto"/>
        </w:rPr>
        <w:t>The IT environment and the controls established by management, combined with the testing of controls, including compensating controls, which we have applied, provide us with a reasonable basis for depositing our confidence in the integrity and reliability of the information generated for the preparation of the Group’s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1367790</wp:posOffset>
            </wp:positionV>
            <wp:extent cx="7261225"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pacing w:after="0" w:line="1913" w:lineRule="exact"/>
        <w:rPr>
          <w:sz w:val="20"/>
          <w:szCs w:val="20"/>
          <w:color w:val="auto"/>
        </w:rPr>
      </w:pPr>
    </w:p>
    <w:p>
      <w:pPr>
        <w:sectPr>
          <w:pgSz w:w="11900" w:h="16838" w:orient="portrait"/>
          <w:cols w:equalWidth="0" w:num="2">
            <w:col w:w="5600" w:space="200"/>
            <w:col w:w="5640"/>
          </w:cols>
          <w:pgMar w:left="240" w:top="635" w:right="21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261225"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635" w:right="2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i w:val="1"/>
          <w:iCs w:val="1"/>
          <w:color w:val="FFFFFF"/>
        </w:rPr>
        <w:t>key Audit Matter (KAM)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59690</wp:posOffset>
            </wp:positionV>
            <wp:extent cx="3637915"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637915" cy="762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loan losses</w:t>
      </w:r>
    </w:p>
    <w:p>
      <w:pPr>
        <w:spacing w:after="0" w:line="158"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As mentioned in notes 3 (i), 7 and 34.1 to the consolidated financial statements, the allowance for loan losses at December 31, 2016 amounts to approximately S/4,207 million.</w:t>
      </w:r>
    </w:p>
    <w:p>
      <w:pPr>
        <w:spacing w:after="0" w:line="16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consider this heading of the financial statements to be an KAM since it relates to an accounting estimate which implies a high level of professional judgment on the part of management.</w:t>
      </w:r>
    </w:p>
    <w:p>
      <w:pPr>
        <w:spacing w:after="0" w:line="16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For the determination of the allowance for loan losses, management has developed specific methodologies for wholesale and retail credits. Those methodologies imply a process with various assumptions and judgments, among which are, the financial situation of the counterparty, the expected future cash flows, the estimated recoverable values of guarantees and adverse effects due to changes in the political and economic environments.</w:t>
      </w:r>
    </w:p>
    <w:p>
      <w:pPr>
        <w:spacing w:after="0" w:line="17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use of different techniques and assumptions of the model could result in significantly different provisions. Futhermore, credit risk management is complex and depends on the data base being reliable and complete.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FFFFFF"/>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-154305</wp:posOffset>
            </wp:positionV>
            <wp:extent cx="7261225" cy="2228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61225" cy="2228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We evaluated and tested the design and operational effectiveness of the controls over the data and calculation of allowance for loan losses. These controls included, among others: i) the integrity of the data base and the auxiliary systems; ii) models and assumptions adopted by the management to determine the value of the portfolio of recoverable loans; iii) the follow up and valuation of the guarantees; iv) the validation and approval by management; and v) the preparation and disclosure in the notes to the financial statements. Additionally, we tested information technology controls over the extraction and calculation of the provision.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We focused our audit, among others, on the following aspects:</w:t>
      </w:r>
    </w:p>
    <w:p>
      <w:pPr>
        <w:spacing w:after="0" w:line="203" w:lineRule="exact"/>
        <w:rPr>
          <w:sz w:val="20"/>
          <w:szCs w:val="20"/>
          <w:color w:val="auto"/>
        </w:rPr>
      </w:pPr>
    </w:p>
    <w:p>
      <w:pPr>
        <w:ind w:left="280" w:right="300" w:hanging="140"/>
        <w:spacing w:after="0" w:line="280" w:lineRule="auto"/>
        <w:tabs>
          <w:tab w:leader="none" w:pos="256" w:val="left"/>
        </w:tabs>
        <w:numPr>
          <w:ilvl w:val="0"/>
          <w:numId w:val="3"/>
        </w:numPr>
        <w:rPr>
          <w:rFonts w:ascii="Arial" w:cs="Arial" w:eastAsia="Arial" w:hAnsi="Arial"/>
          <w:sz w:val="16"/>
          <w:szCs w:val="16"/>
          <w:color w:val="auto"/>
        </w:rPr>
      </w:pPr>
      <w:r>
        <w:rPr>
          <w:rFonts w:ascii="Arial" w:cs="Arial" w:eastAsia="Arial" w:hAnsi="Arial"/>
          <w:sz w:val="16"/>
          <w:szCs w:val="16"/>
          <w:color w:val="auto"/>
        </w:rPr>
        <w:t>Evaluation of compliance of the parameters established by IAS 39, ‘Financial instruments: recognition and measurement;</w:t>
      </w:r>
    </w:p>
    <w:p>
      <w:pPr>
        <w:spacing w:after="0" w:line="150" w:lineRule="exact"/>
        <w:rPr>
          <w:rFonts w:ascii="Arial" w:cs="Arial" w:eastAsia="Arial" w:hAnsi="Arial"/>
          <w:sz w:val="16"/>
          <w:szCs w:val="16"/>
          <w:color w:val="auto"/>
        </w:rPr>
      </w:pPr>
    </w:p>
    <w:p>
      <w:pPr>
        <w:ind w:left="280" w:right="200" w:hanging="140"/>
        <w:spacing w:after="0" w:line="280" w:lineRule="auto"/>
        <w:tabs>
          <w:tab w:leader="none" w:pos="256" w:val="left"/>
        </w:tabs>
        <w:numPr>
          <w:ilvl w:val="0"/>
          <w:numId w:val="3"/>
        </w:numPr>
        <w:rPr>
          <w:rFonts w:ascii="Arial" w:cs="Arial" w:eastAsia="Arial" w:hAnsi="Arial"/>
          <w:sz w:val="16"/>
          <w:szCs w:val="16"/>
          <w:color w:val="auto"/>
        </w:rPr>
      </w:pPr>
      <w:r>
        <w:rPr>
          <w:rFonts w:ascii="Arial" w:cs="Arial" w:eastAsia="Arial" w:hAnsi="Arial"/>
          <w:sz w:val="16"/>
          <w:szCs w:val="16"/>
          <w:color w:val="auto"/>
        </w:rPr>
        <w:t>Evaluation of the reasonableness of the models and principal assumptions used for the calculation of provisions;</w:t>
      </w:r>
    </w:p>
    <w:p>
      <w:pPr>
        <w:spacing w:after="0" w:line="150" w:lineRule="exact"/>
        <w:rPr>
          <w:rFonts w:ascii="Arial" w:cs="Arial" w:eastAsia="Arial" w:hAnsi="Arial"/>
          <w:sz w:val="16"/>
          <w:szCs w:val="16"/>
          <w:color w:val="auto"/>
        </w:rPr>
      </w:pPr>
    </w:p>
    <w:p>
      <w:pPr>
        <w:ind w:left="280" w:right="440" w:hanging="140"/>
        <w:spacing w:after="0" w:line="280" w:lineRule="auto"/>
        <w:tabs>
          <w:tab w:leader="none" w:pos="256"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Revision of the methodology used to segregate the loan portfolios based on homogeneous characteristics;</w:t>
      </w:r>
    </w:p>
    <w:p>
      <w:pPr>
        <w:spacing w:after="0" w:line="150" w:lineRule="exact"/>
        <w:rPr>
          <w:rFonts w:ascii="Arial" w:cs="Arial" w:eastAsia="Arial" w:hAnsi="Arial"/>
          <w:sz w:val="16"/>
          <w:szCs w:val="16"/>
          <w:color w:val="auto"/>
        </w:rPr>
      </w:pPr>
    </w:p>
    <w:p>
      <w:pPr>
        <w:jc w:val="both"/>
        <w:ind w:left="280" w:right="240" w:hanging="140"/>
        <w:spacing w:after="0" w:line="292" w:lineRule="auto"/>
        <w:tabs>
          <w:tab w:leader="none" w:pos="256" w:val="left"/>
        </w:tabs>
        <w:numPr>
          <w:ilvl w:val="0"/>
          <w:numId w:val="3"/>
        </w:numPr>
        <w:rPr>
          <w:rFonts w:ascii="Arial" w:cs="Arial" w:eastAsia="Arial" w:hAnsi="Arial"/>
          <w:sz w:val="15"/>
          <w:szCs w:val="15"/>
          <w:color w:val="auto"/>
        </w:rPr>
      </w:pPr>
      <w:r>
        <w:rPr>
          <w:rFonts w:ascii="Arial" w:cs="Arial" w:eastAsia="Arial" w:hAnsi="Arial"/>
          <w:sz w:val="15"/>
          <w:szCs w:val="15"/>
          <w:color w:val="auto"/>
        </w:rPr>
        <w:t>Evaluation of the methodology for estimating future cash flows of clients with past due loans (impaired portfolio) and the determination of the probability of default by clients without arrears (unimpaired portfolio);</w:t>
      </w:r>
    </w:p>
    <w:p>
      <w:pPr>
        <w:spacing w:after="0" w:line="144" w:lineRule="exact"/>
        <w:rPr>
          <w:rFonts w:ascii="Arial" w:cs="Arial" w:eastAsia="Arial" w:hAnsi="Arial"/>
          <w:sz w:val="15"/>
          <w:szCs w:val="15"/>
          <w:color w:val="auto"/>
        </w:rPr>
      </w:pPr>
    </w:p>
    <w:p>
      <w:pPr>
        <w:ind w:left="280" w:right="220" w:hanging="140"/>
        <w:spacing w:after="0" w:line="280" w:lineRule="auto"/>
        <w:tabs>
          <w:tab w:leader="none" w:pos="256" w:val="left"/>
        </w:tabs>
        <w:numPr>
          <w:ilvl w:val="0"/>
          <w:numId w:val="3"/>
        </w:numPr>
        <w:rPr>
          <w:rFonts w:ascii="Arial" w:cs="Arial" w:eastAsia="Arial" w:hAnsi="Arial"/>
          <w:sz w:val="16"/>
          <w:szCs w:val="16"/>
          <w:color w:val="auto"/>
        </w:rPr>
      </w:pPr>
      <w:r>
        <w:rPr>
          <w:rFonts w:ascii="Arial" w:cs="Arial" w:eastAsia="Arial" w:hAnsi="Arial"/>
          <w:sz w:val="16"/>
          <w:szCs w:val="16"/>
          <w:color w:val="auto"/>
        </w:rPr>
        <w:t>Evaluation of whether the data used to estimate the provision are complete and accurate; and</w:t>
      </w:r>
    </w:p>
    <w:p>
      <w:pPr>
        <w:spacing w:after="0" w:line="150" w:lineRule="exact"/>
        <w:rPr>
          <w:rFonts w:ascii="Arial" w:cs="Arial" w:eastAsia="Arial" w:hAnsi="Arial"/>
          <w:sz w:val="16"/>
          <w:szCs w:val="16"/>
          <w:color w:val="auto"/>
        </w:rPr>
      </w:pPr>
    </w:p>
    <w:p>
      <w:pPr>
        <w:ind w:left="260" w:hanging="120"/>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Revision of the calculation of the provision in September and December of 2016.</w:t>
      </w:r>
    </w:p>
    <w:p>
      <w:pPr>
        <w:spacing w:after="0" w:line="22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Furthermore, for the Wholesale credits, we have evaluated the specific considerations of management to determine the provision on credits of the infrastructure and construction segment.</w:t>
      </w:r>
    </w:p>
    <w:p>
      <w:pPr>
        <w:spacing w:after="0" w:line="162"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We consider that the criteria and assumptions adopted by management to determine the allowance for loan losses, as well as the information disclosed in the financial statements are reasonable in the relevant aspects in the context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282575</wp:posOffset>
            </wp:positionV>
            <wp:extent cx="7261225"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180"/>
            <w:col w:w="5560"/>
          </w:cols>
          <w:pgMar w:left="320" w:top="731" w:right="29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20955</wp:posOffset>
            </wp:positionV>
            <wp:extent cx="7261225"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80"/>
          </w:cols>
          <w:pgMar w:left="320" w:top="731" w:right="2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b w:val="1"/>
          <w:bCs w:val="1"/>
          <w:i w:val="1"/>
          <w:iCs w:val="1"/>
          <w:color w:val="FFFFFF"/>
        </w:rPr>
        <w:t>Key Audit Matter (KAM)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59690</wp:posOffset>
            </wp:positionV>
            <wp:extent cx="3637915" cy="76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637915" cy="762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Valuation of the mathematical life annuities reserves</w:t>
      </w:r>
    </w:p>
    <w:p>
      <w:pPr>
        <w:spacing w:after="0" w:line="171"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The amount recognized as mathematic reserves for life annuities is approximately S/3,908 million at December 31, 2016, see notes 3 (e) and 16 to the consolidated financial statements.</w:t>
      </w:r>
    </w:p>
    <w:p>
      <w:pPr>
        <w:spacing w:after="0" w:line="162"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The valuation of the Group’s insurance contracts depends on some key subjective assumptions regarding future events. The valuation of the liabilities generated by insurance contracts is made based on the actuarial assumptions and data used in the calculation.</w:t>
      </w:r>
    </w:p>
    <w:p>
      <w:pPr>
        <w:spacing w:after="0" w:line="167"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Some of the key actuarial economic assumptions used in the valuation of the insurance contracts are critical and include, among others, the discount rate, life expectancy of the population and the future expenses to be incurred to maintain the existing policies.</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Minor changes in each of these key assumptions could result in significant impacts in the valuation of the obligations for those insurance contracts and in the respective impacts reflected in the consolidated statement of income.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Considering the above, this accounting estimate was a key audit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i w:val="1"/>
          <w:iCs w:val="1"/>
          <w:color w:val="FFFFFF"/>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-154305</wp:posOffset>
            </wp:positionV>
            <wp:extent cx="7261225" cy="22288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61225" cy="22288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We obtained an understanding and applied tests to the key controls in the processes of mathematic reserves and the related processes, to analyze the actuarial and economic assumptions, as well as the data used in the calculations. We identified that the key controls related to the determination of the assumptions and the methodology of the calculation, were designed, implemented and operate effectively.</w:t>
      </w:r>
    </w:p>
    <w:p>
      <w:pPr>
        <w:spacing w:after="0" w:line="141" w:lineRule="exact"/>
        <w:rPr>
          <w:sz w:val="20"/>
          <w:szCs w:val="20"/>
          <w:color w:val="auto"/>
        </w:rPr>
      </w:pPr>
    </w:p>
    <w:p>
      <w:pPr>
        <w:jc w:val="both"/>
        <w:ind w:right="140"/>
        <w:spacing w:after="0" w:line="261" w:lineRule="auto"/>
        <w:rPr>
          <w:sz w:val="20"/>
          <w:szCs w:val="20"/>
          <w:color w:val="auto"/>
        </w:rPr>
      </w:pPr>
      <w:r>
        <w:rPr>
          <w:rFonts w:ascii="Arial" w:cs="Arial" w:eastAsia="Arial" w:hAnsi="Arial"/>
          <w:sz w:val="16"/>
          <w:szCs w:val="16"/>
          <w:color w:val="auto"/>
        </w:rPr>
        <w:t>We held meetings with the financial, investment and actuarial management areas, in order to obtain an understanding of the judgments and criteria used to determine the key actuarial economic assumptions used in the calculation of the mathematical life annuity reserves.</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have reviewed the adequacy of the actuarial and economic assumptions as a whole. With the participation of actuarial specialists, we evaluated the reasonableness of the actuarial assumptions in an independent manner and we considered they are reasonable, including the questioning of management with regard to the main criteria and judgments applied. Our evaluation included reference to independent comparative data.</w:t>
      </w:r>
    </w:p>
    <w:p>
      <w:pPr>
        <w:spacing w:after="0" w:line="17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Based on the results of our auditing work, we considered that the assumptions applied and criteria used to determine the estimates used by the Group’s management, in relation to the amounts recognized as mathematical life annuities reserves are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282575</wp:posOffset>
            </wp:positionV>
            <wp:extent cx="7261225"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220"/>
            <w:col w:w="5540"/>
          </w:cols>
          <w:pgMar w:left="320" w:top="731" w:right="31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20955</wp:posOffset>
            </wp:positionV>
            <wp:extent cx="7261225" cy="76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60"/>
          </w:cols>
          <w:pgMar w:left="320" w:top="731" w:right="3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i w:val="1"/>
          <w:iCs w:val="1"/>
          <w:color w:val="FFFFFF"/>
        </w:rPr>
        <w:t>Key Audit Matters (KAM)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59690</wp:posOffset>
            </wp:positionV>
            <wp:extent cx="3637915"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637915" cy="762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Recoverable value of goodwill</w:t>
      </w:r>
    </w:p>
    <w:p>
      <w:pPr>
        <w:spacing w:after="0" w:line="158" w:lineRule="exact"/>
        <w:rPr>
          <w:sz w:val="20"/>
          <w:szCs w:val="20"/>
          <w:color w:val="auto"/>
        </w:rPr>
      </w:pPr>
    </w:p>
    <w:p>
      <w:pPr>
        <w:ind w:right="440"/>
        <w:spacing w:after="0" w:line="315" w:lineRule="auto"/>
        <w:rPr>
          <w:sz w:val="20"/>
          <w:szCs w:val="20"/>
          <w:color w:val="auto"/>
        </w:rPr>
      </w:pPr>
      <w:r>
        <w:rPr>
          <w:rFonts w:ascii="Arial" w:cs="Arial" w:eastAsia="Arial" w:hAnsi="Arial"/>
          <w:sz w:val="15"/>
          <w:szCs w:val="15"/>
          <w:color w:val="auto"/>
        </w:rPr>
        <w:t>As described in note 11 (b) to the consolidated financial statements, the total of goodwill at December 31, 2016 amounted to approximately S/636 million.</w:t>
      </w:r>
    </w:p>
    <w:p>
      <w:pPr>
        <w:spacing w:after="0" w:line="127"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The balances of goodwill are submitted annually to impairment testing, which has been carried out by management for all of the Cash Generating Units (“CGUs”) based on the methodology of fair value less costs to sell. This test considers the use of significant premises and judgment by management, including the determination of the expected cash flows and the discount rates of each CGU or group of CGUs.</w:t>
      </w:r>
    </w:p>
    <w:p>
      <w:pPr>
        <w:spacing w:after="0" w:line="141"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We consider this accounting estimate to be a key audit matter, since it concerns the projection of future results of each CGU or group of CGUs, and the use of different premises regarding the projection of future results which could significantly modify the perspectives of realizing these assets and the eventual need to establish a provision for impairment with a direct impact on the consolidated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FFFFFF"/>
        </w:rPr>
        <w:t>How our audit addressed the key 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-154305</wp:posOffset>
            </wp:positionV>
            <wp:extent cx="7261225" cy="22288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61225" cy="2228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We evaluated and tested the design and operational effectiveness of the controls over the data and calculations of the recoverable value of goodwill.</w:t>
      </w:r>
    </w:p>
    <w:p>
      <w:pPr>
        <w:spacing w:after="0" w:line="151"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color w:val="auto"/>
        </w:rPr>
        <w:t>We have also, with the support of our valuation specialists, analyzed the reasonableness of the methodologies applied for the determination of the recoverable values of each CGU, as well as the main assumptions used in the calculation of impairment of goodwill prepared by management in order to corroborate the reasonableness of those estimates, such as (i) future cash or dividend projections; (ii) the assumptions about margins ; (iii) the discount rates; (iv) the payout ratio and ; (v) the considerations for the calculation of terminal values.</w:t>
      </w:r>
    </w:p>
    <w:p>
      <w:pPr>
        <w:spacing w:after="0" w:line="143" w:lineRule="exact"/>
        <w:rPr>
          <w:sz w:val="20"/>
          <w:szCs w:val="20"/>
          <w:color w:val="auto"/>
        </w:rPr>
      </w:pPr>
    </w:p>
    <w:p>
      <w:pPr>
        <w:spacing w:after="0" w:line="321" w:lineRule="auto"/>
        <w:rPr>
          <w:sz w:val="20"/>
          <w:szCs w:val="20"/>
          <w:color w:val="auto"/>
        </w:rPr>
      </w:pPr>
      <w:r>
        <w:rPr>
          <w:rFonts w:ascii="Arial" w:cs="Arial" w:eastAsia="Arial" w:hAnsi="Arial"/>
          <w:sz w:val="14"/>
          <w:szCs w:val="14"/>
          <w:color w:val="auto"/>
        </w:rPr>
        <w:t>We consider that the assumptions adopted by management for the determination of the recoverable value of goodwill are reasonable and coherent, therefore there was no need for recognize an impairment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380365</wp:posOffset>
            </wp:positionV>
            <wp:extent cx="7261225" cy="76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pacing w:after="0" w:line="349" w:lineRule="exact"/>
        <w:rPr>
          <w:sz w:val="20"/>
          <w:szCs w:val="20"/>
          <w:color w:val="auto"/>
        </w:rPr>
      </w:pPr>
    </w:p>
    <w:p>
      <w:pPr>
        <w:sectPr>
          <w:pgSz w:w="11900" w:h="16838" w:orient="portrait"/>
          <w:cols w:equalWidth="0" w:num="2">
            <w:col w:w="5540" w:space="180"/>
            <w:col w:w="5500"/>
          </w:cols>
          <w:pgMar w:left="320" w:top="731"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20955</wp:posOffset>
            </wp:positionV>
            <wp:extent cx="7261225"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type w:val="continuous"/>
        </w:sectPr>
      </w:pPr>
    </w:p>
    <w:bookmarkStart w:id="10" w:name="page11"/>
    <w:bookmarkEnd w:id="10"/>
    <w:p>
      <w:pPr>
        <w:ind w:left="3"/>
        <w:spacing w:after="0"/>
        <w:rPr>
          <w:sz w:val="20"/>
          <w:szCs w:val="20"/>
          <w:color w:val="auto"/>
        </w:rPr>
      </w:pPr>
      <w:r>
        <w:rPr>
          <w:rFonts w:ascii="Arial" w:cs="Arial" w:eastAsia="Arial" w:hAnsi="Arial"/>
          <w:sz w:val="16"/>
          <w:szCs w:val="16"/>
          <w:b w:val="1"/>
          <w:bCs w:val="1"/>
          <w:color w:val="auto"/>
        </w:rPr>
        <w:t>Responsibilities of management and those charged with governance for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1225"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pacing w:after="0" w:line="187" w:lineRule="exact"/>
        <w:rPr>
          <w:sz w:val="20"/>
          <w:szCs w:val="20"/>
          <w:color w:val="auto"/>
        </w:rPr>
      </w:pPr>
    </w:p>
    <w:p>
      <w:pPr>
        <w:ind w:left="3" w:right="100"/>
        <w:spacing w:after="0" w:line="266" w:lineRule="auto"/>
        <w:rPr>
          <w:sz w:val="20"/>
          <w:szCs w:val="20"/>
          <w:color w:val="auto"/>
        </w:rPr>
      </w:pPr>
      <w:r>
        <w:rPr>
          <w:rFonts w:ascii="Arial" w:cs="Arial" w:eastAsia="Arial" w:hAnsi="Arial"/>
          <w:sz w:val="16"/>
          <w:szCs w:val="16"/>
          <w:color w:val="auto"/>
        </w:rPr>
        <w:t>Management is responsible for the preparation and fair presentation of the consolidated financial statements in accordance with the International Financial Reporting Standards (IFRS) issued by the International Accounting Standards Board (IASB), and for such internal control as management determines is necessary to enable the preparation of consolidated financial statements that are free from material misstatement, whether due to fraud or error.</w:t>
      </w:r>
    </w:p>
    <w:p>
      <w:pPr>
        <w:spacing w:after="0" w:line="162" w:lineRule="exact"/>
        <w:rPr>
          <w:sz w:val="20"/>
          <w:szCs w:val="20"/>
          <w:color w:val="auto"/>
        </w:rPr>
      </w:pPr>
    </w:p>
    <w:p>
      <w:pPr>
        <w:ind w:left="3" w:right="180"/>
        <w:spacing w:after="0" w:line="266" w:lineRule="auto"/>
        <w:rPr>
          <w:sz w:val="20"/>
          <w:szCs w:val="20"/>
          <w:color w:val="auto"/>
        </w:rPr>
      </w:pPr>
      <w:r>
        <w:rPr>
          <w:rFonts w:ascii="Arial" w:cs="Arial" w:eastAsia="Arial" w:hAnsi="Arial"/>
          <w:sz w:val="16"/>
          <w:szCs w:val="16"/>
          <w:color w:val="auto"/>
        </w:rPr>
        <w:t>In preparing the consolidated financial statements, management is responsible for assessing the Group’s ability to continue as a going concern, disclosing, as applicable, the matters related to the going concern and using the going concern basis of accounting, unless management either intends to liquidate the Group or to cease operations or has no realistic alternative but to do so.</w:t>
      </w:r>
    </w:p>
    <w:p>
      <w:pPr>
        <w:spacing w:after="0" w:line="16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Those charge with the governance are responsible for overseeing the Group’s financial reporting process.</w:t>
      </w:r>
    </w:p>
    <w:p>
      <w:pPr>
        <w:spacing w:after="0" w:line="21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Auditor’s responsibilities for the audit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61225" cy="76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pacing w:after="0" w:line="187" w:lineRule="exact"/>
        <w:rPr>
          <w:sz w:val="20"/>
          <w:szCs w:val="20"/>
          <w:color w:val="auto"/>
        </w:rPr>
      </w:pPr>
    </w:p>
    <w:p>
      <w:pPr>
        <w:ind w:left="3" w:right="200"/>
        <w:spacing w:after="0" w:line="310" w:lineRule="auto"/>
        <w:rPr>
          <w:sz w:val="20"/>
          <w:szCs w:val="20"/>
          <w:color w:val="auto"/>
        </w:rPr>
      </w:pPr>
      <w:r>
        <w:rPr>
          <w:rFonts w:ascii="Arial" w:cs="Arial" w:eastAsia="Arial" w:hAnsi="Arial"/>
          <w:sz w:val="14"/>
          <w:szCs w:val="14"/>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with International Auditing Standards will always detect a material misstatements, when it exist. Misstatements can arise from fraud or error and are considered material if, individually or in the aggregate, they could reasonably be expected to influence the economic decisions of users taken on the basis of these consolidated financial statements.</w:t>
      </w:r>
    </w:p>
    <w:p>
      <w:pPr>
        <w:spacing w:after="0" w:line="135" w:lineRule="exact"/>
        <w:rPr>
          <w:sz w:val="20"/>
          <w:szCs w:val="20"/>
          <w:color w:val="auto"/>
        </w:rPr>
      </w:pPr>
    </w:p>
    <w:p>
      <w:pPr>
        <w:ind w:left="3"/>
        <w:spacing w:after="0"/>
        <w:rPr>
          <w:sz w:val="20"/>
          <w:szCs w:val="20"/>
          <w:color w:val="auto"/>
        </w:rPr>
      </w:pPr>
      <w:r>
        <w:rPr>
          <w:rFonts w:ascii="Arial" w:cs="Arial" w:eastAsia="Arial" w:hAnsi="Arial"/>
          <w:sz w:val="16"/>
          <w:szCs w:val="16"/>
          <w:color w:val="auto"/>
        </w:rPr>
        <w:t>As part of an audit in accordance with ISAs, we exercise professional judgment and maintain professional skepticism throughout the audit. We also:</w:t>
      </w:r>
    </w:p>
    <w:p>
      <w:pPr>
        <w:spacing w:after="0" w:line="203" w:lineRule="exact"/>
        <w:rPr>
          <w:sz w:val="20"/>
          <w:szCs w:val="20"/>
          <w:color w:val="auto"/>
        </w:rPr>
      </w:pPr>
    </w:p>
    <w:p>
      <w:pPr>
        <w:jc w:val="both"/>
        <w:ind w:left="283" w:hanging="283"/>
        <w:spacing w:after="0" w:line="321" w:lineRule="auto"/>
        <w:tabs>
          <w:tab w:leader="none" w:pos="283" w:val="left"/>
        </w:tabs>
        <w:numPr>
          <w:ilvl w:val="0"/>
          <w:numId w:val="4"/>
        </w:numPr>
        <w:rPr>
          <w:rFonts w:ascii="Arial" w:cs="Arial" w:eastAsia="Arial" w:hAnsi="Arial"/>
          <w:sz w:val="14"/>
          <w:szCs w:val="14"/>
          <w:color w:val="auto"/>
        </w:rPr>
      </w:pPr>
      <w:r>
        <w:rPr>
          <w:rFonts w:ascii="Arial" w:cs="Arial" w:eastAsia="Arial" w:hAnsi="Arial"/>
          <w:sz w:val="14"/>
          <w:szCs w:val="14"/>
          <w:color w:val="auto"/>
        </w:rPr>
        <w:t>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127" w:lineRule="exact"/>
        <w:rPr>
          <w:rFonts w:ascii="Arial" w:cs="Arial" w:eastAsia="Arial" w:hAnsi="Arial"/>
          <w:sz w:val="14"/>
          <w:szCs w:val="14"/>
          <w:color w:val="auto"/>
        </w:rPr>
      </w:pPr>
    </w:p>
    <w:p>
      <w:pPr>
        <w:ind w:left="283" w:right="360" w:hanging="283"/>
        <w:spacing w:after="0" w:line="280" w:lineRule="auto"/>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Obtain an understanding of internal control relevant to the audit in order to design audit procedures that are appropriate in the circumstances, but not for the purpose of expressing an opinion on the effectiveness of the Credicorp Ltd. and its subsidiaries’ internal control.</w:t>
      </w:r>
    </w:p>
    <w:p>
      <w:pPr>
        <w:spacing w:after="0" w:line="15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Evaluate the appropriateness of accounting policies used and the reasonableness of accounting estimates and related disclosures made by management.</w:t>
      </w:r>
    </w:p>
    <w:p>
      <w:pPr>
        <w:spacing w:after="0" w:line="202" w:lineRule="exact"/>
        <w:rPr>
          <w:rFonts w:ascii="Arial" w:cs="Arial" w:eastAsia="Arial" w:hAnsi="Arial"/>
          <w:sz w:val="16"/>
          <w:szCs w:val="16"/>
          <w:color w:val="auto"/>
        </w:rPr>
      </w:pPr>
    </w:p>
    <w:p>
      <w:pPr>
        <w:jc w:val="both"/>
        <w:ind w:left="283" w:right="260" w:hanging="283"/>
        <w:spacing w:after="0" w:line="292" w:lineRule="auto"/>
        <w:tabs>
          <w:tab w:leader="none" w:pos="283"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Conclude on the appropriateness of management’s use of the going concern basis of accounting and, based on the audit evidence obtained, nothing come to our attention about a material uncertainty exists related to events or conditions that may cast significant doubt on the Credicorp Ltd. and its subsidiaries’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w:t>
      </w:r>
    </w:p>
    <w:p>
      <w:pPr>
        <w:spacing w:after="0" w:line="2" w:lineRule="exact"/>
        <w:rPr>
          <w:rFonts w:ascii="Arial" w:cs="Arial" w:eastAsia="Arial" w:hAnsi="Arial"/>
          <w:sz w:val="14"/>
          <w:szCs w:val="14"/>
          <w:color w:val="auto"/>
        </w:rPr>
      </w:pPr>
    </w:p>
    <w:p>
      <w:pPr>
        <w:ind w:left="283"/>
        <w:spacing w:after="0"/>
        <w:rPr>
          <w:rFonts w:ascii="Arial" w:cs="Arial" w:eastAsia="Arial" w:hAnsi="Arial"/>
          <w:sz w:val="14"/>
          <w:szCs w:val="14"/>
          <w:color w:val="auto"/>
        </w:rPr>
      </w:pPr>
      <w:r>
        <w:rPr>
          <w:rFonts w:ascii="Arial" w:cs="Arial" w:eastAsia="Arial" w:hAnsi="Arial"/>
          <w:sz w:val="16"/>
          <w:szCs w:val="16"/>
          <w:color w:val="auto"/>
        </w:rPr>
        <w:t>However, future events or conditions may cause the Credicorp Ltd. and its subsidiaries to cease to continue as a going concern.</w:t>
      </w:r>
    </w:p>
    <w:p>
      <w:pPr>
        <w:spacing w:after="0" w:line="190" w:lineRule="exact"/>
        <w:rPr>
          <w:rFonts w:ascii="Arial" w:cs="Arial" w:eastAsia="Arial" w:hAnsi="Arial"/>
          <w:sz w:val="14"/>
          <w:szCs w:val="14"/>
          <w:color w:val="auto"/>
        </w:rPr>
      </w:pPr>
    </w:p>
    <w:p>
      <w:pPr>
        <w:ind w:left="283" w:right="20" w:hanging="283"/>
        <w:spacing w:after="0" w:line="280" w:lineRule="auto"/>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Evaluate the overall presentation, structure and content of the consolidated financial statements, including the disclosures, and whether the consolidated financial statements represent the underlying transactions and events in a manner that achieves fair presentation.</w:t>
      </w:r>
    </w:p>
    <w:p>
      <w:pPr>
        <w:spacing w:after="0" w:line="150" w:lineRule="exact"/>
        <w:rPr>
          <w:rFonts w:ascii="Arial" w:cs="Arial" w:eastAsia="Arial" w:hAnsi="Arial"/>
          <w:sz w:val="16"/>
          <w:szCs w:val="16"/>
          <w:color w:val="auto"/>
        </w:rPr>
      </w:pPr>
    </w:p>
    <w:p>
      <w:pPr>
        <w:ind w:left="283" w:right="40" w:hanging="283"/>
        <w:spacing w:after="0" w:line="354" w:lineRule="auto"/>
        <w:tabs>
          <w:tab w:leader="none" w:pos="283" w:val="left"/>
        </w:tabs>
        <w:numPr>
          <w:ilvl w:val="0"/>
          <w:numId w:val="4"/>
        </w:numPr>
        <w:rPr>
          <w:rFonts w:ascii="Arial" w:cs="Arial" w:eastAsia="Arial" w:hAnsi="Arial"/>
          <w:sz w:val="14"/>
          <w:szCs w:val="14"/>
          <w:color w:val="auto"/>
        </w:rPr>
      </w:pPr>
      <w:r>
        <w:rPr>
          <w:rFonts w:ascii="Arial" w:cs="Arial" w:eastAsia="Arial" w:hAnsi="Arial"/>
          <w:sz w:val="14"/>
          <w:szCs w:val="14"/>
          <w:color w:val="auto"/>
        </w:rPr>
        <w:t>Obtain sufficient appropriate audit evidence regarding the financial information of the entities or business activities within the Group to express an opinion on the consolidated financial statements. We are responsible for the direction, supervision and performance of the Group audit. We remain solely responsible for our audit opinion.</w:t>
      </w:r>
    </w:p>
    <w:p>
      <w:pPr>
        <w:spacing w:after="0" w:line="105" w:lineRule="exact"/>
        <w:rPr>
          <w:rFonts w:ascii="Arial" w:cs="Arial" w:eastAsia="Arial" w:hAnsi="Arial"/>
          <w:sz w:val="14"/>
          <w:szCs w:val="14"/>
          <w:color w:val="auto"/>
        </w:rPr>
      </w:pPr>
    </w:p>
    <w:p>
      <w:pPr>
        <w:ind w:left="5683" w:hanging="94"/>
        <w:spacing w:after="0"/>
        <w:tabs>
          <w:tab w:leader="none" w:pos="5683" w:val="left"/>
        </w:tabs>
        <w:numPr>
          <w:ilvl w:val="1"/>
          <w:numId w:val="4"/>
        </w:numPr>
        <w:rPr>
          <w:rFonts w:ascii="Arial" w:cs="Arial" w:eastAsia="Arial" w:hAnsi="Arial"/>
          <w:sz w:val="16"/>
          <w:szCs w:val="16"/>
          <w:color w:val="auto"/>
        </w:rPr>
      </w:pPr>
      <w:r>
        <w:rPr>
          <w:rFonts w:ascii="Arial" w:cs="Arial" w:eastAsia="Arial" w:hAnsi="Arial"/>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631" w:right="239" w:bottom="1440" w:gutter="0" w:footer="0" w:header="0"/>
        </w:sectPr>
      </w:pPr>
    </w:p>
    <w:bookmarkStart w:id="11" w:name="page12"/>
    <w:bookmarkEnd w:id="11"/>
    <w:p>
      <w:pPr>
        <w:ind w:right="140"/>
        <w:spacing w:after="0" w:line="280" w:lineRule="auto"/>
        <w:rPr>
          <w:sz w:val="20"/>
          <w:szCs w:val="20"/>
          <w:color w:val="auto"/>
        </w:rPr>
      </w:pPr>
      <w:r>
        <w:rPr>
          <w:rFonts w:ascii="Arial" w:cs="Arial" w:eastAsia="Arial" w:hAnsi="Arial"/>
          <w:sz w:val="16"/>
          <w:szCs w:val="16"/>
          <w:color w:val="auto"/>
        </w:rPr>
        <w:t>We communicate with those charged with governance regarding, among other matters, the planned scope and timing of the audit and significant audit findings, including any significant deficiencies in internal control that we identify during our audit.</w:t>
      </w:r>
    </w:p>
    <w:p>
      <w:pPr>
        <w:spacing w:after="0" w:line="151"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color w:val="auto"/>
        </w:rPr>
        <w:t>We also provide those charged with governance with a statement that we have complied with relevant ethical requirements regarding independence, and to communicate with them all relationships and other matters that may reasonably be thought to bear on our independence, and where applicable, related safeguards.</w:t>
      </w:r>
    </w:p>
    <w:p>
      <w:pPr>
        <w:spacing w:after="0" w:line="12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From the matters communicated with those charged with governance, we determine those matters that were of most significance in the audit of the consolidated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7261225"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Lima, Peru</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 Gaveglio, Aparicio y Asociados S.C.R.L.</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Countersigned by</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-----------------------------------------------------(partner)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 Fernando Gaveglio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Peruvian Certified Public Accountant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Registration No.01-019847</w:t>
      </w: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7261225" cy="76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00"/>
          </w:cols>
          <w:pgMar w:left="240" w:top="635"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CREDICORP LTD. AND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FINANCIAL POSITION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 DECEMBER 31, 2016 AND 2015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gridSpan w:val="3"/>
          </w:tcPr>
          <w:p>
            <w:pPr>
              <w:ind w:left="2940"/>
              <w:spacing w:after="0"/>
              <w:rPr>
                <w:sz w:val="20"/>
                <w:szCs w:val="20"/>
                <w:color w:val="auto"/>
              </w:rPr>
            </w:pPr>
            <w:r>
              <w:rPr>
                <w:rFonts w:ascii="Arial" w:cs="Arial" w:eastAsia="Arial" w:hAnsi="Arial"/>
                <w:sz w:val="16"/>
                <w:szCs w:val="16"/>
                <w:b w:val="1"/>
                <w:bCs w:val="1"/>
                <w:color w:val="auto"/>
              </w:rPr>
              <w:t>Note   2016</w:t>
            </w:r>
          </w:p>
        </w:tc>
        <w:tc>
          <w:tcPr>
            <w:tcW w:w="1000" w:type="dxa"/>
            <w:vAlign w:val="bottom"/>
          </w:tcPr>
          <w:p>
            <w:pPr>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40" w:type="dxa"/>
            <w:vAlign w:val="bottom"/>
            <w:gridSpan w:val="3"/>
          </w:tcPr>
          <w:p>
            <w:pPr>
              <w:ind w:left="2940"/>
              <w:spacing w:after="0"/>
              <w:rPr>
                <w:sz w:val="20"/>
                <w:szCs w:val="20"/>
                <w:color w:val="auto"/>
              </w:rPr>
            </w:pPr>
            <w:r>
              <w:rPr>
                <w:rFonts w:ascii="Arial" w:cs="Arial" w:eastAsia="Arial" w:hAnsi="Arial"/>
                <w:sz w:val="16"/>
                <w:szCs w:val="16"/>
                <w:b w:val="1"/>
                <w:bCs w:val="1"/>
                <w:color w:val="auto"/>
              </w:rPr>
              <w:t>Note   2016</w:t>
            </w:r>
          </w:p>
        </w:tc>
        <w:tc>
          <w:tcPr>
            <w:tcW w:w="980" w:type="dxa"/>
            <w:vAlign w:val="bottom"/>
          </w:tcPr>
          <w:p>
            <w:pPr>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19"/>
                <w:szCs w:val="19"/>
                <w:color w:val="auto"/>
              </w:rPr>
            </w:pPr>
          </w:p>
        </w:tc>
      </w:tr>
      <w:tr>
        <w:trPr>
          <w:trHeight w:val="186"/>
        </w:trPr>
        <w:tc>
          <w:tcPr>
            <w:tcW w:w="3460" w:type="dxa"/>
            <w:vAlign w:val="bottom"/>
          </w:tcPr>
          <w:p>
            <w:pPr>
              <w:spacing w:after="0"/>
              <w:rPr>
                <w:sz w:val="16"/>
                <w:szCs w:val="16"/>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6"/>
                <w:szCs w:val="16"/>
                <w:color w:val="auto"/>
              </w:rPr>
            </w:pPr>
          </w:p>
        </w:tc>
      </w:tr>
      <w:tr>
        <w:trPr>
          <w:trHeight w:val="193"/>
        </w:trPr>
        <w:tc>
          <w:tcPr>
            <w:tcW w:w="45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Pr>
          <w:p>
            <w:pPr>
              <w:spacing w:after="0"/>
              <w:rPr>
                <w:sz w:val="16"/>
                <w:szCs w:val="16"/>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bl>
    <w:p>
      <w:pPr>
        <w:spacing w:after="0" w:line="181" w:lineRule="exact"/>
        <w:rPr>
          <w:sz w:val="20"/>
          <w:szCs w:val="20"/>
          <w:color w:val="auto"/>
        </w:rPr>
      </w:pPr>
    </w:p>
    <w:p>
      <w:pPr>
        <w:sectPr>
          <w:pgSz w:w="11900" w:h="16838" w:orient="portrait"/>
          <w:cols w:equalWidth="0" w:num="1">
            <w:col w:w="11420"/>
          </w:cols>
          <w:pgMar w:left="240" w:top="631" w:right="239" w:bottom="1440" w:gutter="0" w:footer="0" w:header="0"/>
        </w:sectPr>
      </w:pPr>
    </w:p>
    <w:tbl>
      <w:tblPr>
        <w:tblLayout w:type="fixed"/>
        <w:tblInd w:w="0" w:type="dxa"/>
        <w:tblCellMar>
          <w:top w:w="0" w:type="dxa"/>
          <w:left w:w="0" w:type="dxa"/>
          <w:bottom w:w="0" w:type="dxa"/>
          <w:right w:w="0" w:type="dxa"/>
        </w:tblCellMar>
      </w:tblPr>
      <w:tr>
        <w:trPr>
          <w:trHeight w:val="193"/>
        </w:trPr>
        <w:tc>
          <w:tcPr>
            <w:tcW w:w="282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tcPr>
          <w:p>
            <w:pPr>
              <w:ind w:left="140"/>
              <w:spacing w:after="0"/>
              <w:rPr>
                <w:sz w:val="20"/>
                <w:szCs w:val="20"/>
                <w:color w:val="auto"/>
              </w:rPr>
            </w:pPr>
            <w:r>
              <w:rPr>
                <w:rFonts w:ascii="Arial" w:cs="Arial" w:eastAsia="Arial" w:hAnsi="Arial"/>
                <w:sz w:val="16"/>
                <w:szCs w:val="16"/>
                <w:color w:val="auto"/>
              </w:rPr>
              <w:t>Non-interest-bearing</w:t>
            </w:r>
          </w:p>
        </w:tc>
        <w:tc>
          <w:tcPr>
            <w:tcW w:w="6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5,568,657</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5,013,260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20" w:type="dxa"/>
            <w:vAlign w:val="bottom"/>
          </w:tcPr>
          <w:p>
            <w:pPr>
              <w:ind w:left="140"/>
              <w:spacing w:after="0"/>
              <w:rPr>
                <w:sz w:val="20"/>
                <w:szCs w:val="20"/>
                <w:color w:val="auto"/>
              </w:rPr>
            </w:pPr>
            <w:r>
              <w:rPr>
                <w:rFonts w:ascii="Arial" w:cs="Arial" w:eastAsia="Arial" w:hAnsi="Arial"/>
                <w:sz w:val="16"/>
                <w:szCs w:val="16"/>
                <w:color w:val="auto"/>
              </w:rPr>
              <w:t>Interest-bearing</w:t>
            </w:r>
          </w:p>
        </w:tc>
        <w:tc>
          <w:tcPr>
            <w:tcW w:w="6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11,077,112</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17,378,484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20" w:type="dxa"/>
            <w:vAlign w:val="bottom"/>
            <w:vMerge w:val="restart"/>
          </w:tcPr>
          <w:p>
            <w:pPr>
              <w:spacing w:after="0"/>
              <w:rPr>
                <w:sz w:val="20"/>
                <w:szCs w:val="20"/>
                <w:color w:val="auto"/>
              </w:rPr>
            </w:pPr>
            <w:r>
              <w:rPr>
                <w:rFonts w:ascii="Arial" w:cs="Arial" w:eastAsia="Arial" w:hAnsi="Arial"/>
                <w:sz w:val="16"/>
                <w:szCs w:val="16"/>
                <w:color w:val="auto"/>
              </w:rPr>
              <w:t>Cash collateral, reverse repurchase</w:t>
            </w:r>
          </w:p>
        </w:tc>
        <w:tc>
          <w:tcPr>
            <w:tcW w:w="64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16,645,769</w:t>
            </w:r>
          </w:p>
        </w:tc>
        <w:tc>
          <w:tcPr>
            <w:tcW w:w="100" w:type="dxa"/>
            <w:vAlign w:val="bottom"/>
          </w:tcPr>
          <w:p>
            <w:pPr>
              <w:spacing w:after="0"/>
              <w:rPr>
                <w:sz w:val="17"/>
                <w:szCs w:val="17"/>
                <w:color w:val="auto"/>
              </w:rPr>
            </w:pPr>
          </w:p>
        </w:tc>
        <w:tc>
          <w:tcPr>
            <w:tcW w:w="10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22,391,744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8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20" w:type="dxa"/>
            <w:vAlign w:val="bottom"/>
          </w:tcPr>
          <w:p>
            <w:pPr>
              <w:spacing w:after="0"/>
              <w:rPr>
                <w:sz w:val="20"/>
                <w:szCs w:val="20"/>
                <w:color w:val="auto"/>
              </w:rPr>
            </w:pPr>
            <w:r>
              <w:rPr>
                <w:rFonts w:ascii="Arial" w:cs="Arial" w:eastAsia="Arial" w:hAnsi="Arial"/>
                <w:sz w:val="16"/>
                <w:szCs w:val="16"/>
                <w:color w:val="auto"/>
              </w:rPr>
              <w:t>agreements and securities borrowings</w:t>
            </w:r>
          </w:p>
        </w:tc>
        <w:tc>
          <w:tcPr>
            <w:tcW w:w="640" w:type="dxa"/>
            <w:vAlign w:val="bottom"/>
          </w:tcPr>
          <w:p>
            <w:pPr>
              <w:jc w:val="center"/>
              <w:ind w:right="19"/>
              <w:spacing w:after="0"/>
              <w:rPr>
                <w:sz w:val="20"/>
                <w:szCs w:val="20"/>
                <w:color w:val="auto"/>
              </w:rPr>
            </w:pPr>
            <w:r>
              <w:rPr>
                <w:rFonts w:ascii="Arial" w:cs="Arial" w:eastAsia="Arial" w:hAnsi="Arial"/>
                <w:sz w:val="16"/>
                <w:szCs w:val="16"/>
                <w:color w:val="auto"/>
                <w:w w:val="91"/>
              </w:rPr>
              <w:t>5(a)</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10,919,624</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11,026,698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2820" w:type="dxa"/>
            <w:vAlign w:val="bottom"/>
          </w:tcPr>
          <w:p>
            <w:pPr>
              <w:spacing w:after="0"/>
              <w:rPr>
                <w:sz w:val="20"/>
                <w:szCs w:val="20"/>
                <w:color w:val="auto"/>
              </w:rPr>
            </w:pPr>
            <w:r>
              <w:rPr>
                <w:rFonts w:ascii="Arial" w:cs="Arial" w:eastAsia="Arial" w:hAnsi="Arial"/>
                <w:sz w:val="16"/>
                <w:szCs w:val="16"/>
                <w:color w:val="auto"/>
              </w:rPr>
              <w:t>Investments:</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Arial" w:cs="Arial" w:eastAsia="Arial" w:hAnsi="Arial"/>
                <w:sz w:val="16"/>
                <w:szCs w:val="16"/>
                <w:color w:val="auto"/>
              </w:rPr>
              <w:t>Trading securities</w:t>
            </w:r>
          </w:p>
        </w:tc>
        <w:tc>
          <w:tcPr>
            <w:tcW w:w="640" w:type="dxa"/>
            <w:vAlign w:val="bottom"/>
          </w:tcPr>
          <w:p>
            <w:pPr>
              <w:jc w:val="center"/>
              <w:ind w:right="19"/>
              <w:spacing w:after="0"/>
              <w:rPr>
                <w:sz w:val="20"/>
                <w:szCs w:val="20"/>
                <w:color w:val="auto"/>
              </w:rPr>
            </w:pPr>
            <w:r>
              <w:rPr>
                <w:rFonts w:ascii="Arial" w:cs="Arial" w:eastAsia="Arial" w:hAnsi="Arial"/>
                <w:sz w:val="16"/>
                <w:szCs w:val="16"/>
                <w:color w:val="auto"/>
                <w:w w:val="91"/>
              </w:rPr>
              <w:t>6(a)</w:t>
            </w:r>
          </w:p>
        </w:tc>
        <w:tc>
          <w:tcPr>
            <w:tcW w:w="960" w:type="dxa"/>
            <w:vAlign w:val="bottom"/>
          </w:tcPr>
          <w:p>
            <w:pPr>
              <w:jc w:val="right"/>
              <w:spacing w:after="0"/>
              <w:rPr>
                <w:sz w:val="20"/>
                <w:szCs w:val="20"/>
                <w:color w:val="auto"/>
              </w:rPr>
            </w:pPr>
            <w:r>
              <w:rPr>
                <w:rFonts w:ascii="Arial" w:cs="Arial" w:eastAsia="Arial" w:hAnsi="Arial"/>
                <w:sz w:val="16"/>
                <w:szCs w:val="16"/>
                <w:color w:val="auto"/>
              </w:rPr>
              <w:t>4,015,019</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2,323,096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Arial" w:cs="Arial" w:eastAsia="Arial" w:hAnsi="Arial"/>
                <w:sz w:val="16"/>
                <w:szCs w:val="16"/>
                <w:color w:val="auto"/>
              </w:rPr>
              <w:t>Available-for-sale investments</w:t>
            </w:r>
          </w:p>
        </w:tc>
        <w:tc>
          <w:tcPr>
            <w:tcW w:w="6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17,086,774</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17,210,714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Arial" w:cs="Arial" w:eastAsia="Arial" w:hAnsi="Arial"/>
                <w:sz w:val="16"/>
                <w:szCs w:val="16"/>
                <w:color w:val="auto"/>
                <w:w w:val="94"/>
              </w:rPr>
              <w:t>Available-for-sale investments pledged as</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20" w:type="dxa"/>
            <w:vAlign w:val="bottom"/>
          </w:tcPr>
          <w:p>
            <w:pPr>
              <w:spacing w:after="0"/>
              <w:rPr>
                <w:sz w:val="20"/>
                <w:szCs w:val="20"/>
                <w:color w:val="auto"/>
              </w:rPr>
            </w:pPr>
            <w:r>
              <w:rPr>
                <w:rFonts w:ascii="Arial" w:cs="Arial" w:eastAsia="Arial" w:hAnsi="Arial"/>
                <w:sz w:val="16"/>
                <w:szCs w:val="16"/>
                <w:color w:val="auto"/>
              </w:rPr>
              <w:t>collateral</w:t>
            </w:r>
          </w:p>
        </w:tc>
        <w:tc>
          <w:tcPr>
            <w:tcW w:w="640" w:type="dxa"/>
            <w:vAlign w:val="bottom"/>
            <w:vMerge w:val="restart"/>
          </w:tcPr>
          <w:p>
            <w:pPr>
              <w:jc w:val="center"/>
              <w:ind w:right="19"/>
              <w:spacing w:after="0"/>
              <w:rPr>
                <w:sz w:val="20"/>
                <w:szCs w:val="20"/>
                <w:color w:val="auto"/>
              </w:rPr>
            </w:pPr>
            <w:r>
              <w:rPr>
                <w:rFonts w:ascii="Arial" w:cs="Arial" w:eastAsia="Arial" w:hAnsi="Arial"/>
                <w:sz w:val="16"/>
                <w:szCs w:val="16"/>
                <w:color w:val="auto"/>
                <w:w w:val="91"/>
              </w:rPr>
              <w:t>6(a)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1,598,893</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1,558,207</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60" w:type="dxa"/>
            <w:vAlign w:val="bottom"/>
          </w:tcPr>
          <w:p>
            <w:pPr>
              <w:jc w:val="right"/>
              <w:spacing w:after="0" w:line="174" w:lineRule="exact"/>
              <w:rPr>
                <w:sz w:val="20"/>
                <w:szCs w:val="20"/>
                <w:color w:val="auto"/>
              </w:rPr>
            </w:pPr>
            <w:r>
              <w:rPr>
                <w:rFonts w:ascii="Arial" w:cs="Arial" w:eastAsia="Arial" w:hAnsi="Arial"/>
                <w:sz w:val="16"/>
                <w:szCs w:val="16"/>
                <w:color w:val="auto"/>
              </w:rPr>
              <w:t>18,685,667</w:t>
            </w:r>
          </w:p>
        </w:tc>
        <w:tc>
          <w:tcPr>
            <w:tcW w:w="100" w:type="dxa"/>
            <w:vAlign w:val="bottom"/>
          </w:tcPr>
          <w:p>
            <w:pPr>
              <w:spacing w:after="0"/>
              <w:rPr>
                <w:sz w:val="15"/>
                <w:szCs w:val="15"/>
                <w:color w:val="auto"/>
              </w:rPr>
            </w:pPr>
          </w:p>
        </w:tc>
        <w:tc>
          <w:tcPr>
            <w:tcW w:w="10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18,768,921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Arial" w:cs="Arial" w:eastAsia="Arial" w:hAnsi="Arial"/>
                <w:sz w:val="16"/>
                <w:szCs w:val="16"/>
                <w:color w:val="auto"/>
              </w:rPr>
              <w:t>Held-to-maturity securities</w:t>
            </w:r>
          </w:p>
        </w:tc>
        <w:tc>
          <w:tcPr>
            <w:tcW w:w="6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2,867,755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1,683,556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Arial" w:cs="Arial" w:eastAsia="Arial" w:hAnsi="Arial"/>
                <w:sz w:val="16"/>
                <w:szCs w:val="16"/>
                <w:color w:val="auto"/>
              </w:rPr>
              <w:t>Held-to-maturity securities pledge as</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20" w:type="dxa"/>
            <w:vAlign w:val="bottom"/>
          </w:tcPr>
          <w:p>
            <w:pPr>
              <w:spacing w:after="0"/>
              <w:rPr>
                <w:sz w:val="20"/>
                <w:szCs w:val="20"/>
                <w:color w:val="auto"/>
              </w:rPr>
            </w:pPr>
            <w:r>
              <w:rPr>
                <w:rFonts w:ascii="Arial" w:cs="Arial" w:eastAsia="Arial" w:hAnsi="Arial"/>
                <w:sz w:val="16"/>
                <w:szCs w:val="16"/>
                <w:color w:val="auto"/>
              </w:rPr>
              <w:t>collateral</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8"/>
              </w:rPr>
              <w:t>6(b)</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2,250,665</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1,898,573</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5,118,420</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3,582,129</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27,819,106</w:t>
            </w:r>
          </w:p>
        </w:tc>
        <w:tc>
          <w:tcPr>
            <w:tcW w:w="1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24,674,146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2820" w:type="dxa"/>
            <w:vAlign w:val="bottom"/>
          </w:tcPr>
          <w:p>
            <w:pPr>
              <w:spacing w:after="0"/>
              <w:rPr>
                <w:sz w:val="20"/>
                <w:szCs w:val="20"/>
                <w:color w:val="auto"/>
              </w:rPr>
            </w:pPr>
            <w:r>
              <w:rPr>
                <w:rFonts w:ascii="Arial" w:cs="Arial" w:eastAsia="Arial" w:hAnsi="Arial"/>
                <w:sz w:val="16"/>
                <w:szCs w:val="16"/>
                <w:color w:val="auto"/>
              </w:rPr>
              <w:t>Loans, net:</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820" w:type="dxa"/>
            <w:vAlign w:val="bottom"/>
          </w:tcPr>
          <w:p>
            <w:pPr>
              <w:ind w:left="140"/>
              <w:spacing w:after="0"/>
              <w:rPr>
                <w:sz w:val="20"/>
                <w:szCs w:val="20"/>
                <w:color w:val="auto"/>
              </w:rPr>
            </w:pPr>
            <w:r>
              <w:rPr>
                <w:rFonts w:ascii="Arial" w:cs="Arial" w:eastAsia="Arial" w:hAnsi="Arial"/>
                <w:sz w:val="16"/>
                <w:szCs w:val="16"/>
                <w:color w:val="auto"/>
              </w:rPr>
              <w:t>Loans, net of unearned income</w:t>
            </w:r>
          </w:p>
        </w:tc>
        <w:tc>
          <w:tcPr>
            <w:tcW w:w="6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94,768,901</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90,328,499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20" w:type="dxa"/>
            <w:vAlign w:val="bottom"/>
          </w:tcPr>
          <w:p>
            <w:pPr>
              <w:ind w:left="140"/>
              <w:spacing w:after="0"/>
              <w:rPr>
                <w:sz w:val="20"/>
                <w:szCs w:val="20"/>
                <w:color w:val="auto"/>
              </w:rPr>
            </w:pPr>
            <w:r>
              <w:rPr>
                <w:rFonts w:ascii="Arial" w:cs="Arial" w:eastAsia="Arial" w:hAnsi="Arial"/>
                <w:sz w:val="16"/>
                <w:szCs w:val="16"/>
                <w:color w:val="auto"/>
              </w:rPr>
              <w:t>Allowance for loan losses</w:t>
            </w:r>
          </w:p>
        </w:tc>
        <w:tc>
          <w:tcPr>
            <w:tcW w:w="6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(4,207,133)</w:t>
            </w:r>
          </w:p>
        </w:tc>
        <w:tc>
          <w:tcPr>
            <w:tcW w:w="1060" w:type="dxa"/>
            <w:vAlign w:val="bottom"/>
            <w:gridSpan w:val="4"/>
          </w:tcPr>
          <w:p>
            <w:pPr>
              <w:jc w:val="right"/>
              <w:spacing w:after="0"/>
              <w:rPr>
                <w:sz w:val="20"/>
                <w:szCs w:val="20"/>
                <w:color w:val="auto"/>
              </w:rPr>
            </w:pPr>
            <w:r>
              <w:rPr>
                <w:rFonts w:ascii="Arial" w:cs="Arial" w:eastAsia="Arial" w:hAnsi="Arial"/>
                <w:sz w:val="16"/>
                <w:szCs w:val="16"/>
                <w:color w:val="auto"/>
              </w:rPr>
              <w:t>(3,840,337)</w:t>
            </w: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90,561,768</w:t>
            </w:r>
          </w:p>
        </w:tc>
        <w:tc>
          <w:tcPr>
            <w:tcW w:w="10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86,488,162</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2820" w:type="dxa"/>
            <w:vAlign w:val="bottom"/>
          </w:tcPr>
          <w:p>
            <w:pPr>
              <w:spacing w:after="0"/>
              <w:rPr>
                <w:sz w:val="20"/>
                <w:szCs w:val="20"/>
                <w:color w:val="auto"/>
              </w:rPr>
            </w:pPr>
            <w:r>
              <w:rPr>
                <w:rFonts w:ascii="Arial" w:cs="Arial" w:eastAsia="Arial" w:hAnsi="Arial"/>
                <w:sz w:val="16"/>
                <w:szCs w:val="16"/>
                <w:color w:val="auto"/>
                <w:w w:val="98"/>
              </w:rPr>
              <w:t>Financial assets designated at fair value</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Arial" w:cs="Arial" w:eastAsia="Arial" w:hAnsi="Arial"/>
                <w:sz w:val="16"/>
                <w:szCs w:val="16"/>
                <w:color w:val="auto"/>
              </w:rPr>
              <w:t>through profit or loss</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459,099</w:t>
            </w:r>
          </w:p>
        </w:tc>
        <w:tc>
          <w:tcPr>
            <w:tcW w:w="1000" w:type="dxa"/>
            <w:vAlign w:val="bottom"/>
          </w:tcPr>
          <w:p>
            <w:pPr>
              <w:jc w:val="right"/>
              <w:spacing w:after="0"/>
              <w:rPr>
                <w:sz w:val="20"/>
                <w:szCs w:val="20"/>
                <w:color w:val="auto"/>
              </w:rPr>
            </w:pPr>
            <w:r>
              <w:rPr>
                <w:rFonts w:ascii="Arial" w:cs="Arial" w:eastAsia="Arial" w:hAnsi="Arial"/>
                <w:sz w:val="16"/>
                <w:szCs w:val="16"/>
                <w:color w:val="auto"/>
              </w:rPr>
              <w:t>350,328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Arial" w:cs="Arial" w:eastAsia="Arial" w:hAnsi="Arial"/>
                <w:sz w:val="16"/>
                <w:szCs w:val="16"/>
                <w:color w:val="auto"/>
              </w:rPr>
              <w:t>Premium and other policies receivable</w:t>
            </w:r>
          </w:p>
        </w:tc>
        <w:tc>
          <w:tcPr>
            <w:tcW w:w="640" w:type="dxa"/>
            <w:vAlign w:val="bottom"/>
          </w:tcPr>
          <w:p>
            <w:pPr>
              <w:jc w:val="center"/>
              <w:ind w:right="19"/>
              <w:spacing w:after="0"/>
              <w:rPr>
                <w:sz w:val="20"/>
                <w:szCs w:val="20"/>
                <w:color w:val="auto"/>
              </w:rPr>
            </w:pPr>
            <w:r>
              <w:rPr>
                <w:rFonts w:ascii="Arial" w:cs="Arial" w:eastAsia="Arial" w:hAnsi="Arial"/>
                <w:sz w:val="16"/>
                <w:szCs w:val="16"/>
                <w:color w:val="auto"/>
                <w:w w:val="91"/>
              </w:rPr>
              <w:t>9(a)</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643,224</w:t>
            </w:r>
          </w:p>
        </w:tc>
        <w:tc>
          <w:tcPr>
            <w:tcW w:w="1000" w:type="dxa"/>
            <w:vAlign w:val="bottom"/>
          </w:tcPr>
          <w:p>
            <w:pPr>
              <w:jc w:val="right"/>
              <w:spacing w:after="0"/>
              <w:rPr>
                <w:sz w:val="20"/>
                <w:szCs w:val="20"/>
                <w:color w:val="auto"/>
              </w:rPr>
            </w:pPr>
            <w:r>
              <w:rPr>
                <w:rFonts w:ascii="Arial" w:cs="Arial" w:eastAsia="Arial" w:hAnsi="Arial"/>
                <w:sz w:val="16"/>
                <w:szCs w:val="16"/>
                <w:color w:val="auto"/>
              </w:rPr>
              <w:t>648,017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Arial" w:cs="Arial" w:eastAsia="Arial" w:hAnsi="Arial"/>
                <w:sz w:val="16"/>
                <w:szCs w:val="16"/>
                <w:color w:val="auto"/>
                <w:w w:val="97"/>
              </w:rPr>
              <w:t>Accounts receivable from reinsurers and</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Arial" w:cs="Arial" w:eastAsia="Arial" w:hAnsi="Arial"/>
                <w:sz w:val="16"/>
                <w:szCs w:val="16"/>
                <w:color w:val="auto"/>
              </w:rPr>
              <w:t>coinsurers</w:t>
            </w:r>
          </w:p>
        </w:tc>
        <w:tc>
          <w:tcPr>
            <w:tcW w:w="640" w:type="dxa"/>
            <w:vAlign w:val="bottom"/>
          </w:tcPr>
          <w:p>
            <w:pPr>
              <w:jc w:val="center"/>
              <w:spacing w:after="0"/>
              <w:rPr>
                <w:sz w:val="20"/>
                <w:szCs w:val="20"/>
                <w:color w:val="auto"/>
              </w:rPr>
            </w:pPr>
            <w:r>
              <w:rPr>
                <w:rFonts w:ascii="Arial" w:cs="Arial" w:eastAsia="Arial" w:hAnsi="Arial"/>
                <w:sz w:val="16"/>
                <w:szCs w:val="16"/>
                <w:color w:val="auto"/>
                <w:w w:val="98"/>
              </w:rPr>
              <w:t>9(b)</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454,187</w:t>
            </w:r>
          </w:p>
        </w:tc>
        <w:tc>
          <w:tcPr>
            <w:tcW w:w="1000" w:type="dxa"/>
            <w:vAlign w:val="bottom"/>
          </w:tcPr>
          <w:p>
            <w:pPr>
              <w:jc w:val="right"/>
              <w:spacing w:after="0"/>
              <w:rPr>
                <w:sz w:val="20"/>
                <w:szCs w:val="20"/>
                <w:color w:val="auto"/>
              </w:rPr>
            </w:pPr>
            <w:r>
              <w:rPr>
                <w:rFonts w:ascii="Arial" w:cs="Arial" w:eastAsia="Arial" w:hAnsi="Arial"/>
                <w:sz w:val="16"/>
                <w:szCs w:val="16"/>
                <w:color w:val="auto"/>
              </w:rPr>
              <w:t>457,189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20" w:type="dxa"/>
            <w:vAlign w:val="bottom"/>
          </w:tcPr>
          <w:p>
            <w:pPr>
              <w:spacing w:after="0"/>
              <w:rPr>
                <w:sz w:val="20"/>
                <w:szCs w:val="20"/>
                <w:color w:val="auto"/>
              </w:rPr>
            </w:pPr>
            <w:r>
              <w:rPr>
                <w:rFonts w:ascii="Arial" w:cs="Arial" w:eastAsia="Arial" w:hAnsi="Arial"/>
                <w:sz w:val="16"/>
                <w:szCs w:val="16"/>
                <w:color w:val="auto"/>
              </w:rPr>
              <w:t>Property, furniture and equipment, net</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960" w:type="dxa"/>
            <w:vAlign w:val="bottom"/>
          </w:tcPr>
          <w:p>
            <w:pPr>
              <w:jc w:val="right"/>
              <w:spacing w:after="0"/>
              <w:rPr>
                <w:sz w:val="20"/>
                <w:szCs w:val="20"/>
                <w:color w:val="auto"/>
              </w:rPr>
            </w:pPr>
            <w:r>
              <w:rPr>
                <w:rFonts w:ascii="Arial" w:cs="Arial" w:eastAsia="Arial" w:hAnsi="Arial"/>
                <w:sz w:val="16"/>
                <w:szCs w:val="16"/>
                <w:color w:val="auto"/>
              </w:rPr>
              <w:t>1,551,703</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1,671,441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Arial" w:cs="Arial" w:eastAsia="Arial" w:hAnsi="Arial"/>
                <w:sz w:val="16"/>
                <w:szCs w:val="16"/>
                <w:color w:val="auto"/>
              </w:rPr>
              <w:t>Due from customers on acceptances</w:t>
            </w:r>
          </w:p>
        </w:tc>
        <w:tc>
          <w:tcPr>
            <w:tcW w:w="6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491,139</w:t>
            </w:r>
          </w:p>
        </w:tc>
        <w:tc>
          <w:tcPr>
            <w:tcW w:w="1000" w:type="dxa"/>
            <w:vAlign w:val="bottom"/>
          </w:tcPr>
          <w:p>
            <w:pPr>
              <w:jc w:val="right"/>
              <w:spacing w:after="0"/>
              <w:rPr>
                <w:sz w:val="20"/>
                <w:szCs w:val="20"/>
                <w:color w:val="auto"/>
              </w:rPr>
            </w:pPr>
            <w:r>
              <w:rPr>
                <w:rFonts w:ascii="Arial" w:cs="Arial" w:eastAsia="Arial" w:hAnsi="Arial"/>
                <w:sz w:val="16"/>
                <w:szCs w:val="16"/>
                <w:color w:val="auto"/>
              </w:rPr>
              <w:t>222,496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20" w:type="dxa"/>
            <w:vAlign w:val="bottom"/>
          </w:tcPr>
          <w:p>
            <w:pPr>
              <w:spacing w:after="0"/>
              <w:rPr>
                <w:sz w:val="20"/>
                <w:szCs w:val="20"/>
                <w:color w:val="auto"/>
              </w:rPr>
            </w:pPr>
            <w:r>
              <w:rPr>
                <w:rFonts w:ascii="Arial" w:cs="Arial" w:eastAsia="Arial" w:hAnsi="Arial"/>
                <w:sz w:val="16"/>
                <w:szCs w:val="16"/>
                <w:color w:val="auto"/>
              </w:rPr>
              <w:t>Intangible assets and goodwill, net</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960" w:type="dxa"/>
            <w:vAlign w:val="bottom"/>
          </w:tcPr>
          <w:p>
            <w:pPr>
              <w:jc w:val="right"/>
              <w:spacing w:after="0"/>
              <w:rPr>
                <w:sz w:val="20"/>
                <w:szCs w:val="20"/>
                <w:color w:val="auto"/>
              </w:rPr>
            </w:pPr>
            <w:r>
              <w:rPr>
                <w:rFonts w:ascii="Arial" w:cs="Arial" w:eastAsia="Arial" w:hAnsi="Arial"/>
                <w:sz w:val="16"/>
                <w:szCs w:val="16"/>
                <w:color w:val="auto"/>
              </w:rPr>
              <w:t>1,960,690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1,900,697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20" w:type="dxa"/>
            <w:vAlign w:val="bottom"/>
          </w:tcPr>
          <w:p>
            <w:pPr>
              <w:spacing w:after="0"/>
              <w:rPr>
                <w:sz w:val="20"/>
                <w:szCs w:val="20"/>
                <w:color w:val="auto"/>
              </w:rPr>
            </w:pPr>
            <w:r>
              <w:rPr>
                <w:rFonts w:ascii="Arial" w:cs="Arial" w:eastAsia="Arial" w:hAnsi="Arial"/>
                <w:sz w:val="16"/>
                <w:szCs w:val="16"/>
                <w:color w:val="auto"/>
              </w:rPr>
              <w:t>Other assets</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4,928,913</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5,649,299</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82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64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156,435,222</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155,480,217</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-4412615</wp:posOffset>
            </wp:positionV>
            <wp:extent cx="3553460" cy="1225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553460"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-4166870</wp:posOffset>
            </wp:positionV>
            <wp:extent cx="3553460" cy="13017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553460"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-3905885</wp:posOffset>
            </wp:positionV>
            <wp:extent cx="3553460" cy="2457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553460" cy="2457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-3537585</wp:posOffset>
            </wp:positionV>
            <wp:extent cx="3553460" cy="1225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553460"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-3291840</wp:posOffset>
            </wp:positionV>
            <wp:extent cx="3553460" cy="1225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553460"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-2915920</wp:posOffset>
            </wp:positionV>
            <wp:extent cx="3553460" cy="13017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553460"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-2662555</wp:posOffset>
            </wp:positionV>
            <wp:extent cx="3553460" cy="25336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553460" cy="2533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-2279015</wp:posOffset>
            </wp:positionV>
            <wp:extent cx="3553460" cy="13843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553460" cy="138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-2018030</wp:posOffset>
            </wp:positionV>
            <wp:extent cx="3553460" cy="1225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553460"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-1772285</wp:posOffset>
            </wp:positionV>
            <wp:extent cx="3553460" cy="13017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553460"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-1511300</wp:posOffset>
            </wp:positionV>
            <wp:extent cx="3553460" cy="1225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553460"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-1143000</wp:posOffset>
            </wp:positionV>
            <wp:extent cx="3553460" cy="1225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553460"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-774700</wp:posOffset>
            </wp:positionV>
            <wp:extent cx="3553460" cy="13017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553460"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-521335</wp:posOffset>
            </wp:positionV>
            <wp:extent cx="3553460" cy="13017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553460"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-267970</wp:posOffset>
            </wp:positionV>
            <wp:extent cx="3553460" cy="13017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553460" cy="130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193"/>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Deposits and obligations:</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3"/>
        </w:trPr>
        <w:tc>
          <w:tcPr>
            <w:tcW w:w="2800" w:type="dxa"/>
            <w:vAlign w:val="bottom"/>
          </w:tcPr>
          <w:p>
            <w:pPr>
              <w:ind w:left="160"/>
              <w:spacing w:after="0"/>
              <w:rPr>
                <w:sz w:val="20"/>
                <w:szCs w:val="20"/>
                <w:color w:val="auto"/>
              </w:rPr>
            </w:pPr>
            <w:r>
              <w:rPr>
                <w:rFonts w:ascii="Arial" w:cs="Arial" w:eastAsia="Arial" w:hAnsi="Arial"/>
                <w:sz w:val="16"/>
                <w:szCs w:val="16"/>
                <w:color w:val="auto"/>
              </w:rPr>
              <w:t>Non-interest-bearing</w:t>
            </w:r>
          </w:p>
        </w:tc>
        <w:tc>
          <w:tcPr>
            <w:tcW w:w="6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28,084,691</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28,049,070</w:t>
            </w:r>
          </w:p>
        </w:tc>
      </w:tr>
      <w:tr>
        <w:trPr>
          <w:trHeight w:val="205"/>
        </w:trPr>
        <w:tc>
          <w:tcPr>
            <w:tcW w:w="2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Interest-bearing</w:t>
            </w:r>
          </w:p>
        </w:tc>
        <w:tc>
          <w:tcPr>
            <w:tcW w:w="6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57,831,696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60,557,563</w:t>
            </w:r>
          </w:p>
        </w:tc>
      </w:tr>
      <w:tr>
        <w:trPr>
          <w:trHeight w:val="185"/>
        </w:trPr>
        <w:tc>
          <w:tcPr>
            <w:tcW w:w="2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85,916,387</w:t>
            </w:r>
          </w:p>
        </w:tc>
        <w:tc>
          <w:tcPr>
            <w:tcW w:w="12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88,606,633</w:t>
            </w:r>
          </w:p>
        </w:tc>
        <w:tc>
          <w:tcPr>
            <w:tcW w:w="80" w:type="dxa"/>
            <w:vAlign w:val="bottom"/>
          </w:tcPr>
          <w:p>
            <w:pPr>
              <w:spacing w:after="0"/>
              <w:rPr>
                <w:sz w:val="16"/>
                <w:szCs w:val="16"/>
                <w:color w:val="auto"/>
              </w:rPr>
            </w:pPr>
          </w:p>
        </w:tc>
      </w:tr>
      <w:tr>
        <w:trPr>
          <w:trHeight w:val="193"/>
        </w:trPr>
        <w:tc>
          <w:tcPr>
            <w:tcW w:w="2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1"/>
        </w:trPr>
        <w:tc>
          <w:tcPr>
            <w:tcW w:w="2800" w:type="dxa"/>
            <w:vAlign w:val="bottom"/>
          </w:tcPr>
          <w:p>
            <w:pPr>
              <w:spacing w:after="0" w:line="181" w:lineRule="exact"/>
              <w:rPr>
                <w:sz w:val="20"/>
                <w:szCs w:val="20"/>
                <w:color w:val="auto"/>
              </w:rPr>
            </w:pPr>
            <w:r>
              <w:rPr>
                <w:rFonts w:ascii="Arial" w:cs="Arial" w:eastAsia="Arial" w:hAnsi="Arial"/>
                <w:sz w:val="16"/>
                <w:szCs w:val="16"/>
                <w:color w:val="auto"/>
                <w:w w:val="90"/>
              </w:rPr>
              <w:t>Payables from repurchase agreements and</w:t>
            </w: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6"/>
        </w:trPr>
        <w:tc>
          <w:tcPr>
            <w:tcW w:w="2800" w:type="dxa"/>
            <w:vAlign w:val="bottom"/>
          </w:tcPr>
          <w:p>
            <w:pPr>
              <w:spacing w:after="0"/>
              <w:rPr>
                <w:sz w:val="20"/>
                <w:szCs w:val="20"/>
                <w:color w:val="auto"/>
              </w:rPr>
            </w:pPr>
            <w:r>
              <w:rPr>
                <w:rFonts w:ascii="Arial" w:cs="Arial" w:eastAsia="Arial" w:hAnsi="Arial"/>
                <w:sz w:val="16"/>
                <w:szCs w:val="16"/>
                <w:color w:val="auto"/>
              </w:rPr>
              <w:t>security lending</w:t>
            </w:r>
          </w:p>
        </w:tc>
        <w:tc>
          <w:tcPr>
            <w:tcW w:w="660" w:type="dxa"/>
            <w:vAlign w:val="bottom"/>
          </w:tcPr>
          <w:p>
            <w:pPr>
              <w:jc w:val="center"/>
              <w:spacing w:after="0"/>
              <w:rPr>
                <w:sz w:val="20"/>
                <w:szCs w:val="20"/>
                <w:color w:val="auto"/>
              </w:rPr>
            </w:pPr>
            <w:r>
              <w:rPr>
                <w:rFonts w:ascii="Arial" w:cs="Arial" w:eastAsia="Arial" w:hAnsi="Arial"/>
                <w:sz w:val="16"/>
                <w:szCs w:val="16"/>
                <w:color w:val="auto"/>
                <w:w w:val="91"/>
              </w:rPr>
              <w:t>5(b)</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15,127,999</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14,599,750</w:t>
            </w:r>
          </w:p>
        </w:tc>
      </w:tr>
      <w:tr>
        <w:trPr>
          <w:trHeight w:val="194"/>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Due to banks and correspondents</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7,493,916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7,762,497</w:t>
            </w:r>
          </w:p>
        </w:tc>
      </w:tr>
      <w:tr>
        <w:trPr>
          <w:trHeight w:val="193"/>
        </w:trPr>
        <w:tc>
          <w:tcPr>
            <w:tcW w:w="2800" w:type="dxa"/>
            <w:vAlign w:val="bottom"/>
          </w:tcPr>
          <w:p>
            <w:pPr>
              <w:spacing w:after="0"/>
              <w:rPr>
                <w:sz w:val="20"/>
                <w:szCs w:val="20"/>
                <w:color w:val="auto"/>
              </w:rPr>
            </w:pPr>
            <w:r>
              <w:rPr>
                <w:rFonts w:ascii="Arial" w:cs="Arial" w:eastAsia="Arial" w:hAnsi="Arial"/>
                <w:sz w:val="16"/>
                <w:szCs w:val="16"/>
                <w:color w:val="auto"/>
              </w:rPr>
              <w:t>Banker’s acceptances outstanding</w:t>
            </w:r>
          </w:p>
        </w:tc>
        <w:tc>
          <w:tcPr>
            <w:tcW w:w="6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491,139</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222,496</w:t>
            </w:r>
          </w:p>
        </w:tc>
      </w:tr>
      <w:tr>
        <w:trPr>
          <w:trHeight w:val="193"/>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payables to reinsurers</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9(b)</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233,892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241,847</w:t>
            </w:r>
          </w:p>
        </w:tc>
      </w:tr>
      <w:tr>
        <w:trPr>
          <w:trHeight w:val="193"/>
        </w:trPr>
        <w:tc>
          <w:tcPr>
            <w:tcW w:w="2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1"/>
        </w:trPr>
        <w:tc>
          <w:tcPr>
            <w:tcW w:w="28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Financial liabilities at fair value through</w:t>
            </w: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6"/>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profit or loss</w:t>
            </w:r>
          </w:p>
        </w:tc>
        <w:tc>
          <w:tcPr>
            <w:tcW w:w="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3(f)(v)</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209,520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47,737</w:t>
            </w:r>
          </w:p>
        </w:tc>
      </w:tr>
      <w:tr>
        <w:trPr>
          <w:trHeight w:val="205"/>
        </w:trPr>
        <w:tc>
          <w:tcPr>
            <w:tcW w:w="2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1"/>
        </w:trPr>
        <w:tc>
          <w:tcPr>
            <w:tcW w:w="28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Technical reserves, insurance claims</w:t>
            </w: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6"/>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reserves and unearned premiums</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6,786,189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6,361,627</w:t>
            </w:r>
          </w:p>
        </w:tc>
      </w:tr>
      <w:tr>
        <w:trPr>
          <w:trHeight w:val="193"/>
        </w:trPr>
        <w:tc>
          <w:tcPr>
            <w:tcW w:w="2800" w:type="dxa"/>
            <w:vAlign w:val="bottom"/>
          </w:tcPr>
          <w:p>
            <w:pPr>
              <w:spacing w:after="0"/>
              <w:rPr>
                <w:sz w:val="20"/>
                <w:szCs w:val="20"/>
                <w:color w:val="auto"/>
              </w:rPr>
            </w:pPr>
            <w:r>
              <w:rPr>
                <w:rFonts w:ascii="Arial" w:cs="Arial" w:eastAsia="Arial" w:hAnsi="Arial"/>
                <w:sz w:val="16"/>
                <w:szCs w:val="16"/>
                <w:color w:val="auto"/>
              </w:rPr>
              <w:t>Bonds and notes issued</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15,939,603</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16,287,962</w:t>
            </w:r>
          </w:p>
        </w:tc>
      </w:tr>
      <w:tr>
        <w:trPr>
          <w:trHeight w:val="205"/>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4,120,066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4,622,098</w:t>
            </w:r>
          </w:p>
        </w:tc>
      </w:tr>
      <w:tr>
        <w:trPr>
          <w:trHeight w:val="185"/>
        </w:trPr>
        <w:tc>
          <w:tcPr>
            <w:tcW w:w="2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2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6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136,318,711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138,752,647</w:t>
            </w:r>
          </w:p>
        </w:tc>
      </w:tr>
      <w:tr>
        <w:trPr>
          <w:trHeight w:val="185"/>
        </w:trPr>
        <w:tc>
          <w:tcPr>
            <w:tcW w:w="2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2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3"/>
        </w:trPr>
        <w:tc>
          <w:tcPr>
            <w:tcW w:w="2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1"/>
        </w:trPr>
        <w:tc>
          <w:tcPr>
            <w:tcW w:w="28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9"/>
              </w:rPr>
              <w:t>Equity attributable to Credicorp´s equity</w:t>
            </w: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8"/>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holders</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3"/>
        </w:trPr>
        <w:tc>
          <w:tcPr>
            <w:tcW w:w="2800" w:type="dxa"/>
            <w:vAlign w:val="bottom"/>
          </w:tcPr>
          <w:p>
            <w:pPr>
              <w:ind w:left="160"/>
              <w:spacing w:after="0"/>
              <w:rPr>
                <w:sz w:val="20"/>
                <w:szCs w:val="20"/>
                <w:color w:val="auto"/>
              </w:rPr>
            </w:pPr>
            <w:r>
              <w:rPr>
                <w:rFonts w:ascii="Arial" w:cs="Arial" w:eastAsia="Arial" w:hAnsi="Arial"/>
                <w:sz w:val="16"/>
                <w:szCs w:val="16"/>
                <w:color w:val="auto"/>
              </w:rPr>
              <w:t>Capital stock</w:t>
            </w:r>
          </w:p>
        </w:tc>
        <w:tc>
          <w:tcPr>
            <w:tcW w:w="6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1,318,993</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1,318,993</w:t>
            </w:r>
          </w:p>
        </w:tc>
      </w:tr>
      <w:tr>
        <w:trPr>
          <w:trHeight w:val="193"/>
        </w:trPr>
        <w:tc>
          <w:tcPr>
            <w:tcW w:w="2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Treasury stock</w:t>
            </w:r>
          </w:p>
        </w:tc>
        <w:tc>
          <w:tcPr>
            <w:tcW w:w="6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(209,322)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(208,978)</w:t>
            </w:r>
          </w:p>
        </w:tc>
      </w:tr>
      <w:tr>
        <w:trPr>
          <w:trHeight w:val="193"/>
        </w:trPr>
        <w:tc>
          <w:tcPr>
            <w:tcW w:w="2800" w:type="dxa"/>
            <w:vAlign w:val="bottom"/>
          </w:tcPr>
          <w:p>
            <w:pPr>
              <w:ind w:left="160"/>
              <w:spacing w:after="0"/>
              <w:rPr>
                <w:sz w:val="20"/>
                <w:szCs w:val="20"/>
                <w:color w:val="auto"/>
              </w:rPr>
            </w:pPr>
            <w:r>
              <w:rPr>
                <w:rFonts w:ascii="Arial" w:cs="Arial" w:eastAsia="Arial" w:hAnsi="Arial"/>
                <w:sz w:val="16"/>
                <w:szCs w:val="16"/>
                <w:color w:val="auto"/>
              </w:rPr>
              <w:t>Capital surplus</w:t>
            </w:r>
          </w:p>
        </w:tc>
        <w:tc>
          <w:tcPr>
            <w:tcW w:w="6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280,876</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284,171</w:t>
            </w:r>
          </w:p>
        </w:tc>
      </w:tr>
      <w:tr>
        <w:trPr>
          <w:trHeight w:val="193"/>
        </w:trPr>
        <w:tc>
          <w:tcPr>
            <w:tcW w:w="2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Put options and reserves</w:t>
            </w:r>
          </w:p>
        </w:tc>
        <w:tc>
          <w:tcPr>
            <w:tcW w:w="6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13,539,091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10,881,678</w:t>
            </w:r>
          </w:p>
        </w:tc>
      </w:tr>
      <w:tr>
        <w:trPr>
          <w:trHeight w:val="193"/>
        </w:trPr>
        <w:tc>
          <w:tcPr>
            <w:tcW w:w="2800" w:type="dxa"/>
            <w:vAlign w:val="bottom"/>
          </w:tcPr>
          <w:p>
            <w:pPr>
              <w:ind w:left="160"/>
              <w:spacing w:after="0"/>
              <w:rPr>
                <w:sz w:val="20"/>
                <w:szCs w:val="20"/>
                <w:color w:val="auto"/>
              </w:rPr>
            </w:pPr>
            <w:r>
              <w:rPr>
                <w:rFonts w:ascii="Arial" w:cs="Arial" w:eastAsia="Arial" w:hAnsi="Arial"/>
                <w:sz w:val="16"/>
                <w:szCs w:val="16"/>
                <w:color w:val="auto"/>
              </w:rPr>
              <w:t>Other reserves</w:t>
            </w:r>
          </w:p>
        </w:tc>
        <w:tc>
          <w:tcPr>
            <w:tcW w:w="6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1,209,731</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762,695</w:t>
            </w:r>
          </w:p>
        </w:tc>
      </w:tr>
      <w:tr>
        <w:trPr>
          <w:trHeight w:val="205"/>
        </w:trPr>
        <w:tc>
          <w:tcPr>
            <w:tcW w:w="2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Retained earnings</w:t>
            </w:r>
          </w:p>
        </w:tc>
        <w:tc>
          <w:tcPr>
            <w:tcW w:w="6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3,516,766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3,089,457</w:t>
            </w:r>
          </w:p>
        </w:tc>
      </w:tr>
      <w:tr>
        <w:trPr>
          <w:trHeight w:val="185"/>
        </w:trPr>
        <w:tc>
          <w:tcPr>
            <w:tcW w:w="2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19,656,135</w:t>
            </w:r>
          </w:p>
        </w:tc>
        <w:tc>
          <w:tcPr>
            <w:tcW w:w="12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16,128,016</w:t>
            </w:r>
          </w:p>
        </w:tc>
        <w:tc>
          <w:tcPr>
            <w:tcW w:w="80" w:type="dxa"/>
            <w:vAlign w:val="bottom"/>
          </w:tcPr>
          <w:p>
            <w:pPr>
              <w:spacing w:after="0"/>
              <w:rPr>
                <w:sz w:val="16"/>
                <w:szCs w:val="16"/>
                <w:color w:val="auto"/>
              </w:rPr>
            </w:pPr>
          </w:p>
        </w:tc>
      </w:tr>
      <w:tr>
        <w:trPr>
          <w:trHeight w:val="205"/>
        </w:trPr>
        <w:tc>
          <w:tcPr>
            <w:tcW w:w="2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Non-controlling interest</w:t>
            </w:r>
          </w:p>
        </w:tc>
        <w:tc>
          <w:tcPr>
            <w:tcW w:w="6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460,376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599,554</w:t>
            </w:r>
          </w:p>
        </w:tc>
      </w:tr>
      <w:tr>
        <w:trPr>
          <w:trHeight w:val="185"/>
        </w:trPr>
        <w:tc>
          <w:tcPr>
            <w:tcW w:w="2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2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equity</w:t>
            </w:r>
          </w:p>
        </w:tc>
        <w:tc>
          <w:tcPr>
            <w:tcW w:w="6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20,116,511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16,727,570</w:t>
            </w:r>
          </w:p>
        </w:tc>
      </w:tr>
      <w:tr>
        <w:trPr>
          <w:trHeight w:val="185"/>
        </w:trPr>
        <w:tc>
          <w:tcPr>
            <w:tcW w:w="2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2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equity</w:t>
            </w:r>
          </w:p>
        </w:tc>
        <w:tc>
          <w:tcPr>
            <w:tcW w:w="6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156,435,222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155,480,217</w:t>
            </w:r>
          </w:p>
        </w:tc>
      </w:tr>
      <w:tr>
        <w:trPr>
          <w:trHeight w:val="20"/>
        </w:trPr>
        <w:tc>
          <w:tcPr>
            <w:tcW w:w="2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13970</wp:posOffset>
            </wp:positionV>
            <wp:extent cx="7261225"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2">
            <w:col w:w="5580" w:space="0"/>
            <w:col w:w="5840"/>
          </w:cols>
          <w:pgMar w:left="240" w:top="631"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CREDICORP LTD.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 OF INCOME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2016, 2015 AND 2014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1080" w:type="dxa"/>
            <w:vAlign w:val="bottom"/>
          </w:tcPr>
          <w:p>
            <w:pPr>
              <w:jc w:val="center"/>
              <w:ind w:left="159"/>
              <w:spacing w:after="0"/>
              <w:rPr>
                <w:sz w:val="20"/>
                <w:szCs w:val="20"/>
                <w:color w:val="auto"/>
              </w:rPr>
            </w:pPr>
            <w:r>
              <w:rPr>
                <w:rFonts w:ascii="Arial" w:cs="Arial" w:eastAsia="Arial" w:hAnsi="Arial"/>
                <w:sz w:val="16"/>
                <w:szCs w:val="16"/>
                <w:b w:val="1"/>
                <w:bCs w:val="1"/>
                <w:color w:val="auto"/>
                <w:w w:val="89"/>
              </w:rPr>
              <w:t>Note</w:t>
            </w:r>
          </w:p>
        </w:tc>
      </w:tr>
      <w:tr>
        <w:trPr>
          <w:trHeight w:val="604"/>
        </w:trPr>
        <w:tc>
          <w:tcPr>
            <w:tcW w:w="5180" w:type="dxa"/>
            <w:vAlign w:val="bottom"/>
          </w:tcPr>
          <w:p>
            <w:pPr>
              <w:spacing w:after="0"/>
              <w:rPr>
                <w:sz w:val="20"/>
                <w:szCs w:val="20"/>
                <w:color w:val="auto"/>
              </w:rPr>
            </w:pPr>
            <w:r>
              <w:rPr>
                <w:rFonts w:ascii="Arial" w:cs="Arial" w:eastAsia="Arial" w:hAnsi="Arial"/>
                <w:sz w:val="16"/>
                <w:szCs w:val="16"/>
                <w:b w:val="1"/>
                <w:bCs w:val="1"/>
                <w:color w:val="auto"/>
              </w:rPr>
              <w:t>Interest and similar income</w:t>
            </w:r>
          </w:p>
        </w:tc>
        <w:tc>
          <w:tcPr>
            <w:tcW w:w="1080" w:type="dxa"/>
            <w:vAlign w:val="bottom"/>
          </w:tcPr>
          <w:p>
            <w:pPr>
              <w:jc w:val="center"/>
              <w:ind w:left="159"/>
              <w:spacing w:after="0"/>
              <w:rPr>
                <w:sz w:val="20"/>
                <w:szCs w:val="20"/>
                <w:color w:val="auto"/>
              </w:rPr>
            </w:pPr>
            <w:r>
              <w:rPr>
                <w:rFonts w:ascii="Arial" w:cs="Arial" w:eastAsia="Arial" w:hAnsi="Arial"/>
                <w:sz w:val="16"/>
                <w:szCs w:val="16"/>
                <w:color w:val="auto"/>
                <w:w w:val="89"/>
              </w:rPr>
              <w:t>22</w:t>
            </w:r>
          </w:p>
        </w:tc>
      </w:tr>
      <w:tr>
        <w:trPr>
          <w:trHeight w:val="387"/>
        </w:trPr>
        <w:tc>
          <w:tcPr>
            <w:tcW w:w="5180" w:type="dxa"/>
            <w:vAlign w:val="bottom"/>
          </w:tcPr>
          <w:p>
            <w:pPr>
              <w:spacing w:after="0"/>
              <w:rPr>
                <w:sz w:val="20"/>
                <w:szCs w:val="20"/>
                <w:color w:val="auto"/>
              </w:rPr>
            </w:pPr>
            <w:r>
              <w:rPr>
                <w:rFonts w:ascii="Arial" w:cs="Arial" w:eastAsia="Arial" w:hAnsi="Arial"/>
                <w:sz w:val="16"/>
                <w:szCs w:val="16"/>
                <w:b w:val="1"/>
                <w:bCs w:val="1"/>
                <w:color w:val="auto"/>
              </w:rPr>
              <w:t>Interest and similar expenses</w:t>
            </w:r>
          </w:p>
        </w:tc>
        <w:tc>
          <w:tcPr>
            <w:tcW w:w="1080" w:type="dxa"/>
            <w:vAlign w:val="bottom"/>
          </w:tcPr>
          <w:p>
            <w:pPr>
              <w:jc w:val="center"/>
              <w:ind w:left="159"/>
              <w:spacing w:after="0"/>
              <w:rPr>
                <w:sz w:val="20"/>
                <w:szCs w:val="20"/>
                <w:color w:val="auto"/>
              </w:rPr>
            </w:pPr>
            <w:r>
              <w:rPr>
                <w:rFonts w:ascii="Arial" w:cs="Arial" w:eastAsia="Arial" w:hAnsi="Arial"/>
                <w:sz w:val="16"/>
                <w:szCs w:val="16"/>
                <w:color w:val="auto"/>
                <w:w w:val="89"/>
              </w:rPr>
              <w:t>22</w:t>
            </w:r>
          </w:p>
        </w:tc>
      </w:tr>
      <w:tr>
        <w:trPr>
          <w:trHeight w:val="411"/>
        </w:trPr>
        <w:tc>
          <w:tcPr>
            <w:tcW w:w="5180" w:type="dxa"/>
            <w:vAlign w:val="bottom"/>
          </w:tcPr>
          <w:p>
            <w:pPr>
              <w:spacing w:after="0"/>
              <w:rPr>
                <w:sz w:val="20"/>
                <w:szCs w:val="20"/>
                <w:color w:val="auto"/>
              </w:rPr>
            </w:pPr>
            <w:r>
              <w:rPr>
                <w:rFonts w:ascii="Arial" w:cs="Arial" w:eastAsia="Arial" w:hAnsi="Arial"/>
                <w:sz w:val="16"/>
                <w:szCs w:val="16"/>
                <w:b w:val="1"/>
                <w:bCs w:val="1"/>
                <w:color w:val="auto"/>
              </w:rPr>
              <w:t>Net interest, similar income and expenses</w:t>
            </w:r>
          </w:p>
        </w:tc>
        <w:tc>
          <w:tcPr>
            <w:tcW w:w="1080" w:type="dxa"/>
            <w:vAlign w:val="bottom"/>
          </w:tcPr>
          <w:p>
            <w:pPr>
              <w:spacing w:after="0"/>
              <w:rPr>
                <w:sz w:val="24"/>
                <w:szCs w:val="24"/>
                <w:color w:val="auto"/>
              </w:rPr>
            </w:pPr>
          </w:p>
        </w:tc>
      </w:tr>
      <w:tr>
        <w:trPr>
          <w:trHeight w:val="387"/>
        </w:trPr>
        <w:tc>
          <w:tcPr>
            <w:tcW w:w="5180" w:type="dxa"/>
            <w:vAlign w:val="bottom"/>
          </w:tcPr>
          <w:p>
            <w:pPr>
              <w:spacing w:after="0"/>
              <w:rPr>
                <w:sz w:val="20"/>
                <w:szCs w:val="20"/>
                <w:color w:val="auto"/>
              </w:rPr>
            </w:pPr>
            <w:r>
              <w:rPr>
                <w:rFonts w:ascii="Arial" w:cs="Arial" w:eastAsia="Arial" w:hAnsi="Arial"/>
                <w:sz w:val="16"/>
                <w:szCs w:val="16"/>
                <w:color w:val="auto"/>
              </w:rPr>
              <w:t>Provision for loan losses, net of recoveries</w:t>
            </w:r>
          </w:p>
        </w:tc>
        <w:tc>
          <w:tcPr>
            <w:tcW w:w="1080" w:type="dxa"/>
            <w:vAlign w:val="bottom"/>
          </w:tcPr>
          <w:p>
            <w:pPr>
              <w:jc w:val="center"/>
              <w:ind w:left="139"/>
              <w:spacing w:after="0"/>
              <w:rPr>
                <w:sz w:val="20"/>
                <w:szCs w:val="20"/>
                <w:color w:val="auto"/>
              </w:rPr>
            </w:pPr>
            <w:r>
              <w:rPr>
                <w:rFonts w:ascii="Arial" w:cs="Arial" w:eastAsia="Arial" w:hAnsi="Arial"/>
                <w:sz w:val="16"/>
                <w:szCs w:val="16"/>
                <w:color w:val="auto"/>
                <w:w w:val="91"/>
              </w:rPr>
              <w:t>7(d)</w:t>
            </w:r>
          </w:p>
        </w:tc>
      </w:tr>
      <w:tr>
        <w:trPr>
          <w:trHeight w:val="411"/>
        </w:trPr>
        <w:tc>
          <w:tcPr>
            <w:tcW w:w="5180" w:type="dxa"/>
            <w:vAlign w:val="bottom"/>
          </w:tcPr>
          <w:p>
            <w:pPr>
              <w:spacing w:after="0"/>
              <w:rPr>
                <w:sz w:val="20"/>
                <w:szCs w:val="20"/>
                <w:color w:val="auto"/>
              </w:rPr>
            </w:pPr>
            <w:r>
              <w:rPr>
                <w:rFonts w:ascii="Arial" w:cs="Arial" w:eastAsia="Arial" w:hAnsi="Arial"/>
                <w:sz w:val="16"/>
                <w:szCs w:val="16"/>
                <w:b w:val="1"/>
                <w:bCs w:val="1"/>
                <w:color w:val="auto"/>
              </w:rPr>
              <w:t>Net Interest, similar income after provision for loan losses</w:t>
            </w:r>
          </w:p>
        </w:tc>
        <w:tc>
          <w:tcPr>
            <w:tcW w:w="1080" w:type="dxa"/>
            <w:vAlign w:val="bottom"/>
          </w:tcPr>
          <w:p>
            <w:pPr>
              <w:spacing w:after="0"/>
              <w:rPr>
                <w:sz w:val="24"/>
                <w:szCs w:val="24"/>
                <w:color w:val="auto"/>
              </w:rPr>
            </w:pPr>
          </w:p>
        </w:tc>
      </w:tr>
      <w:tr>
        <w:trPr>
          <w:trHeight w:val="399"/>
        </w:trPr>
        <w:tc>
          <w:tcPr>
            <w:tcW w:w="5180" w:type="dxa"/>
            <w:vAlign w:val="bottom"/>
          </w:tcPr>
          <w:p>
            <w:pPr>
              <w:spacing w:after="0"/>
              <w:rPr>
                <w:sz w:val="20"/>
                <w:szCs w:val="20"/>
                <w:color w:val="auto"/>
              </w:rPr>
            </w:pPr>
            <w:r>
              <w:rPr>
                <w:rFonts w:ascii="Arial" w:cs="Arial" w:eastAsia="Arial" w:hAnsi="Arial"/>
                <w:sz w:val="16"/>
                <w:szCs w:val="16"/>
                <w:b w:val="1"/>
                <w:bCs w:val="1"/>
                <w:color w:val="auto"/>
              </w:rPr>
              <w:t>Other income</w:t>
            </w:r>
          </w:p>
        </w:tc>
        <w:tc>
          <w:tcPr>
            <w:tcW w:w="1080" w:type="dxa"/>
            <w:vAlign w:val="bottom"/>
          </w:tcPr>
          <w:p>
            <w:pPr>
              <w:spacing w:after="0"/>
              <w:rPr>
                <w:sz w:val="24"/>
                <w:szCs w:val="24"/>
                <w:color w:val="auto"/>
              </w:rPr>
            </w:pPr>
          </w:p>
        </w:tc>
      </w:tr>
      <w:tr>
        <w:trPr>
          <w:trHeight w:val="193"/>
        </w:trPr>
        <w:tc>
          <w:tcPr>
            <w:tcW w:w="5180" w:type="dxa"/>
            <w:vAlign w:val="bottom"/>
          </w:tcPr>
          <w:p>
            <w:pPr>
              <w:spacing w:after="0"/>
              <w:rPr>
                <w:sz w:val="20"/>
                <w:szCs w:val="20"/>
                <w:color w:val="auto"/>
              </w:rPr>
            </w:pPr>
            <w:r>
              <w:rPr>
                <w:rFonts w:ascii="Arial" w:cs="Arial" w:eastAsia="Arial" w:hAnsi="Arial"/>
                <w:sz w:val="16"/>
                <w:szCs w:val="16"/>
                <w:color w:val="auto"/>
              </w:rPr>
              <w:t>Commissions and fees</w:t>
            </w:r>
          </w:p>
        </w:tc>
        <w:tc>
          <w:tcPr>
            <w:tcW w:w="1080" w:type="dxa"/>
            <w:vAlign w:val="bottom"/>
          </w:tcPr>
          <w:p>
            <w:pPr>
              <w:jc w:val="center"/>
              <w:ind w:left="159"/>
              <w:spacing w:after="0"/>
              <w:rPr>
                <w:sz w:val="20"/>
                <w:szCs w:val="20"/>
                <w:color w:val="auto"/>
              </w:rPr>
            </w:pPr>
            <w:r>
              <w:rPr>
                <w:rFonts w:ascii="Arial" w:cs="Arial" w:eastAsia="Arial" w:hAnsi="Arial"/>
                <w:sz w:val="16"/>
                <w:szCs w:val="16"/>
                <w:color w:val="auto"/>
                <w:w w:val="89"/>
              </w:rPr>
              <w:t>23</w:t>
            </w:r>
          </w:p>
        </w:tc>
      </w:tr>
      <w:tr>
        <w:trPr>
          <w:trHeight w:val="193"/>
        </w:trPr>
        <w:tc>
          <w:tcPr>
            <w:tcW w:w="5180" w:type="dxa"/>
            <w:vAlign w:val="bottom"/>
          </w:tcPr>
          <w:p>
            <w:pPr>
              <w:spacing w:after="0"/>
              <w:rPr>
                <w:sz w:val="20"/>
                <w:szCs w:val="20"/>
                <w:color w:val="auto"/>
              </w:rPr>
            </w:pPr>
            <w:r>
              <w:rPr>
                <w:rFonts w:ascii="Arial" w:cs="Arial" w:eastAsia="Arial" w:hAnsi="Arial"/>
                <w:sz w:val="16"/>
                <w:szCs w:val="16"/>
                <w:color w:val="auto"/>
              </w:rPr>
              <w:t>Net gains on foreign exchange transactions</w:t>
            </w:r>
          </w:p>
        </w:tc>
        <w:tc>
          <w:tcPr>
            <w:tcW w:w="1080" w:type="dxa"/>
            <w:vAlign w:val="bottom"/>
          </w:tcPr>
          <w:p>
            <w:pPr>
              <w:spacing w:after="0"/>
              <w:rPr>
                <w:sz w:val="16"/>
                <w:szCs w:val="16"/>
                <w:color w:val="auto"/>
              </w:rPr>
            </w:pPr>
          </w:p>
        </w:tc>
      </w:tr>
      <w:tr>
        <w:trPr>
          <w:trHeight w:val="193"/>
        </w:trPr>
        <w:tc>
          <w:tcPr>
            <w:tcW w:w="5180" w:type="dxa"/>
            <w:vAlign w:val="bottom"/>
          </w:tcPr>
          <w:p>
            <w:pPr>
              <w:spacing w:after="0"/>
              <w:rPr>
                <w:sz w:val="20"/>
                <w:szCs w:val="20"/>
                <w:color w:val="auto"/>
              </w:rPr>
            </w:pPr>
            <w:r>
              <w:rPr>
                <w:rFonts w:ascii="Arial" w:cs="Arial" w:eastAsia="Arial" w:hAnsi="Arial"/>
                <w:sz w:val="16"/>
                <w:szCs w:val="16"/>
                <w:color w:val="auto"/>
              </w:rPr>
              <w:t>Net gains on sales of securities</w:t>
            </w:r>
          </w:p>
        </w:tc>
        <w:tc>
          <w:tcPr>
            <w:tcW w:w="1080" w:type="dxa"/>
            <w:vAlign w:val="bottom"/>
          </w:tcPr>
          <w:p>
            <w:pPr>
              <w:spacing w:after="0"/>
              <w:rPr>
                <w:sz w:val="16"/>
                <w:szCs w:val="16"/>
                <w:color w:val="auto"/>
              </w:rPr>
            </w:pPr>
          </w:p>
        </w:tc>
      </w:tr>
      <w:tr>
        <w:trPr>
          <w:trHeight w:val="193"/>
        </w:trPr>
        <w:tc>
          <w:tcPr>
            <w:tcW w:w="5180" w:type="dxa"/>
            <w:vAlign w:val="bottom"/>
          </w:tcPr>
          <w:p>
            <w:pPr>
              <w:spacing w:after="0"/>
              <w:rPr>
                <w:sz w:val="20"/>
                <w:szCs w:val="20"/>
                <w:color w:val="auto"/>
              </w:rPr>
            </w:pPr>
            <w:r>
              <w:rPr>
                <w:rFonts w:ascii="Arial" w:cs="Arial" w:eastAsia="Arial" w:hAnsi="Arial"/>
                <w:sz w:val="16"/>
                <w:szCs w:val="16"/>
                <w:color w:val="auto"/>
              </w:rPr>
              <w:t>Net gains on financial assets at fair value through profit or loss</w:t>
            </w:r>
          </w:p>
        </w:tc>
        <w:tc>
          <w:tcPr>
            <w:tcW w:w="1080" w:type="dxa"/>
            <w:vAlign w:val="bottom"/>
          </w:tcPr>
          <w:p>
            <w:pPr>
              <w:jc w:val="center"/>
              <w:ind w:left="159"/>
              <w:spacing w:after="0"/>
              <w:rPr>
                <w:sz w:val="20"/>
                <w:szCs w:val="20"/>
                <w:color w:val="auto"/>
              </w:rPr>
            </w:pPr>
            <w:r>
              <w:rPr>
                <w:rFonts w:ascii="Arial" w:cs="Arial" w:eastAsia="Arial" w:hAnsi="Arial"/>
                <w:sz w:val="16"/>
                <w:szCs w:val="16"/>
                <w:color w:val="auto"/>
                <w:w w:val="89"/>
              </w:rPr>
              <w:t>8</w:t>
            </w:r>
          </w:p>
        </w:tc>
      </w:tr>
      <w:tr>
        <w:trPr>
          <w:trHeight w:val="201"/>
        </w:trPr>
        <w:tc>
          <w:tcPr>
            <w:tcW w:w="5180" w:type="dxa"/>
            <w:vAlign w:val="bottom"/>
          </w:tcPr>
          <w:p>
            <w:pPr>
              <w:spacing w:after="0"/>
              <w:rPr>
                <w:sz w:val="20"/>
                <w:szCs w:val="20"/>
                <w:color w:val="auto"/>
              </w:rPr>
            </w:pPr>
            <w:r>
              <w:rPr>
                <w:rFonts w:ascii="Arial" w:cs="Arial" w:eastAsia="Arial" w:hAnsi="Arial"/>
                <w:sz w:val="16"/>
                <w:szCs w:val="16"/>
                <w:color w:val="auto"/>
              </w:rPr>
              <w:t>Others</w:t>
            </w:r>
          </w:p>
        </w:tc>
        <w:tc>
          <w:tcPr>
            <w:tcW w:w="1080" w:type="dxa"/>
            <w:vAlign w:val="bottom"/>
          </w:tcPr>
          <w:p>
            <w:pPr>
              <w:jc w:val="center"/>
              <w:ind w:left="159"/>
              <w:spacing w:after="0"/>
              <w:rPr>
                <w:sz w:val="20"/>
                <w:szCs w:val="20"/>
                <w:color w:val="auto"/>
              </w:rPr>
            </w:pPr>
            <w:r>
              <w:rPr>
                <w:rFonts w:ascii="Arial" w:cs="Arial" w:eastAsia="Arial" w:hAnsi="Arial"/>
                <w:sz w:val="16"/>
                <w:szCs w:val="16"/>
                <w:color w:val="auto"/>
                <w:w w:val="89"/>
              </w:rPr>
              <w:t>28</w:t>
            </w:r>
          </w:p>
        </w:tc>
      </w:tr>
      <w:tr>
        <w:trPr>
          <w:trHeight w:val="210"/>
        </w:trPr>
        <w:tc>
          <w:tcPr>
            <w:tcW w:w="5180" w:type="dxa"/>
            <w:vAlign w:val="bottom"/>
          </w:tcPr>
          <w:p>
            <w:pPr>
              <w:spacing w:after="0"/>
              <w:rPr>
                <w:sz w:val="20"/>
                <w:szCs w:val="20"/>
                <w:color w:val="auto"/>
              </w:rPr>
            </w:pPr>
            <w:r>
              <w:rPr>
                <w:rFonts w:ascii="Arial" w:cs="Arial" w:eastAsia="Arial" w:hAnsi="Arial"/>
                <w:sz w:val="16"/>
                <w:szCs w:val="16"/>
                <w:b w:val="1"/>
                <w:bCs w:val="1"/>
                <w:color w:val="auto"/>
              </w:rPr>
              <w:t>Total other income</w:t>
            </w:r>
          </w:p>
        </w:tc>
        <w:tc>
          <w:tcPr>
            <w:tcW w:w="1080" w:type="dxa"/>
            <w:vAlign w:val="bottom"/>
          </w:tcPr>
          <w:p>
            <w:pPr>
              <w:spacing w:after="0"/>
              <w:rPr>
                <w:sz w:val="18"/>
                <w:szCs w:val="18"/>
                <w:color w:val="auto"/>
              </w:rPr>
            </w:pPr>
          </w:p>
        </w:tc>
      </w:tr>
      <w:tr>
        <w:trPr>
          <w:trHeight w:val="399"/>
        </w:trPr>
        <w:tc>
          <w:tcPr>
            <w:tcW w:w="5180" w:type="dxa"/>
            <w:vAlign w:val="bottom"/>
          </w:tcPr>
          <w:p>
            <w:pPr>
              <w:spacing w:after="0"/>
              <w:rPr>
                <w:sz w:val="20"/>
                <w:szCs w:val="20"/>
                <w:color w:val="auto"/>
              </w:rPr>
            </w:pPr>
            <w:r>
              <w:rPr>
                <w:rFonts w:ascii="Arial" w:cs="Arial" w:eastAsia="Arial" w:hAnsi="Arial"/>
                <w:sz w:val="16"/>
                <w:szCs w:val="16"/>
                <w:b w:val="1"/>
                <w:bCs w:val="1"/>
                <w:color w:val="auto"/>
              </w:rPr>
              <w:t>Insurance premiums and claims</w:t>
            </w:r>
          </w:p>
        </w:tc>
        <w:tc>
          <w:tcPr>
            <w:tcW w:w="1080" w:type="dxa"/>
            <w:vAlign w:val="bottom"/>
          </w:tcPr>
          <w:p>
            <w:pPr>
              <w:spacing w:after="0"/>
              <w:rPr>
                <w:sz w:val="24"/>
                <w:szCs w:val="24"/>
                <w:color w:val="auto"/>
              </w:rPr>
            </w:pPr>
          </w:p>
        </w:tc>
      </w:tr>
      <w:tr>
        <w:trPr>
          <w:trHeight w:val="193"/>
        </w:trPr>
        <w:tc>
          <w:tcPr>
            <w:tcW w:w="5180" w:type="dxa"/>
            <w:vAlign w:val="bottom"/>
          </w:tcPr>
          <w:p>
            <w:pPr>
              <w:spacing w:after="0"/>
              <w:rPr>
                <w:sz w:val="20"/>
                <w:szCs w:val="20"/>
                <w:color w:val="auto"/>
              </w:rPr>
            </w:pPr>
            <w:r>
              <w:rPr>
                <w:rFonts w:ascii="Arial" w:cs="Arial" w:eastAsia="Arial" w:hAnsi="Arial"/>
                <w:sz w:val="16"/>
                <w:szCs w:val="16"/>
                <w:color w:val="auto"/>
              </w:rPr>
              <w:t>Net premiums earned</w:t>
            </w:r>
          </w:p>
        </w:tc>
        <w:tc>
          <w:tcPr>
            <w:tcW w:w="1080" w:type="dxa"/>
            <w:vAlign w:val="bottom"/>
          </w:tcPr>
          <w:p>
            <w:pPr>
              <w:jc w:val="center"/>
              <w:ind w:left="159"/>
              <w:spacing w:after="0"/>
              <w:rPr>
                <w:sz w:val="20"/>
                <w:szCs w:val="20"/>
                <w:color w:val="auto"/>
              </w:rPr>
            </w:pPr>
            <w:r>
              <w:rPr>
                <w:rFonts w:ascii="Arial" w:cs="Arial" w:eastAsia="Arial" w:hAnsi="Arial"/>
                <w:sz w:val="16"/>
                <w:szCs w:val="16"/>
                <w:color w:val="auto"/>
                <w:w w:val="89"/>
              </w:rPr>
              <w:t>24</w:t>
            </w:r>
          </w:p>
        </w:tc>
      </w:tr>
      <w:tr>
        <w:trPr>
          <w:trHeight w:val="206"/>
        </w:trPr>
        <w:tc>
          <w:tcPr>
            <w:tcW w:w="5180" w:type="dxa"/>
            <w:vAlign w:val="bottom"/>
          </w:tcPr>
          <w:p>
            <w:pPr>
              <w:spacing w:after="0"/>
              <w:rPr>
                <w:sz w:val="20"/>
                <w:szCs w:val="20"/>
                <w:color w:val="auto"/>
              </w:rPr>
            </w:pPr>
            <w:r>
              <w:rPr>
                <w:rFonts w:ascii="Arial" w:cs="Arial" w:eastAsia="Arial" w:hAnsi="Arial"/>
                <w:sz w:val="16"/>
                <w:szCs w:val="16"/>
                <w:color w:val="auto"/>
                <w:w w:val="95"/>
              </w:rPr>
              <w:t>Net claims incurred for life, property, casualty and health insurance contracts</w:t>
            </w:r>
          </w:p>
        </w:tc>
        <w:tc>
          <w:tcPr>
            <w:tcW w:w="1080" w:type="dxa"/>
            <w:vAlign w:val="bottom"/>
          </w:tcPr>
          <w:p>
            <w:pPr>
              <w:jc w:val="center"/>
              <w:ind w:left="159"/>
              <w:spacing w:after="0"/>
              <w:rPr>
                <w:sz w:val="20"/>
                <w:szCs w:val="20"/>
                <w:color w:val="auto"/>
              </w:rPr>
            </w:pPr>
            <w:r>
              <w:rPr>
                <w:rFonts w:ascii="Arial" w:cs="Arial" w:eastAsia="Arial" w:hAnsi="Arial"/>
                <w:sz w:val="16"/>
                <w:szCs w:val="16"/>
                <w:color w:val="auto"/>
                <w:w w:val="89"/>
              </w:rPr>
              <w:t>25</w:t>
            </w:r>
          </w:p>
        </w:tc>
      </w:tr>
      <w:tr>
        <w:trPr>
          <w:trHeight w:val="411"/>
        </w:trPr>
        <w:tc>
          <w:tcPr>
            <w:tcW w:w="5180" w:type="dxa"/>
            <w:vAlign w:val="bottom"/>
          </w:tcPr>
          <w:p>
            <w:pPr>
              <w:spacing w:after="0"/>
              <w:rPr>
                <w:sz w:val="20"/>
                <w:szCs w:val="20"/>
                <w:color w:val="auto"/>
              </w:rPr>
            </w:pPr>
            <w:r>
              <w:rPr>
                <w:rFonts w:ascii="Arial" w:cs="Arial" w:eastAsia="Arial" w:hAnsi="Arial"/>
                <w:sz w:val="16"/>
                <w:szCs w:val="16"/>
                <w:color w:val="auto"/>
              </w:rPr>
              <w:t>Total premiums earned less claims</w:t>
            </w:r>
          </w:p>
        </w:tc>
        <w:tc>
          <w:tcPr>
            <w:tcW w:w="1080" w:type="dxa"/>
            <w:vAlign w:val="bottom"/>
          </w:tcPr>
          <w:p>
            <w:pPr>
              <w:spacing w:after="0"/>
              <w:rPr>
                <w:sz w:val="24"/>
                <w:szCs w:val="24"/>
                <w:color w:val="auto"/>
              </w:rPr>
            </w:pPr>
          </w:p>
        </w:tc>
      </w:tr>
      <w:tr>
        <w:trPr>
          <w:trHeight w:val="375"/>
        </w:trPr>
        <w:tc>
          <w:tcPr>
            <w:tcW w:w="5180" w:type="dxa"/>
            <w:vAlign w:val="bottom"/>
          </w:tcPr>
          <w:p>
            <w:pPr>
              <w:spacing w:after="0"/>
              <w:rPr>
                <w:sz w:val="20"/>
                <w:szCs w:val="20"/>
                <w:color w:val="auto"/>
              </w:rPr>
            </w:pPr>
            <w:r>
              <w:rPr>
                <w:rFonts w:ascii="Arial" w:cs="Arial" w:eastAsia="Arial" w:hAnsi="Arial"/>
                <w:sz w:val="16"/>
                <w:szCs w:val="16"/>
                <w:b w:val="1"/>
                <w:bCs w:val="1"/>
                <w:color w:val="auto"/>
              </w:rPr>
              <w:t>Other expenses</w:t>
            </w:r>
          </w:p>
        </w:tc>
        <w:tc>
          <w:tcPr>
            <w:tcW w:w="1080" w:type="dxa"/>
            <w:vAlign w:val="bottom"/>
          </w:tcPr>
          <w:p>
            <w:pPr>
              <w:spacing w:after="0"/>
              <w:rPr>
                <w:sz w:val="24"/>
                <w:szCs w:val="24"/>
                <w:color w:val="auto"/>
              </w:rPr>
            </w:pPr>
          </w:p>
        </w:tc>
      </w:tr>
      <w:tr>
        <w:trPr>
          <w:trHeight w:val="193"/>
        </w:trPr>
        <w:tc>
          <w:tcPr>
            <w:tcW w:w="5180" w:type="dxa"/>
            <w:vAlign w:val="bottom"/>
          </w:tcPr>
          <w:p>
            <w:pPr>
              <w:spacing w:after="0"/>
              <w:rPr>
                <w:sz w:val="20"/>
                <w:szCs w:val="20"/>
                <w:color w:val="auto"/>
              </w:rPr>
            </w:pPr>
            <w:r>
              <w:rPr>
                <w:rFonts w:ascii="Arial" w:cs="Arial" w:eastAsia="Arial" w:hAnsi="Arial"/>
                <w:sz w:val="16"/>
                <w:szCs w:val="16"/>
                <w:color w:val="auto"/>
              </w:rPr>
              <w:t>Salaries and social benefits</w:t>
            </w:r>
          </w:p>
        </w:tc>
        <w:tc>
          <w:tcPr>
            <w:tcW w:w="1080" w:type="dxa"/>
            <w:vAlign w:val="bottom"/>
          </w:tcPr>
          <w:p>
            <w:pPr>
              <w:jc w:val="center"/>
              <w:ind w:left="159"/>
              <w:spacing w:after="0"/>
              <w:rPr>
                <w:sz w:val="20"/>
                <w:szCs w:val="20"/>
                <w:color w:val="auto"/>
              </w:rPr>
            </w:pPr>
            <w:r>
              <w:rPr>
                <w:rFonts w:ascii="Arial" w:cs="Arial" w:eastAsia="Arial" w:hAnsi="Arial"/>
                <w:sz w:val="16"/>
                <w:szCs w:val="16"/>
                <w:color w:val="auto"/>
                <w:w w:val="89"/>
              </w:rPr>
              <w:t>26</w:t>
            </w:r>
          </w:p>
        </w:tc>
      </w:tr>
      <w:tr>
        <w:trPr>
          <w:trHeight w:val="193"/>
        </w:trPr>
        <w:tc>
          <w:tcPr>
            <w:tcW w:w="5180" w:type="dxa"/>
            <w:vAlign w:val="bottom"/>
          </w:tcPr>
          <w:p>
            <w:pPr>
              <w:spacing w:after="0"/>
              <w:rPr>
                <w:sz w:val="20"/>
                <w:szCs w:val="20"/>
                <w:color w:val="auto"/>
              </w:rPr>
            </w:pPr>
            <w:r>
              <w:rPr>
                <w:rFonts w:ascii="Arial" w:cs="Arial" w:eastAsia="Arial" w:hAnsi="Arial"/>
                <w:sz w:val="16"/>
                <w:szCs w:val="16"/>
                <w:color w:val="auto"/>
              </w:rPr>
              <w:t>Administrative expenses</w:t>
            </w:r>
          </w:p>
        </w:tc>
        <w:tc>
          <w:tcPr>
            <w:tcW w:w="1080" w:type="dxa"/>
            <w:vAlign w:val="bottom"/>
          </w:tcPr>
          <w:p>
            <w:pPr>
              <w:jc w:val="center"/>
              <w:ind w:left="159"/>
              <w:spacing w:after="0"/>
              <w:rPr>
                <w:sz w:val="20"/>
                <w:szCs w:val="20"/>
                <w:color w:val="auto"/>
              </w:rPr>
            </w:pPr>
            <w:r>
              <w:rPr>
                <w:rFonts w:ascii="Arial" w:cs="Arial" w:eastAsia="Arial" w:hAnsi="Arial"/>
                <w:sz w:val="16"/>
                <w:szCs w:val="16"/>
                <w:color w:val="auto"/>
                <w:w w:val="89"/>
              </w:rPr>
              <w:t>27</w:t>
            </w:r>
          </w:p>
        </w:tc>
      </w:tr>
      <w:tr>
        <w:trPr>
          <w:trHeight w:val="193"/>
        </w:trPr>
        <w:tc>
          <w:tcPr>
            <w:tcW w:w="51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80" w:type="dxa"/>
            <w:vAlign w:val="bottom"/>
          </w:tcPr>
          <w:p>
            <w:pPr>
              <w:jc w:val="center"/>
              <w:ind w:left="159"/>
              <w:spacing w:after="0"/>
              <w:rPr>
                <w:sz w:val="20"/>
                <w:szCs w:val="20"/>
                <w:color w:val="auto"/>
              </w:rPr>
            </w:pPr>
            <w:r>
              <w:rPr>
                <w:rFonts w:ascii="Arial" w:cs="Arial" w:eastAsia="Arial" w:hAnsi="Arial"/>
                <w:sz w:val="16"/>
                <w:szCs w:val="16"/>
                <w:color w:val="auto"/>
                <w:w w:val="91"/>
              </w:rPr>
              <w:t>10(a) y 11(a)</w:t>
            </w:r>
          </w:p>
        </w:tc>
      </w:tr>
      <w:tr>
        <w:trPr>
          <w:trHeight w:val="193"/>
        </w:trPr>
        <w:tc>
          <w:tcPr>
            <w:tcW w:w="5180" w:type="dxa"/>
            <w:vAlign w:val="bottom"/>
          </w:tcPr>
          <w:p>
            <w:pPr>
              <w:spacing w:after="0"/>
              <w:rPr>
                <w:sz w:val="20"/>
                <w:szCs w:val="20"/>
                <w:color w:val="auto"/>
              </w:rPr>
            </w:pPr>
            <w:r>
              <w:rPr>
                <w:rFonts w:ascii="Arial" w:cs="Arial" w:eastAsia="Arial" w:hAnsi="Arial"/>
                <w:sz w:val="16"/>
                <w:szCs w:val="16"/>
                <w:color w:val="auto"/>
              </w:rPr>
              <w:t>Impairment loss on goodwill</w:t>
            </w:r>
          </w:p>
        </w:tc>
        <w:tc>
          <w:tcPr>
            <w:tcW w:w="1080" w:type="dxa"/>
            <w:vAlign w:val="bottom"/>
          </w:tcPr>
          <w:p>
            <w:pPr>
              <w:jc w:val="center"/>
              <w:ind w:left="139"/>
              <w:spacing w:after="0"/>
              <w:rPr>
                <w:sz w:val="20"/>
                <w:szCs w:val="20"/>
                <w:color w:val="auto"/>
              </w:rPr>
            </w:pPr>
            <w:r>
              <w:rPr>
                <w:rFonts w:ascii="Arial" w:cs="Arial" w:eastAsia="Arial" w:hAnsi="Arial"/>
                <w:sz w:val="16"/>
                <w:szCs w:val="16"/>
                <w:color w:val="auto"/>
                <w:w w:val="90"/>
              </w:rPr>
              <w:t>11(b)</w:t>
            </w:r>
          </w:p>
        </w:tc>
      </w:tr>
      <w:tr>
        <w:trPr>
          <w:trHeight w:val="193"/>
        </w:trPr>
        <w:tc>
          <w:tcPr>
            <w:tcW w:w="5180" w:type="dxa"/>
            <w:vAlign w:val="bottom"/>
          </w:tcPr>
          <w:p>
            <w:pPr>
              <w:spacing w:after="0"/>
              <w:rPr>
                <w:sz w:val="20"/>
                <w:szCs w:val="20"/>
                <w:color w:val="auto"/>
              </w:rPr>
            </w:pPr>
            <w:r>
              <w:rPr>
                <w:rFonts w:ascii="Arial" w:cs="Arial" w:eastAsia="Arial" w:hAnsi="Arial"/>
                <w:sz w:val="16"/>
                <w:szCs w:val="16"/>
                <w:color w:val="auto"/>
              </w:rPr>
              <w:t>Net impairment loss on available-for-sale investments</w:t>
            </w:r>
          </w:p>
        </w:tc>
        <w:tc>
          <w:tcPr>
            <w:tcW w:w="1080" w:type="dxa"/>
            <w:vAlign w:val="bottom"/>
          </w:tcPr>
          <w:p>
            <w:pPr>
              <w:jc w:val="center"/>
              <w:ind w:left="139"/>
              <w:spacing w:after="0"/>
              <w:rPr>
                <w:sz w:val="20"/>
                <w:szCs w:val="20"/>
                <w:color w:val="auto"/>
              </w:rPr>
            </w:pPr>
            <w:r>
              <w:rPr>
                <w:rFonts w:ascii="Arial" w:cs="Arial" w:eastAsia="Arial" w:hAnsi="Arial"/>
                <w:sz w:val="16"/>
                <w:szCs w:val="16"/>
                <w:color w:val="auto"/>
                <w:w w:val="91"/>
              </w:rPr>
              <w:t>6(a)</w:t>
            </w:r>
          </w:p>
        </w:tc>
      </w:tr>
      <w:tr>
        <w:trPr>
          <w:trHeight w:val="193"/>
        </w:trPr>
        <w:tc>
          <w:tcPr>
            <w:tcW w:w="5180" w:type="dxa"/>
            <w:vAlign w:val="bottom"/>
          </w:tcPr>
          <w:p>
            <w:pPr>
              <w:spacing w:after="0"/>
              <w:rPr>
                <w:sz w:val="20"/>
                <w:szCs w:val="20"/>
                <w:color w:val="auto"/>
              </w:rPr>
            </w:pPr>
            <w:r>
              <w:rPr>
                <w:rFonts w:ascii="Arial" w:cs="Arial" w:eastAsia="Arial" w:hAnsi="Arial"/>
                <w:sz w:val="16"/>
                <w:szCs w:val="16"/>
                <w:color w:val="auto"/>
              </w:rPr>
              <w:t>Net loss on financial assets at fair value through profit or loss</w:t>
            </w:r>
          </w:p>
        </w:tc>
        <w:tc>
          <w:tcPr>
            <w:tcW w:w="1080" w:type="dxa"/>
            <w:vAlign w:val="bottom"/>
          </w:tcPr>
          <w:p>
            <w:pPr>
              <w:jc w:val="center"/>
              <w:ind w:left="159"/>
              <w:spacing w:after="0"/>
              <w:rPr>
                <w:sz w:val="20"/>
                <w:szCs w:val="20"/>
                <w:color w:val="auto"/>
              </w:rPr>
            </w:pPr>
            <w:r>
              <w:rPr>
                <w:rFonts w:ascii="Arial" w:cs="Arial" w:eastAsia="Arial" w:hAnsi="Arial"/>
                <w:sz w:val="16"/>
                <w:szCs w:val="16"/>
                <w:color w:val="auto"/>
                <w:w w:val="89"/>
              </w:rPr>
              <w:t>8</w:t>
            </w:r>
          </w:p>
        </w:tc>
      </w:tr>
      <w:tr>
        <w:trPr>
          <w:trHeight w:val="206"/>
        </w:trPr>
        <w:tc>
          <w:tcPr>
            <w:tcW w:w="5180" w:type="dxa"/>
            <w:vAlign w:val="bottom"/>
          </w:tcPr>
          <w:p>
            <w:pPr>
              <w:spacing w:after="0"/>
              <w:rPr>
                <w:sz w:val="20"/>
                <w:szCs w:val="20"/>
                <w:color w:val="auto"/>
              </w:rPr>
            </w:pPr>
            <w:r>
              <w:rPr>
                <w:rFonts w:ascii="Arial" w:cs="Arial" w:eastAsia="Arial" w:hAnsi="Arial"/>
                <w:sz w:val="16"/>
                <w:szCs w:val="16"/>
                <w:color w:val="auto"/>
              </w:rPr>
              <w:t>Others</w:t>
            </w:r>
          </w:p>
        </w:tc>
        <w:tc>
          <w:tcPr>
            <w:tcW w:w="1080" w:type="dxa"/>
            <w:vAlign w:val="bottom"/>
          </w:tcPr>
          <w:p>
            <w:pPr>
              <w:jc w:val="center"/>
              <w:ind w:left="159"/>
              <w:spacing w:after="0"/>
              <w:rPr>
                <w:sz w:val="20"/>
                <w:szCs w:val="20"/>
                <w:color w:val="auto"/>
              </w:rPr>
            </w:pPr>
            <w:r>
              <w:rPr>
                <w:rFonts w:ascii="Arial" w:cs="Arial" w:eastAsia="Arial" w:hAnsi="Arial"/>
                <w:sz w:val="16"/>
                <w:szCs w:val="16"/>
                <w:color w:val="auto"/>
                <w:w w:val="89"/>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-4013200</wp:posOffset>
            </wp:positionV>
            <wp:extent cx="7261225" cy="1225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-3768090</wp:posOffset>
            </wp:positionV>
            <wp:extent cx="7261225" cy="13017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6122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-3507105</wp:posOffset>
            </wp:positionV>
            <wp:extent cx="7261225" cy="1225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-3261360</wp:posOffset>
            </wp:positionV>
            <wp:extent cx="7261225" cy="13017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6122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-3000375</wp:posOffset>
            </wp:positionV>
            <wp:extent cx="7261225" cy="13017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6122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-2739390</wp:posOffset>
            </wp:positionV>
            <wp:extent cx="7261225" cy="1225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-2493645</wp:posOffset>
            </wp:positionV>
            <wp:extent cx="7261225" cy="1225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-2247900</wp:posOffset>
            </wp:positionV>
            <wp:extent cx="7261225" cy="1225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-1994535</wp:posOffset>
            </wp:positionV>
            <wp:extent cx="7261225" cy="13017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6122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-1733550</wp:posOffset>
            </wp:positionV>
            <wp:extent cx="7261225" cy="1225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-1488440</wp:posOffset>
            </wp:positionV>
            <wp:extent cx="7261225" cy="13017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6122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-1227455</wp:posOffset>
            </wp:positionV>
            <wp:extent cx="7261225" cy="1225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-981710</wp:posOffset>
            </wp:positionV>
            <wp:extent cx="7261225" cy="1225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-735965</wp:posOffset>
            </wp:positionV>
            <wp:extent cx="7261225" cy="1225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-490220</wp:posOffset>
            </wp:positionV>
            <wp:extent cx="7261225" cy="1225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-244475</wp:posOffset>
            </wp:positionV>
            <wp:extent cx="7261225" cy="1225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61225" cy="1225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Total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7261225" cy="13017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61225" cy="130175"/>
                    </a:xfrm>
                    <a:prstGeom prst="rect">
                      <a:avLst/>
                    </a:prstGeom>
                    <a:noFill/>
                  </pic:spPr>
                </pic:pic>
              </a:graphicData>
            </a:graphic>
          </wp:anchor>
        </w:drawing>
      </w:r>
    </w:p>
    <w:p>
      <w:pPr>
        <w:spacing w:after="0" w:line="40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2014</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146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500" w:type="dxa"/>
            <w:vAlign w:val="bottom"/>
            <w:gridSpan w:val="3"/>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r>
      <w:tr>
        <w:trPr>
          <w:trHeight w:val="370"/>
        </w:trPr>
        <w:tc>
          <w:tcPr>
            <w:tcW w:w="1680" w:type="dxa"/>
            <w:vAlign w:val="bottom"/>
            <w:gridSpan w:val="2"/>
          </w:tcPr>
          <w:p>
            <w:pPr>
              <w:jc w:val="right"/>
              <w:ind w:right="139"/>
              <w:spacing w:after="0"/>
              <w:rPr>
                <w:sz w:val="20"/>
                <w:szCs w:val="20"/>
                <w:color w:val="auto"/>
              </w:rPr>
            </w:pPr>
            <w:r>
              <w:rPr>
                <w:rFonts w:ascii="Arial" w:cs="Arial" w:eastAsia="Arial" w:hAnsi="Arial"/>
                <w:sz w:val="16"/>
                <w:szCs w:val="16"/>
                <w:color w:val="auto"/>
              </w:rPr>
              <w:t>10,817,555</w:t>
            </w:r>
          </w:p>
        </w:tc>
        <w:tc>
          <w:tcPr>
            <w:tcW w:w="1480" w:type="dxa"/>
            <w:vAlign w:val="bottom"/>
          </w:tcPr>
          <w:p>
            <w:pPr>
              <w:jc w:val="right"/>
              <w:spacing w:after="0"/>
              <w:rPr>
                <w:sz w:val="20"/>
                <w:szCs w:val="20"/>
                <w:color w:val="auto"/>
              </w:rPr>
            </w:pPr>
            <w:r>
              <w:rPr>
                <w:rFonts w:ascii="Arial" w:cs="Arial" w:eastAsia="Arial" w:hAnsi="Arial"/>
                <w:sz w:val="16"/>
                <w:szCs w:val="16"/>
                <w:color w:val="auto"/>
              </w:rPr>
              <w:t>9,992,027</w:t>
            </w:r>
          </w:p>
        </w:tc>
        <w:tc>
          <w:tcPr>
            <w:tcW w:w="22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8,600,866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(2,914,714)</w:t>
            </w:r>
          </w:p>
        </w:tc>
        <w:tc>
          <w:tcPr>
            <w:tcW w:w="1700" w:type="dxa"/>
            <w:vAlign w:val="bottom"/>
            <w:gridSpan w:val="2"/>
          </w:tcPr>
          <w:p>
            <w:pPr>
              <w:jc w:val="right"/>
              <w:ind w:right="79"/>
              <w:spacing w:after="0"/>
              <w:rPr>
                <w:sz w:val="20"/>
                <w:szCs w:val="20"/>
                <w:color w:val="auto"/>
              </w:rPr>
            </w:pPr>
            <w:r>
              <w:rPr>
                <w:rFonts w:ascii="Arial" w:cs="Arial" w:eastAsia="Arial" w:hAnsi="Arial"/>
                <w:sz w:val="16"/>
                <w:szCs w:val="16"/>
                <w:color w:val="auto"/>
              </w:rPr>
              <w:t>(2,527,133)</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(2,191,062)</w:t>
            </w:r>
          </w:p>
        </w:tc>
      </w:tr>
      <w:tr>
        <w:trPr>
          <w:trHeight w:val="379"/>
        </w:trPr>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7,902,841</w:t>
            </w:r>
          </w:p>
        </w:tc>
        <w:tc>
          <w:tcPr>
            <w:tcW w:w="220" w:type="dxa"/>
            <w:vAlign w:val="bottom"/>
          </w:tcPr>
          <w:p>
            <w:pPr>
              <w:spacing w:after="0"/>
              <w:rPr>
                <w:sz w:val="24"/>
                <w:szCs w:val="2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7,464,894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6,409,804</w:t>
            </w: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(1,785,495)</w:t>
            </w:r>
          </w:p>
        </w:tc>
        <w:tc>
          <w:tcPr>
            <w:tcW w:w="1700" w:type="dxa"/>
            <w:vAlign w:val="bottom"/>
            <w:gridSpan w:val="2"/>
          </w:tcPr>
          <w:p>
            <w:pPr>
              <w:jc w:val="right"/>
              <w:ind w:right="79"/>
              <w:spacing w:after="0"/>
              <w:rPr>
                <w:sz w:val="20"/>
                <w:szCs w:val="20"/>
                <w:color w:val="auto"/>
              </w:rPr>
            </w:pPr>
            <w:r>
              <w:rPr>
                <w:rFonts w:ascii="Arial" w:cs="Arial" w:eastAsia="Arial" w:hAnsi="Arial"/>
                <w:sz w:val="16"/>
                <w:szCs w:val="16"/>
                <w:color w:val="auto"/>
              </w:rPr>
              <w:t>(1,880,898)</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(1,715,809)</w:t>
            </w:r>
          </w:p>
        </w:tc>
      </w:tr>
      <w:tr>
        <w:trPr>
          <w:trHeight w:val="391"/>
        </w:trPr>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6,117,346</w:t>
            </w:r>
          </w:p>
        </w:tc>
        <w:tc>
          <w:tcPr>
            <w:tcW w:w="220" w:type="dxa"/>
            <w:vAlign w:val="bottom"/>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5,583,996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4,693,995</w:t>
            </w: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1460" w:type="dxa"/>
            <w:vAlign w:val="bottom"/>
          </w:tcPr>
          <w:p>
            <w:pPr>
              <w:jc w:val="right"/>
              <w:spacing w:after="0"/>
              <w:rPr>
                <w:sz w:val="20"/>
                <w:szCs w:val="20"/>
                <w:color w:val="auto"/>
              </w:rPr>
            </w:pPr>
            <w:r>
              <w:rPr>
                <w:rFonts w:ascii="Arial" w:cs="Arial" w:eastAsia="Arial" w:hAnsi="Arial"/>
                <w:sz w:val="16"/>
                <w:szCs w:val="16"/>
                <w:color w:val="auto"/>
              </w:rPr>
              <w:t>2,771,561</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2,644,191</w:t>
            </w:r>
          </w:p>
        </w:tc>
        <w:tc>
          <w:tcPr>
            <w:tcW w:w="22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2,521,829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3"/>
        </w:trPr>
        <w:tc>
          <w:tcPr>
            <w:tcW w:w="1460" w:type="dxa"/>
            <w:vAlign w:val="bottom"/>
          </w:tcPr>
          <w:p>
            <w:pPr>
              <w:jc w:val="right"/>
              <w:spacing w:after="0"/>
              <w:rPr>
                <w:sz w:val="20"/>
                <w:szCs w:val="20"/>
                <w:color w:val="auto"/>
              </w:rPr>
            </w:pPr>
            <w:r>
              <w:rPr>
                <w:rFonts w:ascii="Arial" w:cs="Arial" w:eastAsia="Arial" w:hAnsi="Arial"/>
                <w:sz w:val="16"/>
                <w:szCs w:val="16"/>
                <w:color w:val="auto"/>
              </w:rPr>
              <w:t>698,159</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773,798</w:t>
            </w:r>
          </w:p>
        </w:tc>
        <w:tc>
          <w:tcPr>
            <w:tcW w:w="220" w:type="dxa"/>
            <w:vAlign w:val="bottom"/>
          </w:tcPr>
          <w:p>
            <w:pPr>
              <w:spacing w:after="0"/>
              <w:rPr>
                <w:sz w:val="16"/>
                <w:szCs w:val="16"/>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6"/>
                <w:szCs w:val="16"/>
                <w:color w:val="auto"/>
              </w:rPr>
              <w:t>453,405</w:t>
            </w:r>
          </w:p>
        </w:tc>
      </w:tr>
      <w:tr>
        <w:trPr>
          <w:trHeight w:val="193"/>
        </w:trPr>
        <w:tc>
          <w:tcPr>
            <w:tcW w:w="1460" w:type="dxa"/>
            <w:vAlign w:val="bottom"/>
          </w:tcPr>
          <w:p>
            <w:pPr>
              <w:jc w:val="right"/>
              <w:spacing w:after="0"/>
              <w:rPr>
                <w:sz w:val="20"/>
                <w:szCs w:val="20"/>
                <w:color w:val="auto"/>
              </w:rPr>
            </w:pPr>
            <w:r>
              <w:rPr>
                <w:rFonts w:ascii="Arial" w:cs="Arial" w:eastAsia="Arial" w:hAnsi="Arial"/>
                <w:sz w:val="16"/>
                <w:szCs w:val="16"/>
                <w:color w:val="auto"/>
              </w:rPr>
              <w:t>336,759</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248,723</w:t>
            </w:r>
          </w:p>
        </w:tc>
        <w:tc>
          <w:tcPr>
            <w:tcW w:w="220" w:type="dxa"/>
            <w:vAlign w:val="bottom"/>
          </w:tcPr>
          <w:p>
            <w:pPr>
              <w:spacing w:after="0"/>
              <w:rPr>
                <w:sz w:val="16"/>
                <w:szCs w:val="16"/>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6"/>
                <w:szCs w:val="16"/>
                <w:color w:val="auto"/>
              </w:rPr>
              <w:t>220,737</w:t>
            </w:r>
          </w:p>
        </w:tc>
      </w:tr>
      <w:tr>
        <w:trPr>
          <w:trHeight w:val="205"/>
        </w:trPr>
        <w:tc>
          <w:tcPr>
            <w:tcW w:w="1680" w:type="dxa"/>
            <w:vAlign w:val="bottom"/>
            <w:gridSpan w:val="2"/>
          </w:tcPr>
          <w:p>
            <w:pPr>
              <w:jc w:val="right"/>
              <w:ind w:right="139"/>
              <w:spacing w:after="0"/>
              <w:rPr>
                <w:sz w:val="20"/>
                <w:szCs w:val="20"/>
                <w:color w:val="auto"/>
              </w:rPr>
            </w:pPr>
            <w:r>
              <w:rPr>
                <w:rFonts w:ascii="Arial" w:cs="Arial" w:eastAsia="Arial" w:hAnsi="Arial"/>
                <w:sz w:val="16"/>
                <w:szCs w:val="16"/>
                <w:color w:val="auto"/>
              </w:rPr>
              <w:t>51,667</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1460" w:type="dxa"/>
            <w:vAlign w:val="bottom"/>
          </w:tcPr>
          <w:p>
            <w:pPr>
              <w:jc w:val="right"/>
              <w:spacing w:after="0"/>
              <w:rPr>
                <w:sz w:val="20"/>
                <w:szCs w:val="20"/>
                <w:color w:val="auto"/>
              </w:rPr>
            </w:pPr>
            <w:r>
              <w:rPr>
                <w:rFonts w:ascii="Arial" w:cs="Arial" w:eastAsia="Arial" w:hAnsi="Arial"/>
                <w:sz w:val="16"/>
                <w:szCs w:val="16"/>
                <w:color w:val="auto"/>
              </w:rPr>
              <w:t>344,460</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325,666</w:t>
            </w:r>
          </w:p>
        </w:tc>
        <w:tc>
          <w:tcPr>
            <w:tcW w:w="220" w:type="dxa"/>
            <w:vAlign w:val="bottom"/>
          </w:tcPr>
          <w:p>
            <w:pPr>
              <w:spacing w:after="0"/>
              <w:rPr>
                <w:sz w:val="17"/>
                <w:szCs w:val="17"/>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6"/>
                <w:szCs w:val="16"/>
                <w:color w:val="auto"/>
              </w:rPr>
              <w:t>639,572</w:t>
            </w:r>
          </w:p>
        </w:tc>
      </w:tr>
      <w:tr>
        <w:trPr>
          <w:trHeight w:val="186"/>
        </w:trPr>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4,202,606</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3,992,378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3,835,543</w:t>
            </w: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560"/>
        </w:trPr>
        <w:tc>
          <w:tcPr>
            <w:tcW w:w="1460" w:type="dxa"/>
            <w:vAlign w:val="bottom"/>
          </w:tcPr>
          <w:p>
            <w:pPr>
              <w:jc w:val="right"/>
              <w:spacing w:after="0"/>
              <w:rPr>
                <w:sz w:val="20"/>
                <w:szCs w:val="20"/>
                <w:color w:val="auto"/>
              </w:rPr>
            </w:pPr>
            <w:r>
              <w:rPr>
                <w:rFonts w:ascii="Arial" w:cs="Arial" w:eastAsia="Arial" w:hAnsi="Arial"/>
                <w:sz w:val="16"/>
                <w:szCs w:val="16"/>
                <w:color w:val="auto"/>
              </w:rPr>
              <w:t>1,799,115</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1,733,978</w:t>
            </w:r>
          </w:p>
        </w:tc>
        <w:tc>
          <w:tcPr>
            <w:tcW w:w="22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2,189,666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(1,098,905)</w:t>
            </w:r>
          </w:p>
        </w:tc>
        <w:tc>
          <w:tcPr>
            <w:tcW w:w="1700" w:type="dxa"/>
            <w:vAlign w:val="bottom"/>
            <w:gridSpan w:val="2"/>
          </w:tcPr>
          <w:p>
            <w:pPr>
              <w:jc w:val="right"/>
              <w:ind w:right="79"/>
              <w:spacing w:after="0"/>
              <w:rPr>
                <w:sz w:val="20"/>
                <w:szCs w:val="20"/>
                <w:color w:val="auto"/>
              </w:rPr>
            </w:pPr>
            <w:r>
              <w:rPr>
                <w:rFonts w:ascii="Arial" w:cs="Arial" w:eastAsia="Arial" w:hAnsi="Arial"/>
                <w:sz w:val="16"/>
                <w:szCs w:val="16"/>
                <w:color w:val="auto"/>
              </w:rPr>
              <w:t>(1,031,659)</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(1,426,733)</w:t>
            </w:r>
          </w:p>
        </w:tc>
      </w:tr>
      <w:tr>
        <w:trPr>
          <w:trHeight w:val="379"/>
        </w:trPr>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700,210</w:t>
            </w:r>
          </w:p>
        </w:tc>
        <w:tc>
          <w:tcPr>
            <w:tcW w:w="220" w:type="dxa"/>
            <w:vAlign w:val="bottom"/>
          </w:tcPr>
          <w:p>
            <w:pPr>
              <w:spacing w:after="0"/>
              <w:rPr>
                <w:sz w:val="24"/>
                <w:szCs w:val="2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702,319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762,933</w:t>
            </w:r>
          </w:p>
        </w:tc>
        <w:tc>
          <w:tcPr>
            <w:tcW w:w="40" w:type="dxa"/>
            <w:vAlign w:val="bottom"/>
            <w:gridSpan w:val="2"/>
          </w:tcPr>
          <w:p>
            <w:pPr>
              <w:spacing w:after="0"/>
              <w:rPr>
                <w:sz w:val="24"/>
                <w:szCs w:val="24"/>
                <w:color w:val="auto"/>
              </w:rPr>
            </w:pPr>
          </w:p>
        </w:tc>
      </w:tr>
      <w:tr>
        <w:trPr>
          <w:trHeight w:val="568"/>
        </w:trPr>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(2,942,743)</w:t>
            </w:r>
          </w:p>
        </w:tc>
        <w:tc>
          <w:tcPr>
            <w:tcW w:w="1700" w:type="dxa"/>
            <w:vAlign w:val="bottom"/>
            <w:gridSpan w:val="2"/>
          </w:tcPr>
          <w:p>
            <w:pPr>
              <w:jc w:val="right"/>
              <w:ind w:right="79"/>
              <w:spacing w:after="0"/>
              <w:rPr>
                <w:sz w:val="20"/>
                <w:szCs w:val="20"/>
                <w:color w:val="auto"/>
              </w:rPr>
            </w:pPr>
            <w:r>
              <w:rPr>
                <w:rFonts w:ascii="Arial" w:cs="Arial" w:eastAsia="Arial" w:hAnsi="Arial"/>
                <w:sz w:val="16"/>
                <w:szCs w:val="16"/>
                <w:color w:val="auto"/>
              </w:rPr>
              <w:t>(2,878,318)</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(2,673,431)</w:t>
            </w:r>
          </w:p>
        </w:tc>
      </w:tr>
      <w:tr>
        <w:trPr>
          <w:trHeight w:val="193"/>
        </w:trPr>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(2,094,678)</w:t>
            </w:r>
          </w:p>
        </w:tc>
        <w:tc>
          <w:tcPr>
            <w:tcW w:w="1700" w:type="dxa"/>
            <w:vAlign w:val="bottom"/>
            <w:gridSpan w:val="2"/>
          </w:tcPr>
          <w:p>
            <w:pPr>
              <w:jc w:val="right"/>
              <w:ind w:right="79"/>
              <w:spacing w:after="0"/>
              <w:rPr>
                <w:sz w:val="20"/>
                <w:szCs w:val="20"/>
                <w:color w:val="auto"/>
              </w:rPr>
            </w:pPr>
            <w:r>
              <w:rPr>
                <w:rFonts w:ascii="Arial" w:cs="Arial" w:eastAsia="Arial" w:hAnsi="Arial"/>
                <w:sz w:val="16"/>
                <w:szCs w:val="16"/>
                <w:color w:val="auto"/>
              </w:rPr>
              <w:t>(1,995,802)</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(1,930,483)</w:t>
            </w:r>
          </w:p>
        </w:tc>
      </w:tr>
      <w:tr>
        <w:trPr>
          <w:trHeight w:val="193"/>
        </w:trPr>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(407,061)</w:t>
            </w:r>
          </w:p>
        </w:tc>
        <w:tc>
          <w:tcPr>
            <w:tcW w:w="1700" w:type="dxa"/>
            <w:vAlign w:val="bottom"/>
            <w:gridSpan w:val="2"/>
          </w:tcPr>
          <w:p>
            <w:pPr>
              <w:jc w:val="right"/>
              <w:ind w:right="79"/>
              <w:spacing w:after="0"/>
              <w:rPr>
                <w:sz w:val="20"/>
                <w:szCs w:val="20"/>
                <w:color w:val="auto"/>
              </w:rPr>
            </w:pPr>
            <w:r>
              <w:rPr>
                <w:rFonts w:ascii="Arial" w:cs="Arial" w:eastAsia="Arial" w:hAnsi="Arial"/>
                <w:sz w:val="16"/>
                <w:szCs w:val="16"/>
                <w:color w:val="auto"/>
              </w:rPr>
              <w:t>(396,497)</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(433,787)</w:t>
            </w:r>
          </w:p>
        </w:tc>
      </w:tr>
      <w:tr>
        <w:trPr>
          <w:trHeight w:val="193"/>
        </w:trPr>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(94)</w:t>
            </w:r>
          </w:p>
        </w:tc>
        <w:tc>
          <w:tcPr>
            <w:tcW w:w="1700" w:type="dxa"/>
            <w:vAlign w:val="bottom"/>
            <w:gridSpan w:val="2"/>
          </w:tcPr>
          <w:p>
            <w:pPr>
              <w:jc w:val="right"/>
              <w:ind w:right="79"/>
              <w:spacing w:after="0"/>
              <w:rPr>
                <w:sz w:val="20"/>
                <w:szCs w:val="20"/>
                <w:color w:val="auto"/>
              </w:rPr>
            </w:pPr>
            <w:r>
              <w:rPr>
                <w:rFonts w:ascii="Arial" w:cs="Arial" w:eastAsia="Arial" w:hAnsi="Arial"/>
                <w:sz w:val="16"/>
                <w:szCs w:val="16"/>
                <w:color w:val="auto"/>
              </w:rPr>
              <w:t>(82,374)</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(92,583)</w:t>
            </w:r>
          </w:p>
        </w:tc>
      </w:tr>
      <w:tr>
        <w:trPr>
          <w:trHeight w:val="193"/>
        </w:trPr>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(14,459)</w:t>
            </w:r>
          </w:p>
        </w:tc>
        <w:tc>
          <w:tcPr>
            <w:tcW w:w="1700" w:type="dxa"/>
            <w:vAlign w:val="bottom"/>
            <w:gridSpan w:val="2"/>
          </w:tcPr>
          <w:p>
            <w:pPr>
              <w:jc w:val="right"/>
              <w:ind w:right="79"/>
              <w:spacing w:after="0"/>
              <w:rPr>
                <w:sz w:val="20"/>
                <w:szCs w:val="20"/>
                <w:color w:val="auto"/>
              </w:rPr>
            </w:pPr>
            <w:r>
              <w:rPr>
                <w:rFonts w:ascii="Arial" w:cs="Arial" w:eastAsia="Arial" w:hAnsi="Arial"/>
                <w:sz w:val="16"/>
                <w:szCs w:val="16"/>
                <w:color w:val="auto"/>
              </w:rPr>
              <w:t>(43,801)</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(7,794)</w:t>
            </w:r>
          </w:p>
        </w:tc>
      </w:tr>
      <w:tr>
        <w:trPr>
          <w:trHeight w:val="193"/>
        </w:trPr>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700" w:type="dxa"/>
            <w:vAlign w:val="bottom"/>
            <w:gridSpan w:val="2"/>
          </w:tcPr>
          <w:p>
            <w:pPr>
              <w:jc w:val="right"/>
              <w:ind w:right="79"/>
              <w:spacing w:after="0"/>
              <w:rPr>
                <w:sz w:val="20"/>
                <w:szCs w:val="20"/>
                <w:color w:val="auto"/>
              </w:rPr>
            </w:pPr>
            <w:r>
              <w:rPr>
                <w:rFonts w:ascii="Arial" w:cs="Arial" w:eastAsia="Arial" w:hAnsi="Arial"/>
                <w:sz w:val="16"/>
                <w:szCs w:val="16"/>
                <w:color w:val="auto"/>
              </w:rPr>
              <w:t>(33,500)</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(4,098)</w:t>
            </w:r>
          </w:p>
        </w:tc>
      </w:tr>
      <w:tr>
        <w:trPr>
          <w:trHeight w:val="218"/>
        </w:trPr>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(609,075)</w:t>
            </w:r>
          </w:p>
        </w:tc>
        <w:tc>
          <w:tcPr>
            <w:tcW w:w="1700" w:type="dxa"/>
            <w:vAlign w:val="bottom"/>
            <w:gridSpan w:val="2"/>
          </w:tcPr>
          <w:p>
            <w:pPr>
              <w:jc w:val="right"/>
              <w:ind w:right="79"/>
              <w:spacing w:after="0"/>
              <w:rPr>
                <w:sz w:val="20"/>
                <w:szCs w:val="20"/>
                <w:color w:val="auto"/>
              </w:rPr>
            </w:pPr>
            <w:r>
              <w:rPr>
                <w:rFonts w:ascii="Arial" w:cs="Arial" w:eastAsia="Arial" w:hAnsi="Arial"/>
                <w:sz w:val="16"/>
                <w:szCs w:val="16"/>
                <w:color w:val="auto"/>
              </w:rPr>
              <w:t>(534,372)</w:t>
            </w:r>
          </w:p>
        </w:tc>
        <w:tc>
          <w:tcPr>
            <w:tcW w:w="1520" w:type="dxa"/>
            <w:vAlign w:val="bottom"/>
            <w:gridSpan w:val="4"/>
          </w:tcPr>
          <w:p>
            <w:pPr>
              <w:jc w:val="right"/>
              <w:spacing w:after="0"/>
              <w:rPr>
                <w:sz w:val="20"/>
                <w:szCs w:val="20"/>
                <w:color w:val="auto"/>
              </w:rPr>
            </w:pPr>
            <w:r>
              <w:rPr>
                <w:rFonts w:ascii="Arial" w:cs="Arial" w:eastAsia="Arial" w:hAnsi="Arial"/>
                <w:sz w:val="16"/>
                <w:szCs w:val="16"/>
                <w:color w:val="auto"/>
              </w:rPr>
              <w:t>(932,920)</w:t>
            </w:r>
          </w:p>
        </w:tc>
      </w:tr>
      <w:tr>
        <w:trPr>
          <w:trHeight w:val="186"/>
        </w:trPr>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(6,068,110</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(5,964,664</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(6,075,096</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r>
    </w:tbl>
    <w:p>
      <w:pPr>
        <w:sectPr>
          <w:pgSz w:w="11900" w:h="16838" w:orient="portrait"/>
          <w:cols w:equalWidth="0" w:num="2">
            <w:col w:w="6260" w:space="260"/>
            <w:col w:w="4900"/>
          </w:cols>
          <w:pgMar w:left="240" w:top="824"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Note</w:t>
            </w:r>
          </w:p>
        </w:tc>
        <w:tc>
          <w:tcPr>
            <w:tcW w:w="620" w:type="dxa"/>
            <w:vAlign w:val="bottom"/>
          </w:tcPr>
          <w:p>
            <w:pPr>
              <w:spacing w:after="0"/>
              <w:rPr>
                <w:sz w:val="20"/>
                <w:szCs w:val="20"/>
                <w:color w:val="auto"/>
              </w:rPr>
            </w:pPr>
            <w:r>
              <w:rPr>
                <w:rFonts w:ascii="Arial" w:cs="Arial" w:eastAsia="Arial" w:hAnsi="Arial"/>
                <w:sz w:val="16"/>
                <w:szCs w:val="16"/>
                <w:b w:val="1"/>
                <w:bCs w:val="1"/>
                <w:color w:val="auto"/>
              </w:rPr>
              <w:t>2016</w:t>
            </w:r>
          </w:p>
        </w:tc>
        <w:tc>
          <w:tcPr>
            <w:tcW w:w="1700" w:type="dxa"/>
            <w:vAlign w:val="bottom"/>
            <w:gridSpan w:val="3"/>
          </w:tcPr>
          <w:p>
            <w:pPr>
              <w:ind w:left="1060"/>
              <w:spacing w:after="0"/>
              <w:rPr>
                <w:sz w:val="20"/>
                <w:szCs w:val="20"/>
                <w:color w:val="auto"/>
              </w:rPr>
            </w:pPr>
            <w:r>
              <w:rPr>
                <w:rFonts w:ascii="Arial" w:cs="Arial" w:eastAsia="Arial" w:hAnsi="Arial"/>
                <w:sz w:val="16"/>
                <w:szCs w:val="16"/>
                <w:b w:val="1"/>
                <w:bCs w:val="1"/>
                <w:color w:val="auto"/>
              </w:rPr>
              <w:t>2015</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Profit before exchange difference and income tax</w:t>
            </w:r>
          </w:p>
        </w:tc>
        <w:tc>
          <w:tcPr>
            <w:tcW w:w="1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4,952,052</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4,314,029</w:t>
            </w:r>
          </w:p>
        </w:tc>
        <w:tc>
          <w:tcPr>
            <w:tcW w:w="2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3,217,375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tcPr>
          <w:p>
            <w:pPr>
              <w:spacing w:after="0"/>
              <w:rPr>
                <w:sz w:val="20"/>
                <w:szCs w:val="20"/>
                <w:color w:val="auto"/>
              </w:rPr>
            </w:pPr>
            <w:r>
              <w:rPr>
                <w:rFonts w:ascii="Arial" w:cs="Arial" w:eastAsia="Arial" w:hAnsi="Arial"/>
                <w:sz w:val="16"/>
                <w:szCs w:val="16"/>
                <w:color w:val="auto"/>
              </w:rPr>
              <w:t>Exchange difference</w:t>
            </w: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(60,624)</w:t>
            </w:r>
          </w:p>
        </w:tc>
        <w:tc>
          <w:tcPr>
            <w:tcW w:w="64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46,563</w:t>
            </w:r>
          </w:p>
        </w:tc>
        <w:tc>
          <w:tcPr>
            <w:tcW w:w="1540" w:type="dxa"/>
            <w:vAlign w:val="bottom"/>
            <w:gridSpan w:val="3"/>
          </w:tcPr>
          <w:p>
            <w:pPr>
              <w:jc w:val="right"/>
              <w:ind w:right="60"/>
              <w:spacing w:after="0"/>
              <w:rPr>
                <w:sz w:val="20"/>
                <w:szCs w:val="20"/>
                <w:color w:val="auto"/>
              </w:rPr>
            </w:pPr>
            <w:r>
              <w:rPr>
                <w:rFonts w:ascii="Arial" w:cs="Arial" w:eastAsia="Arial" w:hAnsi="Arial"/>
                <w:sz w:val="16"/>
                <w:szCs w:val="16"/>
                <w:color w:val="auto"/>
              </w:rPr>
              <w:t>172,095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Income tax</w:t>
            </w:r>
          </w:p>
        </w:tc>
        <w:tc>
          <w:tcPr>
            <w:tcW w:w="122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90"/>
              </w:rPr>
              <w:t>19(b)</w:t>
            </w:r>
          </w:p>
        </w:tc>
        <w:tc>
          <w:tcPr>
            <w:tcW w:w="6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(1,281,448)</w:t>
            </w:r>
          </w:p>
        </w:tc>
        <w:tc>
          <w:tcPr>
            <w:tcW w:w="6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(1,197,207)</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(968,224)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profit</w:t>
            </w:r>
          </w:p>
        </w:tc>
        <w:tc>
          <w:tcPr>
            <w:tcW w:w="1220" w:type="dxa"/>
            <w:vAlign w:val="bottom"/>
            <w:tcBorders>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3,609,980</w:t>
            </w:r>
          </w:p>
        </w:tc>
        <w:tc>
          <w:tcPr>
            <w:tcW w:w="22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3,163,385</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2,421,246</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Attributable to:</w:t>
            </w:r>
          </w:p>
        </w:tc>
        <w:tc>
          <w:tcPr>
            <w:tcW w:w="1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tcPr>
          <w:p>
            <w:pPr>
              <w:spacing w:after="0"/>
              <w:rPr>
                <w:sz w:val="20"/>
                <w:szCs w:val="20"/>
                <w:color w:val="auto"/>
              </w:rPr>
            </w:pPr>
            <w:r>
              <w:rPr>
                <w:rFonts w:ascii="Arial" w:cs="Arial" w:eastAsia="Arial" w:hAnsi="Arial"/>
                <w:sz w:val="16"/>
                <w:szCs w:val="16"/>
                <w:color w:val="auto"/>
              </w:rPr>
              <w:t>Credicorp’s equity holders</w:t>
            </w: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3,514,582</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3,092,303</w:t>
            </w:r>
          </w:p>
        </w:tc>
        <w:tc>
          <w:tcPr>
            <w:tcW w:w="2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2,387,852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95,398</w:t>
            </w:r>
          </w:p>
        </w:tc>
        <w:tc>
          <w:tcPr>
            <w:tcW w:w="6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71,082</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33,394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8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3,609,980</w:t>
            </w:r>
          </w:p>
        </w:tc>
        <w:tc>
          <w:tcPr>
            <w:tcW w:w="22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3,163,385</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2,421,246</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280" w:type="dxa"/>
            <w:vAlign w:val="bottom"/>
          </w:tcPr>
          <w:p>
            <w:pPr>
              <w:spacing w:after="0" w:line="177" w:lineRule="exact"/>
              <w:rPr>
                <w:sz w:val="20"/>
                <w:szCs w:val="20"/>
                <w:color w:val="auto"/>
              </w:rPr>
            </w:pPr>
            <w:r>
              <w:rPr>
                <w:rFonts w:ascii="Arial" w:cs="Arial" w:eastAsia="Arial" w:hAnsi="Arial"/>
                <w:sz w:val="16"/>
                <w:szCs w:val="16"/>
                <w:b w:val="1"/>
                <w:bCs w:val="1"/>
                <w:color w:val="auto"/>
                <w:w w:val="94"/>
              </w:rPr>
              <w:t>Net basic and dilutive earnings per share attributable to equity holders of</w:t>
            </w: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00" w:type="dxa"/>
            <w:vAlign w:val="bottom"/>
            <w:gridSpan w:val="2"/>
          </w:tcPr>
          <w:p>
            <w:pPr>
              <w:spacing w:after="0"/>
              <w:rPr>
                <w:sz w:val="20"/>
                <w:szCs w:val="20"/>
                <w:color w:val="auto"/>
              </w:rPr>
            </w:pPr>
            <w:r>
              <w:rPr>
                <w:rFonts w:ascii="Arial" w:cs="Arial" w:eastAsia="Arial" w:hAnsi="Arial"/>
                <w:sz w:val="16"/>
                <w:szCs w:val="16"/>
                <w:b w:val="1"/>
                <w:bCs w:val="1"/>
                <w:color w:val="auto"/>
              </w:rPr>
              <w:t>Credicorp Ltd. (in Peruvian Soles):</w:t>
            </w: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Basic</w:t>
            </w:r>
          </w:p>
        </w:tc>
        <w:tc>
          <w:tcPr>
            <w:tcW w:w="122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29</w:t>
            </w: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44.23</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38.91</w:t>
            </w:r>
          </w:p>
        </w:tc>
        <w:tc>
          <w:tcPr>
            <w:tcW w:w="22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30.04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6"/>
                <w:szCs w:val="16"/>
                <w:color w:val="auto"/>
              </w:rPr>
              <w:t>Dilutive</w:t>
            </w:r>
          </w:p>
        </w:tc>
        <w:tc>
          <w:tcPr>
            <w:tcW w:w="1220" w:type="dxa"/>
            <w:vAlign w:val="bottom"/>
          </w:tcPr>
          <w:p>
            <w:pPr>
              <w:jc w:val="center"/>
              <w:ind w:right="59"/>
              <w:spacing w:after="0"/>
              <w:rPr>
                <w:sz w:val="20"/>
                <w:szCs w:val="20"/>
                <w:color w:val="auto"/>
              </w:rPr>
            </w:pPr>
            <w:r>
              <w:rPr>
                <w:rFonts w:ascii="Arial" w:cs="Arial" w:eastAsia="Arial" w:hAnsi="Arial"/>
                <w:sz w:val="16"/>
                <w:szCs w:val="16"/>
                <w:color w:val="auto"/>
                <w:w w:val="89"/>
              </w:rPr>
              <w:t>29</w:t>
            </w:r>
          </w:p>
        </w:tc>
        <w:tc>
          <w:tcPr>
            <w:tcW w:w="6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44.15</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38.84</w:t>
            </w:r>
          </w:p>
        </w:tc>
        <w:tc>
          <w:tcPr>
            <w:tcW w:w="220" w:type="dxa"/>
            <w:vAlign w:val="bottom"/>
          </w:tcPr>
          <w:p>
            <w:pPr>
              <w:spacing w:after="0"/>
              <w:rPr>
                <w:sz w:val="17"/>
                <w:szCs w:val="17"/>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6"/>
                <w:szCs w:val="16"/>
                <w:color w:val="auto"/>
              </w:rPr>
              <w:t>29.97</w:t>
            </w: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- 11 -</w:t>
            </w: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4" w:right="21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gridSpan w:val="2"/>
          </w:tcPr>
          <w:p>
            <w:pPr>
              <w:spacing w:after="0"/>
              <w:rPr>
                <w:sz w:val="20"/>
                <w:szCs w:val="20"/>
                <w:color w:val="auto"/>
              </w:rPr>
            </w:pPr>
            <w:r>
              <w:rPr>
                <w:rFonts w:ascii="Arial" w:cs="Arial" w:eastAsia="Arial" w:hAnsi="Arial"/>
                <w:sz w:val="16"/>
                <w:szCs w:val="16"/>
                <w:b w:val="1"/>
                <w:bCs w:val="1"/>
                <w:color w:val="auto"/>
              </w:rPr>
              <w:t>CREDICORP LTD. AND SUBSIDIARIES</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6520" w:type="dxa"/>
            <w:vAlign w:val="bottom"/>
            <w:gridSpan w:val="2"/>
          </w:tcPr>
          <w:p>
            <w:pPr>
              <w:spacing w:after="0"/>
              <w:rPr>
                <w:sz w:val="20"/>
                <w:szCs w:val="20"/>
                <w:color w:val="auto"/>
              </w:rPr>
            </w:pPr>
            <w:r>
              <w:rPr>
                <w:rFonts w:ascii="Arial" w:cs="Arial" w:eastAsia="Arial" w:hAnsi="Arial"/>
                <w:sz w:val="16"/>
                <w:szCs w:val="16"/>
                <w:color w:val="auto"/>
              </w:rPr>
              <w:t>CONSOLIDATED STATEMENTS OF COMPREHENSIVE INCOME</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520" w:type="dxa"/>
            <w:vAlign w:val="bottom"/>
            <w:gridSpan w:val="2"/>
          </w:tcPr>
          <w:p>
            <w:pPr>
              <w:spacing w:after="0"/>
              <w:rPr>
                <w:sz w:val="20"/>
                <w:szCs w:val="20"/>
                <w:color w:val="auto"/>
              </w:rPr>
            </w:pPr>
            <w:r>
              <w:rPr>
                <w:rFonts w:ascii="Arial" w:cs="Arial" w:eastAsia="Arial" w:hAnsi="Arial"/>
                <w:sz w:val="16"/>
                <w:szCs w:val="16"/>
                <w:color w:val="auto"/>
              </w:rPr>
              <w:t>FOR THE YEARS ENDED DECEMBER 31, 2016, 2015 AND 2014</w:t>
            </w: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500" w:type="dxa"/>
            <w:vAlign w:val="bottom"/>
          </w:tcPr>
          <w:p>
            <w:pPr>
              <w:ind w:left="5660"/>
              <w:spacing w:after="0"/>
              <w:rPr>
                <w:sz w:val="20"/>
                <w:szCs w:val="20"/>
                <w:color w:val="auto"/>
              </w:rPr>
            </w:pPr>
            <w:r>
              <w:rPr>
                <w:rFonts w:ascii="Arial" w:cs="Arial" w:eastAsia="Arial" w:hAnsi="Arial"/>
                <w:sz w:val="16"/>
                <w:szCs w:val="16"/>
                <w:b w:val="1"/>
                <w:bCs w:val="1"/>
                <w:color w:val="auto"/>
              </w:rPr>
              <w:t>Note</w:t>
            </w: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2016</w:t>
            </w: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4"/>
                <w:szCs w:val="24"/>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profit for the year</w:t>
            </w:r>
          </w:p>
        </w:tc>
        <w:tc>
          <w:tcPr>
            <w:tcW w:w="6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3,609,980</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3,163,385</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2,421,246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50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Other comprehensive income to be reclassified to profit or loss in subsequent</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periods:</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38" w:orient="portrait"/>
          <w:cols w:equalWidth="0" w:num="1">
            <w:col w:w="11440"/>
          </w:cols>
          <w:pgMar w:left="240" w:top="824" w:right="219" w:bottom="1440" w:gutter="0" w:footer="0" w:header="0"/>
        </w:sectPr>
      </w:pPr>
    </w:p>
    <w:tbl>
      <w:tblPr>
        <w:tblLayout w:type="fixed"/>
        <w:tblInd w:w="0" w:type="dxa"/>
        <w:tblCellMar>
          <w:top w:w="0" w:type="dxa"/>
          <w:left w:w="0" w:type="dxa"/>
          <w:bottom w:w="0" w:type="dxa"/>
          <w:right w:w="0" w:type="dxa"/>
        </w:tblCellMar>
      </w:tblPr>
      <w:tr>
        <w:trPr>
          <w:trHeight w:val="193"/>
        </w:trPr>
        <w:tc>
          <w:tcPr>
            <w:tcW w:w="4700" w:type="dxa"/>
            <w:vAlign w:val="bottom"/>
          </w:tcPr>
          <w:p>
            <w:pPr>
              <w:spacing w:after="0"/>
              <w:rPr>
                <w:sz w:val="20"/>
                <w:szCs w:val="20"/>
                <w:color w:val="auto"/>
              </w:rPr>
            </w:pPr>
            <w:r>
              <w:rPr>
                <w:rFonts w:ascii="Arial" w:cs="Arial" w:eastAsia="Arial" w:hAnsi="Arial"/>
                <w:sz w:val="16"/>
                <w:szCs w:val="16"/>
                <w:color w:val="auto"/>
              </w:rPr>
              <w:t>Net (loss) gain on investments available for sale</w:t>
            </w:r>
          </w:p>
        </w:tc>
        <w:tc>
          <w:tcPr>
            <w:tcW w:w="1300" w:type="dxa"/>
            <w:vAlign w:val="bottom"/>
          </w:tcPr>
          <w:p>
            <w:pPr>
              <w:ind w:left="960"/>
              <w:spacing w:after="0"/>
              <w:rPr>
                <w:sz w:val="20"/>
                <w:szCs w:val="20"/>
                <w:color w:val="auto"/>
              </w:rPr>
            </w:pPr>
            <w:r>
              <w:rPr>
                <w:rFonts w:ascii="Arial" w:cs="Arial" w:eastAsia="Arial" w:hAnsi="Arial"/>
                <w:sz w:val="16"/>
                <w:szCs w:val="16"/>
                <w:color w:val="auto"/>
                <w:w w:val="85"/>
              </w:rPr>
              <w:t>18(d)</w:t>
            </w: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Income tax</w:t>
            </w:r>
          </w:p>
        </w:tc>
        <w:tc>
          <w:tcPr>
            <w:tcW w:w="1300" w:type="dxa"/>
            <w:vAlign w:val="bottom"/>
          </w:tcPr>
          <w:p>
            <w:pPr>
              <w:ind w:left="960"/>
              <w:spacing w:after="0"/>
              <w:rPr>
                <w:sz w:val="20"/>
                <w:szCs w:val="20"/>
                <w:color w:val="auto"/>
              </w:rPr>
            </w:pPr>
            <w:r>
              <w:rPr>
                <w:rFonts w:ascii="Arial" w:cs="Arial" w:eastAsia="Arial" w:hAnsi="Arial"/>
                <w:sz w:val="16"/>
                <w:szCs w:val="16"/>
                <w:color w:val="auto"/>
                <w:w w:val="85"/>
              </w:rPr>
              <w:t>18(d)</w:t>
            </w:r>
          </w:p>
        </w:tc>
      </w:tr>
      <w:tr>
        <w:trPr>
          <w:trHeight w:val="592"/>
        </w:trPr>
        <w:tc>
          <w:tcPr>
            <w:tcW w:w="4700" w:type="dxa"/>
            <w:vAlign w:val="bottom"/>
          </w:tcPr>
          <w:p>
            <w:pPr>
              <w:spacing w:after="0"/>
              <w:rPr>
                <w:sz w:val="20"/>
                <w:szCs w:val="20"/>
                <w:color w:val="auto"/>
              </w:rPr>
            </w:pPr>
            <w:r>
              <w:rPr>
                <w:rFonts w:ascii="Arial" w:cs="Arial" w:eastAsia="Arial" w:hAnsi="Arial"/>
                <w:sz w:val="16"/>
                <w:szCs w:val="16"/>
                <w:color w:val="auto"/>
              </w:rPr>
              <w:t>Net movement on cashflow hedges</w:t>
            </w:r>
          </w:p>
        </w:tc>
        <w:tc>
          <w:tcPr>
            <w:tcW w:w="1300" w:type="dxa"/>
            <w:vAlign w:val="bottom"/>
          </w:tcPr>
          <w:p>
            <w:pPr>
              <w:ind w:left="960"/>
              <w:spacing w:after="0"/>
              <w:rPr>
                <w:sz w:val="20"/>
                <w:szCs w:val="20"/>
                <w:color w:val="auto"/>
              </w:rPr>
            </w:pPr>
            <w:r>
              <w:rPr>
                <w:rFonts w:ascii="Arial" w:cs="Arial" w:eastAsia="Arial" w:hAnsi="Arial"/>
                <w:sz w:val="16"/>
                <w:szCs w:val="16"/>
                <w:color w:val="auto"/>
                <w:w w:val="85"/>
              </w:rPr>
              <w:t>18(d)</w:t>
            </w: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Income tax</w:t>
            </w:r>
          </w:p>
        </w:tc>
        <w:tc>
          <w:tcPr>
            <w:tcW w:w="1300" w:type="dxa"/>
            <w:vAlign w:val="bottom"/>
          </w:tcPr>
          <w:p>
            <w:pPr>
              <w:ind w:left="960"/>
              <w:spacing w:after="0"/>
              <w:rPr>
                <w:sz w:val="20"/>
                <w:szCs w:val="20"/>
                <w:color w:val="auto"/>
              </w:rPr>
            </w:pPr>
            <w:r>
              <w:rPr>
                <w:rFonts w:ascii="Arial" w:cs="Arial" w:eastAsia="Arial" w:hAnsi="Arial"/>
                <w:sz w:val="16"/>
                <w:szCs w:val="16"/>
                <w:color w:val="auto"/>
                <w:w w:val="85"/>
              </w:rPr>
              <w:t>18(d)</w:t>
            </w:r>
          </w:p>
        </w:tc>
      </w:tr>
      <w:tr>
        <w:trPr>
          <w:trHeight w:val="604"/>
        </w:trPr>
        <w:tc>
          <w:tcPr>
            <w:tcW w:w="4700" w:type="dxa"/>
            <w:vAlign w:val="bottom"/>
          </w:tcPr>
          <w:p>
            <w:pPr>
              <w:spacing w:after="0"/>
              <w:rPr>
                <w:sz w:val="20"/>
                <w:szCs w:val="20"/>
                <w:color w:val="auto"/>
              </w:rPr>
            </w:pPr>
            <w:r>
              <w:rPr>
                <w:rFonts w:ascii="Arial" w:cs="Arial" w:eastAsia="Arial" w:hAnsi="Arial"/>
                <w:sz w:val="16"/>
                <w:szCs w:val="16"/>
                <w:color w:val="auto"/>
              </w:rPr>
              <w:t>Exchange differences on translation of foreign Operations</w:t>
            </w:r>
          </w:p>
        </w:tc>
        <w:tc>
          <w:tcPr>
            <w:tcW w:w="1300" w:type="dxa"/>
            <w:vAlign w:val="bottom"/>
          </w:tcPr>
          <w:p>
            <w:pPr>
              <w:ind w:left="960"/>
              <w:spacing w:after="0"/>
              <w:rPr>
                <w:sz w:val="20"/>
                <w:szCs w:val="20"/>
                <w:color w:val="auto"/>
              </w:rPr>
            </w:pPr>
            <w:r>
              <w:rPr>
                <w:rFonts w:ascii="Arial" w:cs="Arial" w:eastAsia="Arial" w:hAnsi="Arial"/>
                <w:sz w:val="16"/>
                <w:szCs w:val="16"/>
                <w:color w:val="auto"/>
                <w:w w:val="85"/>
              </w:rPr>
              <w:t>18(d)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-1135380</wp:posOffset>
            </wp:positionV>
            <wp:extent cx="7261225" cy="1225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-882015</wp:posOffset>
            </wp:positionV>
            <wp:extent cx="7261225" cy="13017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6122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-628650</wp:posOffset>
            </wp:positionV>
            <wp:extent cx="7261225" cy="1225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61225" cy="1225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-375285</wp:posOffset>
            </wp:positionV>
            <wp:extent cx="7261225" cy="13017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6122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-121920</wp:posOffset>
            </wp:positionV>
            <wp:extent cx="7261225" cy="13017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61225" cy="1301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138430</wp:posOffset>
            </wp:positionV>
            <wp:extent cx="7261225" cy="13017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61225" cy="13017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920"/>
        <w:spacing w:after="0" w:line="285" w:lineRule="auto"/>
        <w:rPr>
          <w:sz w:val="20"/>
          <w:szCs w:val="20"/>
          <w:color w:val="auto"/>
        </w:rPr>
      </w:pPr>
      <w:r>
        <w:rPr>
          <w:rFonts w:ascii="Arial" w:cs="Arial" w:eastAsia="Arial" w:hAnsi="Arial"/>
          <w:sz w:val="16"/>
          <w:szCs w:val="16"/>
          <w:b w:val="1"/>
          <w:bCs w:val="1"/>
          <w:color w:val="auto"/>
        </w:rPr>
        <w:t>Net other comprehensive (loss) income to be reclassified to profit or loss in subsequent periods, net of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-266065</wp:posOffset>
            </wp:positionV>
            <wp:extent cx="7261225" cy="25336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61225" cy="25336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Total comprehensive income for the year, net of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61225" cy="1225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61225" cy="1225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-105410</wp:posOffset>
            </wp:positionV>
            <wp:extent cx="7261225" cy="1225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61225" cy="1225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Equity holders of Credicorp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261225" cy="13017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61225" cy="130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460" w:type="dxa"/>
            <w:vAlign w:val="bottom"/>
          </w:tcPr>
          <w:p>
            <w:pPr>
              <w:jc w:val="right"/>
              <w:spacing w:after="0"/>
              <w:rPr>
                <w:sz w:val="20"/>
                <w:szCs w:val="20"/>
                <w:color w:val="auto"/>
              </w:rPr>
            </w:pPr>
            <w:r>
              <w:rPr>
                <w:rFonts w:ascii="Arial" w:cs="Arial" w:eastAsia="Arial" w:hAnsi="Arial"/>
                <w:sz w:val="16"/>
                <w:szCs w:val="16"/>
                <w:color w:val="auto"/>
              </w:rPr>
              <w:t>518,658</w:t>
            </w:r>
          </w:p>
        </w:tc>
        <w:tc>
          <w:tcPr>
            <w:tcW w:w="220" w:type="dxa"/>
            <w:vAlign w:val="bottom"/>
          </w:tcPr>
          <w:p>
            <w:pPr>
              <w:spacing w:after="0"/>
              <w:rPr>
                <w:sz w:val="16"/>
                <w:szCs w:val="16"/>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(635,743)</w:t>
            </w:r>
          </w:p>
        </w:tc>
        <w:tc>
          <w:tcPr>
            <w:tcW w:w="1480" w:type="dxa"/>
            <w:vAlign w:val="bottom"/>
          </w:tcPr>
          <w:p>
            <w:pPr>
              <w:jc w:val="right"/>
              <w:spacing w:after="0"/>
              <w:rPr>
                <w:sz w:val="20"/>
                <w:szCs w:val="20"/>
                <w:color w:val="auto"/>
              </w:rPr>
            </w:pPr>
            <w:r>
              <w:rPr>
                <w:rFonts w:ascii="Arial" w:cs="Arial" w:eastAsia="Arial" w:hAnsi="Arial"/>
                <w:sz w:val="16"/>
                <w:szCs w:val="16"/>
                <w:color w:val="auto"/>
              </w:rPr>
              <w:t>197,397</w:t>
            </w:r>
          </w:p>
        </w:tc>
        <w:tc>
          <w:tcPr>
            <w:tcW w:w="40" w:type="dxa"/>
            <w:vAlign w:val="bottom"/>
          </w:tcPr>
          <w:p>
            <w:pPr>
              <w:spacing w:after="0"/>
              <w:rPr>
                <w:sz w:val="16"/>
                <w:szCs w:val="16"/>
                <w:color w:val="auto"/>
              </w:rPr>
            </w:pPr>
          </w:p>
        </w:tc>
      </w:tr>
      <w:tr>
        <w:trPr>
          <w:trHeight w:val="218"/>
        </w:trPr>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(22,975)</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18,503</w:t>
            </w:r>
          </w:p>
        </w:tc>
        <w:tc>
          <w:tcPr>
            <w:tcW w:w="1480" w:type="dxa"/>
            <w:vAlign w:val="bottom"/>
          </w:tcPr>
          <w:p>
            <w:pPr>
              <w:jc w:val="right"/>
              <w:spacing w:after="0"/>
              <w:rPr>
                <w:sz w:val="20"/>
                <w:szCs w:val="20"/>
                <w:color w:val="auto"/>
              </w:rPr>
            </w:pPr>
            <w:r>
              <w:rPr>
                <w:rFonts w:ascii="Arial" w:cs="Arial" w:eastAsia="Arial" w:hAnsi="Arial"/>
                <w:sz w:val="16"/>
                <w:szCs w:val="16"/>
                <w:color w:val="auto"/>
              </w:rPr>
              <w:t>6,853</w:t>
            </w:r>
          </w:p>
        </w:tc>
        <w:tc>
          <w:tcPr>
            <w:tcW w:w="40" w:type="dxa"/>
            <w:vAlign w:val="bottom"/>
          </w:tcPr>
          <w:p>
            <w:pPr>
              <w:spacing w:after="0"/>
              <w:rPr>
                <w:sz w:val="18"/>
                <w:szCs w:val="18"/>
                <w:color w:val="auto"/>
              </w:rPr>
            </w:pPr>
          </w:p>
        </w:tc>
      </w:tr>
      <w:tr>
        <w:trPr>
          <w:trHeight w:val="198"/>
        </w:trPr>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495,683</w:t>
            </w:r>
          </w:p>
        </w:tc>
        <w:tc>
          <w:tcPr>
            <w:tcW w:w="2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(617,240)</w:t>
            </w:r>
          </w:p>
        </w:tc>
        <w:tc>
          <w:tcPr>
            <w:tcW w:w="2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204,250</w:t>
            </w:r>
          </w:p>
        </w:tc>
        <w:tc>
          <w:tcPr>
            <w:tcW w:w="40" w:type="dxa"/>
            <w:vAlign w:val="bottom"/>
          </w:tcPr>
          <w:p>
            <w:pPr>
              <w:spacing w:after="0"/>
              <w:rPr>
                <w:sz w:val="17"/>
                <w:szCs w:val="17"/>
                <w:color w:val="auto"/>
              </w:rPr>
            </w:pPr>
          </w:p>
        </w:tc>
      </w:tr>
      <w:tr>
        <w:trPr>
          <w:trHeight w:val="362"/>
        </w:trPr>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(22,109)</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41,069</w:t>
            </w:r>
          </w:p>
        </w:tc>
        <w:tc>
          <w:tcPr>
            <w:tcW w:w="1480" w:type="dxa"/>
            <w:vAlign w:val="bottom"/>
          </w:tcPr>
          <w:p>
            <w:pPr>
              <w:jc w:val="right"/>
              <w:spacing w:after="0"/>
              <w:rPr>
                <w:sz w:val="20"/>
                <w:szCs w:val="20"/>
                <w:color w:val="auto"/>
              </w:rPr>
            </w:pPr>
            <w:r>
              <w:rPr>
                <w:rFonts w:ascii="Arial" w:cs="Arial" w:eastAsia="Arial" w:hAnsi="Arial"/>
                <w:sz w:val="16"/>
                <w:szCs w:val="16"/>
                <w:color w:val="auto"/>
              </w:rPr>
              <w:t>18,888</w:t>
            </w:r>
          </w:p>
        </w:tc>
        <w:tc>
          <w:tcPr>
            <w:tcW w:w="40" w:type="dxa"/>
            <w:vAlign w:val="bottom"/>
          </w:tcPr>
          <w:p>
            <w:pPr>
              <w:spacing w:after="0"/>
              <w:rPr>
                <w:sz w:val="24"/>
                <w:szCs w:val="24"/>
                <w:color w:val="auto"/>
              </w:rPr>
            </w:pPr>
          </w:p>
        </w:tc>
      </w:tr>
      <w:tr>
        <w:trPr>
          <w:trHeight w:val="218"/>
        </w:trPr>
        <w:tc>
          <w:tcPr>
            <w:tcW w:w="1460" w:type="dxa"/>
            <w:vAlign w:val="bottom"/>
          </w:tcPr>
          <w:p>
            <w:pPr>
              <w:jc w:val="right"/>
              <w:spacing w:after="0"/>
              <w:rPr>
                <w:sz w:val="20"/>
                <w:szCs w:val="20"/>
                <w:color w:val="auto"/>
              </w:rPr>
            </w:pPr>
            <w:r>
              <w:rPr>
                <w:rFonts w:ascii="Arial" w:cs="Arial" w:eastAsia="Arial" w:hAnsi="Arial"/>
                <w:sz w:val="16"/>
                <w:szCs w:val="16"/>
                <w:color w:val="auto"/>
              </w:rPr>
              <w:t>2,294</w:t>
            </w:r>
          </w:p>
        </w:tc>
        <w:tc>
          <w:tcPr>
            <w:tcW w:w="2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(1,956)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(1,016)</w:t>
            </w:r>
          </w:p>
        </w:tc>
      </w:tr>
      <w:tr>
        <w:trPr>
          <w:trHeight w:val="198"/>
        </w:trPr>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(19,815)</w:t>
            </w:r>
          </w:p>
        </w:tc>
        <w:tc>
          <w:tcPr>
            <w:tcW w:w="2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39,113</w:t>
            </w:r>
          </w:p>
        </w:tc>
        <w:tc>
          <w:tcPr>
            <w:tcW w:w="2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17,872</w:t>
            </w:r>
          </w:p>
        </w:tc>
        <w:tc>
          <w:tcPr>
            <w:tcW w:w="40" w:type="dxa"/>
            <w:vAlign w:val="bottom"/>
          </w:tcPr>
          <w:p>
            <w:pPr>
              <w:spacing w:after="0"/>
              <w:rPr>
                <w:sz w:val="17"/>
                <w:szCs w:val="17"/>
                <w:color w:val="auto"/>
              </w:rPr>
            </w:pPr>
          </w:p>
        </w:tc>
      </w:tr>
      <w:tr>
        <w:trPr>
          <w:trHeight w:val="387"/>
        </w:trPr>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(26,571)</w:t>
            </w:r>
          </w:p>
        </w:tc>
        <w:tc>
          <w:tcPr>
            <w:tcW w:w="1480" w:type="dxa"/>
            <w:vAlign w:val="bottom"/>
          </w:tcPr>
          <w:p>
            <w:pPr>
              <w:jc w:val="right"/>
              <w:spacing w:after="0"/>
              <w:rPr>
                <w:sz w:val="20"/>
                <w:szCs w:val="20"/>
                <w:color w:val="auto"/>
              </w:rPr>
            </w:pPr>
            <w:r>
              <w:rPr>
                <w:rFonts w:ascii="Arial" w:cs="Arial" w:eastAsia="Arial" w:hAnsi="Arial"/>
                <w:sz w:val="16"/>
                <w:szCs w:val="16"/>
                <w:color w:val="auto"/>
              </w:rPr>
              <w:t>270,907</w:t>
            </w:r>
          </w:p>
        </w:tc>
        <w:tc>
          <w:tcPr>
            <w:tcW w:w="2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(54,005)</w:t>
            </w:r>
          </w:p>
        </w:tc>
      </w:tr>
      <w:tr>
        <w:trPr>
          <w:trHeight w:val="20"/>
        </w:trPr>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1"/>
        </w:trPr>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(26,571)</w:t>
            </w:r>
          </w:p>
        </w:tc>
        <w:tc>
          <w:tcPr>
            <w:tcW w:w="1480" w:type="dxa"/>
            <w:vAlign w:val="bottom"/>
          </w:tcPr>
          <w:p>
            <w:pPr>
              <w:jc w:val="right"/>
              <w:spacing w:after="0"/>
              <w:rPr>
                <w:sz w:val="20"/>
                <w:szCs w:val="20"/>
                <w:color w:val="auto"/>
              </w:rPr>
            </w:pPr>
            <w:r>
              <w:rPr>
                <w:rFonts w:ascii="Arial" w:cs="Arial" w:eastAsia="Arial" w:hAnsi="Arial"/>
                <w:sz w:val="16"/>
                <w:szCs w:val="16"/>
                <w:color w:val="auto"/>
              </w:rPr>
              <w:t>270,907</w:t>
            </w:r>
          </w:p>
        </w:tc>
        <w:tc>
          <w:tcPr>
            <w:tcW w:w="2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(54,005)</w:t>
            </w:r>
          </w:p>
        </w:tc>
      </w:tr>
      <w:tr>
        <w:trPr>
          <w:trHeight w:val="20"/>
        </w:trPr>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4"/>
        </w:trPr>
        <w:tc>
          <w:tcPr>
            <w:tcW w:w="1460" w:type="dxa"/>
            <w:vAlign w:val="bottom"/>
          </w:tcPr>
          <w:p>
            <w:pPr>
              <w:jc w:val="right"/>
              <w:spacing w:after="0"/>
              <w:rPr>
                <w:sz w:val="20"/>
                <w:szCs w:val="20"/>
                <w:color w:val="auto"/>
              </w:rPr>
            </w:pPr>
            <w:r>
              <w:rPr>
                <w:rFonts w:ascii="Arial" w:cs="Arial" w:eastAsia="Arial" w:hAnsi="Arial"/>
                <w:sz w:val="16"/>
                <w:szCs w:val="16"/>
                <w:color w:val="auto"/>
              </w:rPr>
              <w:t>449,297</w:t>
            </w:r>
          </w:p>
        </w:tc>
        <w:tc>
          <w:tcPr>
            <w:tcW w:w="220" w:type="dxa"/>
            <w:vAlign w:val="bottom"/>
          </w:tcPr>
          <w:p>
            <w:pPr>
              <w:spacing w:after="0"/>
              <w:rPr>
                <w:sz w:val="24"/>
                <w:szCs w:val="24"/>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(307,220)</w:t>
            </w:r>
          </w:p>
        </w:tc>
        <w:tc>
          <w:tcPr>
            <w:tcW w:w="1480" w:type="dxa"/>
            <w:vAlign w:val="bottom"/>
          </w:tcPr>
          <w:p>
            <w:pPr>
              <w:jc w:val="right"/>
              <w:spacing w:after="0"/>
              <w:rPr>
                <w:sz w:val="20"/>
                <w:szCs w:val="20"/>
                <w:color w:val="auto"/>
              </w:rPr>
            </w:pPr>
            <w:r>
              <w:rPr>
                <w:rFonts w:ascii="Arial" w:cs="Arial" w:eastAsia="Arial" w:hAnsi="Arial"/>
                <w:sz w:val="16"/>
                <w:szCs w:val="16"/>
                <w:color w:val="auto"/>
              </w:rPr>
              <w:t>168,117</w:t>
            </w:r>
          </w:p>
        </w:tc>
        <w:tc>
          <w:tcPr>
            <w:tcW w:w="40" w:type="dxa"/>
            <w:vAlign w:val="bottom"/>
          </w:tcPr>
          <w:p>
            <w:pPr>
              <w:spacing w:after="0"/>
              <w:rPr>
                <w:sz w:val="24"/>
                <w:szCs w:val="24"/>
                <w:color w:val="auto"/>
              </w:rPr>
            </w:pPr>
          </w:p>
        </w:tc>
      </w:tr>
      <w:tr>
        <w:trPr>
          <w:trHeight w:val="379"/>
        </w:trPr>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4,059,277</w:t>
            </w:r>
          </w:p>
        </w:tc>
        <w:tc>
          <w:tcPr>
            <w:tcW w:w="220" w:type="dxa"/>
            <w:vAlign w:val="bottom"/>
          </w:tcPr>
          <w:p>
            <w:pPr>
              <w:spacing w:after="0"/>
              <w:rPr>
                <w:sz w:val="24"/>
                <w:szCs w:val="2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2,856,165</w:t>
            </w:r>
          </w:p>
        </w:tc>
        <w:tc>
          <w:tcPr>
            <w:tcW w:w="220" w:type="dxa"/>
            <w:vAlign w:val="bottom"/>
          </w:tcPr>
          <w:p>
            <w:pPr>
              <w:spacing w:after="0"/>
              <w:rPr>
                <w:sz w:val="24"/>
                <w:szCs w:val="2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2,589,363</w:t>
            </w:r>
          </w:p>
        </w:tc>
        <w:tc>
          <w:tcPr>
            <w:tcW w:w="40" w:type="dxa"/>
            <w:vAlign w:val="bottom"/>
          </w:tcPr>
          <w:p>
            <w:pPr>
              <w:spacing w:after="0"/>
              <w:rPr>
                <w:sz w:val="24"/>
                <w:szCs w:val="24"/>
                <w:color w:val="auto"/>
              </w:rPr>
            </w:pPr>
          </w:p>
        </w:tc>
      </w:tr>
      <w:tr>
        <w:trPr>
          <w:trHeight w:val="580"/>
        </w:trPr>
        <w:tc>
          <w:tcPr>
            <w:tcW w:w="1460" w:type="dxa"/>
            <w:vAlign w:val="bottom"/>
          </w:tcPr>
          <w:p>
            <w:pPr>
              <w:jc w:val="right"/>
              <w:spacing w:after="0"/>
              <w:rPr>
                <w:sz w:val="20"/>
                <w:szCs w:val="20"/>
                <w:color w:val="auto"/>
              </w:rPr>
            </w:pPr>
            <w:r>
              <w:rPr>
                <w:rFonts w:ascii="Arial" w:cs="Arial" w:eastAsia="Arial" w:hAnsi="Arial"/>
                <w:sz w:val="16"/>
                <w:szCs w:val="16"/>
                <w:color w:val="auto"/>
              </w:rPr>
              <w:t>3,961,618</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2,831,612</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2,550,093</w:t>
            </w:r>
          </w:p>
        </w:tc>
        <w:tc>
          <w:tcPr>
            <w:tcW w:w="40" w:type="dxa"/>
            <w:vAlign w:val="bottom"/>
          </w:tcPr>
          <w:p>
            <w:pPr>
              <w:spacing w:after="0"/>
              <w:rPr>
                <w:sz w:val="24"/>
                <w:szCs w:val="24"/>
                <w:color w:val="auto"/>
              </w:rPr>
            </w:pPr>
          </w:p>
        </w:tc>
      </w:tr>
      <w:tr>
        <w:trPr>
          <w:trHeight w:val="206"/>
        </w:trPr>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97,659</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24,553</w:t>
            </w:r>
          </w:p>
        </w:tc>
        <w:tc>
          <w:tcPr>
            <w:tcW w:w="1480" w:type="dxa"/>
            <w:vAlign w:val="bottom"/>
          </w:tcPr>
          <w:p>
            <w:pPr>
              <w:jc w:val="right"/>
              <w:spacing w:after="0"/>
              <w:rPr>
                <w:sz w:val="20"/>
                <w:szCs w:val="20"/>
                <w:color w:val="auto"/>
              </w:rPr>
            </w:pPr>
            <w:r>
              <w:rPr>
                <w:rFonts w:ascii="Arial" w:cs="Arial" w:eastAsia="Arial" w:hAnsi="Arial"/>
                <w:sz w:val="16"/>
                <w:szCs w:val="16"/>
                <w:color w:val="auto"/>
              </w:rPr>
              <w:t>39,270</w:t>
            </w:r>
          </w:p>
        </w:tc>
        <w:tc>
          <w:tcPr>
            <w:tcW w:w="40" w:type="dxa"/>
            <w:vAlign w:val="bottom"/>
          </w:tcPr>
          <w:p>
            <w:pPr>
              <w:spacing w:after="0"/>
              <w:rPr>
                <w:sz w:val="17"/>
                <w:szCs w:val="17"/>
                <w:color w:val="auto"/>
              </w:rPr>
            </w:pPr>
          </w:p>
        </w:tc>
      </w:tr>
      <w:tr>
        <w:trPr>
          <w:trHeight w:val="186"/>
        </w:trPr>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4,059,277</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2,856,165</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2,589,363</w:t>
            </w:r>
          </w:p>
        </w:tc>
        <w:tc>
          <w:tcPr>
            <w:tcW w:w="4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2">
            <w:col w:w="6000" w:space="520"/>
            <w:col w:w="4920"/>
          </w:cols>
          <w:pgMar w:left="240" w:top="824" w:right="219" w:bottom="1440" w:gutter="0" w:footer="0" w:header="0"/>
          <w:type w:val="continuous"/>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7261225" cy="76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CREDICORP LTD. Y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 OF CHANGES IN EQUITY</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2016, 2015 AND 2014</w:t>
      </w:r>
    </w:p>
    <w:p>
      <w:pPr>
        <w:spacing w:after="0" w:line="195" w:lineRule="exact"/>
        <w:rPr>
          <w:sz w:val="20"/>
          <w:szCs w:val="20"/>
          <w:color w:val="auto"/>
        </w:rPr>
      </w:pPr>
    </w:p>
    <w:p>
      <w:pPr>
        <w:ind w:left="1960"/>
        <w:spacing w:after="0"/>
        <w:rPr>
          <w:sz w:val="20"/>
          <w:szCs w:val="20"/>
          <w:color w:val="auto"/>
        </w:rPr>
      </w:pPr>
      <w:r>
        <w:rPr>
          <w:rFonts w:ascii="Arial" w:cs="Arial" w:eastAsia="Arial" w:hAnsi="Arial"/>
          <w:sz w:val="13"/>
          <w:szCs w:val="13"/>
          <w:b w:val="1"/>
          <w:bCs w:val="1"/>
          <w:color w:val="auto"/>
        </w:rPr>
        <w:t>Attributable to equity holders of Credicorp Ltd.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Number of</w:t>
            </w: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bottom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87"/>
              </w:rPr>
              <w:t>Other reserves</w:t>
            </w:r>
          </w:p>
        </w:tc>
        <w:tc>
          <w:tcPr>
            <w:tcW w:w="5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Available-</w:t>
            </w:r>
          </w:p>
        </w:tc>
        <w:tc>
          <w:tcPr>
            <w:tcW w:w="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Cash flow</w:t>
            </w:r>
          </w:p>
        </w:tc>
        <w:tc>
          <w:tcPr>
            <w:tcW w:w="620" w:type="dxa"/>
            <w:vAlign w:val="bottom"/>
          </w:tcPr>
          <w:p>
            <w:pPr>
              <w:spacing w:after="0" w:line="105" w:lineRule="exact"/>
              <w:rPr>
                <w:sz w:val="20"/>
                <w:szCs w:val="20"/>
                <w:color w:val="auto"/>
              </w:rPr>
            </w:pPr>
            <w:r>
              <w:rPr>
                <w:rFonts w:ascii="Arial" w:cs="Arial" w:eastAsia="Arial" w:hAnsi="Arial"/>
                <w:sz w:val="12"/>
                <w:szCs w:val="12"/>
                <w:b w:val="1"/>
                <w:bCs w:val="1"/>
                <w:color w:val="auto"/>
              </w:rPr>
              <w:t>Foreign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Non-</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gridSpan w:val="3"/>
          </w:tcPr>
          <w:p>
            <w:pPr>
              <w:ind w:left="40"/>
              <w:spacing w:after="0" w:line="133" w:lineRule="exact"/>
              <w:rPr>
                <w:sz w:val="20"/>
                <w:szCs w:val="20"/>
                <w:color w:val="auto"/>
              </w:rPr>
            </w:pPr>
            <w:r>
              <w:rPr>
                <w:rFonts w:ascii="Arial" w:cs="Arial" w:eastAsia="Arial" w:hAnsi="Arial"/>
                <w:sz w:val="13"/>
                <w:szCs w:val="13"/>
                <w:b w:val="1"/>
                <w:bCs w:val="1"/>
                <w:color w:val="auto"/>
              </w:rPr>
              <w:t>shares</w:t>
            </w:r>
          </w:p>
        </w:tc>
        <w:tc>
          <w:tcPr>
            <w:tcW w:w="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Capital</w:t>
            </w: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Treasury</w:t>
            </w: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Capital</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Put</w:t>
            </w:r>
          </w:p>
        </w:tc>
        <w:tc>
          <w:tcPr>
            <w:tcW w:w="8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for-sale</w:t>
            </w:r>
          </w:p>
        </w:tc>
        <w:tc>
          <w:tcPr>
            <w:tcW w:w="760" w:type="dxa"/>
            <w:vAlign w:val="bottom"/>
            <w:gridSpan w:val="2"/>
            <w:vMerge w:val="continue"/>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currency</w:t>
            </w:r>
          </w:p>
        </w:tc>
        <w:tc>
          <w:tcPr>
            <w:tcW w:w="8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gridSpan w:val="3"/>
          </w:tcPr>
          <w:p>
            <w:pPr>
              <w:ind w:left="40"/>
              <w:spacing w:after="0" w:line="133" w:lineRule="exact"/>
              <w:rPr>
                <w:sz w:val="20"/>
                <w:szCs w:val="20"/>
                <w:color w:val="auto"/>
              </w:rPr>
            </w:pPr>
            <w:r>
              <w:rPr>
                <w:rFonts w:ascii="Arial" w:cs="Arial" w:eastAsia="Arial" w:hAnsi="Arial"/>
                <w:sz w:val="13"/>
                <w:szCs w:val="13"/>
                <w:b w:val="1"/>
                <w:bCs w:val="1"/>
                <w:color w:val="auto"/>
              </w:rPr>
              <w:t>issued notes</w:t>
            </w:r>
          </w:p>
        </w:tc>
        <w:tc>
          <w:tcPr>
            <w:tcW w:w="78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3"/>
                <w:szCs w:val="13"/>
                <w:b w:val="1"/>
                <w:bCs w:val="1"/>
                <w:color w:val="auto"/>
              </w:rPr>
              <w:t>Reserves</w:t>
            </w:r>
          </w:p>
        </w:tc>
        <w:tc>
          <w:tcPr>
            <w:tcW w:w="120" w:type="dxa"/>
            <w:vAlign w:val="bottom"/>
            <w:vMerge w:val="restart"/>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investment</w:t>
            </w:r>
          </w:p>
        </w:tc>
        <w:tc>
          <w:tcPr>
            <w:tcW w:w="76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hedge</w:t>
            </w:r>
          </w:p>
        </w:tc>
        <w:tc>
          <w:tcPr>
            <w:tcW w:w="7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translation</w:t>
            </w:r>
          </w:p>
        </w:tc>
        <w:tc>
          <w:tcPr>
            <w:tcW w:w="860" w:type="dxa"/>
            <w:vAlign w:val="bottom"/>
            <w:gridSpan w:val="3"/>
            <w:vMerge w:val="continue"/>
          </w:tcPr>
          <w:p>
            <w:pPr>
              <w:spacing w:after="0"/>
              <w:rPr>
                <w:sz w:val="11"/>
                <w:szCs w:val="11"/>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76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controlling</w:t>
            </w: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b w:val="1"/>
                <w:bCs w:val="1"/>
                <w:color w:val="auto"/>
                <w:w w:val="93"/>
              </w:rPr>
              <w:t>18 (a) and 29</w:t>
            </w:r>
          </w:p>
        </w:tc>
        <w:tc>
          <w:tcPr>
            <w:tcW w:w="16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rPr>
              <w:t>surplus</w:t>
            </w: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3"/>
                <w:szCs w:val="13"/>
                <w:b w:val="1"/>
                <w:bCs w:val="1"/>
                <w:color w:val="auto"/>
              </w:rPr>
              <w:t>options</w:t>
            </w:r>
          </w:p>
        </w:tc>
        <w:tc>
          <w:tcPr>
            <w:tcW w:w="1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b w:val="1"/>
                <w:bCs w:val="1"/>
                <w:color w:val="auto"/>
              </w:rPr>
              <w:t>reserve</w:t>
            </w:r>
          </w:p>
        </w:tc>
        <w:tc>
          <w:tcPr>
            <w:tcW w:w="18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3"/>
                <w:szCs w:val="13"/>
                <w:b w:val="1"/>
                <w:bCs w:val="1"/>
                <w:color w:val="auto"/>
              </w:rPr>
              <w:t>reserve</w:t>
            </w:r>
          </w:p>
        </w:tc>
        <w:tc>
          <w:tcPr>
            <w:tcW w:w="1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b w:val="1"/>
                <w:bCs w:val="1"/>
                <w:color w:val="auto"/>
              </w:rPr>
              <w:t>reserve</w:t>
            </w:r>
          </w:p>
        </w:tc>
        <w:tc>
          <w:tcPr>
            <w:tcW w:w="120" w:type="dxa"/>
            <w:vAlign w:val="bottom"/>
          </w:tcPr>
          <w:p>
            <w:pPr>
              <w:spacing w:after="0"/>
              <w:rPr>
                <w:sz w:val="13"/>
                <w:szCs w:val="13"/>
                <w:color w:val="auto"/>
              </w:rPr>
            </w:pPr>
          </w:p>
        </w:tc>
        <w:tc>
          <w:tcPr>
            <w:tcW w:w="860" w:type="dxa"/>
            <w:vAlign w:val="bottom"/>
            <w:gridSpan w:val="3"/>
          </w:tcPr>
          <w:p>
            <w:pPr>
              <w:ind w:left="80"/>
              <w:spacing w:after="0"/>
              <w:rPr>
                <w:sz w:val="20"/>
                <w:szCs w:val="20"/>
                <w:color w:val="auto"/>
              </w:rPr>
            </w:pPr>
            <w:r>
              <w:rPr>
                <w:rFonts w:ascii="Arial" w:cs="Arial" w:eastAsia="Arial" w:hAnsi="Arial"/>
                <w:sz w:val="13"/>
                <w:szCs w:val="13"/>
                <w:b w:val="1"/>
                <w:bCs w:val="1"/>
                <w:color w:val="auto"/>
              </w:rPr>
              <w:t>earnings</w:t>
            </w:r>
          </w:p>
        </w:tc>
        <w:tc>
          <w:tcPr>
            <w:tcW w:w="940" w:type="dxa"/>
            <w:vAlign w:val="bottom"/>
            <w:gridSpan w:val="3"/>
            <w:vMerge w:val="continue"/>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interest</w:t>
            </w:r>
          </w:p>
        </w:tc>
        <w:tc>
          <w:tcPr>
            <w:tcW w:w="800" w:type="dxa"/>
            <w:vAlign w:val="bottom"/>
            <w:gridSpan w:val="3"/>
          </w:tcPr>
          <w:p>
            <w:pPr>
              <w:ind w:left="6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760" w:type="dxa"/>
            <w:vAlign w:val="bottom"/>
          </w:tcPr>
          <w:p>
            <w:pPr>
              <w:spacing w:after="0" w:line="105" w:lineRule="exact"/>
              <w:rPr>
                <w:sz w:val="20"/>
                <w:szCs w:val="20"/>
                <w:color w:val="auto"/>
              </w:rPr>
            </w:pPr>
            <w:r>
              <w:rPr>
                <w:rFonts w:ascii="Arial" w:cs="Arial" w:eastAsia="Arial" w:hAnsi="Arial"/>
                <w:sz w:val="12"/>
                <w:szCs w:val="12"/>
                <w:b w:val="1"/>
                <w:bCs w:val="1"/>
                <w:color w:val="auto"/>
                <w:w w:val="93"/>
              </w:rPr>
              <w:t>(In thousands</w:t>
            </w:r>
          </w:p>
        </w:tc>
        <w:tc>
          <w:tcPr>
            <w:tcW w:w="160" w:type="dxa"/>
            <w:vAlign w:val="bottom"/>
            <w:vMerge w:val="continue"/>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vMerge w:val="restart"/>
          </w:tcPr>
          <w:p>
            <w:pPr>
              <w:spacing w:after="0"/>
              <w:rPr>
                <w:sz w:val="9"/>
                <w:szCs w:val="9"/>
                <w:color w:val="auto"/>
              </w:rPr>
            </w:pPr>
          </w:p>
        </w:tc>
        <w:tc>
          <w:tcPr>
            <w:tcW w:w="560" w:type="dxa"/>
            <w:vAlign w:val="bottom"/>
            <w:vMerge w:val="restart"/>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vMerge w:val="restart"/>
          </w:tcPr>
          <w:p>
            <w:pPr>
              <w:spacing w:after="0"/>
              <w:rPr>
                <w:sz w:val="9"/>
                <w:szCs w:val="9"/>
                <w:color w:val="auto"/>
              </w:rPr>
            </w:pPr>
          </w:p>
        </w:tc>
        <w:tc>
          <w:tcPr>
            <w:tcW w:w="540" w:type="dxa"/>
            <w:vAlign w:val="bottom"/>
            <w:vMerge w:val="restart"/>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vMerge w:val="restart"/>
          </w:tcPr>
          <w:p>
            <w:pPr>
              <w:spacing w:after="0"/>
              <w:rPr>
                <w:sz w:val="9"/>
                <w:szCs w:val="9"/>
                <w:color w:val="auto"/>
              </w:rPr>
            </w:pPr>
          </w:p>
        </w:tc>
        <w:tc>
          <w:tcPr>
            <w:tcW w:w="660" w:type="dxa"/>
            <w:vAlign w:val="bottom"/>
            <w:vMerge w:val="restart"/>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560" w:type="dxa"/>
            <w:vAlign w:val="bottom"/>
            <w:vMerge w:val="restart"/>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vMerge w:val="restart"/>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vMerge w:val="restart"/>
          </w:tcPr>
          <w:p>
            <w:pPr>
              <w:spacing w:after="0"/>
              <w:rPr>
                <w:sz w:val="9"/>
                <w:szCs w:val="9"/>
                <w:color w:val="auto"/>
              </w:rPr>
            </w:pPr>
          </w:p>
        </w:tc>
        <w:tc>
          <w:tcPr>
            <w:tcW w:w="580" w:type="dxa"/>
            <w:vAlign w:val="bottom"/>
            <w:vMerge w:val="restart"/>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vMerge w:val="restart"/>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vMerge w:val="restart"/>
          </w:tcPr>
          <w:p>
            <w:pPr>
              <w:spacing w:after="0"/>
              <w:rPr>
                <w:sz w:val="9"/>
                <w:szCs w:val="9"/>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S/(000)</w:t>
            </w:r>
          </w:p>
        </w:tc>
        <w:tc>
          <w:tcPr>
            <w:tcW w:w="9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S/(000)</w:t>
            </w:r>
          </w:p>
        </w:tc>
        <w:tc>
          <w:tcPr>
            <w:tcW w:w="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S/(000)</w:t>
            </w:r>
          </w:p>
        </w:tc>
        <w:tc>
          <w:tcPr>
            <w:tcW w:w="80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b w:val="1"/>
                <w:bCs w:val="1"/>
                <w:color w:val="auto"/>
              </w:rPr>
              <w:t>of units)</w:t>
            </w:r>
          </w:p>
        </w:tc>
        <w:tc>
          <w:tcPr>
            <w:tcW w:w="6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980" w:type="dxa"/>
            <w:vAlign w:val="bottom"/>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Balances at</w:t>
            </w:r>
          </w:p>
        </w:tc>
        <w:tc>
          <w:tcPr>
            <w:tcW w:w="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2"/>
              </w:rPr>
              <w:t>January 01, 2014</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94,382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1,318,994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(208,127)</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275,570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8,268,894</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(340,353)</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1,027,763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(11,935)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(154,683)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1,655,388</w:t>
            </w:r>
          </w:p>
        </w:tc>
        <w:tc>
          <w:tcPr>
            <w:tcW w:w="1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11,831,511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511,594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12,343,105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line="117" w:lineRule="exact"/>
              <w:rPr>
                <w:sz w:val="20"/>
                <w:szCs w:val="20"/>
                <w:color w:val="auto"/>
              </w:rPr>
            </w:pPr>
            <w:r>
              <w:rPr>
                <w:rFonts w:ascii="Arial" w:cs="Arial" w:eastAsia="Arial" w:hAnsi="Arial"/>
                <w:sz w:val="13"/>
                <w:szCs w:val="13"/>
                <w:color w:val="auto"/>
                <w:w w:val="92"/>
              </w:rPr>
              <w:t>Changes in equity</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0" w:type="dxa"/>
            <w:vAlign w:val="bottom"/>
            <w:gridSpan w:val="2"/>
          </w:tcPr>
          <w:p>
            <w:pPr>
              <w:spacing w:after="0"/>
              <w:rPr>
                <w:sz w:val="20"/>
                <w:szCs w:val="20"/>
                <w:color w:val="auto"/>
              </w:rPr>
            </w:pPr>
            <w:r>
              <w:rPr>
                <w:rFonts w:ascii="Arial" w:cs="Arial" w:eastAsia="Arial" w:hAnsi="Arial"/>
                <w:sz w:val="13"/>
                <w:szCs w:val="13"/>
                <w:color w:val="auto"/>
              </w:rPr>
              <w:t>in 2014</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Net profit for the</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year</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2,387,852</w:t>
            </w: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2,387,852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33,394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2,421,246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line="117" w:lineRule="exact"/>
              <w:rPr>
                <w:sz w:val="20"/>
                <w:szCs w:val="20"/>
                <w:color w:val="auto"/>
              </w:rPr>
            </w:pPr>
            <w:r>
              <w:rPr>
                <w:rFonts w:ascii="Arial" w:cs="Arial" w:eastAsia="Arial" w:hAnsi="Arial"/>
                <w:sz w:val="13"/>
                <w:szCs w:val="13"/>
                <w:color w:val="auto"/>
              </w:rPr>
              <w:t>Other</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00" w:type="dxa"/>
            <w:vAlign w:val="bottom"/>
            <w:gridSpan w:val="2"/>
          </w:tcPr>
          <w:p>
            <w:pPr>
              <w:spacing w:after="0" w:line="133" w:lineRule="exact"/>
              <w:rPr>
                <w:sz w:val="20"/>
                <w:szCs w:val="20"/>
                <w:color w:val="auto"/>
              </w:rPr>
            </w:pPr>
            <w:r>
              <w:rPr>
                <w:rFonts w:ascii="Arial" w:cs="Arial" w:eastAsia="Arial" w:hAnsi="Arial"/>
                <w:sz w:val="13"/>
                <w:szCs w:val="13"/>
                <w:color w:val="auto"/>
              </w:rPr>
              <w:t>comprehensive</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income</w:t>
            </w: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195,852</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17,872</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(51,483)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162,241</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5,876</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168,117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8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1"/>
                <w:szCs w:val="11"/>
                <w:color w:val="auto"/>
              </w:rPr>
              <w:t>Total</w:t>
            </w:r>
          </w:p>
        </w:tc>
        <w:tc>
          <w:tcPr>
            <w:tcW w:w="4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comprehensive</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income</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195,852</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17,872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(51,483)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2,387,852</w:t>
            </w: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2,550,093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39,270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2,589,363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line="117" w:lineRule="exact"/>
              <w:rPr>
                <w:sz w:val="20"/>
                <w:szCs w:val="20"/>
                <w:color w:val="auto"/>
              </w:rPr>
            </w:pPr>
            <w:r>
              <w:rPr>
                <w:rFonts w:ascii="Arial" w:cs="Arial" w:eastAsia="Arial" w:hAnsi="Arial"/>
                <w:sz w:val="13"/>
                <w:szCs w:val="13"/>
                <w:color w:val="auto"/>
              </w:rPr>
              <w:t>Transfers of</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00" w:type="dxa"/>
            <w:vAlign w:val="bottom"/>
            <w:gridSpan w:val="2"/>
          </w:tcPr>
          <w:p>
            <w:pPr>
              <w:spacing w:after="0" w:line="133" w:lineRule="exact"/>
              <w:rPr>
                <w:sz w:val="20"/>
                <w:szCs w:val="20"/>
                <w:color w:val="auto"/>
              </w:rPr>
            </w:pPr>
            <w:r>
              <w:rPr>
                <w:rFonts w:ascii="Arial" w:cs="Arial" w:eastAsia="Arial" w:hAnsi="Arial"/>
                <w:sz w:val="13"/>
                <w:szCs w:val="13"/>
                <w:color w:val="auto"/>
                <w:w w:val="97"/>
              </w:rPr>
              <w:t>retained earnings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00" w:type="dxa"/>
            <w:vAlign w:val="bottom"/>
            <w:gridSpan w:val="2"/>
          </w:tcPr>
          <w:p>
            <w:pPr>
              <w:spacing w:after="0" w:line="133" w:lineRule="exact"/>
              <w:rPr>
                <w:sz w:val="20"/>
                <w:szCs w:val="20"/>
                <w:color w:val="auto"/>
              </w:rPr>
            </w:pPr>
            <w:r>
              <w:rPr>
                <w:rFonts w:ascii="Arial" w:cs="Arial" w:eastAsia="Arial" w:hAnsi="Arial"/>
                <w:sz w:val="13"/>
                <w:szCs w:val="13"/>
                <w:color w:val="auto"/>
              </w:rPr>
              <w:t>to reserves, note</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gridSpan w:val="2"/>
          </w:tcPr>
          <w:p>
            <w:pPr>
              <w:spacing w:after="0"/>
              <w:rPr>
                <w:sz w:val="20"/>
                <w:szCs w:val="20"/>
                <w:color w:val="auto"/>
              </w:rPr>
            </w:pPr>
            <w:r>
              <w:rPr>
                <w:rFonts w:ascii="Arial" w:cs="Arial" w:eastAsia="Arial" w:hAnsi="Arial"/>
                <w:sz w:val="13"/>
                <w:szCs w:val="13"/>
                <w:color w:val="auto"/>
              </w:rPr>
              <w:t>18(c)</w:t>
            </w: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1,200,853</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3"/>
                <w:szCs w:val="13"/>
                <w:color w:val="auto"/>
              </w:rPr>
              <w:t>(1,200,853)</w:t>
            </w: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Dividend</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distribution, note</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18(e)</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(429,413)</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(429,413)</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(429,413)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line="117" w:lineRule="exact"/>
              <w:rPr>
                <w:sz w:val="20"/>
                <w:szCs w:val="20"/>
                <w:color w:val="auto"/>
              </w:rPr>
            </w:pPr>
            <w:r>
              <w:rPr>
                <w:rFonts w:ascii="Arial" w:cs="Arial" w:eastAsia="Arial" w:hAnsi="Arial"/>
                <w:sz w:val="13"/>
                <w:szCs w:val="13"/>
                <w:color w:val="auto"/>
              </w:rPr>
              <w:t>Purchase of</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00" w:type="dxa"/>
            <w:vAlign w:val="bottom"/>
            <w:gridSpan w:val="2"/>
          </w:tcPr>
          <w:p>
            <w:pPr>
              <w:spacing w:after="0" w:line="133" w:lineRule="exact"/>
              <w:rPr>
                <w:sz w:val="20"/>
                <w:szCs w:val="20"/>
                <w:color w:val="auto"/>
              </w:rPr>
            </w:pPr>
            <w:r>
              <w:rPr>
                <w:rFonts w:ascii="Arial" w:cs="Arial" w:eastAsia="Arial" w:hAnsi="Arial"/>
                <w:sz w:val="13"/>
                <w:szCs w:val="13"/>
                <w:color w:val="auto"/>
              </w:rPr>
              <w:t>treasury stock,</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gridSpan w:val="2"/>
          </w:tcPr>
          <w:p>
            <w:pPr>
              <w:spacing w:after="0"/>
              <w:rPr>
                <w:sz w:val="20"/>
                <w:szCs w:val="20"/>
                <w:color w:val="auto"/>
              </w:rPr>
            </w:pPr>
            <w:r>
              <w:rPr>
                <w:rFonts w:ascii="Arial" w:cs="Arial" w:eastAsia="Arial" w:hAnsi="Arial"/>
                <w:sz w:val="13"/>
                <w:szCs w:val="13"/>
                <w:color w:val="auto"/>
              </w:rPr>
              <w:t>note 18(b)</w:t>
            </w: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(1,772)</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(43,850)</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(45,622)</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(45,622)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Share-based</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payments and</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1,715</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71,221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73,089</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73,089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line="117" w:lineRule="exact"/>
              <w:rPr>
                <w:sz w:val="20"/>
                <w:szCs w:val="20"/>
                <w:color w:val="auto"/>
              </w:rPr>
            </w:pPr>
            <w:r>
              <w:rPr>
                <w:rFonts w:ascii="Arial" w:cs="Arial" w:eastAsia="Arial" w:hAnsi="Arial"/>
                <w:sz w:val="13"/>
                <w:szCs w:val="13"/>
                <w:color w:val="auto"/>
              </w:rPr>
              <w:t>Dividends of</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00" w:type="dxa"/>
            <w:vAlign w:val="bottom"/>
            <w:gridSpan w:val="2"/>
          </w:tcPr>
          <w:p>
            <w:pPr>
              <w:spacing w:after="0" w:line="133" w:lineRule="exact"/>
              <w:rPr>
                <w:sz w:val="20"/>
                <w:szCs w:val="20"/>
                <w:color w:val="auto"/>
              </w:rPr>
            </w:pPr>
            <w:r>
              <w:rPr>
                <w:rFonts w:ascii="Arial" w:cs="Arial" w:eastAsia="Arial" w:hAnsi="Arial"/>
                <w:sz w:val="13"/>
                <w:szCs w:val="13"/>
                <w:color w:val="auto"/>
              </w:rPr>
              <w:t>subsidiaries and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gridSpan w:val="2"/>
          </w:tcPr>
          <w:p>
            <w:pPr>
              <w:spacing w:after="0"/>
              <w:rPr>
                <w:sz w:val="20"/>
                <w:szCs w:val="20"/>
                <w:color w:val="auto"/>
              </w:rPr>
            </w:pPr>
            <w:r>
              <w:rPr>
                <w:rFonts w:ascii="Arial" w:cs="Arial" w:eastAsia="Arial" w:hAnsi="Arial"/>
                <w:sz w:val="13"/>
                <w:szCs w:val="13"/>
                <w:color w:val="auto"/>
              </w:rPr>
              <w:t>other</w:t>
            </w: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3"/>
                <w:szCs w:val="13"/>
                <w:color w:val="auto"/>
              </w:rPr>
              <w:t>(203)</w:t>
            </w: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(203)</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(8,715)</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(8,918)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Acquisition of</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subsidiary -</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Mibanco, note</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2(d)(i)</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268,042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268,042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line="117" w:lineRule="exact"/>
              <w:rPr>
                <w:sz w:val="20"/>
                <w:szCs w:val="20"/>
                <w:color w:val="auto"/>
              </w:rPr>
            </w:pPr>
            <w:r>
              <w:rPr>
                <w:rFonts w:ascii="Arial" w:cs="Arial" w:eastAsia="Arial" w:hAnsi="Arial"/>
                <w:sz w:val="13"/>
                <w:szCs w:val="13"/>
                <w:color w:val="auto"/>
              </w:rPr>
              <w:t>Acquisition of</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00" w:type="dxa"/>
            <w:vAlign w:val="bottom"/>
            <w:gridSpan w:val="2"/>
          </w:tcPr>
          <w:p>
            <w:pPr>
              <w:spacing w:after="0" w:line="133" w:lineRule="exact"/>
              <w:rPr>
                <w:sz w:val="20"/>
                <w:szCs w:val="20"/>
                <w:color w:val="auto"/>
              </w:rPr>
            </w:pPr>
            <w:r>
              <w:rPr>
                <w:rFonts w:ascii="Arial" w:cs="Arial" w:eastAsia="Arial" w:hAnsi="Arial"/>
                <w:sz w:val="13"/>
                <w:szCs w:val="13"/>
                <w:color w:val="auto"/>
              </w:rPr>
              <w:t>non-controlling</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w w:val="94"/>
              </w:rPr>
              <w:t>interest - Mibanco</w:t>
            </w: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(163,621)</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(163,621)</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80" w:type="dxa"/>
            <w:vAlign w:val="bottom"/>
            <w:tcBorders>
              <w:top w:val="single" w:sz="8" w:color="CCEEFF"/>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Balances at</w:t>
            </w:r>
          </w:p>
        </w:tc>
        <w:tc>
          <w:tcPr>
            <w:tcW w:w="4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December 31,</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2014</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94,382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1,318,994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(208,184)</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302,941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9,469,900</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(340,353)</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1,223,615</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5,937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(206,166)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2,412,771</w:t>
            </w:r>
          </w:p>
        </w:tc>
        <w:tc>
          <w:tcPr>
            <w:tcW w:w="12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13,979,455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646,570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14,626,025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80" w:type="dxa"/>
            <w:vAlign w:val="bottom"/>
          </w:tcPr>
          <w:p>
            <w:pPr>
              <w:spacing w:after="0" w:line="97" w:lineRule="exact"/>
              <w:rPr>
                <w:sz w:val="20"/>
                <w:szCs w:val="20"/>
                <w:color w:val="auto"/>
              </w:rPr>
            </w:pPr>
            <w:r>
              <w:rPr>
                <w:rFonts w:ascii="Arial" w:cs="Arial" w:eastAsia="Arial" w:hAnsi="Arial"/>
                <w:sz w:val="11"/>
                <w:szCs w:val="11"/>
                <w:color w:val="auto"/>
              </w:rPr>
              <w:t>Changes in equity</w:t>
            </w:r>
          </w:p>
        </w:tc>
        <w:tc>
          <w:tcPr>
            <w:tcW w:w="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00" w:type="dxa"/>
            <w:vAlign w:val="bottom"/>
            <w:gridSpan w:val="2"/>
          </w:tcPr>
          <w:p>
            <w:pPr>
              <w:spacing w:after="0"/>
              <w:rPr>
                <w:sz w:val="20"/>
                <w:szCs w:val="20"/>
                <w:color w:val="auto"/>
              </w:rPr>
            </w:pPr>
            <w:r>
              <w:rPr>
                <w:rFonts w:ascii="Arial" w:cs="Arial" w:eastAsia="Arial" w:hAnsi="Arial"/>
                <w:sz w:val="13"/>
                <w:szCs w:val="13"/>
                <w:color w:val="auto"/>
              </w:rPr>
              <w:t>in 2015</w:t>
            </w: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Net profit for the</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year</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3,092,303</w:t>
            </w: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3,092,303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71,082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3,163,385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line="117" w:lineRule="exact"/>
              <w:rPr>
                <w:sz w:val="20"/>
                <w:szCs w:val="20"/>
                <w:color w:val="auto"/>
              </w:rPr>
            </w:pPr>
            <w:r>
              <w:rPr>
                <w:rFonts w:ascii="Arial" w:cs="Arial" w:eastAsia="Arial" w:hAnsi="Arial"/>
                <w:sz w:val="13"/>
                <w:szCs w:val="13"/>
                <w:color w:val="auto"/>
              </w:rPr>
              <w:t>Other</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00" w:type="dxa"/>
            <w:vAlign w:val="bottom"/>
            <w:gridSpan w:val="2"/>
          </w:tcPr>
          <w:p>
            <w:pPr>
              <w:spacing w:after="0" w:line="133" w:lineRule="exact"/>
              <w:rPr>
                <w:sz w:val="20"/>
                <w:szCs w:val="20"/>
                <w:color w:val="auto"/>
              </w:rPr>
            </w:pPr>
            <w:r>
              <w:rPr>
                <w:rFonts w:ascii="Arial" w:cs="Arial" w:eastAsia="Arial" w:hAnsi="Arial"/>
                <w:sz w:val="13"/>
                <w:szCs w:val="13"/>
                <w:color w:val="auto"/>
              </w:rPr>
              <w:t>comprehensive</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income</w:t>
            </w: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(570,711)</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39,113</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270,907</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(260,691)</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(46,529)</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(307,220)</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8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1"/>
                <w:szCs w:val="11"/>
                <w:color w:val="auto"/>
              </w:rPr>
              <w:t>Total</w:t>
            </w:r>
          </w:p>
        </w:tc>
        <w:tc>
          <w:tcPr>
            <w:tcW w:w="4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comprehensive</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income</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(570,711)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39,113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270,907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3,092,303</w:t>
            </w: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2,831,612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24,553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2,856,165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line="117" w:lineRule="exact"/>
              <w:rPr>
                <w:sz w:val="20"/>
                <w:szCs w:val="20"/>
                <w:color w:val="auto"/>
              </w:rPr>
            </w:pPr>
            <w:r>
              <w:rPr>
                <w:rFonts w:ascii="Arial" w:cs="Arial" w:eastAsia="Arial" w:hAnsi="Arial"/>
                <w:sz w:val="13"/>
                <w:szCs w:val="13"/>
                <w:color w:val="auto"/>
              </w:rPr>
              <w:t>Transfer of</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00" w:type="dxa"/>
            <w:vAlign w:val="bottom"/>
            <w:gridSpan w:val="2"/>
          </w:tcPr>
          <w:p>
            <w:pPr>
              <w:spacing w:after="0" w:line="133" w:lineRule="exact"/>
              <w:rPr>
                <w:sz w:val="20"/>
                <w:szCs w:val="20"/>
                <w:color w:val="auto"/>
              </w:rPr>
            </w:pPr>
            <w:r>
              <w:rPr>
                <w:rFonts w:ascii="Arial" w:cs="Arial" w:eastAsia="Arial" w:hAnsi="Arial"/>
                <w:sz w:val="13"/>
                <w:szCs w:val="13"/>
                <w:color w:val="auto"/>
                <w:w w:val="97"/>
              </w:rPr>
              <w:t>retained earnings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00" w:type="dxa"/>
            <w:vAlign w:val="bottom"/>
            <w:gridSpan w:val="2"/>
          </w:tcPr>
          <w:p>
            <w:pPr>
              <w:spacing w:after="0" w:line="133" w:lineRule="exact"/>
              <w:rPr>
                <w:sz w:val="20"/>
                <w:szCs w:val="20"/>
                <w:color w:val="auto"/>
              </w:rPr>
            </w:pPr>
            <w:r>
              <w:rPr>
                <w:rFonts w:ascii="Arial" w:cs="Arial" w:eastAsia="Arial" w:hAnsi="Arial"/>
                <w:sz w:val="13"/>
                <w:szCs w:val="13"/>
                <w:color w:val="auto"/>
              </w:rPr>
              <w:t>to reserves, note</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gridSpan w:val="2"/>
          </w:tcPr>
          <w:p>
            <w:pPr>
              <w:spacing w:after="0"/>
              <w:rPr>
                <w:sz w:val="20"/>
                <w:szCs w:val="20"/>
                <w:color w:val="auto"/>
              </w:rPr>
            </w:pPr>
            <w:r>
              <w:rPr>
                <w:rFonts w:ascii="Arial" w:cs="Arial" w:eastAsia="Arial" w:hAnsi="Arial"/>
                <w:sz w:val="13"/>
                <w:szCs w:val="13"/>
                <w:color w:val="auto"/>
              </w:rPr>
              <w:t>18(c)</w:t>
            </w: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1,820,483</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3"/>
                <w:szCs w:val="13"/>
                <w:color w:val="auto"/>
              </w:rPr>
              <w:t>(1,820,483)</w:t>
            </w: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Dividend</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distribution, note</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18(e)</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(539,985)</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(539,985)</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(539,985)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line="117" w:lineRule="exact"/>
              <w:rPr>
                <w:sz w:val="20"/>
                <w:szCs w:val="20"/>
                <w:color w:val="auto"/>
              </w:rPr>
            </w:pPr>
            <w:r>
              <w:rPr>
                <w:rFonts w:ascii="Arial" w:cs="Arial" w:eastAsia="Arial" w:hAnsi="Arial"/>
                <w:sz w:val="13"/>
                <w:szCs w:val="13"/>
                <w:color w:val="auto"/>
              </w:rPr>
              <w:t>Dividends of</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0" w:type="dxa"/>
            <w:vAlign w:val="bottom"/>
            <w:gridSpan w:val="2"/>
          </w:tcPr>
          <w:p>
            <w:pPr>
              <w:spacing w:after="0"/>
              <w:rPr>
                <w:sz w:val="20"/>
                <w:szCs w:val="20"/>
                <w:color w:val="auto"/>
              </w:rPr>
            </w:pPr>
            <w:r>
              <w:rPr>
                <w:rFonts w:ascii="Arial" w:cs="Arial" w:eastAsia="Arial" w:hAnsi="Arial"/>
                <w:sz w:val="13"/>
                <w:szCs w:val="13"/>
                <w:color w:val="auto"/>
              </w:rPr>
              <w:t>subsidiaries</w:t>
            </w: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(11,173)</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(11,173)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Purchase of</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treasury stock,</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note 18(b)</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(2,452)</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(70,516)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(72,968)</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(72,968)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line="117" w:lineRule="exact"/>
              <w:rPr>
                <w:sz w:val="20"/>
                <w:szCs w:val="20"/>
                <w:color w:val="auto"/>
              </w:rPr>
            </w:pPr>
            <w:r>
              <w:rPr>
                <w:rFonts w:ascii="Arial" w:cs="Arial" w:eastAsia="Arial" w:hAnsi="Arial"/>
                <w:sz w:val="13"/>
                <w:szCs w:val="13"/>
                <w:color w:val="auto"/>
              </w:rPr>
              <w:t>Share-based</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00" w:type="dxa"/>
            <w:vAlign w:val="bottom"/>
            <w:gridSpan w:val="2"/>
          </w:tcPr>
          <w:p>
            <w:pPr>
              <w:spacing w:after="0" w:line="133" w:lineRule="exact"/>
              <w:rPr>
                <w:sz w:val="20"/>
                <w:szCs w:val="20"/>
                <w:color w:val="auto"/>
              </w:rPr>
            </w:pPr>
            <w:r>
              <w:rPr>
                <w:rFonts w:ascii="Arial" w:cs="Arial" w:eastAsia="Arial" w:hAnsi="Arial"/>
                <w:sz w:val="13"/>
                <w:szCs w:val="13"/>
                <w:color w:val="auto"/>
              </w:rPr>
              <w:t>payment</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gridSpan w:val="2"/>
          </w:tcPr>
          <w:p>
            <w:pPr>
              <w:spacing w:after="0"/>
              <w:rPr>
                <w:sz w:val="20"/>
                <w:szCs w:val="20"/>
                <w:color w:val="auto"/>
              </w:rPr>
            </w:pPr>
            <w:r>
              <w:rPr>
                <w:rFonts w:ascii="Arial" w:cs="Arial" w:eastAsia="Arial" w:hAnsi="Arial"/>
                <w:sz w:val="13"/>
                <w:szCs w:val="13"/>
                <w:color w:val="auto"/>
              </w:rPr>
              <w:t>transactions</w:t>
            </w: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1,658</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51,746</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9,481</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62,885</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62,885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Others</w:t>
            </w:r>
          </w:p>
        </w:tc>
        <w:tc>
          <w:tcPr>
            <w:tcW w:w="960" w:type="dxa"/>
            <w:vAlign w:val="bottom"/>
            <w:gridSpan w:val="3"/>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3"/>
                <w:szCs w:val="13"/>
                <w:color w:val="auto"/>
              </w:rPr>
              <w:t>(1)</w:t>
            </w:r>
          </w:p>
        </w:tc>
        <w:tc>
          <w:tcPr>
            <w:tcW w:w="7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(77,833)</w:t>
            </w:r>
          </w:p>
        </w:tc>
        <w:tc>
          <w:tcPr>
            <w:tcW w:w="6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(55,149)</w:t>
            </w:r>
          </w:p>
        </w:tc>
        <w:tc>
          <w:tcPr>
            <w:tcW w:w="94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(132,983)</w:t>
            </w:r>
          </w:p>
        </w:tc>
        <w:tc>
          <w:tcPr>
            <w:tcW w:w="7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(60,396)</w:t>
            </w:r>
          </w:p>
        </w:tc>
        <w:tc>
          <w:tcPr>
            <w:tcW w:w="80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(193,379)</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80" w:type="dxa"/>
            <w:vAlign w:val="bottom"/>
          </w:tcPr>
          <w:p>
            <w:pPr>
              <w:spacing w:after="0" w:line="93" w:lineRule="exact"/>
              <w:rPr>
                <w:sz w:val="20"/>
                <w:szCs w:val="20"/>
                <w:color w:val="auto"/>
              </w:rPr>
            </w:pPr>
            <w:r>
              <w:rPr>
                <w:rFonts w:ascii="Arial" w:cs="Arial" w:eastAsia="Arial" w:hAnsi="Arial"/>
                <w:sz w:val="10"/>
                <w:szCs w:val="10"/>
                <w:b w:val="1"/>
                <w:bCs w:val="1"/>
                <w:color w:val="auto"/>
              </w:rPr>
              <w:t>Balances at</w:t>
            </w:r>
          </w:p>
        </w:tc>
        <w:tc>
          <w:tcPr>
            <w:tcW w:w="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00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2015</w:t>
            </w: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94,382</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1,318,993</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(208,978)</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284,171</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w w:val="98"/>
              </w:rPr>
              <w:t>11,222,031</w:t>
            </w:r>
          </w:p>
        </w:tc>
        <w:tc>
          <w:tcPr>
            <w:tcW w:w="800" w:type="dxa"/>
            <w:vAlign w:val="bottom"/>
            <w:gridSpan w:val="3"/>
          </w:tcPr>
          <w:p>
            <w:pPr>
              <w:jc w:val="right"/>
              <w:ind w:right="140"/>
              <w:spacing w:after="0"/>
              <w:rPr>
                <w:sz w:val="20"/>
                <w:szCs w:val="20"/>
                <w:color w:val="auto"/>
              </w:rPr>
            </w:pPr>
            <w:r>
              <w:rPr>
                <w:rFonts w:ascii="Arial" w:cs="Arial" w:eastAsia="Arial" w:hAnsi="Arial"/>
                <w:sz w:val="13"/>
                <w:szCs w:val="13"/>
                <w:color w:val="auto"/>
              </w:rPr>
              <w:t>(340,353)</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652,904</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45,050</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64,741</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3,089,457</w:t>
            </w:r>
          </w:p>
        </w:tc>
        <w:tc>
          <w:tcPr>
            <w:tcW w:w="12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16,128,016</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599,554</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16,727,570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8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1"/>
                <w:szCs w:val="11"/>
                <w:color w:val="auto"/>
              </w:rPr>
              <w:t>Changes in equity</w:t>
            </w:r>
          </w:p>
        </w:tc>
        <w:tc>
          <w:tcPr>
            <w:tcW w:w="4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in 2016 -</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line="117" w:lineRule="exact"/>
              <w:rPr>
                <w:sz w:val="20"/>
                <w:szCs w:val="20"/>
                <w:color w:val="auto"/>
              </w:rPr>
            </w:pPr>
            <w:r>
              <w:rPr>
                <w:rFonts w:ascii="Arial" w:cs="Arial" w:eastAsia="Arial" w:hAnsi="Arial"/>
                <w:sz w:val="13"/>
                <w:szCs w:val="13"/>
                <w:color w:val="auto"/>
              </w:rPr>
              <w:t>Net profit for the</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0" w:type="dxa"/>
            <w:vAlign w:val="bottom"/>
            <w:gridSpan w:val="2"/>
          </w:tcPr>
          <w:p>
            <w:pPr>
              <w:spacing w:after="0"/>
              <w:rPr>
                <w:sz w:val="20"/>
                <w:szCs w:val="20"/>
                <w:color w:val="auto"/>
              </w:rPr>
            </w:pPr>
            <w:r>
              <w:rPr>
                <w:rFonts w:ascii="Arial" w:cs="Arial" w:eastAsia="Arial" w:hAnsi="Arial"/>
                <w:sz w:val="13"/>
                <w:szCs w:val="13"/>
                <w:color w:val="auto"/>
              </w:rPr>
              <w:t>year</w:t>
            </w: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3,514,582</w:t>
            </w:r>
          </w:p>
        </w:tc>
        <w:tc>
          <w:tcPr>
            <w:tcW w:w="120" w:type="dxa"/>
            <w:vAlign w:val="bottom"/>
          </w:tcPr>
          <w:p>
            <w:pPr>
              <w:spacing w:after="0"/>
              <w:rPr>
                <w:sz w:val="12"/>
                <w:szCs w:val="12"/>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3,514,582</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95,398</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3,609,980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Other</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comprehensive</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income</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493,884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(20,400)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(26,448)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447,036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2,261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449,297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80" w:type="dxa"/>
            <w:vAlign w:val="bottom"/>
          </w:tcPr>
          <w:p>
            <w:pPr>
              <w:spacing w:after="0" w:line="97" w:lineRule="exact"/>
              <w:rPr>
                <w:sz w:val="20"/>
                <w:szCs w:val="20"/>
                <w:color w:val="auto"/>
              </w:rPr>
            </w:pPr>
            <w:r>
              <w:rPr>
                <w:rFonts w:ascii="Arial" w:cs="Arial" w:eastAsia="Arial" w:hAnsi="Arial"/>
                <w:sz w:val="11"/>
                <w:szCs w:val="11"/>
                <w:color w:val="auto"/>
              </w:rPr>
              <w:t>Total</w:t>
            </w:r>
          </w:p>
        </w:tc>
        <w:tc>
          <w:tcPr>
            <w:tcW w:w="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000" w:type="dxa"/>
            <w:vAlign w:val="bottom"/>
            <w:gridSpan w:val="2"/>
          </w:tcPr>
          <w:p>
            <w:pPr>
              <w:spacing w:after="0" w:line="133" w:lineRule="exact"/>
              <w:rPr>
                <w:sz w:val="20"/>
                <w:szCs w:val="20"/>
                <w:color w:val="auto"/>
              </w:rPr>
            </w:pPr>
            <w:r>
              <w:rPr>
                <w:rFonts w:ascii="Arial" w:cs="Arial" w:eastAsia="Arial" w:hAnsi="Arial"/>
                <w:sz w:val="13"/>
                <w:szCs w:val="13"/>
                <w:color w:val="auto"/>
              </w:rPr>
              <w:t>comprehensive</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gridSpan w:val="2"/>
          </w:tcPr>
          <w:p>
            <w:pPr>
              <w:spacing w:after="0"/>
              <w:rPr>
                <w:sz w:val="20"/>
                <w:szCs w:val="20"/>
                <w:color w:val="auto"/>
              </w:rPr>
            </w:pPr>
            <w:r>
              <w:rPr>
                <w:rFonts w:ascii="Arial" w:cs="Arial" w:eastAsia="Arial" w:hAnsi="Arial"/>
                <w:sz w:val="13"/>
                <w:szCs w:val="13"/>
                <w:color w:val="auto"/>
              </w:rPr>
              <w:t>income</w:t>
            </w: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493,884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(20,400)</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(26,448)</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3,514,582</w:t>
            </w:r>
          </w:p>
        </w:tc>
        <w:tc>
          <w:tcPr>
            <w:tcW w:w="120" w:type="dxa"/>
            <w:vAlign w:val="bottom"/>
          </w:tcPr>
          <w:p>
            <w:pPr>
              <w:spacing w:after="0"/>
              <w:rPr>
                <w:sz w:val="12"/>
                <w:szCs w:val="12"/>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3,961,618</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97,659</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4,059,277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Transfer of</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5"/>
              </w:rPr>
              <w:t>retained earnings</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9"/>
              </w:rPr>
              <w:t>to reserves, note</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18(c)</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2,316,370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(2,316,370)</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line="117" w:lineRule="exact"/>
              <w:rPr>
                <w:sz w:val="20"/>
                <w:szCs w:val="20"/>
                <w:color w:val="auto"/>
              </w:rPr>
            </w:pPr>
            <w:r>
              <w:rPr>
                <w:rFonts w:ascii="Arial" w:cs="Arial" w:eastAsia="Arial" w:hAnsi="Arial"/>
                <w:sz w:val="13"/>
                <w:szCs w:val="13"/>
                <w:color w:val="auto"/>
              </w:rPr>
              <w:t>Dividend</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00" w:type="dxa"/>
            <w:vAlign w:val="bottom"/>
            <w:gridSpan w:val="2"/>
          </w:tcPr>
          <w:p>
            <w:pPr>
              <w:spacing w:after="0" w:line="133" w:lineRule="exact"/>
              <w:rPr>
                <w:sz w:val="20"/>
                <w:szCs w:val="20"/>
                <w:color w:val="auto"/>
              </w:rPr>
            </w:pPr>
            <w:r>
              <w:rPr>
                <w:rFonts w:ascii="Arial" w:cs="Arial" w:eastAsia="Arial" w:hAnsi="Arial"/>
                <w:sz w:val="13"/>
                <w:szCs w:val="13"/>
                <w:color w:val="auto"/>
              </w:rPr>
              <w:t>distribution, note</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gridSpan w:val="2"/>
          </w:tcPr>
          <w:p>
            <w:pPr>
              <w:spacing w:after="0"/>
              <w:rPr>
                <w:sz w:val="20"/>
                <w:szCs w:val="20"/>
                <w:color w:val="auto"/>
              </w:rPr>
            </w:pPr>
            <w:r>
              <w:rPr>
                <w:rFonts w:ascii="Arial" w:cs="Arial" w:eastAsia="Arial" w:hAnsi="Arial"/>
                <w:sz w:val="13"/>
                <w:szCs w:val="13"/>
                <w:color w:val="auto"/>
              </w:rPr>
              <w:t>18(e)</w:t>
            </w: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3"/>
                <w:szCs w:val="13"/>
                <w:color w:val="auto"/>
              </w:rPr>
              <w:t>(653,326)</w:t>
            </w: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(653,326)</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(653,326)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Dividends of</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subsidiaries</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(34,514)</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(34,514)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line="117" w:lineRule="exact"/>
              <w:rPr>
                <w:sz w:val="20"/>
                <w:szCs w:val="20"/>
                <w:color w:val="auto"/>
              </w:rPr>
            </w:pPr>
            <w:r>
              <w:rPr>
                <w:rFonts w:ascii="Arial" w:cs="Arial" w:eastAsia="Arial" w:hAnsi="Arial"/>
                <w:sz w:val="13"/>
                <w:szCs w:val="13"/>
                <w:color w:val="auto"/>
              </w:rPr>
              <w:t>Purchase of</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00" w:type="dxa"/>
            <w:vAlign w:val="bottom"/>
            <w:gridSpan w:val="2"/>
          </w:tcPr>
          <w:p>
            <w:pPr>
              <w:spacing w:after="0" w:line="133" w:lineRule="exact"/>
              <w:rPr>
                <w:sz w:val="20"/>
                <w:szCs w:val="20"/>
                <w:color w:val="auto"/>
              </w:rPr>
            </w:pPr>
            <w:r>
              <w:rPr>
                <w:rFonts w:ascii="Arial" w:cs="Arial" w:eastAsia="Arial" w:hAnsi="Arial"/>
                <w:sz w:val="13"/>
                <w:szCs w:val="13"/>
                <w:color w:val="auto"/>
              </w:rPr>
              <w:t>treasury stock,</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gridSpan w:val="2"/>
          </w:tcPr>
          <w:p>
            <w:pPr>
              <w:spacing w:after="0"/>
              <w:rPr>
                <w:sz w:val="20"/>
                <w:szCs w:val="20"/>
                <w:color w:val="auto"/>
              </w:rPr>
            </w:pPr>
            <w:r>
              <w:rPr>
                <w:rFonts w:ascii="Arial" w:cs="Arial" w:eastAsia="Arial" w:hAnsi="Arial"/>
                <w:sz w:val="13"/>
                <w:szCs w:val="13"/>
                <w:color w:val="auto"/>
              </w:rPr>
              <w:t>note 18(b)</w:t>
            </w: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(2,604)</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(63,924)</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(66,528)</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(66,528)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Share-based</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payment</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transactions</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2,260</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60,629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690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63,579</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63,579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line="117" w:lineRule="exact"/>
              <w:rPr>
                <w:sz w:val="20"/>
                <w:szCs w:val="20"/>
                <w:color w:val="auto"/>
              </w:rPr>
            </w:pPr>
            <w:r>
              <w:rPr>
                <w:rFonts w:ascii="Arial" w:cs="Arial" w:eastAsia="Arial" w:hAnsi="Arial"/>
                <w:sz w:val="13"/>
                <w:szCs w:val="13"/>
                <w:color w:val="auto"/>
              </w:rPr>
              <w:t>Acquisition of</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00" w:type="dxa"/>
            <w:vAlign w:val="bottom"/>
            <w:gridSpan w:val="2"/>
          </w:tcPr>
          <w:p>
            <w:pPr>
              <w:spacing w:after="0" w:line="133" w:lineRule="exact"/>
              <w:rPr>
                <w:sz w:val="20"/>
                <w:szCs w:val="20"/>
                <w:color w:val="auto"/>
              </w:rPr>
            </w:pPr>
            <w:r>
              <w:rPr>
                <w:rFonts w:ascii="Arial" w:cs="Arial" w:eastAsia="Arial" w:hAnsi="Arial"/>
                <w:sz w:val="13"/>
                <w:szCs w:val="13"/>
                <w:color w:val="auto"/>
              </w:rPr>
              <w:t>non-controlling</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gridSpan w:val="2"/>
          </w:tcPr>
          <w:p>
            <w:pPr>
              <w:spacing w:after="0"/>
              <w:rPr>
                <w:sz w:val="20"/>
                <w:szCs w:val="20"/>
                <w:color w:val="auto"/>
              </w:rPr>
            </w:pPr>
            <w:r>
              <w:rPr>
                <w:rFonts w:ascii="Arial" w:cs="Arial" w:eastAsia="Arial" w:hAnsi="Arial"/>
                <w:sz w:val="13"/>
                <w:szCs w:val="13"/>
                <w:color w:val="auto"/>
                <w:w w:val="96"/>
              </w:rPr>
              <w:t>interest, note 2(a)</w:t>
            </w: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3"/>
                <w:szCs w:val="13"/>
                <w:color w:val="auto"/>
              </w:rPr>
              <w:t>340,353</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3"/>
                <w:szCs w:val="13"/>
                <w:color w:val="auto"/>
              </w:rPr>
              <w:t>(123,980)</w:t>
            </w: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216,373</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(216,373)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Others</w:t>
            </w:r>
          </w:p>
        </w:tc>
        <w:tc>
          <w:tcPr>
            <w:tcW w:w="960" w:type="dxa"/>
            <w:vAlign w:val="bottom"/>
            <w:gridSpan w:val="3"/>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5" w:lineRule="exact"/>
              <w:rPr>
                <w:sz w:val="20"/>
                <w:szCs w:val="20"/>
                <w:color w:val="auto"/>
              </w:rPr>
            </w:pPr>
            <w:r>
              <w:rPr>
                <w:rFonts w:ascii="Arial" w:cs="Arial" w:eastAsia="Arial" w:hAnsi="Arial"/>
                <w:sz w:val="13"/>
                <w:szCs w:val="13"/>
                <w:color w:val="auto"/>
              </w:rPr>
              <w:t>6,403</w:t>
            </w:r>
          </w:p>
        </w:tc>
        <w:tc>
          <w:tcPr>
            <w:tcW w:w="940" w:type="dxa"/>
            <w:vAlign w:val="bottom"/>
            <w:gridSpan w:val="3"/>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6,403</w:t>
            </w:r>
          </w:p>
        </w:tc>
        <w:tc>
          <w:tcPr>
            <w:tcW w:w="76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3"/>
                <w:szCs w:val="13"/>
                <w:color w:val="auto"/>
              </w:rPr>
              <w:t>14,050</w:t>
            </w:r>
          </w:p>
        </w:tc>
        <w:tc>
          <w:tcPr>
            <w:tcW w:w="7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20,453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80" w:type="dxa"/>
            <w:vAlign w:val="bottom"/>
          </w:tcPr>
          <w:p>
            <w:pPr>
              <w:spacing w:after="0" w:line="93" w:lineRule="exact"/>
              <w:rPr>
                <w:sz w:val="20"/>
                <w:szCs w:val="20"/>
                <w:color w:val="auto"/>
              </w:rPr>
            </w:pPr>
            <w:r>
              <w:rPr>
                <w:rFonts w:ascii="Arial" w:cs="Arial" w:eastAsia="Arial" w:hAnsi="Arial"/>
                <w:sz w:val="10"/>
                <w:szCs w:val="10"/>
                <w:b w:val="1"/>
                <w:bCs w:val="1"/>
                <w:color w:val="auto"/>
              </w:rPr>
              <w:t>Balances at</w:t>
            </w:r>
          </w:p>
        </w:tc>
        <w:tc>
          <w:tcPr>
            <w:tcW w:w="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00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2016</w:t>
            </w:r>
          </w:p>
        </w:tc>
        <w:tc>
          <w:tcPr>
            <w:tcW w:w="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94,382</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1,318,993</w:t>
            </w:r>
          </w:p>
        </w:tc>
        <w:tc>
          <w:tcPr>
            <w:tcW w:w="1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(209,322)</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280,876</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w w:val="98"/>
              </w:rPr>
              <w:t>13,539,091</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1,146,788</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24,650</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38,293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3,516,766</w:t>
            </w:r>
          </w:p>
        </w:tc>
        <w:tc>
          <w:tcPr>
            <w:tcW w:w="12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19,656,135</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460,376</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20,116,511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824" w:right="219" w:bottom="0" w:gutter="0" w:footer="0" w:header="0"/>
        </w:sectPr>
      </w:pPr>
    </w:p>
    <w:bookmarkStart w:id="17" w:name="page18"/>
    <w:bookmarkEnd w:id="17"/>
    <w:p>
      <w:pPr>
        <w:jc w:val="center"/>
        <w:ind w:right="-20"/>
        <w:spacing w:after="0"/>
        <w:rPr>
          <w:sz w:val="20"/>
          <w:szCs w:val="20"/>
          <w:color w:val="auto"/>
        </w:rPr>
      </w:pPr>
      <w:r>
        <w:rPr>
          <w:rFonts w:ascii="Arial" w:cs="Arial" w:eastAsia="Arial" w:hAnsi="Arial"/>
          <w:sz w:val="15"/>
          <w:szCs w:val="15"/>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20955</wp:posOffset>
            </wp:positionV>
            <wp:extent cx="7261225" cy="76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0"/>
        </w:trPr>
        <w:tc>
          <w:tcPr>
            <w:tcW w:w="5380" w:type="dxa"/>
            <w:vAlign w:val="bottom"/>
            <w:gridSpan w:val="2"/>
          </w:tcPr>
          <w:p>
            <w:pPr>
              <w:spacing w:after="0"/>
              <w:rPr>
                <w:sz w:val="20"/>
                <w:szCs w:val="20"/>
                <w:color w:val="auto"/>
              </w:rPr>
            </w:pPr>
            <w:r>
              <w:rPr>
                <w:rFonts w:ascii="Arial" w:cs="Arial" w:eastAsia="Arial" w:hAnsi="Arial"/>
                <w:sz w:val="16"/>
                <w:szCs w:val="16"/>
                <w:b w:val="1"/>
                <w:bCs w:val="1"/>
                <w:color w:val="auto"/>
              </w:rPr>
              <w:t>CREDICORP LTD. AND SUBSIDIARIES</w:t>
            </w: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5380" w:type="dxa"/>
            <w:vAlign w:val="bottom"/>
            <w:gridSpan w:val="2"/>
          </w:tcPr>
          <w:p>
            <w:pPr>
              <w:spacing w:after="0"/>
              <w:rPr>
                <w:sz w:val="20"/>
                <w:szCs w:val="20"/>
                <w:color w:val="auto"/>
              </w:rPr>
            </w:pPr>
            <w:r>
              <w:rPr>
                <w:rFonts w:ascii="Arial" w:cs="Arial" w:eastAsia="Arial" w:hAnsi="Arial"/>
                <w:sz w:val="16"/>
                <w:szCs w:val="16"/>
                <w:color w:val="auto"/>
              </w:rPr>
              <w:t>CONSOLIDATED STATEMENTS OF CASH FLOWS</w:t>
            </w: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380" w:type="dxa"/>
            <w:vAlign w:val="bottom"/>
            <w:gridSpan w:val="2"/>
          </w:tcPr>
          <w:p>
            <w:pPr>
              <w:spacing w:after="0"/>
              <w:rPr>
                <w:sz w:val="20"/>
                <w:szCs w:val="20"/>
                <w:color w:val="auto"/>
              </w:rPr>
            </w:pPr>
            <w:r>
              <w:rPr>
                <w:rFonts w:ascii="Arial" w:cs="Arial" w:eastAsia="Arial" w:hAnsi="Arial"/>
                <w:sz w:val="16"/>
                <w:szCs w:val="16"/>
                <w:color w:val="auto"/>
              </w:rPr>
              <w:t>FOR THE YEARS ENDED DECEMBER 31, 2016, 2015 AND 2014</w:t>
            </w:r>
          </w:p>
        </w:tc>
        <w:tc>
          <w:tcPr>
            <w:tcW w:w="1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5"/>
              </w:rPr>
              <w:t>Note</w:t>
            </w:r>
          </w:p>
        </w:tc>
        <w:tc>
          <w:tcPr>
            <w:tcW w:w="540" w:type="dxa"/>
            <w:vAlign w:val="bottom"/>
          </w:tcPr>
          <w:p>
            <w:pPr>
              <w:spacing w:after="0"/>
              <w:rPr>
                <w:sz w:val="20"/>
                <w:szCs w:val="20"/>
                <w:color w:val="auto"/>
              </w:rPr>
            </w:pPr>
            <w:r>
              <w:rPr>
                <w:rFonts w:ascii="Arial" w:cs="Arial" w:eastAsia="Arial" w:hAnsi="Arial"/>
                <w:sz w:val="16"/>
                <w:szCs w:val="16"/>
                <w:b w:val="1"/>
                <w:bCs w:val="1"/>
                <w:color w:val="auto"/>
              </w:rPr>
              <w:t>2016</w:t>
            </w:r>
          </w:p>
        </w:tc>
        <w:tc>
          <w:tcPr>
            <w:tcW w:w="1600" w:type="dxa"/>
            <w:vAlign w:val="bottom"/>
            <w:gridSpan w:val="3"/>
          </w:tcPr>
          <w:p>
            <w:pPr>
              <w:ind w:left="1080"/>
              <w:spacing w:after="0"/>
              <w:rPr>
                <w:sz w:val="20"/>
                <w:szCs w:val="20"/>
                <w:color w:val="auto"/>
              </w:rPr>
            </w:pPr>
            <w:r>
              <w:rPr>
                <w:rFonts w:ascii="Arial" w:cs="Arial" w:eastAsia="Arial" w:hAnsi="Arial"/>
                <w:sz w:val="16"/>
                <w:szCs w:val="16"/>
                <w:b w:val="1"/>
                <w:bCs w:val="1"/>
                <w:color w:val="auto"/>
              </w:rPr>
              <w:t>2015</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20" w:type="dxa"/>
            <w:vAlign w:val="bottom"/>
            <w:vMerge w:val="restart"/>
          </w:tcPr>
          <w:p>
            <w:pPr>
              <w:spacing w:after="0"/>
              <w:rPr>
                <w:sz w:val="24"/>
                <w:szCs w:val="24"/>
                <w:color w:val="auto"/>
              </w:rPr>
            </w:pPr>
          </w:p>
        </w:tc>
        <w:tc>
          <w:tcPr>
            <w:tcW w:w="5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Profit before income tax</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4,891,428</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4,360,592</w:t>
            </w:r>
          </w:p>
        </w:tc>
        <w:tc>
          <w:tcPr>
            <w:tcW w:w="220" w:type="dxa"/>
            <w:vAlign w:val="bottom"/>
          </w:tcPr>
          <w:p>
            <w:pPr>
              <w:spacing w:after="0"/>
              <w:rPr>
                <w:sz w:val="16"/>
                <w:szCs w:val="16"/>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3,389,470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Income tax</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(1,281,448)</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(1,197,207)</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(968,224)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Net profit</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3,609,980</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3,163,385</w:t>
            </w:r>
          </w:p>
        </w:tc>
        <w:tc>
          <w:tcPr>
            <w:tcW w:w="220" w:type="dxa"/>
            <w:vAlign w:val="bottom"/>
          </w:tcPr>
          <w:p>
            <w:pPr>
              <w:spacing w:after="0"/>
              <w:rPr>
                <w:sz w:val="16"/>
                <w:szCs w:val="16"/>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2,421,246</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5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360" w:type="dxa"/>
            <w:vAlign w:val="bottom"/>
          </w:tcPr>
          <w:p>
            <w:pPr>
              <w:spacing w:after="0" w:line="177" w:lineRule="exact"/>
              <w:rPr>
                <w:sz w:val="20"/>
                <w:szCs w:val="20"/>
                <w:color w:val="auto"/>
              </w:rPr>
            </w:pPr>
            <w:r>
              <w:rPr>
                <w:rFonts w:ascii="Arial" w:cs="Arial" w:eastAsia="Arial" w:hAnsi="Arial"/>
                <w:sz w:val="16"/>
                <w:szCs w:val="16"/>
                <w:b w:val="1"/>
                <w:bCs w:val="1"/>
                <w:color w:val="auto"/>
                <w:w w:val="99"/>
              </w:rPr>
              <w:t>Adjustment to reconcile net profit with net cash arising from operating</w:t>
            </w:r>
          </w:p>
        </w:tc>
        <w:tc>
          <w:tcPr>
            <w:tcW w:w="1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spacing w:after="0"/>
              <w:rPr>
                <w:sz w:val="20"/>
                <w:szCs w:val="20"/>
                <w:color w:val="auto"/>
              </w:rPr>
            </w:pPr>
            <w:r>
              <w:rPr>
                <w:rFonts w:ascii="Arial" w:cs="Arial" w:eastAsia="Arial" w:hAnsi="Arial"/>
                <w:sz w:val="16"/>
                <w:szCs w:val="16"/>
                <w:b w:val="1"/>
                <w:bCs w:val="1"/>
                <w:color w:val="auto"/>
              </w:rPr>
              <w:t>activities:</w:t>
            </w: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Provision for loan losses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7(d)</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2,063,209</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2,052,177</w:t>
            </w:r>
          </w:p>
        </w:tc>
        <w:tc>
          <w:tcPr>
            <w:tcW w:w="22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1,914,142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10(a) and 11(c)</w:t>
            </w: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407,061</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2"/>
          </w:tcPr>
          <w:p>
            <w:pPr>
              <w:jc w:val="right"/>
              <w:ind w:right="139"/>
              <w:spacing w:after="0"/>
              <w:rPr>
                <w:sz w:val="20"/>
                <w:szCs w:val="20"/>
                <w:color w:val="auto"/>
              </w:rPr>
            </w:pPr>
            <w:r>
              <w:rPr>
                <w:rFonts w:ascii="Arial" w:cs="Arial" w:eastAsia="Arial" w:hAnsi="Arial"/>
                <w:sz w:val="16"/>
                <w:szCs w:val="16"/>
                <w:color w:val="auto"/>
              </w:rPr>
              <w:t>396,497</w:t>
            </w: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433,787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19(b)</w:t>
            </w: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28,228</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(117,195)</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(252,710)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Adjustment of technical reserves</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370,964</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2"/>
          </w:tcPr>
          <w:p>
            <w:pPr>
              <w:jc w:val="right"/>
              <w:ind w:right="139"/>
              <w:spacing w:after="0"/>
              <w:rPr>
                <w:sz w:val="20"/>
                <w:szCs w:val="20"/>
                <w:color w:val="auto"/>
              </w:rPr>
            </w:pPr>
            <w:r>
              <w:rPr>
                <w:rFonts w:ascii="Arial" w:cs="Arial" w:eastAsia="Arial" w:hAnsi="Arial"/>
                <w:sz w:val="16"/>
                <w:szCs w:val="16"/>
                <w:color w:val="auto"/>
              </w:rPr>
              <w:t>408,808</w:t>
            </w: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445,997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 on available for-sale investments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6(a)</w:t>
            </w: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14,459</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43,801</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7,794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Net loss (gain) on sales of securities</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(336,759)</w:t>
            </w:r>
          </w:p>
        </w:tc>
        <w:tc>
          <w:tcPr>
            <w:tcW w:w="520" w:type="dxa"/>
            <w:vAlign w:val="bottom"/>
          </w:tcPr>
          <w:p>
            <w:pPr>
              <w:spacing w:after="0"/>
              <w:rPr>
                <w:sz w:val="16"/>
                <w:szCs w:val="16"/>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(248,723)</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(220,737)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 on goodwill</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11(b)</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82,374</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92,583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Provision for various risks</w:t>
            </w:r>
          </w:p>
        </w:tc>
        <w:tc>
          <w:tcPr>
            <w:tcW w:w="1380" w:type="dxa"/>
            <w:vAlign w:val="bottom"/>
          </w:tcPr>
          <w:p>
            <w:pPr>
              <w:jc w:val="center"/>
              <w:spacing w:after="0"/>
              <w:rPr>
                <w:sz w:val="20"/>
                <w:szCs w:val="20"/>
                <w:color w:val="auto"/>
              </w:rPr>
            </w:pPr>
            <w:r>
              <w:rPr>
                <w:rFonts w:ascii="Arial" w:cs="Arial" w:eastAsia="Arial" w:hAnsi="Arial"/>
                <w:sz w:val="16"/>
                <w:szCs w:val="16"/>
                <w:color w:val="auto"/>
                <w:w w:val="90"/>
              </w:rPr>
              <w:t>12(d)</w:t>
            </w:r>
          </w:p>
        </w:tc>
        <w:tc>
          <w:tcPr>
            <w:tcW w:w="5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28,093</w:t>
            </w:r>
          </w:p>
        </w:tc>
        <w:tc>
          <w:tcPr>
            <w:tcW w:w="520" w:type="dxa"/>
            <w:vAlign w:val="bottom"/>
          </w:tcPr>
          <w:p>
            <w:pPr>
              <w:spacing w:after="0"/>
              <w:rPr>
                <w:sz w:val="16"/>
                <w:szCs w:val="16"/>
                <w:color w:val="auto"/>
              </w:rPr>
            </w:pPr>
          </w:p>
        </w:tc>
        <w:tc>
          <w:tcPr>
            <w:tcW w:w="1060" w:type="dxa"/>
            <w:vAlign w:val="bottom"/>
            <w:gridSpan w:val="2"/>
          </w:tcPr>
          <w:p>
            <w:pPr>
              <w:jc w:val="right"/>
              <w:ind w:right="139"/>
              <w:spacing w:after="0"/>
              <w:rPr>
                <w:sz w:val="20"/>
                <w:szCs w:val="20"/>
                <w:color w:val="auto"/>
              </w:rPr>
            </w:pPr>
            <w:r>
              <w:rPr>
                <w:rFonts w:ascii="Arial" w:cs="Arial" w:eastAsia="Arial" w:hAnsi="Arial"/>
                <w:sz w:val="16"/>
                <w:szCs w:val="16"/>
                <w:color w:val="auto"/>
              </w:rPr>
              <w:t>38,248</w:t>
            </w: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70,094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w w:val="93"/>
              </w:rPr>
              <w:t>Net loss (gain) on financial assets designated at fair value through profit and loss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(51,667)</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33,500</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4,098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Fluctuation of derivative financial instruments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5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(44,500)</w:t>
            </w:r>
          </w:p>
        </w:tc>
        <w:tc>
          <w:tcPr>
            <w:tcW w:w="520" w:type="dxa"/>
            <w:vAlign w:val="bottom"/>
          </w:tcPr>
          <w:p>
            <w:pPr>
              <w:spacing w:after="0"/>
              <w:rPr>
                <w:sz w:val="16"/>
                <w:szCs w:val="16"/>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(207,938)</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(22,202)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Loss on sales of property, furniture and equipment</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45,076</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17,159</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12,949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Net profit from sale of seized and recovered assets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28</w:t>
            </w:r>
          </w:p>
        </w:tc>
        <w:tc>
          <w:tcPr>
            <w:tcW w:w="5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(1,377)</w:t>
            </w:r>
          </w:p>
        </w:tc>
        <w:tc>
          <w:tcPr>
            <w:tcW w:w="520" w:type="dxa"/>
            <w:vAlign w:val="bottom"/>
          </w:tcPr>
          <w:p>
            <w:pPr>
              <w:spacing w:after="0"/>
              <w:rPr>
                <w:sz w:val="16"/>
                <w:szCs w:val="16"/>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(4,195)</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(1,801)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Expense on shared-based compensation plan</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w:t>
            </w: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94,871</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73,150</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62,628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Others</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60,624</w:t>
            </w:r>
          </w:p>
        </w:tc>
        <w:tc>
          <w:tcPr>
            <w:tcW w:w="520" w:type="dxa"/>
            <w:vAlign w:val="bottom"/>
          </w:tcPr>
          <w:p>
            <w:pPr>
              <w:spacing w:after="0"/>
              <w:rPr>
                <w:sz w:val="16"/>
                <w:szCs w:val="16"/>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(46,563)</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(172,095)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changes in assets and liabilities</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b w:val="1"/>
                <w:bCs w:val="1"/>
                <w:color w:val="auto"/>
              </w:rPr>
              <w:t>Net increase (decrease) in assets</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Loans</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(6,636,536)</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(7,754,794)</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(16,143,237)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Trading securities</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(1,694,949)</w:t>
            </w:r>
          </w:p>
        </w:tc>
        <w:tc>
          <w:tcPr>
            <w:tcW w:w="520" w:type="dxa"/>
            <w:vAlign w:val="bottom"/>
          </w:tcPr>
          <w:p>
            <w:pPr>
              <w:spacing w:after="0"/>
              <w:rPr>
                <w:sz w:val="16"/>
                <w:szCs w:val="16"/>
                <w:color w:val="auto"/>
              </w:rPr>
            </w:pPr>
          </w:p>
        </w:tc>
        <w:tc>
          <w:tcPr>
            <w:tcW w:w="1060" w:type="dxa"/>
            <w:vAlign w:val="bottom"/>
            <w:gridSpan w:val="2"/>
          </w:tcPr>
          <w:p>
            <w:pPr>
              <w:jc w:val="right"/>
              <w:ind w:right="139"/>
              <w:spacing w:after="0"/>
              <w:rPr>
                <w:sz w:val="20"/>
                <w:szCs w:val="20"/>
                <w:color w:val="auto"/>
              </w:rPr>
            </w:pPr>
            <w:r>
              <w:rPr>
                <w:rFonts w:ascii="Arial" w:cs="Arial" w:eastAsia="Arial" w:hAnsi="Arial"/>
                <w:sz w:val="16"/>
                <w:szCs w:val="16"/>
                <w:color w:val="auto"/>
              </w:rPr>
              <w:t>232,293</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(1,025,924)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Available for sale</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562,679</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(3,163,304)</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2,096,582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Other assets</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1,395,946</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(745,622)</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(4,238,686)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increase (decrease) in liabilities</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Deposits and obligations</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(1,981,653)</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6,105,203</w:t>
            </w:r>
          </w:p>
        </w:tc>
        <w:tc>
          <w:tcPr>
            <w:tcW w:w="220" w:type="dxa"/>
            <w:vAlign w:val="bottom"/>
          </w:tcPr>
          <w:p>
            <w:pPr>
              <w:spacing w:after="0"/>
              <w:rPr>
                <w:sz w:val="16"/>
                <w:szCs w:val="16"/>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9,514,322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Due to Banks and correspondents</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(188,720)</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(2,164,131)</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2,822,467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Payables from repurchase agreements and security lending</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551,130</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6,014,423</w:t>
            </w:r>
          </w:p>
        </w:tc>
        <w:tc>
          <w:tcPr>
            <w:tcW w:w="220" w:type="dxa"/>
            <w:vAlign w:val="bottom"/>
          </w:tcPr>
          <w:p>
            <w:pPr>
              <w:spacing w:after="0"/>
              <w:rPr>
                <w:sz w:val="16"/>
                <w:szCs w:val="16"/>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4,788,153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4"/>
              </w:rPr>
              <w:t>Cash collaterals, receivable from reverse repurchase agreements and securities</w:t>
            </w:r>
          </w:p>
        </w:tc>
        <w:tc>
          <w:tcPr>
            <w:tcW w:w="1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borrowings</w:t>
            </w:r>
          </w:p>
        </w:tc>
        <w:tc>
          <w:tcPr>
            <w:tcW w:w="1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(61,231)</w:t>
            </w:r>
          </w:p>
        </w:tc>
        <w:tc>
          <w:tcPr>
            <w:tcW w:w="5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(4,585,838)</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(4,449,777)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Bonds and notes issued</w:t>
            </w: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274,766</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(1,270,797)</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(1,342,704)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1,141,323</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1,211,378</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5,130,788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Income tax paid</w:t>
            </w:r>
          </w:p>
        </w:tc>
        <w:tc>
          <w:tcPr>
            <w:tcW w:w="1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(1,108,641)</w:t>
            </w:r>
          </w:p>
        </w:tc>
        <w:tc>
          <w:tcPr>
            <w:tcW w:w="520" w:type="dxa"/>
            <w:vAlign w:val="bottom"/>
          </w:tcPr>
          <w:p>
            <w:pPr>
              <w:spacing w:after="0"/>
              <w:rPr>
                <w:sz w:val="17"/>
                <w:szCs w:val="17"/>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(945,178)</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(1,028,466)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cash flow from operating activities</w:t>
            </w:r>
          </w:p>
        </w:tc>
        <w:tc>
          <w:tcPr>
            <w:tcW w:w="13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(1,457,530</w:t>
            </w:r>
          </w:p>
        </w:tc>
        <w:tc>
          <w:tcPr>
            <w:tcW w:w="22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(1,381,882</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919,291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- 14 -</w:t>
            </w: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4" w:right="21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5"/>
              </w:rPr>
              <w:t>Note</w:t>
            </w:r>
          </w:p>
        </w:tc>
        <w:tc>
          <w:tcPr>
            <w:tcW w:w="520" w:type="dxa"/>
            <w:vAlign w:val="bottom"/>
          </w:tcPr>
          <w:p>
            <w:pPr>
              <w:spacing w:after="0"/>
              <w:rPr>
                <w:sz w:val="20"/>
                <w:szCs w:val="20"/>
                <w:color w:val="auto"/>
              </w:rPr>
            </w:pPr>
            <w:r>
              <w:rPr>
                <w:rFonts w:ascii="Arial" w:cs="Arial" w:eastAsia="Arial" w:hAnsi="Arial"/>
                <w:sz w:val="16"/>
                <w:szCs w:val="16"/>
                <w:b w:val="1"/>
                <w:bCs w:val="1"/>
                <w:color w:val="auto"/>
              </w:rPr>
              <w:t>2016</w:t>
            </w:r>
          </w:p>
        </w:tc>
        <w:tc>
          <w:tcPr>
            <w:tcW w:w="1600" w:type="dxa"/>
            <w:vAlign w:val="bottom"/>
            <w:gridSpan w:val="3"/>
          </w:tcPr>
          <w:p>
            <w:pPr>
              <w:ind w:left="1100"/>
              <w:spacing w:after="0"/>
              <w:rPr>
                <w:sz w:val="20"/>
                <w:szCs w:val="20"/>
                <w:color w:val="auto"/>
              </w:rPr>
            </w:pPr>
            <w:r>
              <w:rPr>
                <w:rFonts w:ascii="Arial" w:cs="Arial" w:eastAsia="Arial" w:hAnsi="Arial"/>
                <w:sz w:val="16"/>
                <w:szCs w:val="16"/>
                <w:b w:val="1"/>
                <w:bCs w:val="1"/>
                <w:color w:val="auto"/>
              </w:rPr>
              <w:t>2015</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FLOWS FROM INVESTING ACTIVITIES</w:t>
            </w:r>
          </w:p>
        </w:tc>
        <w:tc>
          <w:tcPr>
            <w:tcW w:w="1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Acquisition of subsidiary, net of cash acquired</w:t>
            </w: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80" w:type="dxa"/>
            <w:vAlign w:val="bottom"/>
            <w:gridSpan w:val="3"/>
          </w:tcPr>
          <w:p>
            <w:pPr>
              <w:jc w:val="right"/>
              <w:ind w:right="39"/>
              <w:spacing w:after="0"/>
              <w:rPr>
                <w:sz w:val="20"/>
                <w:szCs w:val="20"/>
                <w:color w:val="auto"/>
              </w:rPr>
            </w:pPr>
            <w:r>
              <w:rPr>
                <w:rFonts w:ascii="Arial" w:cs="Arial" w:eastAsia="Arial" w:hAnsi="Arial"/>
                <w:sz w:val="16"/>
                <w:szCs w:val="16"/>
                <w:color w:val="auto"/>
              </w:rPr>
              <w:t>731,813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Revenue for sale of property, furniture and equipment</w:t>
            </w:r>
          </w:p>
        </w:tc>
        <w:tc>
          <w:tcPr>
            <w:tcW w:w="1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47,044</w:t>
            </w:r>
          </w:p>
        </w:tc>
        <w:tc>
          <w:tcPr>
            <w:tcW w:w="5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44,524</w:t>
            </w:r>
          </w:p>
        </w:tc>
        <w:tc>
          <w:tcPr>
            <w:tcW w:w="14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19,799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Additions of property, furniture and equipment</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5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(110,151)</w:t>
            </w:r>
          </w:p>
        </w:tc>
        <w:tc>
          <w:tcPr>
            <w:tcW w:w="500" w:type="dxa"/>
            <w:vAlign w:val="bottom"/>
          </w:tcPr>
          <w:p>
            <w:pPr>
              <w:spacing w:after="0"/>
              <w:rPr>
                <w:sz w:val="16"/>
                <w:szCs w:val="16"/>
                <w:color w:val="auto"/>
              </w:rPr>
            </w:pP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(148,426)</w:t>
            </w: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(301,734)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Additions of intangible assets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8"/>
              </w:rPr>
              <w:t>11</w:t>
            </w:r>
          </w:p>
        </w:tc>
        <w:tc>
          <w:tcPr>
            <w:tcW w:w="5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(275,606)</w:t>
            </w:r>
          </w:p>
        </w:tc>
        <w:tc>
          <w:tcPr>
            <w:tcW w:w="5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(276,564)</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(246,882)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Held-to-maturity investments</w:t>
            </w: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(1,550,332)</w:t>
            </w:r>
          </w:p>
        </w:tc>
        <w:tc>
          <w:tcPr>
            <w:tcW w:w="500" w:type="dxa"/>
            <w:vAlign w:val="bottom"/>
          </w:tcPr>
          <w:p>
            <w:pPr>
              <w:spacing w:after="0"/>
              <w:rPr>
                <w:sz w:val="17"/>
                <w:szCs w:val="17"/>
                <w:color w:val="auto"/>
              </w:rPr>
            </w:pP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(1,135,744)</w:t>
            </w: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(1,990,686)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cash flows from investing activities</w:t>
            </w:r>
          </w:p>
        </w:tc>
        <w:tc>
          <w:tcPr>
            <w:tcW w:w="13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(1,889,045</w:t>
            </w:r>
          </w:p>
        </w:tc>
        <w:tc>
          <w:tcPr>
            <w:tcW w:w="22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5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(1,516,210</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(1,787,690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FLOWS FROM FINANCING ACTIVITIES</w:t>
            </w:r>
          </w:p>
        </w:tc>
        <w:tc>
          <w:tcPr>
            <w:tcW w:w="1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Dividends paid</w:t>
            </w:r>
          </w:p>
        </w:tc>
        <w:tc>
          <w:tcPr>
            <w:tcW w:w="1380" w:type="dxa"/>
            <w:vAlign w:val="bottom"/>
          </w:tcPr>
          <w:p>
            <w:pPr>
              <w:jc w:val="center"/>
              <w:spacing w:after="0"/>
              <w:rPr>
                <w:sz w:val="20"/>
                <w:szCs w:val="20"/>
                <w:color w:val="auto"/>
              </w:rPr>
            </w:pPr>
            <w:r>
              <w:rPr>
                <w:rFonts w:ascii="Arial" w:cs="Arial" w:eastAsia="Arial" w:hAnsi="Arial"/>
                <w:sz w:val="16"/>
                <w:szCs w:val="16"/>
                <w:color w:val="auto"/>
                <w:w w:val="90"/>
              </w:rPr>
              <w:t>18(e)</w:t>
            </w:r>
          </w:p>
        </w:tc>
        <w:tc>
          <w:tcPr>
            <w:tcW w:w="5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(653,326)</w:t>
            </w:r>
          </w:p>
        </w:tc>
        <w:tc>
          <w:tcPr>
            <w:tcW w:w="500" w:type="dxa"/>
            <w:vAlign w:val="bottom"/>
          </w:tcPr>
          <w:p>
            <w:pPr>
              <w:spacing w:after="0"/>
              <w:rPr>
                <w:sz w:val="16"/>
                <w:szCs w:val="16"/>
                <w:color w:val="auto"/>
              </w:rPr>
            </w:pP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(539,985)</w:t>
            </w: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(429,413)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Subordinated bonds and notes issued</w:t>
            </w:r>
          </w:p>
        </w:tc>
        <w:tc>
          <w:tcPr>
            <w:tcW w:w="1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(401,257)</w:t>
            </w:r>
          </w:p>
        </w:tc>
        <w:tc>
          <w:tcPr>
            <w:tcW w:w="5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666,805</w:t>
            </w:r>
          </w:p>
        </w:tc>
        <w:tc>
          <w:tcPr>
            <w:tcW w:w="14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978,217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Acquisition of Credicorp shares</w:t>
            </w:r>
          </w:p>
        </w:tc>
        <w:tc>
          <w:tcPr>
            <w:tcW w:w="1380" w:type="dxa"/>
            <w:vAlign w:val="bottom"/>
          </w:tcPr>
          <w:p>
            <w:pPr>
              <w:jc w:val="center"/>
              <w:spacing w:after="0"/>
              <w:rPr>
                <w:sz w:val="20"/>
                <w:szCs w:val="20"/>
                <w:color w:val="auto"/>
              </w:rPr>
            </w:pPr>
            <w:r>
              <w:rPr>
                <w:rFonts w:ascii="Arial" w:cs="Arial" w:eastAsia="Arial" w:hAnsi="Arial"/>
                <w:sz w:val="16"/>
                <w:szCs w:val="16"/>
                <w:color w:val="auto"/>
                <w:w w:val="90"/>
              </w:rPr>
              <w:t>18(b)</w:t>
            </w:r>
          </w:p>
        </w:tc>
        <w:tc>
          <w:tcPr>
            <w:tcW w:w="5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(66,528)</w:t>
            </w:r>
          </w:p>
        </w:tc>
        <w:tc>
          <w:tcPr>
            <w:tcW w:w="500" w:type="dxa"/>
            <w:vAlign w:val="bottom"/>
          </w:tcPr>
          <w:p>
            <w:pPr>
              <w:spacing w:after="0"/>
              <w:rPr>
                <w:sz w:val="16"/>
                <w:szCs w:val="16"/>
                <w:color w:val="auto"/>
              </w:rPr>
            </w:pP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(72,968)</w:t>
            </w: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(45,622)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Acquisition of non-controlling interest</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2(a) and 2(d)</w:t>
            </w:r>
          </w:p>
        </w:tc>
        <w:tc>
          <w:tcPr>
            <w:tcW w:w="5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(489,866)</w:t>
            </w: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(163,621)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flows from financing activities</w:t>
            </w:r>
          </w:p>
        </w:tc>
        <w:tc>
          <w:tcPr>
            <w:tcW w:w="1380" w:type="dxa"/>
            <w:vAlign w:val="bottom"/>
            <w:tcBorders>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(1,610,977</w:t>
            </w:r>
          </w:p>
        </w:tc>
        <w:tc>
          <w:tcPr>
            <w:tcW w:w="220" w:type="dxa"/>
            <w:vAlign w:val="bottom"/>
            <w:tcBorders>
              <w:bottom w:val="single" w:sz="8" w:color="CCEEFF"/>
            </w:tcBorders>
          </w:tcPr>
          <w:p>
            <w:pPr>
              <w:jc w:val="right"/>
              <w:ind w:right="140"/>
              <w:spacing w:after="0"/>
              <w:rPr>
                <w:sz w:val="20"/>
                <w:szCs w:val="20"/>
                <w:color w:val="auto"/>
              </w:rPr>
            </w:pPr>
            <w:r>
              <w:rPr>
                <w:rFonts w:ascii="Arial" w:cs="Arial" w:eastAsia="Arial" w:hAnsi="Arial"/>
                <w:sz w:val="8"/>
                <w:szCs w:val="8"/>
                <w:color w:val="auto"/>
                <w:w w:val="73"/>
              </w:rPr>
              <w:t>)</w:t>
            </w:r>
          </w:p>
        </w:tc>
        <w:tc>
          <w:tcPr>
            <w:tcW w:w="5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53,852</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339,561</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60" w:type="dxa"/>
            <w:vAlign w:val="bottom"/>
            <w:shd w:val="clear" w:color="auto" w:fill="CCEEFF"/>
          </w:tcPr>
          <w:p>
            <w:pPr>
              <w:spacing w:after="0" w:line="157" w:lineRule="exact"/>
              <w:rPr>
                <w:sz w:val="20"/>
                <w:szCs w:val="20"/>
                <w:color w:val="auto"/>
              </w:rPr>
            </w:pPr>
            <w:r>
              <w:rPr>
                <w:rFonts w:ascii="Arial" w:cs="Arial" w:eastAsia="Arial" w:hAnsi="Arial"/>
                <w:sz w:val="16"/>
                <w:szCs w:val="16"/>
                <w:b w:val="1"/>
                <w:bCs w:val="1"/>
                <w:color w:val="auto"/>
                <w:w w:val="89"/>
              </w:rPr>
              <w:t>Net increase (decrease) of cash and cash equivalents before effect of changes</w:t>
            </w:r>
          </w:p>
        </w:tc>
        <w:tc>
          <w:tcPr>
            <w:tcW w:w="1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 exchange rate</w:t>
            </w:r>
          </w:p>
        </w:tc>
        <w:tc>
          <w:tcPr>
            <w:tcW w:w="1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(4,957,552)</w:t>
            </w: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(2,844,240)</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(528,838)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Effect of changes in Exchange rate of cash and cash equivalents</w:t>
            </w:r>
          </w:p>
        </w:tc>
        <w:tc>
          <w:tcPr>
            <w:tcW w:w="13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(454,120)</w:t>
            </w:r>
          </w:p>
        </w:tc>
        <w:tc>
          <w:tcPr>
            <w:tcW w:w="2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3,199,642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455,375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the beginning of the year</w:t>
            </w:r>
          </w:p>
        </w:tc>
        <w:tc>
          <w:tcPr>
            <w:tcW w:w="1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22,044,868</w:t>
            </w: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21,689,466</w:t>
            </w:r>
          </w:p>
        </w:tc>
        <w:tc>
          <w:tcPr>
            <w:tcW w:w="14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21,762,929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Cash and cash equivalents at the end of the year</w:t>
            </w:r>
          </w:p>
        </w:tc>
        <w:tc>
          <w:tcPr>
            <w:tcW w:w="1380" w:type="dxa"/>
            <w:vAlign w:val="bottom"/>
            <w:tcBorders>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16,633,196</w:t>
            </w:r>
          </w:p>
        </w:tc>
        <w:tc>
          <w:tcPr>
            <w:tcW w:w="220" w:type="dxa"/>
            <w:vAlign w:val="bottom"/>
            <w:tcBorders>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22,044,868</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21,689,466</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b w:val="1"/>
                <w:bCs w:val="1"/>
                <w:color w:val="auto"/>
              </w:rPr>
              <w:t>Additional information from cash flows</w:t>
            </w: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Interest received</w:t>
            </w:r>
          </w:p>
        </w:tc>
        <w:tc>
          <w:tcPr>
            <w:tcW w:w="1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10,670,591</w:t>
            </w: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9,987,677</w:t>
            </w:r>
          </w:p>
        </w:tc>
        <w:tc>
          <w:tcPr>
            <w:tcW w:w="22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8,406,602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Interest paid</w:t>
            </w: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(2,871,851)</w:t>
            </w:r>
          </w:p>
        </w:tc>
        <w:tc>
          <w:tcPr>
            <w:tcW w:w="500" w:type="dxa"/>
            <w:vAlign w:val="bottom"/>
          </w:tcPr>
          <w:p>
            <w:pPr>
              <w:spacing w:after="0"/>
              <w:rPr>
                <w:sz w:val="16"/>
                <w:szCs w:val="16"/>
                <w:color w:val="auto"/>
              </w:rPr>
            </w:pP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(2,510,247)</w:t>
            </w: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(2,124,733)</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5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b w:val="1"/>
                <w:bCs w:val="1"/>
                <w:color w:val="auto"/>
              </w:rPr>
              <w:t>Non-cash flows transactions</w:t>
            </w: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Incorporation of Mibanco net assets, Note 2(a)(i)</w:t>
            </w:r>
          </w:p>
        </w:tc>
        <w:tc>
          <w:tcPr>
            <w:tcW w:w="1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(595,770)</w:t>
            </w: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- 15 -</w:t>
            </w: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4" w:right="219" w:bottom="1440" w:gutter="0" w:footer="0" w:header="0"/>
        </w:sectPr>
      </w:pPr>
    </w:p>
    <w:bookmarkStart w:id="20" w:name="page21"/>
    <w:bookmarkEnd w:id="20"/>
    <w:p>
      <w:pPr>
        <w:ind w:left="3"/>
        <w:spacing w:after="0"/>
        <w:rPr>
          <w:sz w:val="20"/>
          <w:szCs w:val="20"/>
          <w:color w:val="auto"/>
        </w:rPr>
      </w:pPr>
      <w:r>
        <w:rPr>
          <w:rFonts w:ascii="Arial" w:cs="Arial" w:eastAsia="Arial" w:hAnsi="Arial"/>
          <w:sz w:val="16"/>
          <w:szCs w:val="16"/>
          <w:b w:val="1"/>
          <w:bCs w:val="1"/>
          <w:color w:val="auto"/>
        </w:rPr>
        <w:t>CREDICORP LTD. AND SUBSIDIARIES</w:t>
      </w:r>
    </w:p>
    <w:p>
      <w:pPr>
        <w:spacing w:after="0" w:line="207"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NOTES TO THE CONSOLIDATED FINANCIAL STATEMENTS</w:t>
      </w:r>
    </w:p>
    <w:p>
      <w:pPr>
        <w:spacing w:after="0" w:line="22" w:lineRule="exact"/>
        <w:rPr>
          <w:sz w:val="20"/>
          <w:szCs w:val="20"/>
          <w:color w:val="auto"/>
        </w:rPr>
      </w:pPr>
    </w:p>
    <w:p>
      <w:pPr>
        <w:ind w:left="3"/>
        <w:spacing w:after="0"/>
        <w:rPr>
          <w:sz w:val="20"/>
          <w:szCs w:val="20"/>
          <w:color w:val="auto"/>
        </w:rPr>
      </w:pPr>
      <w:r>
        <w:rPr>
          <w:rFonts w:ascii="Arial" w:cs="Arial" w:eastAsia="Arial" w:hAnsi="Arial"/>
          <w:sz w:val="16"/>
          <w:szCs w:val="16"/>
          <w:color w:val="auto"/>
        </w:rPr>
        <w:t>AS OF DECEMBER 31, 2016 AND 2015</w:t>
      </w:r>
    </w:p>
    <w:p>
      <w:pPr>
        <w:spacing w:after="0" w:line="187" w:lineRule="exact"/>
        <w:rPr>
          <w:sz w:val="20"/>
          <w:szCs w:val="20"/>
          <w:color w:val="auto"/>
        </w:rPr>
      </w:pPr>
    </w:p>
    <w:p>
      <w:pPr>
        <w:ind w:left="583" w:hanging="583"/>
        <w:spacing w:after="0"/>
        <w:tabs>
          <w:tab w:leader="none" w:pos="583"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OPERATIONS</w:t>
      </w:r>
    </w:p>
    <w:p>
      <w:pPr>
        <w:spacing w:after="0" w:line="207" w:lineRule="exact"/>
        <w:rPr>
          <w:sz w:val="20"/>
          <w:szCs w:val="20"/>
          <w:color w:val="auto"/>
        </w:rPr>
      </w:pPr>
    </w:p>
    <w:p>
      <w:pPr>
        <w:ind w:left="3" w:right="420"/>
        <w:spacing w:after="0" w:line="280" w:lineRule="auto"/>
        <w:rPr>
          <w:sz w:val="20"/>
          <w:szCs w:val="20"/>
          <w:color w:val="auto"/>
        </w:rPr>
      </w:pPr>
      <w:r>
        <w:rPr>
          <w:rFonts w:ascii="Arial" w:cs="Arial" w:eastAsia="Arial" w:hAnsi="Arial"/>
          <w:sz w:val="16"/>
          <w:szCs w:val="16"/>
          <w:color w:val="auto"/>
        </w:rPr>
        <w:t>Credicorp Ltd. (hereinafter “Credicorp” or “the Group”) is a limited liability company incorporated in Bermuda in 1995 to act as a holding company and to coordinate the policies and administration of its subsidiaries. It is also engaged in investing activities.</w:t>
      </w:r>
    </w:p>
    <w:p>
      <w:pPr>
        <w:spacing w:after="0" w:line="151"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Credicorp Ltd., through its banking and non-banking subsidiaries and its associate Entidad Prestadora de Salud, provides a wide range of financial, insurance and health services and products mainly throughout Peru and in certain other countries (see note 3(b)). Its major subsidiary is Banco de Crédito del Perú (hereinafter “BCP” or the “Bank”), a Peruvian universal bank. Credicorp’s address is Claredon House 2 Church Street Hamilton, Bermuda; likewise, administration offices of its representative in Peru are located in Calle Centenario Nº156, La Molina, Lima, Peru.</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color w:val="auto"/>
        </w:rPr>
        <w:t>Credicorp is listed on the Lima and New York stock exchanges.</w:t>
      </w:r>
    </w:p>
    <w:p>
      <w:pPr>
        <w:spacing w:after="0" w:line="203" w:lineRule="exact"/>
        <w:rPr>
          <w:sz w:val="20"/>
          <w:szCs w:val="20"/>
          <w:color w:val="auto"/>
        </w:rPr>
      </w:pPr>
    </w:p>
    <w:p>
      <w:pPr>
        <w:ind w:left="3" w:right="160"/>
        <w:spacing w:after="0" w:line="261" w:lineRule="auto"/>
        <w:rPr>
          <w:sz w:val="20"/>
          <w:szCs w:val="20"/>
          <w:color w:val="auto"/>
        </w:rPr>
      </w:pPr>
      <w:r>
        <w:rPr>
          <w:rFonts w:ascii="Arial" w:cs="Arial" w:eastAsia="Arial" w:hAnsi="Arial"/>
          <w:sz w:val="16"/>
          <w:szCs w:val="16"/>
          <w:color w:val="auto"/>
        </w:rPr>
        <w:t>The consolidated financial statements as of and for the year ended December 31, 2015 were approved in the General Shareholders’ Meeting held on March 31, 2016. The consolidated financial statements as of and for the year ended December 31, 2016, were approved and authorized to be issued by the Audit Committee and Management on February 21, 2017 and will be submitted for their final approval by the Board of Directors and the General Shareholders’ Meeting that will occur within the period established by law; in Management’s opinion, they will be approved without modifications.</w:t>
      </w:r>
    </w:p>
    <w:p>
      <w:pPr>
        <w:spacing w:after="0" w:line="163" w:lineRule="exact"/>
        <w:rPr>
          <w:sz w:val="20"/>
          <w:szCs w:val="20"/>
          <w:color w:val="auto"/>
        </w:rPr>
      </w:pPr>
    </w:p>
    <w:p>
      <w:pPr>
        <w:ind w:left="583" w:hanging="583"/>
        <w:spacing w:after="0"/>
        <w:tabs>
          <w:tab w:leader="none" w:pos="583"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TRANSFERS AND MERGER</w:t>
      </w:r>
    </w:p>
    <w:p>
      <w:pPr>
        <w:spacing w:after="0" w:line="207" w:lineRule="exact"/>
        <w:rPr>
          <w:sz w:val="20"/>
          <w:szCs w:val="20"/>
          <w:color w:val="auto"/>
        </w:rPr>
      </w:pPr>
    </w:p>
    <w:p>
      <w:pPr>
        <w:ind w:left="283" w:hanging="283"/>
        <w:spacing w:after="0"/>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Acquisition of the non-controlling interest of Credicorp Capital Colombia (formerly Correval) and IM Trust S.A. (hereinafter IM Trust) -</w:t>
      </w:r>
    </w:p>
    <w:p>
      <w:pPr>
        <w:spacing w:after="0" w:line="202" w:lineRule="exact"/>
        <w:rPr>
          <w:rFonts w:ascii="Arial" w:cs="Arial" w:eastAsia="Arial" w:hAnsi="Arial"/>
          <w:sz w:val="16"/>
          <w:szCs w:val="16"/>
          <w:color w:val="auto"/>
        </w:rPr>
      </w:pPr>
    </w:p>
    <w:p>
      <w:pPr>
        <w:ind w:left="283" w:right="100"/>
        <w:spacing w:after="0" w:line="284" w:lineRule="auto"/>
        <w:rPr>
          <w:rFonts w:ascii="Arial" w:cs="Arial" w:eastAsia="Arial" w:hAnsi="Arial"/>
          <w:sz w:val="16"/>
          <w:szCs w:val="16"/>
          <w:color w:val="auto"/>
        </w:rPr>
      </w:pPr>
      <w:r>
        <w:rPr>
          <w:rFonts w:ascii="Arial" w:cs="Arial" w:eastAsia="Arial" w:hAnsi="Arial"/>
          <w:sz w:val="15"/>
          <w:szCs w:val="15"/>
          <w:color w:val="auto"/>
        </w:rPr>
        <w:t>In the Board Meetings of Credicorp held on February 24, and July 20 of 2016, capital contributions were approved in favor of Credicorp Capital Ltd. for an amount of US$15.4 million and US$106.3 million, respectively, for the purpose of acquiring all of the shares held by the minority shareholders of Credicorp Capital Colombia (49.0 percent) and IM Trust (39.4 percent) at said date, exercising the sale option agreed with them amounting, at that time, to S/489.9 million (S/340.4 million at the time of the signing of the contract and S/149.5 million related to the appreciation of that option recorded in the period from 2013 until its execution date).</w:t>
      </w:r>
    </w:p>
    <w:p>
      <w:pPr>
        <w:spacing w:after="0" w:line="150" w:lineRule="exact"/>
        <w:rPr>
          <w:rFonts w:ascii="Arial" w:cs="Arial" w:eastAsia="Arial" w:hAnsi="Arial"/>
          <w:sz w:val="16"/>
          <w:szCs w:val="16"/>
          <w:color w:val="auto"/>
        </w:rPr>
      </w:pPr>
    </w:p>
    <w:p>
      <w:pPr>
        <w:ind w:left="283" w:right="200"/>
        <w:spacing w:after="0" w:line="354" w:lineRule="auto"/>
        <w:rPr>
          <w:rFonts w:ascii="Arial" w:cs="Arial" w:eastAsia="Arial" w:hAnsi="Arial"/>
          <w:sz w:val="16"/>
          <w:szCs w:val="16"/>
          <w:color w:val="auto"/>
        </w:rPr>
      </w:pPr>
      <w:r>
        <w:rPr>
          <w:rFonts w:ascii="Arial" w:cs="Arial" w:eastAsia="Arial" w:hAnsi="Arial"/>
          <w:sz w:val="14"/>
          <w:szCs w:val="14"/>
          <w:color w:val="auto"/>
        </w:rPr>
        <w:t>Subsequently, Credicorp Capital Ltd. made capital contributions in favor of Credicorp Capital Holding Chile and Credicorp Capital Holding Colombia for approximately US$49.2 million and US$44.2 million, respectively, to enable said entities to execute directly the purchase and sale options (PUT) with the minority shareholders.</w:t>
      </w:r>
    </w:p>
    <w:p>
      <w:pPr>
        <w:spacing w:after="0" w:line="105" w:lineRule="exact"/>
        <w:rPr>
          <w:rFonts w:ascii="Arial" w:cs="Arial" w:eastAsia="Arial" w:hAnsi="Arial"/>
          <w:sz w:val="16"/>
          <w:szCs w:val="16"/>
          <w:color w:val="auto"/>
        </w:rPr>
      </w:pPr>
    </w:p>
    <w:p>
      <w:pPr>
        <w:ind w:left="283" w:right="160"/>
        <w:spacing w:after="0" w:line="266" w:lineRule="auto"/>
        <w:rPr>
          <w:rFonts w:ascii="Arial" w:cs="Arial" w:eastAsia="Arial" w:hAnsi="Arial"/>
          <w:sz w:val="16"/>
          <w:szCs w:val="16"/>
          <w:color w:val="auto"/>
        </w:rPr>
      </w:pPr>
      <w:r>
        <w:rPr>
          <w:rFonts w:ascii="Arial" w:cs="Arial" w:eastAsia="Arial" w:hAnsi="Arial"/>
          <w:sz w:val="16"/>
          <w:szCs w:val="16"/>
          <w:color w:val="auto"/>
        </w:rPr>
        <w:t>Accordingly, on May 20 and August 1 of 2016, Credicorp Capital Holding Chile executed the purchase option of IM Trust S.A. purchasing the 39.4 percent share held by the minority shareholders, for approximately US$71.2 million (equivalent to S/241.4 million), with which, Credicorp Capital Holding Chile became the owner of 100 percent of the share capital of IM Trust.</w:t>
      </w:r>
    </w:p>
    <w:p>
      <w:pPr>
        <w:spacing w:after="0" w:line="161" w:lineRule="exact"/>
        <w:rPr>
          <w:rFonts w:ascii="Arial" w:cs="Arial" w:eastAsia="Arial" w:hAnsi="Arial"/>
          <w:sz w:val="16"/>
          <w:szCs w:val="16"/>
          <w:color w:val="auto"/>
        </w:rPr>
      </w:pPr>
    </w:p>
    <w:p>
      <w:pPr>
        <w:ind w:left="283" w:right="60"/>
        <w:spacing w:after="0" w:line="280" w:lineRule="auto"/>
        <w:rPr>
          <w:rFonts w:ascii="Arial" w:cs="Arial" w:eastAsia="Arial" w:hAnsi="Arial"/>
          <w:sz w:val="16"/>
          <w:szCs w:val="16"/>
          <w:color w:val="auto"/>
        </w:rPr>
      </w:pPr>
      <w:r>
        <w:rPr>
          <w:rFonts w:ascii="Arial" w:cs="Arial" w:eastAsia="Arial" w:hAnsi="Arial"/>
          <w:sz w:val="16"/>
          <w:szCs w:val="16"/>
          <w:color w:val="auto"/>
        </w:rPr>
        <w:t>The amount paid by Credicorp Capital Holding Chile was made up of US$49.2 million originating from the capital contribution of Credicorp Capital Ltd. and own funding of approximately US$22.0 million.</w:t>
      </w:r>
    </w:p>
    <w:p>
      <w:pPr>
        <w:spacing w:after="0" w:line="344" w:lineRule="exact"/>
        <w:rPr>
          <w:rFonts w:ascii="Arial" w:cs="Arial" w:eastAsia="Arial" w:hAnsi="Arial"/>
          <w:sz w:val="16"/>
          <w:szCs w:val="16"/>
          <w:color w:val="auto"/>
        </w:rPr>
      </w:pPr>
    </w:p>
    <w:p>
      <w:pPr>
        <w:ind w:left="5643" w:hanging="94"/>
        <w:spacing w:after="0"/>
        <w:tabs>
          <w:tab w:leader="none" w:pos="5643" w:val="left"/>
        </w:tabs>
        <w:numPr>
          <w:ilvl w:val="1"/>
          <w:numId w:val="7"/>
        </w:numPr>
        <w:rPr>
          <w:rFonts w:ascii="Arial" w:cs="Arial" w:eastAsia="Arial" w:hAnsi="Arial"/>
          <w:sz w:val="16"/>
          <w:szCs w:val="16"/>
          <w:color w:val="auto"/>
        </w:rPr>
      </w:pPr>
      <w:r>
        <w:rPr>
          <w:rFonts w:ascii="Arial" w:cs="Arial" w:eastAsia="Arial" w:hAnsi="Arial"/>
          <w:sz w:val="16"/>
          <w:szCs w:val="16"/>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4" w:right="259" w:bottom="1440" w:gutter="0" w:footer="0" w:header="0"/>
        </w:sectPr>
      </w:pPr>
    </w:p>
    <w:bookmarkStart w:id="21" w:name="page22"/>
    <w:bookmarkEnd w:id="21"/>
    <w:p>
      <w:pPr>
        <w:jc w:val="both"/>
        <w:ind w:left="283"/>
        <w:spacing w:after="0" w:line="266" w:lineRule="auto"/>
        <w:rPr>
          <w:sz w:val="20"/>
          <w:szCs w:val="20"/>
          <w:color w:val="auto"/>
        </w:rPr>
      </w:pPr>
      <w:r>
        <w:rPr>
          <w:rFonts w:ascii="Arial" w:cs="Arial" w:eastAsia="Arial" w:hAnsi="Arial"/>
          <w:sz w:val="16"/>
          <w:szCs w:val="16"/>
          <w:color w:val="auto"/>
        </w:rPr>
        <w:t>Furthermore, on May 20, June 1 and August 1, of 2016, Credicorp Capital Holding Colombia executed the purchase option of Credicorp Capital Colombia, purchasing the 30.32 percent share held by the minority shareholders for approximately US$45.0 million (equivalent to S/152.4 million), with which, Credicorp Capital Holding Colombia became the owner of 81.32 percent of the share capital of Credicorp Capital Colombia.</w:t>
      </w:r>
    </w:p>
    <w:p>
      <w:pPr>
        <w:spacing w:after="0" w:line="162" w:lineRule="exact"/>
        <w:rPr>
          <w:sz w:val="20"/>
          <w:szCs w:val="20"/>
          <w:color w:val="auto"/>
        </w:rPr>
      </w:pPr>
    </w:p>
    <w:p>
      <w:pPr>
        <w:jc w:val="both"/>
        <w:ind w:left="283"/>
        <w:spacing w:after="0" w:line="280" w:lineRule="auto"/>
        <w:rPr>
          <w:sz w:val="20"/>
          <w:szCs w:val="20"/>
          <w:color w:val="auto"/>
        </w:rPr>
      </w:pPr>
      <w:r>
        <w:rPr>
          <w:rFonts w:ascii="Arial" w:cs="Arial" w:eastAsia="Arial" w:hAnsi="Arial"/>
          <w:sz w:val="16"/>
          <w:szCs w:val="16"/>
          <w:color w:val="auto"/>
        </w:rPr>
        <w:t>The amount paid by Credicorp Capital Holding Colombia is made up of US$44.2 million originating from the capital contribution of Credicorp Capital Ltd. and the entity’s own funds for approximately US$0.8 million.</w:t>
      </w:r>
    </w:p>
    <w:p>
      <w:pPr>
        <w:spacing w:after="0" w:line="151" w:lineRule="exact"/>
        <w:rPr>
          <w:sz w:val="20"/>
          <w:szCs w:val="20"/>
          <w:color w:val="auto"/>
        </w:rPr>
      </w:pPr>
    </w:p>
    <w:p>
      <w:pPr>
        <w:ind w:left="283" w:right="20"/>
        <w:spacing w:after="0" w:line="284" w:lineRule="auto"/>
        <w:rPr>
          <w:sz w:val="20"/>
          <w:szCs w:val="20"/>
          <w:color w:val="auto"/>
        </w:rPr>
      </w:pPr>
      <w:r>
        <w:rPr>
          <w:rFonts w:ascii="Arial" w:cs="Arial" w:eastAsia="Arial" w:hAnsi="Arial"/>
          <w:sz w:val="15"/>
          <w:szCs w:val="15"/>
          <w:color w:val="auto"/>
        </w:rPr>
        <w:t>Finally, on September 30, 2016, Credicorp Capital Ltd. executed the remaining purchase option of Credicorp Capital Colombia, purchasing the 18.68 percent share held by the minority shareholders, by means of the purchase of the entities Coby Business Inc. and Artigas Global Corp, both Panamanian companies whose only asset are their shares of Credicorp Capital Colombia S.A. The total amount of the purchase was US$28.3 million (equivalent to S/96.1 millon), of which Credicorp Capital Ltd. paid US$26.7 million in cash (which originated from Credicorp´s capital contribution), leaving a balance payable of US$1.6 million at December 31, 2016.</w:t>
      </w:r>
    </w:p>
    <w:p>
      <w:pPr>
        <w:spacing w:after="0" w:line="151" w:lineRule="exact"/>
        <w:rPr>
          <w:sz w:val="20"/>
          <w:szCs w:val="20"/>
          <w:color w:val="auto"/>
        </w:rPr>
      </w:pPr>
    </w:p>
    <w:p>
      <w:pPr>
        <w:ind w:left="283" w:right="40"/>
        <w:spacing w:after="0" w:line="261" w:lineRule="auto"/>
        <w:rPr>
          <w:sz w:val="20"/>
          <w:szCs w:val="20"/>
          <w:color w:val="auto"/>
        </w:rPr>
      </w:pPr>
      <w:r>
        <w:rPr>
          <w:rFonts w:ascii="Arial" w:cs="Arial" w:eastAsia="Arial" w:hAnsi="Arial"/>
          <w:sz w:val="16"/>
          <w:szCs w:val="16"/>
          <w:color w:val="auto"/>
        </w:rPr>
        <w:t>The total contribution of Credicorp Ltd. in Credicorp Capital Ltd. Group was US$120.1 million and with the financing taken by Credicorp Capital Holding Chile, all of the purchase options were exercised, resulting in the achievement of a 100 percent share in IM Trust and in Credicorp Capital Colombia S.A. In the same way, the process was concluded of establishing a regional investment bank which operates in the Integrated Latin American Market (MILA from Spanish acronym), involving the stock exchanges of Peru, Colombia and Chile.</w:t>
      </w:r>
    </w:p>
    <w:p>
      <w:pPr>
        <w:spacing w:after="0" w:line="167"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impacts of the operation on the financial statements of the Group are summarized below:</w:t>
      </w:r>
    </w:p>
    <w:p>
      <w:pPr>
        <w:spacing w:after="0" w:line="211" w:lineRule="exact"/>
        <w:rPr>
          <w:sz w:val="20"/>
          <w:szCs w:val="20"/>
          <w:color w:val="auto"/>
        </w:rPr>
      </w:pPr>
    </w:p>
    <w:tbl>
      <w:tblPr>
        <w:tblLayout w:type="fixed"/>
        <w:tblInd w:w="283"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4"/>
              </w:rPr>
              <w:t>Companies acquired</w:t>
            </w:r>
          </w:p>
        </w:tc>
        <w:tc>
          <w:tcPr>
            <w:tcW w:w="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69"/>
        </w:trPr>
        <w:tc>
          <w:tcPr>
            <w:tcW w:w="4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3"/>
          </w:tcPr>
          <w:p>
            <w:pPr>
              <w:ind w:left="80"/>
              <w:spacing w:after="0" w:line="169" w:lineRule="exact"/>
              <w:rPr>
                <w:sz w:val="20"/>
                <w:szCs w:val="20"/>
                <w:color w:val="auto"/>
              </w:rPr>
            </w:pPr>
            <w:r>
              <w:rPr>
                <w:rFonts w:ascii="Arial" w:cs="Arial" w:eastAsia="Arial" w:hAnsi="Arial"/>
                <w:sz w:val="16"/>
                <w:szCs w:val="16"/>
                <w:b w:val="1"/>
                <w:bCs w:val="1"/>
                <w:color w:val="auto"/>
              </w:rPr>
              <w:t>Coby</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4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Arial" w:cs="Arial" w:eastAsia="Arial" w:hAnsi="Arial"/>
                <w:sz w:val="16"/>
                <w:szCs w:val="16"/>
                <w:b w:val="1"/>
                <w:bCs w:val="1"/>
                <w:color w:val="auto"/>
              </w:rPr>
              <w:t>Credicorp</w:t>
            </w: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Business Inc.</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496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Arial" w:cs="Arial" w:eastAsia="Arial" w:hAnsi="Arial"/>
                <w:sz w:val="16"/>
                <w:szCs w:val="16"/>
                <w:b w:val="1"/>
                <w:bCs w:val="1"/>
                <w:color w:val="auto"/>
              </w:rPr>
              <w:t>Inversiones</w:t>
            </w:r>
          </w:p>
        </w:tc>
        <w:tc>
          <w:tcPr>
            <w:tcW w:w="1500" w:type="dxa"/>
            <w:vAlign w:val="bottom"/>
            <w:gridSpan w:val="3"/>
          </w:tcPr>
          <w:p>
            <w:pPr>
              <w:ind w:left="60"/>
              <w:spacing w:after="0"/>
              <w:rPr>
                <w:sz w:val="20"/>
                <w:szCs w:val="20"/>
                <w:color w:val="auto"/>
              </w:rPr>
            </w:pPr>
            <w:r>
              <w:rPr>
                <w:rFonts w:ascii="Arial" w:cs="Arial" w:eastAsia="Arial" w:hAnsi="Arial"/>
                <w:sz w:val="16"/>
                <w:szCs w:val="16"/>
                <w:b w:val="1"/>
                <w:bCs w:val="1"/>
                <w:color w:val="auto"/>
              </w:rPr>
              <w:t>Capital</w:t>
            </w: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y Artigas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496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6"/>
                <w:szCs w:val="16"/>
                <w:b w:val="1"/>
                <w:bCs w:val="1"/>
                <w:color w:val="auto"/>
              </w:rPr>
              <w:t>IMT S.A.</w:t>
            </w:r>
          </w:p>
        </w:tc>
        <w:tc>
          <w:tcPr>
            <w:tcW w:w="1500" w:type="dxa"/>
            <w:vAlign w:val="bottom"/>
            <w:gridSpan w:val="3"/>
          </w:tcPr>
          <w:p>
            <w:pPr>
              <w:ind w:left="60"/>
              <w:spacing w:after="0"/>
              <w:rPr>
                <w:sz w:val="20"/>
                <w:szCs w:val="20"/>
                <w:color w:val="auto"/>
              </w:rPr>
            </w:pPr>
            <w:r>
              <w:rPr>
                <w:rFonts w:ascii="Arial" w:cs="Arial" w:eastAsia="Arial" w:hAnsi="Arial"/>
                <w:sz w:val="16"/>
                <w:szCs w:val="16"/>
                <w:b w:val="1"/>
                <w:bCs w:val="1"/>
                <w:color w:val="auto"/>
              </w:rPr>
              <w:t>Colombia S.A.</w:t>
            </w: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Global Corp.</w:t>
            </w:r>
          </w:p>
        </w:tc>
        <w:tc>
          <w:tcPr>
            <w:tcW w:w="142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r>
      <w:tr>
        <w:trPr>
          <w:trHeight w:val="186"/>
        </w:trPr>
        <w:tc>
          <w:tcPr>
            <w:tcW w:w="4960" w:type="dxa"/>
            <w:vAlign w:val="bottom"/>
          </w:tcPr>
          <w:p>
            <w:pPr>
              <w:spacing w:after="0"/>
              <w:rPr>
                <w:sz w:val="16"/>
                <w:szCs w:val="16"/>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6"/>
                <w:szCs w:val="16"/>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6"/>
                <w:szCs w:val="16"/>
                <w:color w:val="auto"/>
              </w:rPr>
            </w:pPr>
          </w:p>
        </w:tc>
      </w:tr>
      <w:tr>
        <w:trPr>
          <w:trHeight w:val="19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Assets and liabilities acquired / Non controlling interest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103,630</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69,482</w:t>
            </w: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43,261</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216,373</w:t>
            </w:r>
          </w:p>
        </w:tc>
      </w:tr>
      <w:tr>
        <w:trPr>
          <w:trHeight w:val="193"/>
        </w:trPr>
        <w:tc>
          <w:tcPr>
            <w:tcW w:w="4960" w:type="dxa"/>
            <w:vAlign w:val="bottom"/>
          </w:tcPr>
          <w:p>
            <w:pPr>
              <w:spacing w:after="0"/>
              <w:rPr>
                <w:sz w:val="20"/>
                <w:szCs w:val="20"/>
                <w:color w:val="auto"/>
              </w:rPr>
            </w:pPr>
            <w:r>
              <w:rPr>
                <w:rFonts w:ascii="Arial" w:cs="Arial" w:eastAsia="Arial" w:hAnsi="Arial"/>
                <w:sz w:val="16"/>
                <w:szCs w:val="16"/>
                <w:color w:val="auto"/>
              </w:rPr>
              <w:t>Payment made / execution of sale option</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(241,420)</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(152,379)</w:t>
            </w:r>
          </w:p>
        </w:tc>
        <w:tc>
          <w:tcPr>
            <w:tcW w:w="1600" w:type="dxa"/>
            <w:vAlign w:val="bottom"/>
            <w:gridSpan w:val="3"/>
          </w:tcPr>
          <w:p>
            <w:pPr>
              <w:jc w:val="right"/>
              <w:ind w:right="160"/>
              <w:spacing w:after="0"/>
              <w:rPr>
                <w:sz w:val="20"/>
                <w:szCs w:val="20"/>
                <w:color w:val="auto"/>
              </w:rPr>
            </w:pPr>
            <w:r>
              <w:rPr>
                <w:rFonts w:ascii="Arial" w:cs="Arial" w:eastAsia="Arial" w:hAnsi="Arial"/>
                <w:sz w:val="16"/>
                <w:szCs w:val="16"/>
                <w:color w:val="auto"/>
              </w:rPr>
              <w:t>(96,067)</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(489,866)</w:t>
            </w:r>
          </w:p>
        </w:tc>
      </w:tr>
      <w:tr>
        <w:trPr>
          <w:trHeight w:val="19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Effect on Retained Earnings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(137,790)</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(82,897)</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(52,806)</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(273,493)</w:t>
            </w:r>
          </w:p>
        </w:tc>
      </w:tr>
    </w:tbl>
    <w:p>
      <w:pPr>
        <w:spacing w:after="0" w:line="181" w:lineRule="exact"/>
        <w:rPr>
          <w:sz w:val="20"/>
          <w:szCs w:val="20"/>
          <w:color w:val="auto"/>
        </w:rPr>
      </w:pPr>
    </w:p>
    <w:p>
      <w:pPr>
        <w:ind w:left="283" w:hanging="283"/>
        <w:spacing w:after="0"/>
        <w:tabs>
          <w:tab w:leader="none" w:pos="283" w:val="left"/>
        </w:tabs>
        <w:numPr>
          <w:ilvl w:val="0"/>
          <w:numId w:val="8"/>
        </w:numPr>
        <w:rPr>
          <w:rFonts w:ascii="Arial" w:cs="Arial" w:eastAsia="Arial" w:hAnsi="Arial"/>
          <w:sz w:val="16"/>
          <w:szCs w:val="16"/>
          <w:color w:val="auto"/>
        </w:rPr>
      </w:pPr>
      <w:r>
        <w:rPr>
          <w:rFonts w:ascii="Arial" w:cs="Arial" w:eastAsia="Arial" w:hAnsi="Arial"/>
          <w:sz w:val="16"/>
          <w:szCs w:val="16"/>
          <w:color w:val="auto"/>
        </w:rPr>
        <w:t>Corporate reorganization of Inversiones Credicorp Bolivia in the Credicorp Group -</w:t>
      </w:r>
    </w:p>
    <w:p>
      <w:pPr>
        <w:spacing w:after="0" w:line="202" w:lineRule="exact"/>
        <w:rPr>
          <w:rFonts w:ascii="Arial" w:cs="Arial" w:eastAsia="Arial" w:hAnsi="Arial"/>
          <w:sz w:val="16"/>
          <w:szCs w:val="16"/>
          <w:color w:val="auto"/>
        </w:rPr>
      </w:pPr>
    </w:p>
    <w:p>
      <w:pPr>
        <w:ind w:left="283"/>
        <w:spacing w:after="0" w:line="266" w:lineRule="auto"/>
        <w:rPr>
          <w:rFonts w:ascii="Arial" w:cs="Arial" w:eastAsia="Arial" w:hAnsi="Arial"/>
          <w:sz w:val="16"/>
          <w:szCs w:val="16"/>
          <w:color w:val="auto"/>
        </w:rPr>
      </w:pPr>
      <w:r>
        <w:rPr>
          <w:rFonts w:ascii="Arial" w:cs="Arial" w:eastAsia="Arial" w:hAnsi="Arial"/>
          <w:sz w:val="16"/>
          <w:szCs w:val="16"/>
          <w:color w:val="auto"/>
        </w:rPr>
        <w:t>As part of the corporate reorganization of Grupo Credicorp, in a General Shareholders’ Meeting of Inversiones Credicorp Bolivia S.A. (hereinafter “ICBSA”), held on December 31, 2015, an increase in the share capital was approved in the form of a voluntary contribution of Grupo Crédito S.A. (hereinafter “Grupo Crédito”), a subsidiary of Credicorp S.A.) amounting to Bs. 1,134.5 million, equivalent to S/383.5 million, issuing in its favor 11,344,800 shares.</w:t>
      </w:r>
    </w:p>
    <w:p>
      <w:pPr>
        <w:spacing w:after="0" w:line="161" w:lineRule="exact"/>
        <w:rPr>
          <w:rFonts w:ascii="Arial" w:cs="Arial" w:eastAsia="Arial" w:hAnsi="Arial"/>
          <w:sz w:val="16"/>
          <w:szCs w:val="16"/>
          <w:color w:val="auto"/>
        </w:rPr>
      </w:pPr>
    </w:p>
    <w:p>
      <w:pPr>
        <w:ind w:left="283" w:right="220"/>
        <w:spacing w:after="0" w:line="280" w:lineRule="auto"/>
        <w:rPr>
          <w:rFonts w:ascii="Arial" w:cs="Arial" w:eastAsia="Arial" w:hAnsi="Arial"/>
          <w:sz w:val="16"/>
          <w:szCs w:val="16"/>
          <w:color w:val="auto"/>
        </w:rPr>
      </w:pPr>
      <w:r>
        <w:rPr>
          <w:rFonts w:ascii="Arial" w:cs="Arial" w:eastAsia="Arial" w:hAnsi="Arial"/>
          <w:sz w:val="16"/>
          <w:szCs w:val="16"/>
          <w:color w:val="auto"/>
        </w:rPr>
        <w:t>The contribution was made by Grupo Crédito on March 30, 2016, as a result of which BCP lost control of ICBSA, and Grupo Crédito is the new entity that has assumed control.</w:t>
      </w:r>
    </w:p>
    <w:p>
      <w:pPr>
        <w:spacing w:after="0" w:line="150" w:lineRule="exact"/>
        <w:rPr>
          <w:rFonts w:ascii="Arial" w:cs="Arial" w:eastAsia="Arial" w:hAnsi="Arial"/>
          <w:sz w:val="16"/>
          <w:szCs w:val="16"/>
          <w:color w:val="auto"/>
        </w:rPr>
      </w:pPr>
    </w:p>
    <w:p>
      <w:pPr>
        <w:ind w:left="283" w:hanging="283"/>
        <w:spacing w:after="0"/>
        <w:tabs>
          <w:tab w:leader="none" w:pos="283" w:val="left"/>
        </w:tabs>
        <w:numPr>
          <w:ilvl w:val="0"/>
          <w:numId w:val="8"/>
        </w:numPr>
        <w:rPr>
          <w:rFonts w:ascii="Arial" w:cs="Arial" w:eastAsia="Arial" w:hAnsi="Arial"/>
          <w:sz w:val="16"/>
          <w:szCs w:val="16"/>
          <w:color w:val="auto"/>
        </w:rPr>
      </w:pPr>
      <w:r>
        <w:rPr>
          <w:rFonts w:ascii="Arial" w:cs="Arial" w:eastAsia="Arial" w:hAnsi="Arial"/>
          <w:sz w:val="16"/>
          <w:szCs w:val="16"/>
          <w:color w:val="auto"/>
        </w:rPr>
        <w:t>Sale of shares of Banco de Crédito de Bolivia -</w:t>
      </w:r>
    </w:p>
    <w:p>
      <w:pPr>
        <w:spacing w:after="0" w:line="202" w:lineRule="exact"/>
        <w:rPr>
          <w:rFonts w:ascii="Arial" w:cs="Arial" w:eastAsia="Arial" w:hAnsi="Arial"/>
          <w:sz w:val="16"/>
          <w:szCs w:val="16"/>
          <w:color w:val="auto"/>
        </w:rPr>
      </w:pPr>
    </w:p>
    <w:p>
      <w:pPr>
        <w:ind w:left="283"/>
        <w:spacing w:after="0" w:line="280" w:lineRule="auto"/>
        <w:rPr>
          <w:rFonts w:ascii="Arial" w:cs="Arial" w:eastAsia="Arial" w:hAnsi="Arial"/>
          <w:sz w:val="16"/>
          <w:szCs w:val="16"/>
          <w:color w:val="auto"/>
        </w:rPr>
      </w:pPr>
      <w:r>
        <w:rPr>
          <w:rFonts w:ascii="Arial" w:cs="Arial" w:eastAsia="Arial" w:hAnsi="Arial"/>
          <w:sz w:val="16"/>
          <w:szCs w:val="16"/>
          <w:color w:val="auto"/>
        </w:rPr>
        <w:t>The Executive Committee of the Board of Directors of BCP, in its meeting held on December 30, 2015, approved the sale of all of the shares (14,121 units) which it held of Banco de Crédito de Bolivia (hereinafter “BCB”) to ICBSA. Both companies form part of Grupo Credicorp.</w:t>
      </w:r>
    </w:p>
    <w:p>
      <w:pPr>
        <w:spacing w:after="0" w:line="344" w:lineRule="exact"/>
        <w:rPr>
          <w:rFonts w:ascii="Arial" w:cs="Arial" w:eastAsia="Arial" w:hAnsi="Arial"/>
          <w:sz w:val="16"/>
          <w:szCs w:val="16"/>
          <w:color w:val="auto"/>
        </w:rPr>
      </w:pPr>
    </w:p>
    <w:p>
      <w:pPr>
        <w:ind w:left="5643" w:hanging="94"/>
        <w:spacing w:after="0"/>
        <w:tabs>
          <w:tab w:leader="none" w:pos="5643" w:val="left"/>
        </w:tabs>
        <w:numPr>
          <w:ilvl w:val="1"/>
          <w:numId w:val="8"/>
        </w:numPr>
        <w:rPr>
          <w:rFonts w:ascii="Arial" w:cs="Arial" w:eastAsia="Arial" w:hAnsi="Arial"/>
          <w:sz w:val="16"/>
          <w:szCs w:val="16"/>
          <w:color w:val="auto"/>
        </w:rPr>
      </w:pPr>
      <w:r>
        <w:rPr>
          <w:rFonts w:ascii="Arial" w:cs="Arial" w:eastAsia="Arial" w:hAnsi="Arial"/>
          <w:sz w:val="16"/>
          <w:szCs w:val="16"/>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63"/>
          </w:cols>
          <w:pgMar w:left="237" w:top="828" w:right="299" w:bottom="1440" w:gutter="0" w:footer="0" w:header="0"/>
        </w:sectPr>
      </w:pPr>
    </w:p>
    <w:bookmarkStart w:id="22" w:name="page23"/>
    <w:bookmarkEnd w:id="22"/>
    <w:p>
      <w:pPr>
        <w:ind w:left="283" w:right="540"/>
        <w:spacing w:after="0" w:line="280" w:lineRule="auto"/>
        <w:rPr>
          <w:sz w:val="20"/>
          <w:szCs w:val="20"/>
          <w:color w:val="auto"/>
        </w:rPr>
      </w:pPr>
      <w:r>
        <w:rPr>
          <w:rFonts w:ascii="Arial" w:cs="Arial" w:eastAsia="Arial" w:hAnsi="Arial"/>
          <w:sz w:val="16"/>
          <w:szCs w:val="16"/>
          <w:color w:val="auto"/>
        </w:rPr>
        <w:t>It is worth mentioning that at December 31, 2015, said transaction was not recognized as an “asset classified as held-for-sale”, since it did not comply with all of the requirements of IFRS 5 “Non-current assets held for sale and discontinued operations” and it did not have the regulator’s approval.</w:t>
      </w:r>
    </w:p>
    <w:p>
      <w:pPr>
        <w:spacing w:after="0" w:line="151" w:lineRule="exact"/>
        <w:rPr>
          <w:sz w:val="20"/>
          <w:szCs w:val="20"/>
          <w:color w:val="auto"/>
        </w:rPr>
      </w:pPr>
    </w:p>
    <w:p>
      <w:pPr>
        <w:ind w:left="283" w:right="20"/>
        <w:spacing w:after="0" w:line="266" w:lineRule="auto"/>
        <w:rPr>
          <w:sz w:val="20"/>
          <w:szCs w:val="20"/>
          <w:color w:val="auto"/>
        </w:rPr>
      </w:pPr>
      <w:r>
        <w:rPr>
          <w:rFonts w:ascii="Arial" w:cs="Arial" w:eastAsia="Arial" w:hAnsi="Arial"/>
          <w:sz w:val="16"/>
          <w:szCs w:val="16"/>
          <w:color w:val="auto"/>
        </w:rPr>
        <w:t>Furthermore, in a General Shareholders’ Meeting of BCB held on March 10, 2016, the capitalization of reserves was approved for an amount of Bs. 607.5 million, equivalent to S/307.4 million, increasing proportionally the shareholding of all of the shareholders. As a result of the capitalization, BCP received 29,116 shares, obtaining a total holding of 43,237 shares.</w:t>
      </w:r>
    </w:p>
    <w:p>
      <w:pPr>
        <w:spacing w:after="0" w:line="162" w:lineRule="exact"/>
        <w:rPr>
          <w:sz w:val="20"/>
          <w:szCs w:val="20"/>
          <w:color w:val="auto"/>
        </w:rPr>
      </w:pPr>
    </w:p>
    <w:p>
      <w:pPr>
        <w:jc w:val="both"/>
        <w:ind w:left="283" w:right="40"/>
        <w:spacing w:after="0" w:line="266" w:lineRule="auto"/>
        <w:rPr>
          <w:sz w:val="20"/>
          <w:szCs w:val="20"/>
          <w:color w:val="auto"/>
        </w:rPr>
      </w:pPr>
      <w:r>
        <w:rPr>
          <w:rFonts w:ascii="Arial" w:cs="Arial" w:eastAsia="Arial" w:hAnsi="Arial"/>
          <w:sz w:val="16"/>
          <w:szCs w:val="16"/>
          <w:color w:val="auto"/>
        </w:rPr>
        <w:t>The share sale operation by BCP was authorized by the Supervisory Authority of the Financial System (ASFI from the Spanish acronym) of Bolivia on May 12, 2016, after which, BCP carried out the sale of all of its shares at that date (43,237 shares) in favor of ICBSA, through the Bolivian Stock Exchange, at a price of Bs. 25,811.0 per share, representing a total amount of Bs.1,116.0 million, equivalent to S/541.1 million.</w:t>
      </w:r>
    </w:p>
    <w:p>
      <w:pPr>
        <w:spacing w:after="0" w:line="162" w:lineRule="exact"/>
        <w:rPr>
          <w:sz w:val="20"/>
          <w:szCs w:val="20"/>
          <w:color w:val="auto"/>
        </w:rPr>
      </w:pPr>
    </w:p>
    <w:p>
      <w:pPr>
        <w:ind w:left="283"/>
        <w:spacing w:after="0"/>
        <w:rPr>
          <w:sz w:val="20"/>
          <w:szCs w:val="20"/>
          <w:color w:val="auto"/>
        </w:rPr>
      </w:pPr>
      <w:r>
        <w:rPr>
          <w:rFonts w:ascii="Arial" w:cs="Arial" w:eastAsia="Arial" w:hAnsi="Arial"/>
          <w:sz w:val="16"/>
          <w:szCs w:val="16"/>
          <w:color w:val="auto"/>
        </w:rPr>
        <w:t>As a result of the sale of shares, ICBSA became the new entity which assumed control over BCB.</w:t>
      </w:r>
    </w:p>
    <w:p>
      <w:pPr>
        <w:spacing w:after="0" w:line="203" w:lineRule="exact"/>
        <w:rPr>
          <w:sz w:val="20"/>
          <w:szCs w:val="20"/>
          <w:color w:val="auto"/>
        </w:rPr>
      </w:pPr>
    </w:p>
    <w:p>
      <w:pPr>
        <w:ind w:left="283" w:hanging="283"/>
        <w:spacing w:after="0"/>
        <w:tabs>
          <w:tab w:leader="none" w:pos="283" w:val="left"/>
        </w:tabs>
        <w:numPr>
          <w:ilvl w:val="0"/>
          <w:numId w:val="9"/>
        </w:numPr>
        <w:rPr>
          <w:rFonts w:ascii="Arial" w:cs="Arial" w:eastAsia="Arial" w:hAnsi="Arial"/>
          <w:sz w:val="16"/>
          <w:szCs w:val="16"/>
          <w:color w:val="auto"/>
        </w:rPr>
      </w:pPr>
      <w:r>
        <w:rPr>
          <w:rFonts w:ascii="Arial" w:cs="Arial" w:eastAsia="Arial" w:hAnsi="Arial"/>
          <w:sz w:val="16"/>
          <w:szCs w:val="16"/>
          <w:color w:val="auto"/>
        </w:rPr>
        <w:t>Acquisition of Mibanco and subsequent merger by absorption with Financiera Edyficar -</w:t>
      </w:r>
    </w:p>
    <w:p>
      <w:pPr>
        <w:spacing w:after="0" w:line="202" w:lineRule="exact"/>
        <w:rPr>
          <w:rFonts w:ascii="Arial" w:cs="Arial" w:eastAsia="Arial" w:hAnsi="Arial"/>
          <w:sz w:val="16"/>
          <w:szCs w:val="16"/>
          <w:color w:val="auto"/>
        </w:rPr>
      </w:pPr>
    </w:p>
    <w:p>
      <w:pPr>
        <w:ind w:left="583" w:right="120" w:hanging="293"/>
        <w:spacing w:after="0" w:line="284" w:lineRule="auto"/>
        <w:tabs>
          <w:tab w:leader="none" w:pos="583" w:val="left"/>
        </w:tabs>
        <w:numPr>
          <w:ilvl w:val="1"/>
          <w:numId w:val="9"/>
        </w:numPr>
        <w:rPr>
          <w:rFonts w:ascii="Arial" w:cs="Arial" w:eastAsia="Arial" w:hAnsi="Arial"/>
          <w:sz w:val="15"/>
          <w:szCs w:val="15"/>
          <w:color w:val="auto"/>
        </w:rPr>
      </w:pPr>
      <w:r>
        <w:rPr>
          <w:rFonts w:ascii="Arial" w:cs="Arial" w:eastAsia="Arial" w:hAnsi="Arial"/>
          <w:sz w:val="15"/>
          <w:szCs w:val="15"/>
          <w:color w:val="auto"/>
        </w:rPr>
        <w:t>On February 8, 2014, Credicorp through its subsidiary Empresa Financiera Edyficar S.A. (hereinafter “Edyficar”) signed an agreement with Grupo ACP Corp. S.A.A. to acquire the 60.68 percent of the share capital of Mibanco, Banco de la Microempresa S.A. (hereinafter “Mibanco”), a banking entity in Peru oriented towards the sector of micro and small companies, for a total amount of US$179.5 million (approximately equivalent to S/504.8 million) paid in cash. This transaction was completed after obtaining all of the authorizations and approvals on March 20, 2014, the effective date of the purchase and payment.</w:t>
      </w:r>
    </w:p>
    <w:p>
      <w:pPr>
        <w:spacing w:after="0" w:line="150" w:lineRule="exact"/>
        <w:rPr>
          <w:rFonts w:ascii="Arial" w:cs="Arial" w:eastAsia="Arial" w:hAnsi="Arial"/>
          <w:sz w:val="15"/>
          <w:szCs w:val="15"/>
          <w:color w:val="auto"/>
        </w:rPr>
      </w:pPr>
    </w:p>
    <w:p>
      <w:pPr>
        <w:ind w:left="583"/>
        <w:spacing w:after="0" w:line="261" w:lineRule="auto"/>
        <w:rPr>
          <w:rFonts w:ascii="Arial" w:cs="Arial" w:eastAsia="Arial" w:hAnsi="Arial"/>
          <w:sz w:val="15"/>
          <w:szCs w:val="15"/>
          <w:color w:val="auto"/>
        </w:rPr>
      </w:pPr>
      <w:r>
        <w:rPr>
          <w:rFonts w:ascii="Arial" w:cs="Arial" w:eastAsia="Arial" w:hAnsi="Arial"/>
          <w:sz w:val="16"/>
          <w:szCs w:val="16"/>
          <w:color w:val="auto"/>
        </w:rPr>
        <w:t>Additionally, as part of the initial acquisition, on April 8, 2014, Credicorp through its subsidiaries Grupo Crédito S.A. and Edyficar acquired 5.00 percent and 1.50 percent of the share capital of Mibanco, for approximately S/41.6 million and S/12.5 million, respectively, from International Finance Corporation (hereinafter “IFC”), a minority shareholder of Mibanco, at the same terms and conditions of the initial transaction as a result of a tag along right executed by IFC included in a shareholders’ agreement with Grupo ACP.</w:t>
      </w:r>
    </w:p>
    <w:p>
      <w:pPr>
        <w:spacing w:after="0" w:line="166" w:lineRule="exact"/>
        <w:rPr>
          <w:rFonts w:ascii="Arial" w:cs="Arial" w:eastAsia="Arial" w:hAnsi="Arial"/>
          <w:sz w:val="15"/>
          <w:szCs w:val="15"/>
          <w:color w:val="auto"/>
        </w:rPr>
      </w:pPr>
    </w:p>
    <w:p>
      <w:pPr>
        <w:ind w:left="583"/>
        <w:spacing w:after="0" w:line="266" w:lineRule="auto"/>
        <w:rPr>
          <w:rFonts w:ascii="Arial" w:cs="Arial" w:eastAsia="Arial" w:hAnsi="Arial"/>
          <w:sz w:val="15"/>
          <w:szCs w:val="15"/>
          <w:color w:val="auto"/>
        </w:rPr>
      </w:pPr>
      <w:r>
        <w:rPr>
          <w:rFonts w:ascii="Arial" w:cs="Arial" w:eastAsia="Arial" w:hAnsi="Arial"/>
          <w:sz w:val="16"/>
          <w:szCs w:val="16"/>
          <w:color w:val="auto"/>
        </w:rPr>
        <w:t>The acquisition of Mibanco was recorded using the purchase method, in accordance with IFRS 3, “Business Combinations”, applicable at the date of the transaction. Assets and liabilities were recorded at their estimated fair values at the acquisition dates, including the identified intangible assets unrecorded in Mibanco’s statement of financial position.</w:t>
      </w:r>
    </w:p>
    <w:p>
      <w:pPr>
        <w:spacing w:after="0" w:line="161" w:lineRule="exact"/>
        <w:rPr>
          <w:rFonts w:ascii="Arial" w:cs="Arial" w:eastAsia="Arial" w:hAnsi="Arial"/>
          <w:sz w:val="15"/>
          <w:szCs w:val="15"/>
          <w:color w:val="auto"/>
        </w:rPr>
      </w:pPr>
    </w:p>
    <w:p>
      <w:pPr>
        <w:ind w:left="583"/>
        <w:spacing w:after="0"/>
        <w:rPr>
          <w:rFonts w:ascii="Arial" w:cs="Arial" w:eastAsia="Arial" w:hAnsi="Arial"/>
          <w:sz w:val="15"/>
          <w:szCs w:val="15"/>
          <w:color w:val="auto"/>
        </w:rPr>
      </w:pPr>
      <w:r>
        <w:rPr>
          <w:rFonts w:ascii="Arial" w:cs="Arial" w:eastAsia="Arial" w:hAnsi="Arial"/>
          <w:sz w:val="16"/>
          <w:szCs w:val="16"/>
          <w:color w:val="auto"/>
        </w:rPr>
        <w:t>Acquisition costs incurred for approximately S/1.0 million were recorded in “Administrative expenses” of the consolidated statement of income.</w:t>
      </w:r>
    </w:p>
    <w:p>
      <w:pPr>
        <w:spacing w:after="0" w:line="202" w:lineRule="exact"/>
        <w:rPr>
          <w:rFonts w:ascii="Arial" w:cs="Arial" w:eastAsia="Arial" w:hAnsi="Arial"/>
          <w:sz w:val="15"/>
          <w:szCs w:val="15"/>
          <w:color w:val="auto"/>
        </w:rPr>
      </w:pPr>
    </w:p>
    <w:p>
      <w:pPr>
        <w:ind w:left="583" w:right="380"/>
        <w:spacing w:after="0" w:line="280" w:lineRule="auto"/>
        <w:rPr>
          <w:rFonts w:ascii="Arial" w:cs="Arial" w:eastAsia="Arial" w:hAnsi="Arial"/>
          <w:sz w:val="15"/>
          <w:szCs w:val="15"/>
          <w:color w:val="auto"/>
        </w:rPr>
      </w:pPr>
      <w:r>
        <w:rPr>
          <w:rFonts w:ascii="Arial" w:cs="Arial" w:eastAsia="Arial" w:hAnsi="Arial"/>
          <w:sz w:val="16"/>
          <w:szCs w:val="16"/>
          <w:color w:val="auto"/>
        </w:rPr>
        <w:t>The Group has elected to measure the non-controlling interest in Mibanco at fair value; which has been estimated by applying an international valuation technique (discounted cash flows).</w:t>
      </w:r>
    </w:p>
    <w:p>
      <w:pPr>
        <w:spacing w:after="0" w:line="150" w:lineRule="exact"/>
        <w:rPr>
          <w:rFonts w:ascii="Arial" w:cs="Arial" w:eastAsia="Arial" w:hAnsi="Arial"/>
          <w:sz w:val="15"/>
          <w:szCs w:val="15"/>
          <w:color w:val="auto"/>
        </w:rPr>
      </w:pPr>
    </w:p>
    <w:p>
      <w:pPr>
        <w:ind w:left="583" w:right="240"/>
        <w:spacing w:after="0" w:line="280" w:lineRule="auto"/>
        <w:rPr>
          <w:rFonts w:ascii="Arial" w:cs="Arial" w:eastAsia="Arial" w:hAnsi="Arial"/>
          <w:sz w:val="15"/>
          <w:szCs w:val="15"/>
          <w:color w:val="auto"/>
        </w:rPr>
      </w:pPr>
      <w:r>
        <w:rPr>
          <w:rFonts w:ascii="Arial" w:cs="Arial" w:eastAsia="Arial" w:hAnsi="Arial"/>
          <w:sz w:val="16"/>
          <w:szCs w:val="16"/>
          <w:color w:val="auto"/>
        </w:rPr>
        <w:t>Furthermore, in accordance with the acquisition strategy and in compliance with the legal requirements established in the Peruvian stock market, Credicorp, through Edyficar, carried out the following additional purchases of the share capital of Mibanco, paid in cash:</w:t>
      </w:r>
    </w:p>
    <w:p>
      <w:pPr>
        <w:spacing w:after="0" w:line="150" w:lineRule="exact"/>
        <w:rPr>
          <w:rFonts w:ascii="Arial" w:cs="Arial" w:eastAsia="Arial" w:hAnsi="Arial"/>
          <w:sz w:val="15"/>
          <w:szCs w:val="15"/>
          <w:color w:val="auto"/>
        </w:rPr>
      </w:pPr>
    </w:p>
    <w:p>
      <w:pPr>
        <w:ind w:left="863" w:hanging="283"/>
        <w:spacing w:after="0"/>
        <w:tabs>
          <w:tab w:leader="none" w:pos="863" w:val="left"/>
        </w:tabs>
        <w:numPr>
          <w:ilvl w:val="2"/>
          <w:numId w:val="9"/>
        </w:numPr>
        <w:rPr>
          <w:rFonts w:ascii="Arial" w:cs="Arial" w:eastAsia="Arial" w:hAnsi="Arial"/>
          <w:sz w:val="16"/>
          <w:szCs w:val="16"/>
          <w:color w:val="auto"/>
        </w:rPr>
      </w:pPr>
      <w:r>
        <w:rPr>
          <w:rFonts w:ascii="Arial" w:cs="Arial" w:eastAsia="Arial" w:hAnsi="Arial"/>
          <w:sz w:val="16"/>
          <w:szCs w:val="16"/>
          <w:color w:val="auto"/>
        </w:rPr>
        <w:t>In July of 2014, it acquired 18.56 percent for approximately S/153.6 million</w:t>
      </w:r>
    </w:p>
    <w:p>
      <w:pPr>
        <w:spacing w:after="0" w:line="21" w:lineRule="exact"/>
        <w:rPr>
          <w:rFonts w:ascii="Arial" w:cs="Arial" w:eastAsia="Arial" w:hAnsi="Arial"/>
          <w:sz w:val="16"/>
          <w:szCs w:val="16"/>
          <w:color w:val="auto"/>
        </w:rPr>
      </w:pPr>
    </w:p>
    <w:p>
      <w:pPr>
        <w:ind w:left="863" w:hanging="283"/>
        <w:spacing w:after="0"/>
        <w:tabs>
          <w:tab w:leader="none" w:pos="863" w:val="left"/>
        </w:tabs>
        <w:numPr>
          <w:ilvl w:val="2"/>
          <w:numId w:val="9"/>
        </w:numPr>
        <w:rPr>
          <w:rFonts w:ascii="Arial" w:cs="Arial" w:eastAsia="Arial" w:hAnsi="Arial"/>
          <w:sz w:val="16"/>
          <w:szCs w:val="16"/>
          <w:color w:val="auto"/>
        </w:rPr>
      </w:pPr>
      <w:r>
        <w:rPr>
          <w:rFonts w:ascii="Arial" w:cs="Arial" w:eastAsia="Arial" w:hAnsi="Arial"/>
          <w:sz w:val="16"/>
          <w:szCs w:val="16"/>
          <w:color w:val="auto"/>
        </w:rPr>
        <w:t>In September of 2014, it acquired 1.19 percent for approximately S/10 million</w:t>
      </w:r>
    </w:p>
    <w:p>
      <w:pPr>
        <w:spacing w:after="0" w:line="191" w:lineRule="exact"/>
        <w:rPr>
          <w:sz w:val="20"/>
          <w:szCs w:val="20"/>
          <w:color w:val="auto"/>
        </w:rPr>
      </w:pPr>
    </w:p>
    <w:p>
      <w:pPr>
        <w:ind w:left="583" w:right="120"/>
        <w:spacing w:after="0" w:line="280" w:lineRule="auto"/>
        <w:rPr>
          <w:sz w:val="20"/>
          <w:szCs w:val="20"/>
          <w:color w:val="auto"/>
        </w:rPr>
      </w:pPr>
      <w:r>
        <w:rPr>
          <w:rFonts w:ascii="Arial" w:cs="Arial" w:eastAsia="Arial" w:hAnsi="Arial"/>
          <w:sz w:val="16"/>
          <w:szCs w:val="16"/>
          <w:color w:val="auto"/>
        </w:rPr>
        <w:t>These acquisitions of non-controlling interest carried out in July and September of 2014 were recorded as an equity transaction. Taking into account said purchases, at December 31, 2014, Credicorp held 86.93 percent of the share capital of Mibanco, paying approximately S/722.5 million.</w:t>
      </w:r>
    </w:p>
    <w:p>
      <w:pPr>
        <w:spacing w:after="0" w:line="344"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8" w:right="239" w:bottom="1440" w:gutter="0" w:footer="0" w:header="0"/>
        </w:sectPr>
      </w:pPr>
    </w:p>
    <w:bookmarkStart w:id="23" w:name="page24"/>
    <w:bookmarkEnd w:id="23"/>
    <w:p>
      <w:pPr>
        <w:jc w:val="both"/>
        <w:ind w:left="583"/>
        <w:spacing w:after="0" w:line="266" w:lineRule="auto"/>
        <w:rPr>
          <w:sz w:val="20"/>
          <w:szCs w:val="20"/>
          <w:color w:val="auto"/>
        </w:rPr>
      </w:pPr>
      <w:r>
        <w:rPr>
          <w:rFonts w:ascii="Arial" w:cs="Arial" w:eastAsia="Arial" w:hAnsi="Arial"/>
          <w:sz w:val="16"/>
          <w:szCs w:val="16"/>
          <w:color w:val="auto"/>
        </w:rPr>
        <w:t>From the effective acquisition date (March 20, 2014) until December 31, 2014, the contribution of Mibanco in interest and similar yields totaled approximately S/675.7 million. If the combination had taken place at the start of the year, the interest and similar yields of the Group would have risen to approximately S/8,868.1 million (an increase of S/289.4 million).</w:t>
      </w:r>
    </w:p>
    <w:p>
      <w:pPr>
        <w:spacing w:after="0" w:line="162" w:lineRule="exact"/>
        <w:rPr>
          <w:sz w:val="20"/>
          <w:szCs w:val="20"/>
          <w:color w:val="auto"/>
        </w:rPr>
      </w:pPr>
    </w:p>
    <w:p>
      <w:pPr>
        <w:ind w:left="583"/>
        <w:spacing w:after="0"/>
        <w:rPr>
          <w:sz w:val="20"/>
          <w:szCs w:val="20"/>
          <w:color w:val="auto"/>
        </w:rPr>
      </w:pPr>
      <w:r>
        <w:rPr>
          <w:rFonts w:ascii="Arial" w:cs="Arial" w:eastAsia="Arial" w:hAnsi="Arial"/>
          <w:sz w:val="16"/>
          <w:szCs w:val="16"/>
          <w:color w:val="auto"/>
        </w:rPr>
        <w:t>For the year 2014, the pre-tax profit of Mibanco is insignificant for the Group’s consolidated financial statements.</w:t>
      </w:r>
    </w:p>
    <w:p>
      <w:pPr>
        <w:spacing w:after="0" w:line="203" w:lineRule="exact"/>
        <w:rPr>
          <w:sz w:val="20"/>
          <w:szCs w:val="20"/>
          <w:color w:val="auto"/>
        </w:rPr>
      </w:pPr>
    </w:p>
    <w:p>
      <w:pPr>
        <w:ind w:left="583" w:right="360" w:hanging="293"/>
        <w:spacing w:after="0" w:line="354" w:lineRule="auto"/>
        <w:tabs>
          <w:tab w:leader="none" w:pos="583" w:val="left"/>
        </w:tabs>
        <w:numPr>
          <w:ilvl w:val="1"/>
          <w:numId w:val="10"/>
        </w:numPr>
        <w:rPr>
          <w:rFonts w:ascii="Arial" w:cs="Arial" w:eastAsia="Arial" w:hAnsi="Arial"/>
          <w:sz w:val="14"/>
          <w:szCs w:val="14"/>
          <w:color w:val="auto"/>
        </w:rPr>
      </w:pPr>
      <w:r>
        <w:rPr>
          <w:rFonts w:ascii="Arial" w:cs="Arial" w:eastAsia="Arial" w:hAnsi="Arial"/>
          <w:sz w:val="14"/>
          <w:szCs w:val="14"/>
          <w:color w:val="auto"/>
        </w:rPr>
        <w:t>On March 2, 2015 the merger between Mibanco as acquiring entity and Edyficar as acquired entity was made effective. This merger incorporated at the carrying amount, all the assets and liabilities of Edyficar except for operating licenses, mortgages loans of Mivivienda and cash, which continued to be owned by Edyficar.</w:t>
      </w:r>
    </w:p>
    <w:p>
      <w:pPr>
        <w:spacing w:after="0" w:line="105" w:lineRule="exact"/>
        <w:rPr>
          <w:rFonts w:ascii="Arial" w:cs="Arial" w:eastAsia="Arial" w:hAnsi="Arial"/>
          <w:sz w:val="14"/>
          <w:szCs w:val="14"/>
          <w:color w:val="auto"/>
        </w:rPr>
      </w:pPr>
    </w:p>
    <w:p>
      <w:pPr>
        <w:ind w:left="583" w:right="80"/>
        <w:spacing w:after="0" w:line="280" w:lineRule="auto"/>
        <w:rPr>
          <w:rFonts w:ascii="Arial" w:cs="Arial" w:eastAsia="Arial" w:hAnsi="Arial"/>
          <w:sz w:val="14"/>
          <w:szCs w:val="14"/>
          <w:color w:val="auto"/>
        </w:rPr>
      </w:pPr>
      <w:r>
        <w:rPr>
          <w:rFonts w:ascii="Arial" w:cs="Arial" w:eastAsia="Arial" w:hAnsi="Arial"/>
          <w:sz w:val="16"/>
          <w:szCs w:val="16"/>
          <w:color w:val="auto"/>
        </w:rPr>
        <w:t>Subsequently in April of 2015, the credit portfolio of Mivivienda was sold to BCP. In the same way, the license has been retired, without generating any impact on the Financial Statements.</w:t>
      </w:r>
    </w:p>
    <w:p>
      <w:pPr>
        <w:spacing w:after="0" w:line="150" w:lineRule="exact"/>
        <w:rPr>
          <w:rFonts w:ascii="Arial" w:cs="Arial" w:eastAsia="Arial" w:hAnsi="Arial"/>
          <w:sz w:val="14"/>
          <w:szCs w:val="14"/>
          <w:color w:val="auto"/>
        </w:rPr>
      </w:pPr>
    </w:p>
    <w:p>
      <w:pPr>
        <w:ind w:left="583" w:right="360"/>
        <w:spacing w:after="0" w:line="280" w:lineRule="auto"/>
        <w:rPr>
          <w:rFonts w:ascii="Arial" w:cs="Arial" w:eastAsia="Arial" w:hAnsi="Arial"/>
          <w:sz w:val="14"/>
          <w:szCs w:val="14"/>
          <w:color w:val="auto"/>
        </w:rPr>
      </w:pPr>
      <w:r>
        <w:rPr>
          <w:rFonts w:ascii="Arial" w:cs="Arial" w:eastAsia="Arial" w:hAnsi="Arial"/>
          <w:sz w:val="16"/>
          <w:szCs w:val="16"/>
          <w:color w:val="auto"/>
        </w:rPr>
        <w:t>As a result of this merger, and as a result of the exchange of shares at fair value, BCP holds a direct interest of 93.598 percent in the new merged entity and Grupo Crédito holds 1.757 percent.</w:t>
      </w:r>
    </w:p>
    <w:p>
      <w:pPr>
        <w:spacing w:after="0" w:line="150" w:lineRule="exact"/>
        <w:rPr>
          <w:rFonts w:ascii="Arial" w:cs="Arial" w:eastAsia="Arial" w:hAnsi="Arial"/>
          <w:sz w:val="14"/>
          <w:szCs w:val="14"/>
          <w:color w:val="auto"/>
        </w:rPr>
      </w:pPr>
    </w:p>
    <w:p>
      <w:pPr>
        <w:ind w:left="283" w:hanging="283"/>
        <w:spacing w:after="0"/>
        <w:tabs>
          <w:tab w:leader="none" w:pos="2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Agreement between El Pacífico Peruano Suiza and Banmédica -</w:t>
      </w:r>
    </w:p>
    <w:p>
      <w:pPr>
        <w:spacing w:after="0" w:line="202" w:lineRule="exact"/>
        <w:rPr>
          <w:rFonts w:ascii="Arial" w:cs="Arial" w:eastAsia="Arial" w:hAnsi="Arial"/>
          <w:sz w:val="16"/>
          <w:szCs w:val="16"/>
          <w:color w:val="auto"/>
        </w:rPr>
      </w:pPr>
    </w:p>
    <w:p>
      <w:pPr>
        <w:ind w:left="283" w:right="100"/>
        <w:spacing w:after="0" w:line="261" w:lineRule="auto"/>
        <w:rPr>
          <w:rFonts w:ascii="Arial" w:cs="Arial" w:eastAsia="Arial" w:hAnsi="Arial"/>
          <w:sz w:val="16"/>
          <w:szCs w:val="16"/>
          <w:color w:val="auto"/>
        </w:rPr>
      </w:pPr>
      <w:r>
        <w:rPr>
          <w:rFonts w:ascii="Arial" w:cs="Arial" w:eastAsia="Arial" w:hAnsi="Arial"/>
          <w:sz w:val="16"/>
          <w:szCs w:val="16"/>
          <w:color w:val="auto"/>
        </w:rPr>
        <w:t>On December 30, 2014, Credicorp, through its subsidiary El Pacífico Peruano Suiza Compañía de Seguros y Reaseguros (hereinafter “PPS”) signed an agreement with Banmédica S.A. (hereinafter “Banmédica”) to jointly develop a health care business in Peru, including: medical insurance services, health insurance and health care plans. Based on this agreement, Credicorp lost control of its subsidiary Pacífico EPS, which became an associate. This agreement came into effect on January 1, 2015. See Note 13.</w:t>
      </w:r>
    </w:p>
    <w:p>
      <w:pPr>
        <w:spacing w:after="0" w:line="166"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5"/>
          <w:szCs w:val="15"/>
          <w:color w:val="auto"/>
        </w:rPr>
        <w:t>This transfer resulted, during the year 2015, in a profit of S/99.0 million which is recognized in “Net gain on sale of securities” in the consolidated statement of income.</w:t>
      </w:r>
    </w:p>
    <w:p>
      <w:pPr>
        <w:spacing w:after="0" w:line="210" w:lineRule="exact"/>
        <w:rPr>
          <w:sz w:val="20"/>
          <w:szCs w:val="20"/>
          <w:color w:val="auto"/>
        </w:rPr>
      </w:pPr>
    </w:p>
    <w:p>
      <w:pPr>
        <w:ind w:left="583" w:hanging="583"/>
        <w:spacing w:after="0"/>
        <w:tabs>
          <w:tab w:leader="none" w:pos="583"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w:t>
      </w:r>
    </w:p>
    <w:p>
      <w:pPr>
        <w:spacing w:after="0" w:line="207"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significant accounting principles applied in the preparation of Credicorp’s consolidated financial statements are set out below:</w:t>
      </w:r>
    </w:p>
    <w:p>
      <w:pPr>
        <w:spacing w:after="0" w:line="203" w:lineRule="exact"/>
        <w:rPr>
          <w:sz w:val="20"/>
          <w:szCs w:val="20"/>
          <w:color w:val="auto"/>
        </w:rPr>
      </w:pPr>
    </w:p>
    <w:p>
      <w:pPr>
        <w:ind w:left="283" w:hanging="283"/>
        <w:spacing w:after="0"/>
        <w:tabs>
          <w:tab w:leader="none" w:pos="283"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Basis of presentation and use of estimates -</w:t>
      </w:r>
    </w:p>
    <w:p>
      <w:pPr>
        <w:spacing w:after="0" w:line="202" w:lineRule="exact"/>
        <w:rPr>
          <w:rFonts w:ascii="Arial" w:cs="Arial" w:eastAsia="Arial" w:hAnsi="Arial"/>
          <w:sz w:val="16"/>
          <w:szCs w:val="16"/>
          <w:color w:val="auto"/>
        </w:rPr>
      </w:pPr>
    </w:p>
    <w:p>
      <w:pPr>
        <w:ind w:left="283" w:right="720"/>
        <w:spacing w:after="0" w:line="280" w:lineRule="auto"/>
        <w:rPr>
          <w:rFonts w:ascii="Arial" w:cs="Arial" w:eastAsia="Arial" w:hAnsi="Arial"/>
          <w:sz w:val="16"/>
          <w:szCs w:val="16"/>
          <w:color w:val="auto"/>
        </w:rPr>
      </w:pPr>
      <w:r>
        <w:rPr>
          <w:rFonts w:ascii="Arial" w:cs="Arial" w:eastAsia="Arial" w:hAnsi="Arial"/>
          <w:sz w:val="16"/>
          <w:szCs w:val="16"/>
          <w:color w:val="auto"/>
        </w:rPr>
        <w:t>The accompanying consolidated financial statements have been prepared in accordance with International Financial Reporting Standards (IFRS) as issued by the International Accounting Standards Board (IASB).</w:t>
      </w:r>
    </w:p>
    <w:p>
      <w:pPr>
        <w:spacing w:after="0" w:line="150" w:lineRule="exact"/>
        <w:rPr>
          <w:rFonts w:ascii="Arial" w:cs="Arial" w:eastAsia="Arial" w:hAnsi="Arial"/>
          <w:sz w:val="16"/>
          <w:szCs w:val="16"/>
          <w:color w:val="auto"/>
        </w:rPr>
      </w:pPr>
    </w:p>
    <w:p>
      <w:pPr>
        <w:ind w:left="283" w:right="20"/>
        <w:spacing w:after="0" w:line="266" w:lineRule="auto"/>
        <w:rPr>
          <w:rFonts w:ascii="Arial" w:cs="Arial" w:eastAsia="Arial" w:hAnsi="Arial"/>
          <w:sz w:val="16"/>
          <w:szCs w:val="16"/>
          <w:color w:val="auto"/>
        </w:rPr>
      </w:pPr>
      <w:r>
        <w:rPr>
          <w:rFonts w:ascii="Arial" w:cs="Arial" w:eastAsia="Arial" w:hAnsi="Arial"/>
          <w:sz w:val="16"/>
          <w:szCs w:val="16"/>
          <w:color w:val="auto"/>
        </w:rPr>
        <w:t>The accompanying consolidated financial statements have been prepared on a historical cost basis, except for trading securities, available-for-sale investments, derivative financial instruments, share-based payments, bonds and notes associated with fair value hedges, sale options over non-controlling interests, financial assets and liabilities at fair value through profit or loss that have been measured at fair value.</w:t>
      </w:r>
    </w:p>
    <w:p>
      <w:pPr>
        <w:spacing w:after="0" w:line="161" w:lineRule="exact"/>
        <w:rPr>
          <w:rFonts w:ascii="Arial" w:cs="Arial" w:eastAsia="Arial" w:hAnsi="Arial"/>
          <w:sz w:val="16"/>
          <w:szCs w:val="16"/>
          <w:color w:val="auto"/>
        </w:rPr>
      </w:pPr>
    </w:p>
    <w:p>
      <w:pPr>
        <w:ind w:left="283" w:right="520"/>
        <w:spacing w:after="0" w:line="280" w:lineRule="auto"/>
        <w:rPr>
          <w:rFonts w:ascii="Arial" w:cs="Arial" w:eastAsia="Arial" w:hAnsi="Arial"/>
          <w:sz w:val="16"/>
          <w:szCs w:val="16"/>
          <w:color w:val="auto"/>
        </w:rPr>
      </w:pPr>
      <w:r>
        <w:rPr>
          <w:rFonts w:ascii="Arial" w:cs="Arial" w:eastAsia="Arial" w:hAnsi="Arial"/>
          <w:sz w:val="16"/>
          <w:szCs w:val="16"/>
          <w:color w:val="auto"/>
        </w:rPr>
        <w:t>The consolidated financial statements are presented in Peruvian Soles (S/), see paragraph (c) below, and values are rounded to the nearest S/thousands, except when otherwise indicated.</w:t>
      </w:r>
    </w:p>
    <w:p>
      <w:pPr>
        <w:spacing w:after="0" w:line="150" w:lineRule="exact"/>
        <w:rPr>
          <w:rFonts w:ascii="Arial" w:cs="Arial" w:eastAsia="Arial" w:hAnsi="Arial"/>
          <w:sz w:val="16"/>
          <w:szCs w:val="16"/>
          <w:color w:val="auto"/>
        </w:rPr>
      </w:pPr>
    </w:p>
    <w:p>
      <w:pPr>
        <w:ind w:left="283" w:right="20"/>
        <w:spacing w:after="0" w:line="266" w:lineRule="auto"/>
        <w:rPr>
          <w:rFonts w:ascii="Arial" w:cs="Arial" w:eastAsia="Arial" w:hAnsi="Arial"/>
          <w:sz w:val="16"/>
          <w:szCs w:val="16"/>
          <w:color w:val="auto"/>
        </w:rPr>
      </w:pPr>
      <w:r>
        <w:rPr>
          <w:rFonts w:ascii="Arial" w:cs="Arial" w:eastAsia="Arial" w:hAnsi="Arial"/>
          <w:sz w:val="16"/>
          <w:szCs w:val="16"/>
          <w:color w:val="auto"/>
        </w:rPr>
        <w:t>The preparation of the consolidated financial statements in accordance with IFRS requires Management to make estimates and assumptions that affect the reported amounts of assets, liabilities, revenues and expenses and the disclosure of significant events in notes to the consolidated financial statements, because actual results may differ from those determined in accordance with said estimates and assumptions.</w:t>
      </w:r>
    </w:p>
    <w:p>
      <w:pPr>
        <w:spacing w:after="0" w:line="355" w:lineRule="exact"/>
        <w:rPr>
          <w:rFonts w:ascii="Arial" w:cs="Arial" w:eastAsia="Arial" w:hAnsi="Arial"/>
          <w:sz w:val="16"/>
          <w:szCs w:val="16"/>
          <w:color w:val="auto"/>
        </w:rPr>
      </w:pPr>
    </w:p>
    <w:p>
      <w:pPr>
        <w:ind w:left="5643" w:hanging="94"/>
        <w:spacing w:after="0"/>
        <w:tabs>
          <w:tab w:leader="none" w:pos="5643" w:val="left"/>
        </w:tabs>
        <w:numPr>
          <w:ilvl w:val="1"/>
          <w:numId w:val="13"/>
        </w:numPr>
        <w:rPr>
          <w:rFonts w:ascii="Arial" w:cs="Arial" w:eastAsia="Arial" w:hAnsi="Arial"/>
          <w:sz w:val="16"/>
          <w:szCs w:val="16"/>
          <w:color w:val="auto"/>
        </w:rPr>
      </w:pPr>
      <w:r>
        <w:rPr>
          <w:rFonts w:ascii="Arial" w:cs="Arial" w:eastAsia="Arial" w:hAnsi="Arial"/>
          <w:sz w:val="16"/>
          <w:szCs w:val="16"/>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83"/>
          </w:cols>
          <w:pgMar w:left="237" w:top="828" w:right="279" w:bottom="1440" w:gutter="0" w:footer="0" w:header="0"/>
        </w:sectPr>
      </w:pPr>
    </w:p>
    <w:bookmarkStart w:id="24" w:name="page25"/>
    <w:bookmarkEnd w:id="24"/>
    <w:p>
      <w:pPr>
        <w:ind w:right="200"/>
        <w:spacing w:after="0" w:line="266" w:lineRule="auto"/>
        <w:rPr>
          <w:sz w:val="20"/>
          <w:szCs w:val="20"/>
          <w:color w:val="auto"/>
        </w:rPr>
      </w:pPr>
      <w:r>
        <w:rPr>
          <w:rFonts w:ascii="Arial" w:cs="Arial" w:eastAsia="Arial" w:hAnsi="Arial"/>
          <w:sz w:val="16"/>
          <w:szCs w:val="16"/>
          <w:color w:val="auto"/>
        </w:rPr>
        <w:t>Estimates and judgments are continually evaluated and are based on historical experience and other factors, including expectations of future events that are believed to be reasonable under the current circumstances. The final results could differ from said estimates; however, management expects that the variations, if any, will not have a material impact on the consolidated financial statements.</w:t>
      </w:r>
    </w:p>
    <w:p>
      <w:pPr>
        <w:spacing w:after="0" w:line="162" w:lineRule="exact"/>
        <w:rPr>
          <w:sz w:val="20"/>
          <w:szCs w:val="20"/>
          <w:color w:val="auto"/>
        </w:rPr>
      </w:pPr>
    </w:p>
    <w:p>
      <w:pPr>
        <w:ind w:right="280"/>
        <w:spacing w:after="0" w:line="310" w:lineRule="auto"/>
        <w:rPr>
          <w:sz w:val="20"/>
          <w:szCs w:val="20"/>
          <w:color w:val="auto"/>
        </w:rPr>
      </w:pPr>
      <w:r>
        <w:rPr>
          <w:rFonts w:ascii="Arial" w:cs="Arial" w:eastAsia="Arial" w:hAnsi="Arial"/>
          <w:sz w:val="14"/>
          <w:szCs w:val="14"/>
          <w:color w:val="auto"/>
        </w:rPr>
        <w:t>The most significant estimates included in the accompanying consolidated financial statements are related to allowance for loan losses, the valuation of investments, the technical reserves for claims and premiums, goodwill impairment, the measurement of the share-based payment transactions and the valuation of derivative financial instruments. Furthermore, other estimates exist, such as the liabilities for put options held by non-controlling interest in subsidiaries, estimated useful life of intangible assets, property, furniture and equipment and the deferred tax assets and liabilities. The accounting criteria used for said estimates are described below.</w:t>
      </w:r>
    </w:p>
    <w:p>
      <w:pPr>
        <w:spacing w:after="0" w:line="135"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The accounting policies adopted are consistent with those of the previous years, except that the Group has adopted the new revised IFRS and IAS which are mandatory for the periods beginning on or after January 1, 2016, as described below:</w:t>
      </w:r>
    </w:p>
    <w:p>
      <w:pPr>
        <w:spacing w:after="0" w:line="151"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IAS 1 “Presentation of financial statements” Disclosure initiatives -</w:t>
      </w:r>
    </w:p>
    <w:p>
      <w:pPr>
        <w:spacing w:after="0" w:line="203" w:lineRule="exact"/>
        <w:rPr>
          <w:sz w:val="20"/>
          <w:szCs w:val="20"/>
          <w:color w:val="auto"/>
        </w:rPr>
      </w:pPr>
    </w:p>
    <w:p>
      <w:pPr>
        <w:ind w:left="300" w:right="20"/>
        <w:spacing w:after="0" w:line="259" w:lineRule="auto"/>
        <w:rPr>
          <w:sz w:val="20"/>
          <w:szCs w:val="20"/>
          <w:color w:val="auto"/>
        </w:rPr>
      </w:pPr>
      <w:r>
        <w:rPr>
          <w:rFonts w:ascii="Arial" w:cs="Arial" w:eastAsia="Arial" w:hAnsi="Arial"/>
          <w:sz w:val="16"/>
          <w:szCs w:val="16"/>
          <w:color w:val="auto"/>
        </w:rPr>
        <w:t>The amendments clarify the materiality requirements of IAS 1 indicating the following (i) certain items of the consolidated statement of income, the consolidated statement of comprehensive income and the consolidated statement of financial position may be broken down (ii) entities have flexibility to choose the order of presentation of the notes to their consolidated financial statements, and (iii) the participation of the associates and joint ventures recorded in the consolidated statement of comprehensive income by the equity participation method must be presented in only two lines grouping together the items which are recycled and not recycled in the consolidated statement of comprehensive income.</w:t>
      </w:r>
    </w:p>
    <w:p>
      <w:pPr>
        <w:spacing w:after="0" w:line="168" w:lineRule="exact"/>
        <w:rPr>
          <w:sz w:val="20"/>
          <w:szCs w:val="20"/>
          <w:color w:val="auto"/>
        </w:rPr>
      </w:pPr>
    </w:p>
    <w:p>
      <w:pPr>
        <w:ind w:left="300" w:hanging="293"/>
        <w:spacing w:after="0"/>
        <w:tabs>
          <w:tab w:leader="none" w:pos="3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Amendments to IAS 16 “Property, plant and equipment” and IAS 38 “Intangible Assets”. Clarification of the acceptable methods of depreciation and amortization.</w:t>
      </w:r>
    </w:p>
    <w:p>
      <w:pPr>
        <w:spacing w:after="0" w:line="214" w:lineRule="exact"/>
        <w:rPr>
          <w:rFonts w:ascii="Arial" w:cs="Arial" w:eastAsia="Arial" w:hAnsi="Arial"/>
          <w:sz w:val="15"/>
          <w:szCs w:val="15"/>
          <w:color w:val="auto"/>
        </w:rPr>
      </w:pPr>
    </w:p>
    <w:p>
      <w:pPr>
        <w:ind w:left="300" w:right="360"/>
        <w:spacing w:after="0" w:line="280" w:lineRule="auto"/>
        <w:rPr>
          <w:rFonts w:ascii="Arial" w:cs="Arial" w:eastAsia="Arial" w:hAnsi="Arial"/>
          <w:sz w:val="15"/>
          <w:szCs w:val="15"/>
          <w:color w:val="auto"/>
        </w:rPr>
      </w:pPr>
      <w:r>
        <w:rPr>
          <w:rFonts w:ascii="Arial" w:cs="Arial" w:eastAsia="Arial" w:hAnsi="Arial"/>
          <w:sz w:val="16"/>
          <w:szCs w:val="16"/>
          <w:color w:val="auto"/>
        </w:rPr>
        <w:t>The amendments clarify that an income-based method of depreciation or amortization is generally inappropriate. The IASB has amended IAS 16 to clarify that the income-based method should not be used to calculate the depreciation of items of property, plant and equipment.</w:t>
      </w:r>
    </w:p>
    <w:p>
      <w:pPr>
        <w:spacing w:after="0" w:line="150" w:lineRule="exact"/>
        <w:rPr>
          <w:rFonts w:ascii="Arial" w:cs="Arial" w:eastAsia="Arial" w:hAnsi="Arial"/>
          <w:sz w:val="15"/>
          <w:szCs w:val="15"/>
          <w:color w:val="auto"/>
        </w:rPr>
      </w:pPr>
    </w:p>
    <w:p>
      <w:pPr>
        <w:ind w:left="300"/>
        <w:spacing w:after="0" w:line="266" w:lineRule="auto"/>
        <w:rPr>
          <w:rFonts w:ascii="Arial" w:cs="Arial" w:eastAsia="Arial" w:hAnsi="Arial"/>
          <w:sz w:val="15"/>
          <w:szCs w:val="15"/>
          <w:color w:val="auto"/>
        </w:rPr>
      </w:pPr>
      <w:r>
        <w:rPr>
          <w:rFonts w:ascii="Arial" w:cs="Arial" w:eastAsia="Arial" w:hAnsi="Arial"/>
          <w:sz w:val="16"/>
          <w:szCs w:val="16"/>
          <w:color w:val="auto"/>
        </w:rPr>
        <w:t>IAS 38 now includes the assumption that income-based amortization of intangible assets is inappropriate. This assumption can be refuted if (i) the intangible asset has been expressed as income (i.e. if the measurement of income is the limiting factor on the value that may be derived from the asset or (ii) it can be shown that the income and the use of the economic benefits generated by the asset are totally related.</w:t>
      </w:r>
    </w:p>
    <w:p>
      <w:pPr>
        <w:spacing w:after="0" w:line="161" w:lineRule="exact"/>
        <w:rPr>
          <w:rFonts w:ascii="Arial" w:cs="Arial" w:eastAsia="Arial" w:hAnsi="Arial"/>
          <w:sz w:val="15"/>
          <w:szCs w:val="15"/>
          <w:color w:val="auto"/>
        </w:rPr>
      </w:pPr>
    </w:p>
    <w:p>
      <w:pPr>
        <w:ind w:left="300" w:right="280" w:hanging="293"/>
        <w:spacing w:after="0" w:line="280" w:lineRule="auto"/>
        <w:tabs>
          <w:tab w:leader="none" w:pos="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Modifications to IFRS 10 “Consolidated financial statements”, IFRS 12 “Disclosure of Interests in Other Entities” and IAS 28 “Investments in Associates and Joint Ventures” Investment entities. Application of the exception of consolidation.</w:t>
      </w:r>
    </w:p>
    <w:p>
      <w:pPr>
        <w:spacing w:after="0" w:line="150" w:lineRule="exact"/>
        <w:rPr>
          <w:rFonts w:ascii="Arial" w:cs="Arial" w:eastAsia="Arial" w:hAnsi="Arial"/>
          <w:sz w:val="16"/>
          <w:szCs w:val="16"/>
          <w:color w:val="auto"/>
        </w:rPr>
      </w:pPr>
    </w:p>
    <w:p>
      <w:pPr>
        <w:ind w:left="300" w:right="80"/>
        <w:spacing w:after="0" w:line="257" w:lineRule="auto"/>
        <w:rPr>
          <w:rFonts w:ascii="Arial" w:cs="Arial" w:eastAsia="Arial" w:hAnsi="Arial"/>
          <w:sz w:val="16"/>
          <w:szCs w:val="16"/>
          <w:color w:val="auto"/>
        </w:rPr>
      </w:pPr>
      <w:r>
        <w:rPr>
          <w:rFonts w:ascii="Arial" w:cs="Arial" w:eastAsia="Arial" w:hAnsi="Arial"/>
          <w:sz w:val="16"/>
          <w:szCs w:val="16"/>
          <w:color w:val="auto"/>
        </w:rPr>
        <w:t>The amendments made clarify the following issues: (i) the exception to the preparation of consolidated financial statements is also available to intermediate parent entities which are subsidiaries of investment entities, (ii) an investment entity must consolidate a subsidiary that is not an investment entity and of which the main purpose and activity is to provide support services for the activities of the investment entity, and (iii) the entities which are not investment entities but which have a participation in an associate or a joint venture which is an investment entity will apply the equity participation accounting method. The fair value measurement applied by the associated investment entity or joint venture may be retained or consolidation may be made at the level of the associate or joint venture, which would subsequently adjust the fair value measurement.</w:t>
      </w:r>
    </w:p>
    <w:p>
      <w:pPr>
        <w:spacing w:after="0" w:line="365" w:lineRule="exact"/>
        <w:rPr>
          <w:rFonts w:ascii="Arial" w:cs="Arial" w:eastAsia="Arial" w:hAnsi="Arial"/>
          <w:sz w:val="16"/>
          <w:szCs w:val="16"/>
          <w:color w:val="auto"/>
        </w:rPr>
      </w:pPr>
    </w:p>
    <w:p>
      <w:pPr>
        <w:ind w:left="5360" w:hanging="94"/>
        <w:spacing w:after="0"/>
        <w:tabs>
          <w:tab w:leader="none" w:pos="53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13970</wp:posOffset>
            </wp:positionV>
            <wp:extent cx="7261225" cy="762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40"/>
          </w:cols>
          <w:pgMar w:left="520" w:top="828" w:right="239" w:bottom="1440" w:gutter="0" w:footer="0" w:header="0"/>
        </w:sectPr>
      </w:pPr>
    </w:p>
    <w:bookmarkStart w:id="25" w:name="page26"/>
    <w:bookmarkEnd w:id="25"/>
    <w:p>
      <w:pPr>
        <w:ind w:left="583" w:hanging="293"/>
        <w:spacing w:after="0"/>
        <w:tabs>
          <w:tab w:leader="none" w:pos="5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Amendments to IFRS 11 “Joint Arrangements” Accounting treatment of the acquisition of participation in joint operations.</w:t>
      </w:r>
    </w:p>
    <w:p>
      <w:pPr>
        <w:spacing w:after="0" w:line="202" w:lineRule="exact"/>
        <w:rPr>
          <w:rFonts w:ascii="Arial" w:cs="Arial" w:eastAsia="Arial" w:hAnsi="Arial"/>
          <w:sz w:val="16"/>
          <w:szCs w:val="16"/>
          <w:color w:val="auto"/>
        </w:rPr>
      </w:pPr>
    </w:p>
    <w:p>
      <w:pPr>
        <w:ind w:left="583" w:right="620"/>
        <w:spacing w:after="0" w:line="280" w:lineRule="auto"/>
        <w:rPr>
          <w:rFonts w:ascii="Arial" w:cs="Arial" w:eastAsia="Arial" w:hAnsi="Arial"/>
          <w:sz w:val="16"/>
          <w:szCs w:val="16"/>
          <w:color w:val="auto"/>
        </w:rPr>
      </w:pPr>
      <w:r>
        <w:rPr>
          <w:rFonts w:ascii="Arial" w:cs="Arial" w:eastAsia="Arial" w:hAnsi="Arial"/>
          <w:sz w:val="16"/>
          <w:szCs w:val="16"/>
          <w:color w:val="auto"/>
        </w:rPr>
        <w:t>The amendments clarify the accounting treatment for the acquisition of a participation in a joint operation. These amendments require an investor to apply the accounting practice of business combinations.</w:t>
      </w:r>
    </w:p>
    <w:p>
      <w:pPr>
        <w:spacing w:after="0" w:line="150"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6"/>
          <w:szCs w:val="16"/>
          <w:color w:val="auto"/>
        </w:rPr>
        <w:t>This includes:</w:t>
      </w:r>
    </w:p>
    <w:p>
      <w:pPr>
        <w:spacing w:after="0" w:line="202" w:lineRule="exact"/>
        <w:rPr>
          <w:rFonts w:ascii="Arial" w:cs="Arial" w:eastAsia="Arial" w:hAnsi="Arial"/>
          <w:sz w:val="16"/>
          <w:szCs w:val="16"/>
          <w:color w:val="auto"/>
        </w:rPr>
      </w:pPr>
    </w:p>
    <w:p>
      <w:pPr>
        <w:ind w:left="863" w:hanging="283"/>
        <w:spacing w:after="0"/>
        <w:tabs>
          <w:tab w:leader="none" w:pos="863" w:val="left"/>
        </w:tabs>
        <w:numPr>
          <w:ilvl w:val="1"/>
          <w:numId w:val="15"/>
        </w:numPr>
        <w:rPr>
          <w:rFonts w:ascii="Arial" w:cs="Arial" w:eastAsia="Arial" w:hAnsi="Arial"/>
          <w:sz w:val="16"/>
          <w:szCs w:val="16"/>
          <w:color w:val="auto"/>
        </w:rPr>
      </w:pPr>
      <w:r>
        <w:rPr>
          <w:rFonts w:ascii="Arial" w:cs="Arial" w:eastAsia="Arial" w:hAnsi="Arial"/>
          <w:sz w:val="16"/>
          <w:szCs w:val="16"/>
          <w:color w:val="auto"/>
        </w:rPr>
        <w:t>Measurement of identifiable assets and liabilities at fair value</w:t>
      </w:r>
    </w:p>
    <w:p>
      <w:pPr>
        <w:spacing w:after="0" w:line="21" w:lineRule="exact"/>
        <w:rPr>
          <w:rFonts w:ascii="Arial" w:cs="Arial" w:eastAsia="Arial" w:hAnsi="Arial"/>
          <w:sz w:val="16"/>
          <w:szCs w:val="16"/>
          <w:color w:val="auto"/>
        </w:rPr>
      </w:pPr>
    </w:p>
    <w:p>
      <w:pPr>
        <w:ind w:left="863" w:hanging="283"/>
        <w:spacing w:after="0"/>
        <w:tabs>
          <w:tab w:leader="none" w:pos="863" w:val="left"/>
        </w:tabs>
        <w:numPr>
          <w:ilvl w:val="1"/>
          <w:numId w:val="15"/>
        </w:numPr>
        <w:rPr>
          <w:rFonts w:ascii="Arial" w:cs="Arial" w:eastAsia="Arial" w:hAnsi="Arial"/>
          <w:sz w:val="16"/>
          <w:szCs w:val="16"/>
          <w:color w:val="auto"/>
        </w:rPr>
      </w:pPr>
      <w:r>
        <w:rPr>
          <w:rFonts w:ascii="Arial" w:cs="Arial" w:eastAsia="Arial" w:hAnsi="Arial"/>
          <w:sz w:val="16"/>
          <w:szCs w:val="16"/>
          <w:color w:val="auto"/>
        </w:rPr>
        <w:t>recognition as expense of the costs related to the acquisition</w:t>
      </w:r>
    </w:p>
    <w:p>
      <w:pPr>
        <w:spacing w:after="0" w:line="9" w:lineRule="exact"/>
        <w:rPr>
          <w:rFonts w:ascii="Arial" w:cs="Arial" w:eastAsia="Arial" w:hAnsi="Arial"/>
          <w:sz w:val="16"/>
          <w:szCs w:val="16"/>
          <w:color w:val="auto"/>
        </w:rPr>
      </w:pPr>
    </w:p>
    <w:p>
      <w:pPr>
        <w:ind w:left="863" w:hanging="283"/>
        <w:spacing w:after="0"/>
        <w:tabs>
          <w:tab w:leader="none" w:pos="863" w:val="left"/>
        </w:tabs>
        <w:numPr>
          <w:ilvl w:val="1"/>
          <w:numId w:val="15"/>
        </w:numPr>
        <w:rPr>
          <w:rFonts w:ascii="Arial" w:cs="Arial" w:eastAsia="Arial" w:hAnsi="Arial"/>
          <w:sz w:val="16"/>
          <w:szCs w:val="16"/>
          <w:color w:val="auto"/>
        </w:rPr>
      </w:pPr>
      <w:r>
        <w:rPr>
          <w:rFonts w:ascii="Arial" w:cs="Arial" w:eastAsia="Arial" w:hAnsi="Arial"/>
          <w:sz w:val="16"/>
          <w:szCs w:val="16"/>
          <w:color w:val="auto"/>
        </w:rPr>
        <w:t>recognition of deferred taxes and</w:t>
      </w:r>
    </w:p>
    <w:p>
      <w:pPr>
        <w:spacing w:after="0" w:line="9" w:lineRule="exact"/>
        <w:rPr>
          <w:rFonts w:ascii="Arial" w:cs="Arial" w:eastAsia="Arial" w:hAnsi="Arial"/>
          <w:sz w:val="16"/>
          <w:szCs w:val="16"/>
          <w:color w:val="auto"/>
        </w:rPr>
      </w:pPr>
    </w:p>
    <w:p>
      <w:pPr>
        <w:ind w:left="863" w:hanging="283"/>
        <w:spacing w:after="0"/>
        <w:tabs>
          <w:tab w:leader="none" w:pos="863" w:val="left"/>
        </w:tabs>
        <w:numPr>
          <w:ilvl w:val="1"/>
          <w:numId w:val="15"/>
        </w:numPr>
        <w:rPr>
          <w:rFonts w:ascii="Arial" w:cs="Arial" w:eastAsia="Arial" w:hAnsi="Arial"/>
          <w:sz w:val="16"/>
          <w:szCs w:val="16"/>
          <w:color w:val="auto"/>
        </w:rPr>
      </w:pPr>
      <w:r>
        <w:rPr>
          <w:rFonts w:ascii="Arial" w:cs="Arial" w:eastAsia="Arial" w:hAnsi="Arial"/>
          <w:sz w:val="16"/>
          <w:szCs w:val="16"/>
          <w:color w:val="auto"/>
        </w:rPr>
        <w:t>recognition of the residual costs as goodwill and the annual evaluation of its possible impairment.</w:t>
      </w:r>
    </w:p>
    <w:p>
      <w:pPr>
        <w:spacing w:after="0" w:line="191" w:lineRule="exact"/>
        <w:rPr>
          <w:sz w:val="20"/>
          <w:szCs w:val="20"/>
          <w:color w:val="auto"/>
        </w:rPr>
      </w:pPr>
    </w:p>
    <w:p>
      <w:pPr>
        <w:ind w:left="583"/>
        <w:spacing w:after="0"/>
        <w:rPr>
          <w:sz w:val="20"/>
          <w:szCs w:val="20"/>
          <w:color w:val="auto"/>
        </w:rPr>
      </w:pPr>
      <w:r>
        <w:rPr>
          <w:rFonts w:ascii="Arial" w:cs="Arial" w:eastAsia="Arial" w:hAnsi="Arial"/>
          <w:sz w:val="15"/>
          <w:szCs w:val="15"/>
          <w:color w:val="auto"/>
        </w:rPr>
        <w:t>The existing participation in the joint operation is not re-measured at the time of acquisition of an additional participation, as long as joint control is maintained.</w:t>
      </w:r>
    </w:p>
    <w:p>
      <w:pPr>
        <w:spacing w:after="0" w:line="214" w:lineRule="exact"/>
        <w:rPr>
          <w:sz w:val="20"/>
          <w:szCs w:val="20"/>
          <w:color w:val="auto"/>
        </w:rPr>
      </w:pPr>
    </w:p>
    <w:p>
      <w:pPr>
        <w:ind w:left="583"/>
        <w:spacing w:after="0"/>
        <w:rPr>
          <w:sz w:val="20"/>
          <w:szCs w:val="20"/>
          <w:color w:val="auto"/>
        </w:rPr>
      </w:pPr>
      <w:r>
        <w:rPr>
          <w:rFonts w:ascii="Arial" w:cs="Arial" w:eastAsia="Arial" w:hAnsi="Arial"/>
          <w:sz w:val="16"/>
          <w:szCs w:val="16"/>
          <w:color w:val="auto"/>
        </w:rPr>
        <w:t>The amendments also apply when a joint venture is formed and an existing business is contributed.</w:t>
      </w:r>
    </w:p>
    <w:p>
      <w:pPr>
        <w:spacing w:after="0" w:line="203" w:lineRule="exact"/>
        <w:rPr>
          <w:sz w:val="20"/>
          <w:szCs w:val="20"/>
          <w:color w:val="auto"/>
        </w:rPr>
      </w:pPr>
    </w:p>
    <w:p>
      <w:pPr>
        <w:ind w:left="583" w:hanging="293"/>
        <w:spacing w:after="0"/>
        <w:tabs>
          <w:tab w:leader="none" w:pos="583"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Annual improvements to IFRS (cycle 2012-2014).</w:t>
      </w:r>
    </w:p>
    <w:p>
      <w:pPr>
        <w:spacing w:after="0" w:line="202" w:lineRule="exact"/>
        <w:rPr>
          <w:rFonts w:ascii="Arial" w:cs="Arial" w:eastAsia="Arial" w:hAnsi="Arial"/>
          <w:sz w:val="16"/>
          <w:szCs w:val="16"/>
          <w:color w:val="auto"/>
        </w:rPr>
      </w:pPr>
    </w:p>
    <w:p>
      <w:pPr>
        <w:ind w:left="583" w:right="320"/>
        <w:spacing w:after="0" w:line="280" w:lineRule="auto"/>
        <w:rPr>
          <w:rFonts w:ascii="Arial" w:cs="Arial" w:eastAsia="Arial" w:hAnsi="Arial"/>
          <w:sz w:val="16"/>
          <w:szCs w:val="16"/>
          <w:color w:val="auto"/>
        </w:rPr>
      </w:pPr>
      <w:r>
        <w:rPr>
          <w:rFonts w:ascii="Arial" w:cs="Arial" w:eastAsia="Arial" w:hAnsi="Arial"/>
          <w:sz w:val="16"/>
          <w:szCs w:val="16"/>
          <w:color w:val="auto"/>
        </w:rPr>
        <w:t>The IASB issued improvements to IFRS 5 “Non-current Assets Held for Sale and Discontinued Operations”, IFRS 7 “Financial Instruments: Disclosures”, IAS 19 “Employee Benefits” and IAS 34 “Interim Financial Reporting”</w:t>
      </w:r>
    </w:p>
    <w:p>
      <w:pPr>
        <w:spacing w:after="0" w:line="150" w:lineRule="exact"/>
        <w:rPr>
          <w:rFonts w:ascii="Arial" w:cs="Arial" w:eastAsia="Arial" w:hAnsi="Arial"/>
          <w:sz w:val="16"/>
          <w:szCs w:val="16"/>
          <w:color w:val="auto"/>
        </w:rPr>
      </w:pPr>
    </w:p>
    <w:p>
      <w:pPr>
        <w:ind w:left="583" w:right="200"/>
        <w:spacing w:after="0" w:line="280" w:lineRule="auto"/>
        <w:rPr>
          <w:rFonts w:ascii="Arial" w:cs="Arial" w:eastAsia="Arial" w:hAnsi="Arial"/>
          <w:sz w:val="16"/>
          <w:szCs w:val="16"/>
          <w:color w:val="auto"/>
        </w:rPr>
      </w:pPr>
      <w:r>
        <w:rPr>
          <w:rFonts w:ascii="Arial" w:cs="Arial" w:eastAsia="Arial" w:hAnsi="Arial"/>
          <w:sz w:val="16"/>
          <w:szCs w:val="16"/>
          <w:color w:val="auto"/>
        </w:rPr>
        <w:t>Due to the Group’s structure and operations, the adoption of the new and revised accounting standards did not have a significant impact on its consolidated financial position and results; therefore, it has not been necessary to modify the Group’s comparative consolidated financial statements.</w:t>
      </w:r>
    </w:p>
    <w:p>
      <w:pPr>
        <w:spacing w:after="0" w:line="150" w:lineRule="exact"/>
        <w:rPr>
          <w:rFonts w:ascii="Arial" w:cs="Arial" w:eastAsia="Arial" w:hAnsi="Arial"/>
          <w:sz w:val="16"/>
          <w:szCs w:val="16"/>
          <w:color w:val="auto"/>
        </w:rPr>
      </w:pPr>
    </w:p>
    <w:p>
      <w:pPr>
        <w:ind w:left="283" w:right="9320" w:hanging="283"/>
        <w:spacing w:after="0" w:line="576" w:lineRule="auto"/>
        <w:tabs>
          <w:tab w:leader="none" w:pos="283"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Basis of consolidation - Investment in subsidiaries -</w:t>
      </w:r>
    </w:p>
    <w:p>
      <w:pPr>
        <w:ind w:left="283"/>
        <w:spacing w:after="0"/>
        <w:rPr>
          <w:rFonts w:ascii="Arial" w:cs="Arial" w:eastAsia="Arial" w:hAnsi="Arial"/>
          <w:sz w:val="14"/>
          <w:szCs w:val="14"/>
          <w:color w:val="auto"/>
        </w:rPr>
      </w:pPr>
      <w:r>
        <w:rPr>
          <w:rFonts w:ascii="Arial" w:cs="Arial" w:eastAsia="Arial" w:hAnsi="Arial"/>
          <w:sz w:val="16"/>
          <w:szCs w:val="16"/>
          <w:color w:val="auto"/>
        </w:rPr>
        <w:t>The consolidated financial statements comprise the financial statements of Credicorp and its Subsidiaries for all the years presented.</w:t>
      </w:r>
    </w:p>
    <w:p>
      <w:pPr>
        <w:spacing w:after="0" w:line="202" w:lineRule="exact"/>
        <w:rPr>
          <w:rFonts w:ascii="Arial" w:cs="Arial" w:eastAsia="Arial" w:hAnsi="Arial"/>
          <w:sz w:val="14"/>
          <w:szCs w:val="14"/>
          <w:color w:val="auto"/>
        </w:rPr>
      </w:pPr>
    </w:p>
    <w:p>
      <w:pPr>
        <w:ind w:left="283" w:right="200"/>
        <w:spacing w:after="0" w:line="266" w:lineRule="auto"/>
        <w:rPr>
          <w:rFonts w:ascii="Arial" w:cs="Arial" w:eastAsia="Arial" w:hAnsi="Arial"/>
          <w:sz w:val="14"/>
          <w:szCs w:val="14"/>
          <w:color w:val="auto"/>
        </w:rPr>
      </w:pPr>
      <w:r>
        <w:rPr>
          <w:rFonts w:ascii="Arial" w:cs="Arial" w:eastAsia="Arial" w:hAnsi="Arial"/>
          <w:sz w:val="16"/>
          <w:szCs w:val="16"/>
          <w:color w:val="auto"/>
        </w:rPr>
        <w:t>Under IFRS 10 all entities over which the Group has control are subsidiaries. Control is achieved when the Group is exposed, or has rights, to variable returns from its involvement with the investee and has the ability to affect those returns through its power over the investee. Specifically, the Group controls an investee if and only if the Group has:</w:t>
      </w:r>
    </w:p>
    <w:p>
      <w:pPr>
        <w:spacing w:after="0" w:line="161" w:lineRule="exact"/>
        <w:rPr>
          <w:rFonts w:ascii="Arial" w:cs="Arial" w:eastAsia="Arial" w:hAnsi="Arial"/>
          <w:sz w:val="14"/>
          <w:szCs w:val="14"/>
          <w:color w:val="auto"/>
        </w:rPr>
      </w:pPr>
    </w:p>
    <w:p>
      <w:pPr>
        <w:ind w:left="583" w:hanging="293"/>
        <w:spacing w:after="0"/>
        <w:tabs>
          <w:tab w:leader="none" w:pos="583" w:val="left"/>
        </w:tabs>
        <w:numPr>
          <w:ilvl w:val="1"/>
          <w:numId w:val="16"/>
        </w:numPr>
        <w:rPr>
          <w:rFonts w:ascii="Arial" w:cs="Arial" w:eastAsia="Arial" w:hAnsi="Arial"/>
          <w:sz w:val="16"/>
          <w:szCs w:val="16"/>
          <w:color w:val="auto"/>
        </w:rPr>
      </w:pPr>
      <w:r>
        <w:rPr>
          <w:rFonts w:ascii="Arial" w:cs="Arial" w:eastAsia="Arial" w:hAnsi="Arial"/>
          <w:sz w:val="16"/>
          <w:szCs w:val="16"/>
          <w:color w:val="auto"/>
        </w:rPr>
        <w:t>Power over the investee (i.e. existing rights that give it the current ability to direct the relevant activities of the investee),</w:t>
      </w:r>
    </w:p>
    <w:p>
      <w:pPr>
        <w:spacing w:after="0" w:line="21" w:lineRule="exact"/>
        <w:rPr>
          <w:rFonts w:ascii="Arial" w:cs="Arial" w:eastAsia="Arial" w:hAnsi="Arial"/>
          <w:sz w:val="16"/>
          <w:szCs w:val="16"/>
          <w:color w:val="auto"/>
        </w:rPr>
      </w:pPr>
    </w:p>
    <w:p>
      <w:pPr>
        <w:ind w:left="583" w:hanging="293"/>
        <w:spacing w:after="0"/>
        <w:tabs>
          <w:tab w:leader="none" w:pos="583" w:val="left"/>
        </w:tabs>
        <w:numPr>
          <w:ilvl w:val="1"/>
          <w:numId w:val="16"/>
        </w:numPr>
        <w:rPr>
          <w:rFonts w:ascii="Arial" w:cs="Arial" w:eastAsia="Arial" w:hAnsi="Arial"/>
          <w:sz w:val="16"/>
          <w:szCs w:val="16"/>
          <w:color w:val="auto"/>
        </w:rPr>
      </w:pPr>
      <w:r>
        <w:rPr>
          <w:rFonts w:ascii="Arial" w:cs="Arial" w:eastAsia="Arial" w:hAnsi="Arial"/>
          <w:sz w:val="16"/>
          <w:szCs w:val="16"/>
          <w:color w:val="auto"/>
        </w:rPr>
        <w:t>Exposure, or rights, to variable returns from its involvement with the investee, and</w:t>
      </w:r>
    </w:p>
    <w:p>
      <w:pPr>
        <w:spacing w:after="0" w:line="9" w:lineRule="exact"/>
        <w:rPr>
          <w:rFonts w:ascii="Arial" w:cs="Arial" w:eastAsia="Arial" w:hAnsi="Arial"/>
          <w:sz w:val="16"/>
          <w:szCs w:val="16"/>
          <w:color w:val="auto"/>
        </w:rPr>
      </w:pPr>
    </w:p>
    <w:p>
      <w:pPr>
        <w:ind w:left="583" w:hanging="293"/>
        <w:spacing w:after="0"/>
        <w:tabs>
          <w:tab w:leader="none" w:pos="583"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ability to use its power over the investee to affect its returns.</w:t>
      </w:r>
    </w:p>
    <w:p>
      <w:pPr>
        <w:spacing w:after="0" w:line="191" w:lineRule="exact"/>
        <w:rPr>
          <w:sz w:val="20"/>
          <w:szCs w:val="20"/>
          <w:color w:val="auto"/>
        </w:rPr>
      </w:pPr>
    </w:p>
    <w:p>
      <w:pPr>
        <w:ind w:left="283"/>
        <w:spacing w:after="0" w:line="315" w:lineRule="auto"/>
        <w:rPr>
          <w:sz w:val="20"/>
          <w:szCs w:val="20"/>
          <w:color w:val="auto"/>
        </w:rPr>
      </w:pPr>
      <w:r>
        <w:rPr>
          <w:rFonts w:ascii="Arial" w:cs="Arial" w:eastAsia="Arial" w:hAnsi="Arial"/>
          <w:sz w:val="15"/>
          <w:szCs w:val="15"/>
          <w:color w:val="auto"/>
        </w:rPr>
        <w:t>Generally, there is a presumption that a majority of voting rights results in control. To support this presumption and when the Group has less than a majority of the voting or similar rights of an investee, the Group considers all relevant facts and circumstances in assessing whether it has power over an investee, including:</w:t>
      </w:r>
    </w:p>
    <w:p>
      <w:pPr>
        <w:spacing w:after="0" w:line="127" w:lineRule="exact"/>
        <w:rPr>
          <w:sz w:val="20"/>
          <w:szCs w:val="20"/>
          <w:color w:val="auto"/>
        </w:rPr>
      </w:pPr>
    </w:p>
    <w:p>
      <w:pPr>
        <w:ind w:left="583" w:hanging="293"/>
        <w:spacing w:after="0"/>
        <w:tabs>
          <w:tab w:leader="none" w:pos="5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contractual arrangement with the other vote holders of the investee,</w:t>
      </w:r>
    </w:p>
    <w:p>
      <w:pPr>
        <w:spacing w:after="0" w:line="21" w:lineRule="exact"/>
        <w:rPr>
          <w:rFonts w:ascii="Arial" w:cs="Arial" w:eastAsia="Arial" w:hAnsi="Arial"/>
          <w:sz w:val="16"/>
          <w:szCs w:val="16"/>
          <w:color w:val="auto"/>
        </w:rPr>
      </w:pPr>
    </w:p>
    <w:p>
      <w:pPr>
        <w:ind w:left="583" w:hanging="293"/>
        <w:spacing w:after="0"/>
        <w:tabs>
          <w:tab w:leader="none" w:pos="5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Rights arising from other contractual arrangements.</w:t>
      </w:r>
    </w:p>
    <w:p>
      <w:pPr>
        <w:spacing w:after="0" w:line="9" w:lineRule="exact"/>
        <w:rPr>
          <w:rFonts w:ascii="Arial" w:cs="Arial" w:eastAsia="Arial" w:hAnsi="Arial"/>
          <w:sz w:val="16"/>
          <w:szCs w:val="16"/>
          <w:color w:val="auto"/>
        </w:rPr>
      </w:pPr>
    </w:p>
    <w:p>
      <w:pPr>
        <w:ind w:left="583" w:hanging="293"/>
        <w:spacing w:after="0"/>
        <w:tabs>
          <w:tab w:leader="none" w:pos="5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Group’s voting rights and potential voting rights.</w:t>
      </w:r>
    </w:p>
    <w:p>
      <w:pPr>
        <w:spacing w:after="0" w:line="384"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83"/>
          </w:cols>
          <w:pgMar w:left="237" w:top="828" w:right="279" w:bottom="1440" w:gutter="0" w:footer="0" w:header="0"/>
        </w:sectPr>
      </w:pPr>
    </w:p>
    <w:bookmarkStart w:id="26" w:name="page27"/>
    <w:bookmarkEnd w:id="26"/>
    <w:p>
      <w:pPr>
        <w:ind w:right="480"/>
        <w:spacing w:after="0" w:line="266" w:lineRule="auto"/>
        <w:rPr>
          <w:sz w:val="20"/>
          <w:szCs w:val="20"/>
          <w:color w:val="auto"/>
        </w:rPr>
      </w:pPr>
      <w:r>
        <w:rPr>
          <w:rFonts w:ascii="Arial" w:cs="Arial" w:eastAsia="Arial" w:hAnsi="Arial"/>
          <w:sz w:val="16"/>
          <w:szCs w:val="16"/>
          <w:color w:val="auto"/>
        </w:rPr>
        <w:t>The Group assesses whether or not it controls an investee if facts and circumstances indicate that there are changes to one or more of the three elements of control. Consolidation of a subsidiary begins when the Group obtains control over the subsidiary and ceases when the Group loses control of the subsidiary. The consolidated financial statements include assets, liabilities, income and expenses of Credicorp and its subsidiaries.</w:t>
      </w:r>
    </w:p>
    <w:p>
      <w:pPr>
        <w:spacing w:after="0" w:line="162"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Profit or loss and each component of other comprehensive income (OCI) are attributed to the equity holders of the parent of the Group and to the non-controlling interest, even if this results in the non-controlling interest with a deficit balance. When necessary, adjustments are made to the financial statements of subsidiaries to bring their accounting policies into line with the Group’s accounting policies. All intra-group assets and liabilities, equity, income, expenses and cash flows relating to transactions between members of the Group are eliminated in full on consolidation.</w:t>
      </w:r>
    </w:p>
    <w:p>
      <w:pPr>
        <w:spacing w:after="0" w:line="167"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Assets in custody or managed by the Group, such as investment funds and private pension funds (AFP funds), are not part of the Group’s consolidated financial statements, note 3(ac).</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Transactions with non-controlling interest -</w:t>
      </w:r>
    </w:p>
    <w:p>
      <w:pPr>
        <w:spacing w:after="0" w:line="20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 change in the ownership interest of a subsidiary, without a loss of control, is accounted for as an equity transaction and any resulting difference between the price paid and the amount corresponding to non-controlling shareholders is recognized directly in the consolidated statement of changes in net equity.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Loss of control -</w:t>
      </w:r>
    </w:p>
    <w:p>
      <w:pPr>
        <w:spacing w:after="0" w:line="203" w:lineRule="exact"/>
        <w:rPr>
          <w:sz w:val="20"/>
          <w:szCs w:val="20"/>
          <w:color w:val="auto"/>
        </w:rPr>
      </w:pPr>
    </w:p>
    <w:p>
      <w:pPr>
        <w:ind w:right="120"/>
        <w:spacing w:after="0" w:line="315" w:lineRule="auto"/>
        <w:rPr>
          <w:sz w:val="20"/>
          <w:szCs w:val="20"/>
          <w:color w:val="auto"/>
        </w:rPr>
      </w:pPr>
      <w:r>
        <w:rPr>
          <w:rFonts w:ascii="Arial" w:cs="Arial" w:eastAsia="Arial" w:hAnsi="Arial"/>
          <w:sz w:val="15"/>
          <w:szCs w:val="15"/>
          <w:color w:val="auto"/>
        </w:rPr>
        <w:t>If the Group loses control over a subsidiary, it derecognizes the carrying amount of the related assets (including goodwill) and liabilities, non-controlling interest and other components of equity, while any resultant gain or loss is recognized in profit or loss. Any residual investment retained is recognized at fair value.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Investments in associates -</w:t>
      </w:r>
    </w:p>
    <w:p>
      <w:pPr>
        <w:spacing w:after="0" w:line="203"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An associate is an entity over which the Group has significant influence. Significant influence is the power to participate in the financial and operating policy decisions of the entity, but without exercising control over said policies.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considerations taken into account to determine significant influence are similar to those necessary to determine control over subsidiaries.</w:t>
      </w:r>
    </w:p>
    <w:p>
      <w:pPr>
        <w:spacing w:after="0" w:line="20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Group’s investments in its associates are recognized initially at cost and are subsequently accounted for using the equity method. They are included in “Other assets” in the consolidated statement of financial position; gains resulting from the use of the equity method of accounting are included in “Other income” of the consolidated statement of income.</w:t>
      </w:r>
    </w:p>
    <w:p>
      <w:pPr>
        <w:spacing w:after="0" w:line="35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13970</wp:posOffset>
            </wp:positionV>
            <wp:extent cx="7261225" cy="76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40"/>
          </w:cols>
          <w:pgMar w:left="520" w:top="828" w:right="23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auto"/>
        </w:rPr>
        <w:t>At December 31, 2016 and 2015, the following entities comprise the Group (the individual or consolidated figures of their financial statements are presented in accordance with</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IFRS and before eliminations for consolidation purposes, except for the elimination of Credicorp’s treasury shares and its related dividends):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w w:val="96"/>
              </w:rPr>
              <w:t>Activity and country of</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w w:val="93"/>
              </w:rPr>
              <w:t>Percentage of</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140" w:type="dxa"/>
            <w:vAlign w:val="bottom"/>
            <w:vMerge w:val="restart"/>
          </w:tcPr>
          <w:p>
            <w:pPr>
              <w:spacing w:after="0"/>
              <w:rPr>
                <w:sz w:val="20"/>
                <w:szCs w:val="20"/>
                <w:color w:val="auto"/>
              </w:rPr>
            </w:pPr>
            <w:r>
              <w:rPr>
                <w:rFonts w:ascii="Arial" w:cs="Arial" w:eastAsia="Arial" w:hAnsi="Arial"/>
                <w:sz w:val="13"/>
                <w:szCs w:val="13"/>
                <w:b w:val="1"/>
                <w:bCs w:val="1"/>
                <w:color w:val="auto"/>
              </w:rPr>
              <w:t>Entity</w:t>
            </w:r>
          </w:p>
        </w:tc>
        <w:tc>
          <w:tcPr>
            <w:tcW w:w="1460" w:type="dxa"/>
            <w:vAlign w:val="bottom"/>
            <w:gridSpan w:val="3"/>
            <w:vMerge w:val="continue"/>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w w:val="88"/>
              </w:rPr>
              <w:t>interest (direct</w:t>
            </w:r>
          </w:p>
        </w:tc>
        <w:tc>
          <w:tcPr>
            <w:tcW w:w="640" w:type="dxa"/>
            <w:vAlign w:val="bottom"/>
          </w:tcPr>
          <w:p>
            <w:pPr>
              <w:spacing w:after="0"/>
              <w:rPr>
                <w:sz w:val="11"/>
                <w:szCs w:val="11"/>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Assets</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Liabilities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spacing w:after="0"/>
              <w:rPr>
                <w:sz w:val="20"/>
                <w:szCs w:val="20"/>
                <w:color w:val="auto"/>
              </w:rPr>
            </w:pPr>
            <w:r>
              <w:rPr>
                <w:rFonts w:ascii="Arial" w:cs="Arial" w:eastAsia="Arial" w:hAnsi="Arial"/>
                <w:sz w:val="13"/>
                <w:szCs w:val="13"/>
                <w:b w:val="1"/>
                <w:bCs w:val="1"/>
                <w:color w:val="auto"/>
              </w:rPr>
              <w:t>Equity</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Net income (loss)</w:t>
            </w:r>
          </w:p>
        </w:tc>
        <w:tc>
          <w:tcPr>
            <w:tcW w:w="0" w:type="dxa"/>
            <w:vAlign w:val="bottom"/>
          </w:tcPr>
          <w:p>
            <w:pPr>
              <w:spacing w:after="0"/>
              <w:rPr>
                <w:sz w:val="1"/>
                <w:szCs w:val="1"/>
                <w:color w:val="auto"/>
              </w:rPr>
            </w:pPr>
          </w:p>
        </w:tc>
      </w:tr>
      <w:tr>
        <w:trPr>
          <w:trHeight w:val="153"/>
        </w:trPr>
        <w:tc>
          <w:tcPr>
            <w:tcW w:w="1140" w:type="dxa"/>
            <w:vAlign w:val="bottom"/>
            <w:vMerge w:val="continue"/>
          </w:tcPr>
          <w:p>
            <w:pPr>
              <w:spacing w:after="0"/>
              <w:rPr>
                <w:sz w:val="13"/>
                <w:szCs w:val="13"/>
                <w:color w:val="auto"/>
              </w:rPr>
            </w:pPr>
          </w:p>
        </w:tc>
        <w:tc>
          <w:tcPr>
            <w:tcW w:w="1460" w:type="dxa"/>
            <w:vAlign w:val="bottom"/>
            <w:gridSpan w:val="3"/>
          </w:tcPr>
          <w:p>
            <w:pPr>
              <w:ind w:left="80"/>
              <w:spacing w:after="0"/>
              <w:rPr>
                <w:sz w:val="20"/>
                <w:szCs w:val="20"/>
                <w:color w:val="auto"/>
              </w:rPr>
            </w:pPr>
            <w:r>
              <w:rPr>
                <w:rFonts w:ascii="Arial" w:cs="Arial" w:eastAsia="Arial" w:hAnsi="Arial"/>
                <w:sz w:val="13"/>
                <w:szCs w:val="13"/>
                <w:b w:val="1"/>
                <w:bCs w:val="1"/>
                <w:color w:val="auto"/>
              </w:rPr>
              <w:t>incorporation</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and indirect)</w:t>
            </w:r>
          </w:p>
        </w:tc>
        <w:tc>
          <w:tcPr>
            <w:tcW w:w="6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2016</w:t>
            </w: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1"/>
                <w:szCs w:val="11"/>
                <w:color w:val="auto"/>
              </w:rPr>
            </w:pPr>
          </w:p>
        </w:tc>
        <w:tc>
          <w:tcPr>
            <w:tcW w:w="74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2016</w:t>
            </w:r>
          </w:p>
        </w:tc>
        <w:tc>
          <w:tcPr>
            <w:tcW w:w="940" w:type="dxa"/>
            <w:vAlign w:val="bottom"/>
            <w:tcBorders>
              <w:top w:val="single" w:sz="8" w:color="auto"/>
            </w:tcBorders>
            <w:gridSpan w:val="2"/>
          </w:tcPr>
          <w:p>
            <w:pPr>
              <w:ind w:left="200"/>
              <w:spacing w:after="0" w:line="138" w:lineRule="exact"/>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1"/>
                <w:szCs w:val="11"/>
                <w:color w:val="auto"/>
              </w:rPr>
            </w:pPr>
          </w:p>
        </w:tc>
        <w:tc>
          <w:tcPr>
            <w:tcW w:w="74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2016</w:t>
            </w: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2016</w:t>
            </w:r>
          </w:p>
        </w:tc>
        <w:tc>
          <w:tcPr>
            <w:tcW w:w="880" w:type="dxa"/>
            <w:vAlign w:val="bottom"/>
            <w:tcBorders>
              <w:top w:val="single" w:sz="8" w:color="auto"/>
            </w:tcBorders>
            <w:gridSpan w:val="2"/>
          </w:tcPr>
          <w:p>
            <w:pPr>
              <w:ind w:left="200"/>
              <w:spacing w:after="0" w:line="138" w:lineRule="exact"/>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1"/>
                <w:szCs w:val="11"/>
                <w:color w:val="auto"/>
              </w:rPr>
            </w:pPr>
          </w:p>
        </w:tc>
        <w:tc>
          <w:tcPr>
            <w:tcW w:w="66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2016</w:t>
            </w: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119"/>
        </w:trPr>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1160" w:type="dxa"/>
            <w:vAlign w:val="bottom"/>
            <w:shd w:val="clear" w:color="auto" w:fill="CCEEFF"/>
          </w:tcPr>
          <w:p>
            <w:pPr>
              <w:spacing w:after="0" w:line="123" w:lineRule="exact"/>
              <w:rPr>
                <w:sz w:val="20"/>
                <w:szCs w:val="20"/>
                <w:color w:val="auto"/>
              </w:rPr>
            </w:pPr>
            <w:r>
              <w:rPr>
                <w:rFonts w:ascii="Arial" w:cs="Arial" w:eastAsia="Arial" w:hAnsi="Arial"/>
                <w:sz w:val="13"/>
                <w:szCs w:val="13"/>
                <w:color w:val="auto"/>
                <w:w w:val="93"/>
              </w:rPr>
              <w:t>Banco de Crédito del</w:t>
            </w:r>
          </w:p>
        </w:tc>
        <w:tc>
          <w:tcPr>
            <w:tcW w:w="1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89"/>
              </w:rPr>
              <w:t>Perú and Subsidiaries</w:t>
            </w:r>
          </w:p>
        </w:tc>
        <w:tc>
          <w:tcPr>
            <w:tcW w:w="1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(i)</w:t>
            </w:r>
          </w:p>
        </w:tc>
        <w:tc>
          <w:tcPr>
            <w:tcW w:w="1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Banking, Peru</w:t>
            </w:r>
          </w:p>
        </w:tc>
        <w:tc>
          <w:tcPr>
            <w:tcW w:w="8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97.68</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97.68</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127,513,766</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128,885,245</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113,568,832</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117,229,264</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13,944,934</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11,655,981</w:t>
            </w: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2,954,668</w:t>
            </w: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2,783,428</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1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6"/>
              </w:rPr>
              <w:t>El Pacífico Peruano-</w:t>
            </w:r>
          </w:p>
        </w:tc>
        <w:tc>
          <w:tcPr>
            <w:tcW w:w="1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9"/>
              </w:rPr>
              <w:t>Suiza Compañía de</w:t>
            </w:r>
          </w:p>
        </w:tc>
        <w:tc>
          <w:tcPr>
            <w:tcW w:w="1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Seguros y</w:t>
            </w:r>
          </w:p>
        </w:tc>
        <w:tc>
          <w:tcPr>
            <w:tcW w:w="1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Reaseguros and</w:t>
            </w:r>
          </w:p>
        </w:tc>
        <w:tc>
          <w:tcPr>
            <w:tcW w:w="1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Subsidiaries (PPS)</w:t>
            </w:r>
          </w:p>
        </w:tc>
        <w:tc>
          <w:tcPr>
            <w:tcW w:w="1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(ii)</w:t>
            </w:r>
          </w:p>
        </w:tc>
        <w:tc>
          <w:tcPr>
            <w:tcW w:w="1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Insurance, Peru</w:t>
            </w:r>
          </w:p>
        </w:tc>
        <w:tc>
          <w:tcPr>
            <w:tcW w:w="8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98.45</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98.45</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10,156,361</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9,325,892</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7,786,257</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7,418,532</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2,370,104</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1,907,360</w:t>
            </w: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303,264</w:t>
            </w: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349,503</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1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Inversiones</w:t>
            </w:r>
          </w:p>
        </w:tc>
        <w:tc>
          <w:tcPr>
            <w:tcW w:w="1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Credicorp Bolivia</w:t>
            </w:r>
          </w:p>
        </w:tc>
        <w:tc>
          <w:tcPr>
            <w:tcW w:w="1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1"/>
              </w:rPr>
              <w:t>S.A. and Subsidiaries</w:t>
            </w:r>
          </w:p>
        </w:tc>
        <w:tc>
          <w:tcPr>
            <w:tcW w:w="1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(iii)</w:t>
            </w:r>
          </w:p>
        </w:tc>
        <w:tc>
          <w:tcPr>
            <w:tcW w:w="1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Holding, Bolivia</w:t>
            </w:r>
          </w:p>
        </w:tc>
        <w:tc>
          <w:tcPr>
            <w:tcW w:w="8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99.95</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97.78</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8,017,925</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7,290,278</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7,337,562</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6,667,864</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680,363</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622,414</w:t>
            </w: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71,910</w:t>
            </w: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70,965</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1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Atlantic Security</w:t>
            </w:r>
          </w:p>
        </w:tc>
        <w:tc>
          <w:tcPr>
            <w:tcW w:w="1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8"/>
              </w:rPr>
              <w:t>Holding Corporation</w:t>
            </w:r>
          </w:p>
        </w:tc>
        <w:tc>
          <w:tcPr>
            <w:tcW w:w="1480" w:type="dxa"/>
            <w:vAlign w:val="bottom"/>
            <w:shd w:val="clear" w:color="auto" w:fill="CCEEFF"/>
          </w:tcPr>
          <w:p>
            <w:pPr>
              <w:ind w:left="40"/>
              <w:spacing w:after="0" w:line="133" w:lineRule="exact"/>
              <w:rPr>
                <w:sz w:val="20"/>
                <w:szCs w:val="20"/>
                <w:color w:val="auto"/>
              </w:rPr>
            </w:pPr>
            <w:r>
              <w:rPr>
                <w:rFonts w:ascii="Arial" w:cs="Arial" w:eastAsia="Arial" w:hAnsi="Arial"/>
                <w:sz w:val="13"/>
                <w:szCs w:val="13"/>
                <w:color w:val="auto"/>
              </w:rPr>
              <w:t>Capital Markets,</w:t>
            </w:r>
          </w:p>
        </w:tc>
        <w:tc>
          <w:tcPr>
            <w:tcW w:w="8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w w:val="96"/>
              </w:rPr>
              <w:t>and Subsidiaries (iv)</w:t>
            </w:r>
          </w:p>
        </w:tc>
        <w:tc>
          <w:tcPr>
            <w:tcW w:w="1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Cayman</w:t>
            </w:r>
          </w:p>
        </w:tc>
        <w:tc>
          <w:tcPr>
            <w:tcW w:w="8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100.00</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100.00</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7,056,980</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6,979,153</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5,961,796</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6,112,699</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1,095,184</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866,454</w:t>
            </w: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143,238</w:t>
            </w: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132,654</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1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Credicorp Capital</w:t>
            </w:r>
          </w:p>
        </w:tc>
        <w:tc>
          <w:tcPr>
            <w:tcW w:w="1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3"/>
              </w:rPr>
              <w:t>Ltd. and Subsidiaries</w:t>
            </w:r>
          </w:p>
        </w:tc>
        <w:tc>
          <w:tcPr>
            <w:tcW w:w="1480" w:type="dxa"/>
            <w:vAlign w:val="bottom"/>
            <w:shd w:val="clear" w:color="auto" w:fill="CCEEFF"/>
          </w:tcPr>
          <w:p>
            <w:pPr>
              <w:ind w:left="40"/>
              <w:spacing w:after="0" w:line="133" w:lineRule="exact"/>
              <w:rPr>
                <w:sz w:val="20"/>
                <w:szCs w:val="20"/>
                <w:color w:val="auto"/>
              </w:rPr>
            </w:pPr>
            <w:r>
              <w:rPr>
                <w:rFonts w:ascii="Arial" w:cs="Arial" w:eastAsia="Arial" w:hAnsi="Arial"/>
                <w:sz w:val="13"/>
                <w:szCs w:val="13"/>
                <w:color w:val="auto"/>
              </w:rPr>
              <w:t>Capital Markets,</w:t>
            </w:r>
          </w:p>
        </w:tc>
        <w:tc>
          <w:tcPr>
            <w:tcW w:w="8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(v)</w:t>
            </w:r>
          </w:p>
        </w:tc>
        <w:tc>
          <w:tcPr>
            <w:tcW w:w="1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Bermuda</w:t>
            </w:r>
          </w:p>
        </w:tc>
        <w:tc>
          <w:tcPr>
            <w:tcW w:w="8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100.00</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100.00</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3,230,080</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2,836,708</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2,440,496</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2,076,788</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789,584</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759,920</w:t>
            </w: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89,654</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(6,584)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480" w:type="dxa"/>
            <w:vAlign w:val="bottom"/>
            <w:shd w:val="clear" w:color="auto" w:fill="CCEEFF"/>
          </w:tcPr>
          <w:p>
            <w:pPr>
              <w:ind w:left="40"/>
              <w:spacing w:after="0" w:line="117" w:lineRule="exact"/>
              <w:rPr>
                <w:sz w:val="20"/>
                <w:szCs w:val="20"/>
                <w:color w:val="auto"/>
              </w:rPr>
            </w:pPr>
            <w:r>
              <w:rPr>
                <w:rFonts w:ascii="Arial" w:cs="Arial" w:eastAsia="Arial" w:hAnsi="Arial"/>
                <w:sz w:val="13"/>
                <w:szCs w:val="13"/>
                <w:color w:val="auto"/>
              </w:rPr>
              <w:t>Special purpose Entity,</w:t>
            </w:r>
          </w:p>
        </w:tc>
        <w:tc>
          <w:tcPr>
            <w:tcW w:w="8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CCR Inc. (vi)</w:t>
            </w:r>
          </w:p>
        </w:tc>
        <w:tc>
          <w:tcPr>
            <w:tcW w:w="1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Bahamas</w:t>
            </w:r>
          </w:p>
        </w:tc>
        <w:tc>
          <w:tcPr>
            <w:tcW w:w="8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99.99</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99.99</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1,103,787</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1,677,107</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1,123,045</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1,711,226</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(19,258)</w:t>
            </w: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(34,119)</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(39)</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(8,799)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480" w:type="dxa"/>
            <w:vAlign w:val="bottom"/>
            <w:shd w:val="clear" w:color="auto" w:fill="CCEEFF"/>
          </w:tcPr>
          <w:p>
            <w:pPr>
              <w:ind w:left="40"/>
              <w:spacing w:after="0" w:line="117" w:lineRule="exact"/>
              <w:rPr>
                <w:sz w:val="20"/>
                <w:szCs w:val="20"/>
                <w:color w:val="auto"/>
              </w:rPr>
            </w:pPr>
            <w:r>
              <w:rPr>
                <w:rFonts w:ascii="Arial" w:cs="Arial" w:eastAsia="Arial" w:hAnsi="Arial"/>
                <w:sz w:val="13"/>
                <w:szCs w:val="13"/>
                <w:color w:val="auto"/>
              </w:rPr>
              <w:t>Private pension fund</w:t>
            </w:r>
          </w:p>
        </w:tc>
        <w:tc>
          <w:tcPr>
            <w:tcW w:w="8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w w:val="98"/>
              </w:rPr>
              <w:t>Prima AFP S.A. (vii)</w:t>
            </w:r>
          </w:p>
        </w:tc>
        <w:tc>
          <w:tcPr>
            <w:tcW w:w="1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administrator, Peru</w:t>
            </w:r>
          </w:p>
        </w:tc>
        <w:tc>
          <w:tcPr>
            <w:tcW w:w="8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99.98</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99.98</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883,893</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880,844</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277,899</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296,040</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605,994</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584,804</w:t>
            </w: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155,813</w:t>
            </w: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162,083</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1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Grupo Crédito S.A</w:t>
            </w:r>
          </w:p>
        </w:tc>
        <w:tc>
          <w:tcPr>
            <w:tcW w:w="1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(viii)</w:t>
            </w:r>
          </w:p>
        </w:tc>
        <w:tc>
          <w:tcPr>
            <w:tcW w:w="1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Capital Markets, Peru</w:t>
            </w:r>
          </w:p>
        </w:tc>
        <w:tc>
          <w:tcPr>
            <w:tcW w:w="8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99.99</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99.99</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167,397</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171,269</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534,552</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225,229</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(367,155)</w:t>
            </w: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(53,960)</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(15,575)</w:t>
            </w: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24,610</w:t>
            </w: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828" w:right="219" w:bottom="1440" w:gutter="0" w:footer="0" w:header="0"/>
        </w:sectPr>
      </w:pPr>
    </w:p>
    <w:bookmarkStart w:id="28" w:name="page29"/>
    <w:bookmarkEnd w:id="28"/>
    <w:p>
      <w:pPr>
        <w:ind w:left="393" w:right="380" w:hanging="393"/>
        <w:spacing w:after="0" w:line="280" w:lineRule="auto"/>
        <w:tabs>
          <w:tab w:leader="none" w:pos="393" w:val="left"/>
        </w:tabs>
        <w:numPr>
          <w:ilvl w:val="0"/>
          <w:numId w:val="18"/>
        </w:numPr>
        <w:rPr>
          <w:rFonts w:ascii="Arial" w:cs="Arial" w:eastAsia="Arial" w:hAnsi="Arial"/>
          <w:sz w:val="16"/>
          <w:szCs w:val="16"/>
          <w:color w:val="auto"/>
        </w:rPr>
      </w:pPr>
      <w:r>
        <w:rPr>
          <w:rFonts w:ascii="Arial" w:cs="Arial" w:eastAsia="Arial" w:hAnsi="Arial"/>
          <w:sz w:val="16"/>
          <w:szCs w:val="16"/>
          <w:color w:val="auto"/>
        </w:rPr>
        <w:t>BCP was incorporated in 1889 and its activities are regulated by the Superintendence of Banking, Insurance and AFP (the Peruvian banking, insurance and AFP regulator, hereinafter “the SBS” for its Spanish acronym).</w:t>
      </w:r>
    </w:p>
    <w:p>
      <w:pPr>
        <w:spacing w:after="0" w:line="150" w:lineRule="exact"/>
        <w:rPr>
          <w:rFonts w:ascii="Arial" w:cs="Arial" w:eastAsia="Arial" w:hAnsi="Arial"/>
          <w:sz w:val="16"/>
          <w:szCs w:val="16"/>
          <w:color w:val="auto"/>
        </w:rPr>
      </w:pPr>
    </w:p>
    <w:p>
      <w:pPr>
        <w:ind w:left="393" w:right="120"/>
        <w:spacing w:after="0" w:line="261" w:lineRule="auto"/>
        <w:rPr>
          <w:rFonts w:ascii="Arial" w:cs="Arial" w:eastAsia="Arial" w:hAnsi="Arial"/>
          <w:sz w:val="16"/>
          <w:szCs w:val="16"/>
          <w:color w:val="auto"/>
        </w:rPr>
      </w:pPr>
      <w:r>
        <w:rPr>
          <w:rFonts w:ascii="Arial" w:cs="Arial" w:eastAsia="Arial" w:hAnsi="Arial"/>
          <w:sz w:val="16"/>
          <w:szCs w:val="16"/>
          <w:color w:val="auto"/>
        </w:rPr>
        <w:t>BCP holds a direct interest in Mibanco as a result of the merger between Mibanco and Edyficar on March 2, 2015. At December 31, 2014 Mibanco was a subsidiary of Financiera Edyficar (note 2(d). At December 31, 2016, the assets, liabilities, equity and net income of Mibanco amounted to approximately S/11,234.9 million, S/9,658.3 million, S/1,576.6 million and S/336.0 million, respectively. (S/11,054,8 million, S/9,707.5 million, S/1,347.3 million, and S/222.0 million, respectively at December 31, 2015.</w:t>
      </w:r>
    </w:p>
    <w:p>
      <w:pPr>
        <w:spacing w:after="0" w:line="166" w:lineRule="exact"/>
        <w:rPr>
          <w:rFonts w:ascii="Arial" w:cs="Arial" w:eastAsia="Arial" w:hAnsi="Arial"/>
          <w:sz w:val="16"/>
          <w:szCs w:val="16"/>
          <w:color w:val="auto"/>
        </w:rPr>
      </w:pPr>
    </w:p>
    <w:p>
      <w:pPr>
        <w:ind w:left="393" w:right="600" w:hanging="393"/>
        <w:spacing w:after="0" w:line="280" w:lineRule="auto"/>
        <w:tabs>
          <w:tab w:leader="none" w:pos="393" w:val="left"/>
        </w:tabs>
        <w:numPr>
          <w:ilvl w:val="0"/>
          <w:numId w:val="18"/>
        </w:numPr>
        <w:rPr>
          <w:rFonts w:ascii="Arial" w:cs="Arial" w:eastAsia="Arial" w:hAnsi="Arial"/>
          <w:sz w:val="16"/>
          <w:szCs w:val="16"/>
          <w:color w:val="auto"/>
        </w:rPr>
      </w:pPr>
      <w:r>
        <w:rPr>
          <w:rFonts w:ascii="Arial" w:cs="Arial" w:eastAsia="Arial" w:hAnsi="Arial"/>
          <w:sz w:val="16"/>
          <w:szCs w:val="16"/>
          <w:color w:val="auto"/>
        </w:rPr>
        <w:t>PPS provides general life, health and personal insurance, its activities are regulated by the SBS. On December 30, 2014, the Group signed an agreement with Banmédica to transfer control of its subsidiary Pacífico EPS, as explained in more detail in Note 13.</w:t>
      </w:r>
    </w:p>
    <w:p>
      <w:pPr>
        <w:spacing w:after="0" w:line="150" w:lineRule="exact"/>
        <w:rPr>
          <w:rFonts w:ascii="Arial" w:cs="Arial" w:eastAsia="Arial" w:hAnsi="Arial"/>
          <w:sz w:val="16"/>
          <w:szCs w:val="16"/>
          <w:color w:val="auto"/>
        </w:rPr>
      </w:pPr>
    </w:p>
    <w:p>
      <w:pPr>
        <w:ind w:left="393" w:right="140" w:hanging="393"/>
        <w:spacing w:after="0" w:line="261" w:lineRule="auto"/>
        <w:tabs>
          <w:tab w:leader="none" w:pos="393"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Inversiones Credicorp Bolivia was established in February 2013 and its objective is to make capital investments for its own account or for account of third parties in companies and other entities providing financial services, exercising or determining the management, administration, control and representation thereof, both nationally and abroad, for which it can invest in capital markets, insurance, asset management, pension funds and other related financial and/or stock exchange products.</w:t>
      </w:r>
    </w:p>
    <w:p>
      <w:pPr>
        <w:spacing w:after="0" w:line="166" w:lineRule="exact"/>
        <w:rPr>
          <w:rFonts w:ascii="Arial" w:cs="Arial" w:eastAsia="Arial" w:hAnsi="Arial"/>
          <w:sz w:val="16"/>
          <w:szCs w:val="16"/>
          <w:color w:val="auto"/>
        </w:rPr>
      </w:pPr>
    </w:p>
    <w:p>
      <w:pPr>
        <w:ind w:left="393" w:right="60"/>
        <w:spacing w:after="0" w:line="280" w:lineRule="auto"/>
        <w:rPr>
          <w:rFonts w:ascii="Arial" w:cs="Arial" w:eastAsia="Arial" w:hAnsi="Arial"/>
          <w:sz w:val="16"/>
          <w:szCs w:val="16"/>
          <w:color w:val="auto"/>
        </w:rPr>
      </w:pPr>
      <w:r>
        <w:rPr>
          <w:rFonts w:ascii="Arial" w:cs="Arial" w:eastAsia="Arial" w:hAnsi="Arial"/>
          <w:sz w:val="16"/>
          <w:szCs w:val="16"/>
          <w:color w:val="auto"/>
        </w:rPr>
        <w:t>At December 31, 2016, its principal subsidiary is BCB, a commercial bank which operates in Bolivia. At said date, the assets, liabilities, equity and net profit of BCB were approximately S/7,949.2 million, S/7,328.5 million, S/620.7 million and S/80.7 million, respectively.</w:t>
      </w:r>
    </w:p>
    <w:p>
      <w:pPr>
        <w:spacing w:after="0" w:line="150" w:lineRule="exact"/>
        <w:rPr>
          <w:rFonts w:ascii="Arial" w:cs="Arial" w:eastAsia="Arial" w:hAnsi="Arial"/>
          <w:sz w:val="16"/>
          <w:szCs w:val="16"/>
          <w:color w:val="auto"/>
        </w:rPr>
      </w:pPr>
    </w:p>
    <w:p>
      <w:pPr>
        <w:ind w:left="393" w:right="300"/>
        <w:spacing w:after="0" w:line="315" w:lineRule="auto"/>
        <w:rPr>
          <w:rFonts w:ascii="Arial" w:cs="Arial" w:eastAsia="Arial" w:hAnsi="Arial"/>
          <w:sz w:val="16"/>
          <w:szCs w:val="16"/>
          <w:color w:val="auto"/>
        </w:rPr>
      </w:pPr>
      <w:r>
        <w:rPr>
          <w:rFonts w:ascii="Arial" w:cs="Arial" w:eastAsia="Arial" w:hAnsi="Arial"/>
          <w:sz w:val="15"/>
          <w:szCs w:val="15"/>
          <w:color w:val="auto"/>
        </w:rPr>
        <w:t>At December 31, BCB was a subsidiary of BCP, and its assets, liabilities, equity and net profit totaled approximately S/7,245.6 million, S/6,665.0 millon, S/580.6 million and S/57.4 million, respectively. During the year 2016, BCP sold its shares of BCB to ICBSA, losing control of the latter, see note 2 (c).</w:t>
      </w:r>
    </w:p>
    <w:p>
      <w:pPr>
        <w:spacing w:after="0" w:line="127" w:lineRule="exact"/>
        <w:rPr>
          <w:rFonts w:ascii="Arial" w:cs="Arial" w:eastAsia="Arial" w:hAnsi="Arial"/>
          <w:sz w:val="16"/>
          <w:szCs w:val="16"/>
          <w:color w:val="auto"/>
        </w:rPr>
      </w:pPr>
    </w:p>
    <w:p>
      <w:pPr>
        <w:ind w:left="393"/>
        <w:spacing w:after="0"/>
        <w:rPr>
          <w:rFonts w:ascii="Arial" w:cs="Arial" w:eastAsia="Arial" w:hAnsi="Arial"/>
          <w:sz w:val="16"/>
          <w:szCs w:val="16"/>
          <w:color w:val="auto"/>
        </w:rPr>
      </w:pPr>
      <w:r>
        <w:rPr>
          <w:rFonts w:ascii="Arial" w:cs="Arial" w:eastAsia="Arial" w:hAnsi="Arial"/>
          <w:sz w:val="16"/>
          <w:szCs w:val="16"/>
          <w:color w:val="auto"/>
        </w:rPr>
        <w:t>The balances shown as comparative have been restructured as if BCB had always been a subsidiary of ICBSA</w:t>
      </w:r>
    </w:p>
    <w:p>
      <w:pPr>
        <w:spacing w:after="0" w:line="202" w:lineRule="exact"/>
        <w:rPr>
          <w:rFonts w:ascii="Arial" w:cs="Arial" w:eastAsia="Arial" w:hAnsi="Arial"/>
          <w:sz w:val="16"/>
          <w:szCs w:val="16"/>
          <w:color w:val="auto"/>
        </w:rPr>
      </w:pPr>
    </w:p>
    <w:p>
      <w:pPr>
        <w:ind w:left="393" w:hanging="393"/>
        <w:spacing w:after="0" w:line="354" w:lineRule="auto"/>
        <w:tabs>
          <w:tab w:leader="none" w:pos="393" w:val="left"/>
        </w:tabs>
        <w:numPr>
          <w:ilvl w:val="0"/>
          <w:numId w:val="18"/>
        </w:numPr>
        <w:rPr>
          <w:rFonts w:ascii="Arial" w:cs="Arial" w:eastAsia="Arial" w:hAnsi="Arial"/>
          <w:sz w:val="14"/>
          <w:szCs w:val="14"/>
          <w:color w:val="auto"/>
        </w:rPr>
      </w:pPr>
      <w:r>
        <w:rPr>
          <w:rFonts w:ascii="Arial" w:cs="Arial" w:eastAsia="Arial" w:hAnsi="Arial"/>
          <w:sz w:val="14"/>
          <w:szCs w:val="14"/>
          <w:color w:val="auto"/>
        </w:rPr>
        <w:t>Its most significant subsidiary is Atlantic Security Bank (ASB), which is incorporated in the Cayman Islands and operates through branches and offices in Grand Cayman and the Republic of Panama; its main activities are private and institutional banking services and trustee administration mostly for BCP’s Peruvian customers</w:t>
      </w:r>
    </w:p>
    <w:p>
      <w:pPr>
        <w:spacing w:after="0" w:line="105" w:lineRule="exact"/>
        <w:rPr>
          <w:rFonts w:ascii="Arial" w:cs="Arial" w:eastAsia="Arial" w:hAnsi="Arial"/>
          <w:sz w:val="14"/>
          <w:szCs w:val="14"/>
          <w:color w:val="auto"/>
        </w:rPr>
      </w:pPr>
    </w:p>
    <w:p>
      <w:pPr>
        <w:ind w:left="393" w:right="80" w:hanging="393"/>
        <w:spacing w:after="0" w:line="266" w:lineRule="auto"/>
        <w:tabs>
          <w:tab w:leader="none" w:pos="393" w:val="left"/>
        </w:tabs>
        <w:numPr>
          <w:ilvl w:val="0"/>
          <w:numId w:val="18"/>
        </w:numPr>
        <w:rPr>
          <w:rFonts w:ascii="Arial" w:cs="Arial" w:eastAsia="Arial" w:hAnsi="Arial"/>
          <w:sz w:val="16"/>
          <w:szCs w:val="16"/>
          <w:color w:val="auto"/>
        </w:rPr>
      </w:pPr>
      <w:r>
        <w:rPr>
          <w:rFonts w:ascii="Arial" w:cs="Arial" w:eastAsia="Arial" w:hAnsi="Arial"/>
          <w:sz w:val="16"/>
          <w:szCs w:val="16"/>
          <w:color w:val="auto"/>
        </w:rPr>
        <w:t>Credicorp Capital Ltd. was formed in 2012, and its main subsidiaries are Credicorp Capital Holding Chile (owner of Inversiones IMT), Credicorp Capital Holding Colombia (owner of Credicorp Capital Colombia, formerly Correval), and Credicorp Capital Holding Peru (owner of Credicorp Capital Peru S.A.A.), which develop their activities in Chile, Colombia and Peru, respectively.</w:t>
      </w:r>
    </w:p>
    <w:p>
      <w:pPr>
        <w:spacing w:after="0" w:line="161" w:lineRule="exact"/>
        <w:rPr>
          <w:rFonts w:ascii="Arial" w:cs="Arial" w:eastAsia="Arial" w:hAnsi="Arial"/>
          <w:sz w:val="16"/>
          <w:szCs w:val="16"/>
          <w:color w:val="auto"/>
        </w:rPr>
      </w:pPr>
    </w:p>
    <w:p>
      <w:pPr>
        <w:ind w:left="393" w:right="300"/>
        <w:spacing w:after="0" w:line="259" w:lineRule="auto"/>
        <w:rPr>
          <w:rFonts w:ascii="Arial" w:cs="Arial" w:eastAsia="Arial" w:hAnsi="Arial"/>
          <w:sz w:val="16"/>
          <w:szCs w:val="16"/>
          <w:color w:val="auto"/>
        </w:rPr>
      </w:pPr>
      <w:r>
        <w:rPr>
          <w:rFonts w:ascii="Arial" w:cs="Arial" w:eastAsia="Arial" w:hAnsi="Arial"/>
          <w:sz w:val="16"/>
          <w:szCs w:val="16"/>
          <w:color w:val="auto"/>
        </w:rPr>
        <w:t>The principal subsidiary of Credicorp Capital Holding Peru is Credicorp Capital Peru, the principal function of which is that of a holding company of shares, participations, and securities in general, provision of financial and corporate advisory services, and property investment. At December 31, 2016 and 2015, respectively, Credicorp Capital Peru holds as subsidiaries, Credicorp Capital Sociedad Agente de Bolsa S.A., Credicorp Capital S.A. Sociedad Administradora de Fondos, Credicorp Capital Servicios Financieros S.A. and Credicorp Capital Sociedad Titulizadora S.A., member companies of the Investment Banking Group in Peru.</w:t>
      </w:r>
    </w:p>
    <w:p>
      <w:pPr>
        <w:spacing w:after="0" w:line="361" w:lineRule="exact"/>
        <w:rPr>
          <w:rFonts w:ascii="Arial" w:cs="Arial" w:eastAsia="Arial" w:hAnsi="Arial"/>
          <w:sz w:val="16"/>
          <w:szCs w:val="16"/>
          <w:color w:val="auto"/>
        </w:rPr>
      </w:pPr>
    </w:p>
    <w:p>
      <w:pPr>
        <w:ind w:left="5353" w:hanging="94"/>
        <w:spacing w:after="0"/>
        <w:tabs>
          <w:tab w:leader="none" w:pos="5353" w:val="left"/>
        </w:tabs>
        <w:numPr>
          <w:ilvl w:val="1"/>
          <w:numId w:val="18"/>
        </w:numPr>
        <w:rPr>
          <w:rFonts w:ascii="Arial" w:cs="Arial" w:eastAsia="Arial" w:hAnsi="Arial"/>
          <w:sz w:val="16"/>
          <w:szCs w:val="16"/>
          <w:color w:val="auto"/>
        </w:rPr>
      </w:pPr>
      <w:r>
        <w:rPr>
          <w:rFonts w:ascii="Arial" w:cs="Arial" w:eastAsia="Arial" w:hAnsi="Arial"/>
          <w:sz w:val="16"/>
          <w:szCs w:val="16"/>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13970</wp:posOffset>
            </wp:positionV>
            <wp:extent cx="7261225" cy="76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13"/>
          </w:cols>
          <w:pgMar w:left="527" w:top="828" w:right="259" w:bottom="1440" w:gutter="0" w:footer="0" w:header="0"/>
        </w:sectPr>
      </w:pPr>
    </w:p>
    <w:bookmarkStart w:id="29" w:name="page30"/>
    <w:bookmarkEnd w:id="29"/>
    <w:p>
      <w:pPr>
        <w:ind w:left="683" w:right="40"/>
        <w:spacing w:after="0" w:line="266" w:lineRule="auto"/>
        <w:rPr>
          <w:sz w:val="20"/>
          <w:szCs w:val="20"/>
          <w:color w:val="auto"/>
        </w:rPr>
      </w:pPr>
      <w:r>
        <w:rPr>
          <w:rFonts w:ascii="Arial" w:cs="Arial" w:eastAsia="Arial" w:hAnsi="Arial"/>
          <w:sz w:val="16"/>
          <w:szCs w:val="16"/>
          <w:color w:val="auto"/>
        </w:rPr>
        <w:t>During the year 2015, Grupo Crédito split the shares it held in Credicorp Capital Holding Peru, after which Credicorp Ltd. contributed this investment to Credicorp Capital Ltd. Said transfers were made at their carrying amounts and, therefore, had no effect on the Group’s consolidated financial statements: no gains or losses were recorded for these transactions.</w:t>
      </w:r>
    </w:p>
    <w:p>
      <w:pPr>
        <w:spacing w:after="0" w:line="162" w:lineRule="exact"/>
        <w:rPr>
          <w:sz w:val="20"/>
          <w:szCs w:val="20"/>
          <w:color w:val="auto"/>
        </w:rPr>
      </w:pPr>
    </w:p>
    <w:p>
      <w:pPr>
        <w:jc w:val="both"/>
        <w:ind w:left="683" w:right="360"/>
        <w:spacing w:after="0" w:line="321" w:lineRule="auto"/>
        <w:rPr>
          <w:sz w:val="20"/>
          <w:szCs w:val="20"/>
          <w:color w:val="auto"/>
        </w:rPr>
      </w:pPr>
      <w:r>
        <w:rPr>
          <w:rFonts w:ascii="Arial" w:cs="Arial" w:eastAsia="Arial" w:hAnsi="Arial"/>
          <w:sz w:val="14"/>
          <w:szCs w:val="14"/>
          <w:color w:val="auto"/>
        </w:rPr>
        <w:t>At December 31, 2016 and 2015, Credicorp Capital Ltd. directly holds 100.0 percent of the share capital of Credicorp Capital Holding Peru. As of December 31, 2016, the assets, liabilities, equity and net profit of of Credicorp Capital Holding Peru and Subsidiaries amount to approximately S/236.0 million, S/56.5 million, S/179.5 million and S/19.3 million, respectively (S/239.9 million, S/43.8 million, S/196.1 million and S/12.6 million, respectively at December 31, 2015).</w:t>
      </w:r>
    </w:p>
    <w:p>
      <w:pPr>
        <w:spacing w:after="0" w:line="128" w:lineRule="exact"/>
        <w:rPr>
          <w:sz w:val="20"/>
          <w:szCs w:val="20"/>
          <w:color w:val="auto"/>
        </w:rPr>
      </w:pPr>
    </w:p>
    <w:p>
      <w:pPr>
        <w:ind w:left="683"/>
        <w:spacing w:after="0" w:line="257" w:lineRule="auto"/>
        <w:rPr>
          <w:sz w:val="20"/>
          <w:szCs w:val="20"/>
          <w:color w:val="auto"/>
        </w:rPr>
      </w:pPr>
      <w:r>
        <w:rPr>
          <w:rFonts w:ascii="Arial" w:cs="Arial" w:eastAsia="Arial" w:hAnsi="Arial"/>
          <w:sz w:val="16"/>
          <w:szCs w:val="16"/>
          <w:color w:val="auto"/>
        </w:rPr>
        <w:t>At December 31, 2016, Credicorp Capital Ltd directly or indirectly holds 100.00 percent of the share capital of IM Trust and Credicorp Capital Colombia (60.60 percent of IM Trust and 51.0 percent of Credicorp Capital Colombia at December 31, 2015), see increase in the holding in note 2(a). At December 31, 2016, the assets, liabilities, equity and net profit of IM Trust amount to approximately S/987.5 million, S/840.4 million, S/147.1 million and S/23.7 million, respectively (S/563.8 million, S/440.1 million, S/123.7 million and S/21.3 million, respectively, at December 31, 2015); and those of Credicorp Capital Colombia amount to approximately S/1,496.5 million, S/1,346.2 million, S/150.3 million, and S/24.2 million, respectively (S/1,572.6 million, S/1,446.8 million, S/125.8 million and S/25.6 million, respectively at December 31, 2015</w:t>
      </w:r>
    </w:p>
    <w:p>
      <w:pPr>
        <w:spacing w:after="0" w:line="172" w:lineRule="exact"/>
        <w:rPr>
          <w:sz w:val="20"/>
          <w:szCs w:val="20"/>
          <w:color w:val="auto"/>
        </w:rPr>
      </w:pPr>
    </w:p>
    <w:p>
      <w:pPr>
        <w:ind w:left="683" w:right="120" w:hanging="393"/>
        <w:spacing w:after="0" w:line="266" w:lineRule="auto"/>
        <w:tabs>
          <w:tab w:leader="none" w:pos="683" w:val="left"/>
        </w:tabs>
        <w:numPr>
          <w:ilvl w:val="1"/>
          <w:numId w:val="19"/>
        </w:numPr>
        <w:rPr>
          <w:rFonts w:ascii="Arial" w:cs="Arial" w:eastAsia="Arial" w:hAnsi="Arial"/>
          <w:sz w:val="16"/>
          <w:szCs w:val="16"/>
          <w:color w:val="auto"/>
        </w:rPr>
      </w:pPr>
      <w:r>
        <w:rPr>
          <w:rFonts w:ascii="Arial" w:cs="Arial" w:eastAsia="Arial" w:hAnsi="Arial"/>
          <w:sz w:val="16"/>
          <w:szCs w:val="16"/>
          <w:color w:val="auto"/>
        </w:rPr>
        <w:t>CCR Inc. was incorporated in 2000, its main activity is to manage certain loans granted to BCP by foreign financial entities, see note 17(a)(iii). These loans are collateralized by transactions performed by BCP. At December 31, 2016 and 2015, the negative equity balance resulted from unrealized losses from cash flow hedge derivatives.</w:t>
      </w:r>
    </w:p>
    <w:p>
      <w:pPr>
        <w:spacing w:after="0" w:line="161" w:lineRule="exact"/>
        <w:rPr>
          <w:rFonts w:ascii="Arial" w:cs="Arial" w:eastAsia="Arial" w:hAnsi="Arial"/>
          <w:sz w:val="16"/>
          <w:szCs w:val="16"/>
          <w:color w:val="auto"/>
        </w:rPr>
      </w:pPr>
    </w:p>
    <w:p>
      <w:pPr>
        <w:ind w:left="683" w:hanging="393"/>
        <w:spacing w:after="0"/>
        <w:tabs>
          <w:tab w:leader="none" w:pos="683" w:val="left"/>
        </w:tabs>
        <w:numPr>
          <w:ilvl w:val="1"/>
          <w:numId w:val="19"/>
        </w:numPr>
        <w:rPr>
          <w:rFonts w:ascii="Arial" w:cs="Arial" w:eastAsia="Arial" w:hAnsi="Arial"/>
          <w:sz w:val="16"/>
          <w:szCs w:val="16"/>
          <w:color w:val="auto"/>
        </w:rPr>
      </w:pPr>
      <w:r>
        <w:rPr>
          <w:rFonts w:ascii="Arial" w:cs="Arial" w:eastAsia="Arial" w:hAnsi="Arial"/>
          <w:sz w:val="16"/>
          <w:szCs w:val="16"/>
          <w:color w:val="auto"/>
        </w:rPr>
        <w:t>Prima AFP is a private pension fund and its activities are regulated by the SBS.</w:t>
      </w:r>
    </w:p>
    <w:p>
      <w:pPr>
        <w:spacing w:after="0" w:line="202" w:lineRule="exact"/>
        <w:rPr>
          <w:rFonts w:ascii="Arial" w:cs="Arial" w:eastAsia="Arial" w:hAnsi="Arial"/>
          <w:sz w:val="16"/>
          <w:szCs w:val="16"/>
          <w:color w:val="auto"/>
        </w:rPr>
      </w:pPr>
    </w:p>
    <w:p>
      <w:pPr>
        <w:ind w:left="683" w:right="160" w:hanging="393"/>
        <w:spacing w:after="0" w:line="280" w:lineRule="auto"/>
        <w:tabs>
          <w:tab w:leader="none" w:pos="683" w:val="left"/>
        </w:tabs>
        <w:numPr>
          <w:ilvl w:val="1"/>
          <w:numId w:val="19"/>
        </w:numPr>
        <w:rPr>
          <w:rFonts w:ascii="Arial" w:cs="Arial" w:eastAsia="Arial" w:hAnsi="Arial"/>
          <w:sz w:val="16"/>
          <w:szCs w:val="16"/>
          <w:color w:val="auto"/>
        </w:rPr>
      </w:pPr>
      <w:r>
        <w:rPr>
          <w:rFonts w:ascii="Arial" w:cs="Arial" w:eastAsia="Arial" w:hAnsi="Arial"/>
          <w:sz w:val="16"/>
          <w:szCs w:val="16"/>
          <w:color w:val="auto"/>
        </w:rPr>
        <w:t>Grupo Crédito is a company mainly engaged in shares listed in Peru and unlisted shares of Peruvian companies. It also holds the Group’s shares in BCP, Prima AFP, PPS and Inversiones Credicorp Bolivia. Grupo Crédito’s balances are presented net of its investments in said entities.</w:t>
      </w:r>
    </w:p>
    <w:p>
      <w:pPr>
        <w:spacing w:after="0" w:line="150" w:lineRule="exact"/>
        <w:rPr>
          <w:rFonts w:ascii="Arial" w:cs="Arial" w:eastAsia="Arial" w:hAnsi="Arial"/>
          <w:sz w:val="16"/>
          <w:szCs w:val="16"/>
          <w:color w:val="auto"/>
        </w:rPr>
      </w:pPr>
    </w:p>
    <w:p>
      <w:pPr>
        <w:ind w:left="283" w:hanging="283"/>
        <w:spacing w:after="0"/>
        <w:tabs>
          <w:tab w:leader="none" w:pos="283"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Foreign exchange -</w:t>
      </w:r>
    </w:p>
    <w:p>
      <w:pPr>
        <w:spacing w:after="0" w:line="202" w:lineRule="exact"/>
        <w:rPr>
          <w:rFonts w:ascii="Arial" w:cs="Arial" w:eastAsia="Arial" w:hAnsi="Arial"/>
          <w:sz w:val="16"/>
          <w:szCs w:val="16"/>
          <w:color w:val="auto"/>
        </w:rPr>
      </w:pPr>
    </w:p>
    <w:p>
      <w:pPr>
        <w:ind w:left="683" w:hanging="393"/>
        <w:spacing w:after="0"/>
        <w:tabs>
          <w:tab w:leader="none" w:pos="683" w:val="left"/>
        </w:tabs>
        <w:numPr>
          <w:ilvl w:val="1"/>
          <w:numId w:val="20"/>
        </w:numPr>
        <w:rPr>
          <w:rFonts w:ascii="Arial" w:cs="Arial" w:eastAsia="Arial" w:hAnsi="Arial"/>
          <w:sz w:val="16"/>
          <w:szCs w:val="16"/>
          <w:color w:val="auto"/>
        </w:rPr>
      </w:pPr>
      <w:r>
        <w:rPr>
          <w:rFonts w:ascii="Arial" w:cs="Arial" w:eastAsia="Arial" w:hAnsi="Arial"/>
          <w:sz w:val="16"/>
          <w:szCs w:val="16"/>
          <w:color w:val="auto"/>
        </w:rPr>
        <w:t>Functional and presentation currency -</w:t>
      </w:r>
    </w:p>
    <w:p>
      <w:pPr>
        <w:spacing w:after="0" w:line="202" w:lineRule="exact"/>
        <w:rPr>
          <w:rFonts w:ascii="Arial" w:cs="Arial" w:eastAsia="Arial" w:hAnsi="Arial"/>
          <w:sz w:val="16"/>
          <w:szCs w:val="16"/>
          <w:color w:val="auto"/>
        </w:rPr>
      </w:pPr>
    </w:p>
    <w:p>
      <w:pPr>
        <w:ind w:left="683" w:right="20"/>
        <w:spacing w:after="0" w:line="266" w:lineRule="auto"/>
        <w:rPr>
          <w:rFonts w:ascii="Arial" w:cs="Arial" w:eastAsia="Arial" w:hAnsi="Arial"/>
          <w:sz w:val="16"/>
          <w:szCs w:val="16"/>
          <w:color w:val="auto"/>
        </w:rPr>
      </w:pPr>
      <w:r>
        <w:rPr>
          <w:rFonts w:ascii="Arial" w:cs="Arial" w:eastAsia="Arial" w:hAnsi="Arial"/>
          <w:sz w:val="16"/>
          <w:szCs w:val="16"/>
          <w:color w:val="auto"/>
        </w:rPr>
        <w:t>Credicorp and its Subsidiaries which operate in Peru consider the Peruvian sol as their functional and presentation currency since it reflects the nature of the economic events and relevant circumstances given the fact their major transactions and/operations, such as: lending, borrowing, financial income, financial expenses and a significant percentage of their purchases are agreed in Peruvian soles.</w:t>
      </w:r>
    </w:p>
    <w:p>
      <w:pPr>
        <w:spacing w:after="0" w:line="161" w:lineRule="exact"/>
        <w:rPr>
          <w:rFonts w:ascii="Arial" w:cs="Arial" w:eastAsia="Arial" w:hAnsi="Arial"/>
          <w:sz w:val="16"/>
          <w:szCs w:val="16"/>
          <w:color w:val="auto"/>
        </w:rPr>
      </w:pPr>
    </w:p>
    <w:p>
      <w:pPr>
        <w:ind w:left="683" w:hanging="393"/>
        <w:spacing w:after="0"/>
        <w:tabs>
          <w:tab w:leader="none" w:pos="683" w:val="left"/>
        </w:tabs>
        <w:numPr>
          <w:ilvl w:val="1"/>
          <w:numId w:val="20"/>
        </w:numPr>
        <w:rPr>
          <w:rFonts w:ascii="Arial" w:cs="Arial" w:eastAsia="Arial" w:hAnsi="Arial"/>
          <w:sz w:val="16"/>
          <w:szCs w:val="16"/>
          <w:color w:val="auto"/>
        </w:rPr>
      </w:pPr>
      <w:r>
        <w:rPr>
          <w:rFonts w:ascii="Arial" w:cs="Arial" w:eastAsia="Arial" w:hAnsi="Arial"/>
          <w:sz w:val="16"/>
          <w:szCs w:val="16"/>
          <w:color w:val="auto"/>
        </w:rPr>
        <w:t>Transactions and balances in foreign currency -</w:t>
      </w:r>
    </w:p>
    <w:p>
      <w:pPr>
        <w:spacing w:after="0" w:line="202" w:lineRule="exact"/>
        <w:rPr>
          <w:rFonts w:ascii="Arial" w:cs="Arial" w:eastAsia="Arial" w:hAnsi="Arial"/>
          <w:sz w:val="16"/>
          <w:szCs w:val="16"/>
          <w:color w:val="auto"/>
        </w:rPr>
      </w:pPr>
    </w:p>
    <w:p>
      <w:pPr>
        <w:ind w:left="683" w:right="60"/>
        <w:spacing w:after="0" w:line="257" w:lineRule="auto"/>
        <w:rPr>
          <w:rFonts w:ascii="Arial" w:cs="Arial" w:eastAsia="Arial" w:hAnsi="Arial"/>
          <w:sz w:val="16"/>
          <w:szCs w:val="16"/>
          <w:color w:val="auto"/>
        </w:rPr>
      </w:pPr>
      <w:r>
        <w:rPr>
          <w:rFonts w:ascii="Arial" w:cs="Arial" w:eastAsia="Arial" w:hAnsi="Arial"/>
          <w:sz w:val="16"/>
          <w:szCs w:val="16"/>
          <w:color w:val="auto"/>
        </w:rPr>
        <w:t>Foreign currency transactions are those entered into in currencies other than the functional currency. These transactions are initially stated by Group entities at the exchange rates of their functional currencies at the transaction dates. Monetary assets and liabilities denominated in foreign currency are adjusted at the exchange rate of the functional currency prevailing at the date of the statement of financial position. The differences arising from the exchange rate prevailing at the date of each consolidated statement of financial position presented and the exchange rate initially used in recording transactions are recognized in the consolidated statement of income in the period in which they occur, in “Exchange differences”. Non-monetary assets and liabilities acquired in foreign currency are stated at the exchange rate prevailing at the initial transaction date and are not subsequently adjusted.</w:t>
      </w:r>
    </w:p>
    <w:p>
      <w:pPr>
        <w:spacing w:after="0" w:line="365" w:lineRule="exact"/>
        <w:rPr>
          <w:rFonts w:ascii="Arial" w:cs="Arial" w:eastAsia="Arial" w:hAnsi="Arial"/>
          <w:sz w:val="16"/>
          <w:szCs w:val="16"/>
          <w:color w:val="auto"/>
        </w:rPr>
      </w:pPr>
    </w:p>
    <w:p>
      <w:pPr>
        <w:ind w:left="5643" w:hanging="94"/>
        <w:spacing w:after="0"/>
        <w:tabs>
          <w:tab w:leader="none" w:pos="5643" w:val="left"/>
        </w:tabs>
        <w:numPr>
          <w:ilvl w:val="2"/>
          <w:numId w:val="20"/>
        </w:numPr>
        <w:rPr>
          <w:rFonts w:ascii="Arial" w:cs="Arial" w:eastAsia="Arial" w:hAnsi="Arial"/>
          <w:sz w:val="16"/>
          <w:szCs w:val="16"/>
          <w:color w:val="auto"/>
        </w:rPr>
      </w:pPr>
      <w:r>
        <w:rPr>
          <w:rFonts w:ascii="Arial" w:cs="Arial" w:eastAsia="Arial" w:hAnsi="Arial"/>
          <w:sz w:val="16"/>
          <w:szCs w:val="16"/>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8" w:right="239" w:bottom="1440" w:gutter="0" w:footer="0" w:header="0"/>
        </w:sectPr>
      </w:pPr>
    </w:p>
    <w:bookmarkStart w:id="30" w:name="page31"/>
    <w:bookmarkEnd w:id="30"/>
    <w:p>
      <w:pPr>
        <w:ind w:left="683" w:hanging="393"/>
        <w:spacing w:after="0"/>
        <w:tabs>
          <w:tab w:leader="none" w:pos="683" w:val="left"/>
        </w:tabs>
        <w:numPr>
          <w:ilvl w:val="0"/>
          <w:numId w:val="21"/>
        </w:numPr>
        <w:rPr>
          <w:rFonts w:ascii="Arial" w:cs="Arial" w:eastAsia="Arial" w:hAnsi="Arial"/>
          <w:sz w:val="16"/>
          <w:szCs w:val="16"/>
          <w:color w:val="auto"/>
        </w:rPr>
      </w:pPr>
      <w:r>
        <w:rPr>
          <w:rFonts w:ascii="Arial" w:cs="Arial" w:eastAsia="Arial" w:hAnsi="Arial"/>
          <w:sz w:val="16"/>
          <w:szCs w:val="16"/>
          <w:color w:val="auto"/>
        </w:rPr>
        <w:t>Group entities with functional currency other than the presentation currency</w:t>
      </w:r>
    </w:p>
    <w:p>
      <w:pPr>
        <w:spacing w:after="0" w:line="202" w:lineRule="exact"/>
        <w:rPr>
          <w:rFonts w:ascii="Arial" w:cs="Arial" w:eastAsia="Arial" w:hAnsi="Arial"/>
          <w:sz w:val="16"/>
          <w:szCs w:val="16"/>
          <w:color w:val="auto"/>
        </w:rPr>
      </w:pPr>
    </w:p>
    <w:p>
      <w:pPr>
        <w:ind w:left="683" w:right="120"/>
        <w:spacing w:after="0" w:line="280" w:lineRule="auto"/>
        <w:rPr>
          <w:rFonts w:ascii="Arial" w:cs="Arial" w:eastAsia="Arial" w:hAnsi="Arial"/>
          <w:sz w:val="16"/>
          <w:szCs w:val="16"/>
          <w:color w:val="auto"/>
        </w:rPr>
      </w:pPr>
      <w:r>
        <w:rPr>
          <w:rFonts w:ascii="Arial" w:cs="Arial" w:eastAsia="Arial" w:hAnsi="Arial"/>
          <w:sz w:val="16"/>
          <w:szCs w:val="16"/>
          <w:color w:val="auto"/>
        </w:rPr>
        <w:t>Given that the Group’s entities in Colombia, Chile, Cayman, Panama and Bolivia have a functional currency different from Peruvian Soles, they were translated into Soles for consolidation purposes in accordance with IAS 21, “The Effects of Changes in Foreign Exchange Rates” as follows:</w:t>
      </w:r>
    </w:p>
    <w:p>
      <w:pPr>
        <w:spacing w:after="0" w:line="150" w:lineRule="exact"/>
        <w:rPr>
          <w:rFonts w:ascii="Arial" w:cs="Arial" w:eastAsia="Arial" w:hAnsi="Arial"/>
          <w:sz w:val="16"/>
          <w:szCs w:val="16"/>
          <w:color w:val="auto"/>
        </w:rPr>
      </w:pPr>
    </w:p>
    <w:p>
      <w:pPr>
        <w:ind w:left="863" w:hanging="283"/>
        <w:spacing w:after="0"/>
        <w:tabs>
          <w:tab w:leader="none" w:pos="863" w:val="left"/>
        </w:tabs>
        <w:numPr>
          <w:ilvl w:val="1"/>
          <w:numId w:val="21"/>
        </w:numPr>
        <w:rPr>
          <w:rFonts w:ascii="Arial" w:cs="Arial" w:eastAsia="Arial" w:hAnsi="Arial"/>
          <w:sz w:val="16"/>
          <w:szCs w:val="16"/>
          <w:color w:val="auto"/>
        </w:rPr>
      </w:pPr>
      <w:r>
        <w:rPr>
          <w:rFonts w:ascii="Arial" w:cs="Arial" w:eastAsia="Arial" w:hAnsi="Arial"/>
          <w:sz w:val="16"/>
          <w:szCs w:val="16"/>
          <w:color w:val="auto"/>
        </w:rPr>
        <w:t>Assets and liabilities, at the closing rate prevailing at the date of each consolidated statement of financial position.</w:t>
      </w:r>
    </w:p>
    <w:p>
      <w:pPr>
        <w:spacing w:after="0" w:line="21" w:lineRule="exact"/>
        <w:rPr>
          <w:rFonts w:ascii="Arial" w:cs="Arial" w:eastAsia="Arial" w:hAnsi="Arial"/>
          <w:sz w:val="16"/>
          <w:szCs w:val="16"/>
          <w:color w:val="auto"/>
        </w:rPr>
      </w:pPr>
    </w:p>
    <w:p>
      <w:pPr>
        <w:ind w:left="863" w:hanging="283"/>
        <w:spacing w:after="0"/>
        <w:tabs>
          <w:tab w:leader="none" w:pos="863"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Income and expense, at the average exchange rate for each month of the year.</w:t>
      </w:r>
    </w:p>
    <w:p>
      <w:pPr>
        <w:spacing w:after="0" w:line="191" w:lineRule="exact"/>
        <w:rPr>
          <w:sz w:val="20"/>
          <w:szCs w:val="20"/>
          <w:color w:val="auto"/>
        </w:rPr>
      </w:pPr>
    </w:p>
    <w:p>
      <w:pPr>
        <w:ind w:left="683"/>
        <w:spacing w:after="0"/>
        <w:rPr>
          <w:sz w:val="20"/>
          <w:szCs w:val="20"/>
          <w:color w:val="auto"/>
        </w:rPr>
      </w:pPr>
      <w:r>
        <w:rPr>
          <w:rFonts w:ascii="Arial" w:cs="Arial" w:eastAsia="Arial" w:hAnsi="Arial"/>
          <w:sz w:val="16"/>
          <w:szCs w:val="16"/>
          <w:color w:val="auto"/>
        </w:rPr>
        <w:t>All resulting exchange differences were recognized within “Exchange differences” in the consolidated statement of comprehensive income.</w:t>
      </w:r>
    </w:p>
    <w:p>
      <w:pPr>
        <w:spacing w:after="0" w:line="203" w:lineRule="exact"/>
        <w:rPr>
          <w:sz w:val="20"/>
          <w:szCs w:val="20"/>
          <w:color w:val="auto"/>
        </w:rPr>
      </w:pPr>
    </w:p>
    <w:p>
      <w:pPr>
        <w:ind w:left="283" w:hanging="283"/>
        <w:spacing w:after="0"/>
        <w:tabs>
          <w:tab w:leader="none" w:pos="283"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Recognition of income and expenses from banking activities -</w:t>
      </w:r>
    </w:p>
    <w:p>
      <w:pPr>
        <w:spacing w:after="0" w:line="202" w:lineRule="exact"/>
        <w:rPr>
          <w:rFonts w:ascii="Arial" w:cs="Arial" w:eastAsia="Arial" w:hAnsi="Arial"/>
          <w:sz w:val="16"/>
          <w:szCs w:val="16"/>
          <w:color w:val="auto"/>
        </w:rPr>
      </w:pPr>
    </w:p>
    <w:p>
      <w:pPr>
        <w:ind w:left="283" w:right="100"/>
        <w:spacing w:after="0" w:line="261" w:lineRule="auto"/>
        <w:rPr>
          <w:rFonts w:ascii="Arial" w:cs="Arial" w:eastAsia="Arial" w:hAnsi="Arial"/>
          <w:sz w:val="16"/>
          <w:szCs w:val="16"/>
          <w:color w:val="auto"/>
        </w:rPr>
      </w:pPr>
      <w:r>
        <w:rPr>
          <w:rFonts w:ascii="Arial" w:cs="Arial" w:eastAsia="Arial" w:hAnsi="Arial"/>
          <w:sz w:val="16"/>
          <w:szCs w:val="16"/>
          <w:color w:val="auto"/>
        </w:rPr>
        <w:t>Interest income and expense for all interest-bearing financial instruments, including those related to financial instruments classified as held for trading or designated at fair value through profit or loss, are recognized within “Interest and similar income” and “Interest and similar expenses” in the consolidated statement of income using the effective interest rate method, which is the rate that discounts estimated future cash payments or receipts during the expected life of the financial instrument or a shorter period, where appropriate, to the net carrying amount of the financial asset or financial liability.</w:t>
      </w:r>
    </w:p>
    <w:p>
      <w:pPr>
        <w:spacing w:after="0" w:line="166" w:lineRule="exact"/>
        <w:rPr>
          <w:rFonts w:ascii="Arial" w:cs="Arial" w:eastAsia="Arial" w:hAnsi="Arial"/>
          <w:sz w:val="16"/>
          <w:szCs w:val="16"/>
          <w:color w:val="auto"/>
        </w:rPr>
      </w:pPr>
    </w:p>
    <w:p>
      <w:pPr>
        <w:ind w:left="283" w:right="680"/>
        <w:spacing w:after="0" w:line="280" w:lineRule="auto"/>
        <w:rPr>
          <w:rFonts w:ascii="Arial" w:cs="Arial" w:eastAsia="Arial" w:hAnsi="Arial"/>
          <w:sz w:val="16"/>
          <w:szCs w:val="16"/>
          <w:color w:val="auto"/>
        </w:rPr>
      </w:pPr>
      <w:r>
        <w:rPr>
          <w:rFonts w:ascii="Arial" w:cs="Arial" w:eastAsia="Arial" w:hAnsi="Arial"/>
          <w:sz w:val="16"/>
          <w:szCs w:val="16"/>
          <w:color w:val="auto"/>
        </w:rPr>
        <w:t>Interest income includes coupons earned on fixed income investment and trading securities and the discount and premium on financial instruments. Dividends are recognized as income when they are declared.</w:t>
      </w:r>
    </w:p>
    <w:p>
      <w:pPr>
        <w:spacing w:after="0" w:line="150" w:lineRule="exact"/>
        <w:rPr>
          <w:rFonts w:ascii="Arial" w:cs="Arial" w:eastAsia="Arial" w:hAnsi="Arial"/>
          <w:sz w:val="16"/>
          <w:szCs w:val="16"/>
          <w:color w:val="auto"/>
        </w:rPr>
      </w:pPr>
    </w:p>
    <w:p>
      <w:pPr>
        <w:ind w:left="283" w:right="80"/>
        <w:spacing w:after="0" w:line="280" w:lineRule="auto"/>
        <w:rPr>
          <w:rFonts w:ascii="Arial" w:cs="Arial" w:eastAsia="Arial" w:hAnsi="Arial"/>
          <w:sz w:val="16"/>
          <w:szCs w:val="16"/>
          <w:color w:val="auto"/>
        </w:rPr>
      </w:pPr>
      <w:r>
        <w:rPr>
          <w:rFonts w:ascii="Arial" w:cs="Arial" w:eastAsia="Arial" w:hAnsi="Arial"/>
          <w:sz w:val="16"/>
          <w:szCs w:val="16"/>
          <w:color w:val="auto"/>
        </w:rPr>
        <w:t>Fees and commission income are recognized on an accrual basis. Contingent credit fees for loans that are likely to be drawn down and other credit related fees are deferred (together with any direct incremental costs) and recognized as an adjustment to the effective interest rate on the loan.</w:t>
      </w:r>
    </w:p>
    <w:p>
      <w:pPr>
        <w:spacing w:after="0" w:line="150"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All other revenues and expenses are recognized on an accrual basis.</w:t>
      </w:r>
    </w:p>
    <w:p>
      <w:pPr>
        <w:spacing w:after="0" w:line="202" w:lineRule="exact"/>
        <w:rPr>
          <w:rFonts w:ascii="Arial" w:cs="Arial" w:eastAsia="Arial" w:hAnsi="Arial"/>
          <w:sz w:val="16"/>
          <w:szCs w:val="16"/>
          <w:color w:val="auto"/>
        </w:rPr>
      </w:pPr>
    </w:p>
    <w:p>
      <w:pPr>
        <w:ind w:left="283" w:right="9680" w:hanging="283"/>
        <w:spacing w:after="0" w:line="576" w:lineRule="auto"/>
        <w:tabs>
          <w:tab w:leader="none" w:pos="283"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Insurance activities - Product classification:</w:t>
      </w:r>
    </w:p>
    <w:p>
      <w:pPr>
        <w:ind w:left="283" w:right="80"/>
        <w:spacing w:after="0" w:line="261" w:lineRule="auto"/>
        <w:rPr>
          <w:rFonts w:ascii="Arial" w:cs="Arial" w:eastAsia="Arial" w:hAnsi="Arial"/>
          <w:sz w:val="14"/>
          <w:szCs w:val="14"/>
          <w:color w:val="auto"/>
        </w:rPr>
      </w:pPr>
      <w:r>
        <w:rPr>
          <w:rFonts w:ascii="Arial" w:cs="Arial" w:eastAsia="Arial" w:hAnsi="Arial"/>
          <w:sz w:val="16"/>
          <w:szCs w:val="16"/>
          <w:color w:val="auto"/>
        </w:rPr>
        <w:t>Insurance contracts are those contracts when the Group (the insurer) has accepted a significant insurance risk from another party (the policyholder) by agreeing to compensate the policyholder if a specified uncertain future event (the insured event) adversely affects the policyholder. This definition also includes reinsurance contracts that the Group holds. As a general guideline, the Group determines whether it has significant insurance risk by comparing benefits paid with benefits payable if the insured event did not occur.</w:t>
      </w:r>
    </w:p>
    <w:p>
      <w:pPr>
        <w:spacing w:after="0" w:line="166" w:lineRule="exact"/>
        <w:rPr>
          <w:rFonts w:ascii="Arial" w:cs="Arial" w:eastAsia="Arial" w:hAnsi="Arial"/>
          <w:sz w:val="14"/>
          <w:szCs w:val="14"/>
          <w:color w:val="auto"/>
        </w:rPr>
      </w:pPr>
    </w:p>
    <w:p>
      <w:pPr>
        <w:ind w:left="283"/>
        <w:spacing w:after="0" w:line="280" w:lineRule="auto"/>
        <w:rPr>
          <w:rFonts w:ascii="Arial" w:cs="Arial" w:eastAsia="Arial" w:hAnsi="Arial"/>
          <w:sz w:val="14"/>
          <w:szCs w:val="14"/>
          <w:color w:val="auto"/>
        </w:rPr>
      </w:pPr>
      <w:r>
        <w:rPr>
          <w:rFonts w:ascii="Arial" w:cs="Arial" w:eastAsia="Arial" w:hAnsi="Arial"/>
          <w:sz w:val="16"/>
          <w:szCs w:val="16"/>
          <w:color w:val="auto"/>
        </w:rPr>
        <w:t>Once a contract has been classified as an insurance contract, it remains an insurance contract for the remainder of its lifetime, even if the insurance risk reduces significantly during this period, unless all rights and obligations are extinguished or expire.</w:t>
      </w:r>
    </w:p>
    <w:p>
      <w:pPr>
        <w:spacing w:after="0" w:line="150" w:lineRule="exact"/>
        <w:rPr>
          <w:rFonts w:ascii="Arial" w:cs="Arial" w:eastAsia="Arial" w:hAnsi="Arial"/>
          <w:sz w:val="14"/>
          <w:szCs w:val="14"/>
          <w:color w:val="auto"/>
        </w:rPr>
      </w:pPr>
    </w:p>
    <w:p>
      <w:pPr>
        <w:ind w:left="283" w:right="500"/>
        <w:spacing w:after="0" w:line="315" w:lineRule="auto"/>
        <w:rPr>
          <w:rFonts w:ascii="Arial" w:cs="Arial" w:eastAsia="Arial" w:hAnsi="Arial"/>
          <w:sz w:val="14"/>
          <w:szCs w:val="14"/>
          <w:color w:val="auto"/>
        </w:rPr>
      </w:pPr>
      <w:r>
        <w:rPr>
          <w:rFonts w:ascii="Arial" w:cs="Arial" w:eastAsia="Arial" w:hAnsi="Arial"/>
          <w:sz w:val="15"/>
          <w:szCs w:val="15"/>
          <w:color w:val="auto"/>
        </w:rPr>
        <w:t>Life insurance contracts offered by the Group include retirement, disability and survival insurance, annuities and individual life which includes unit linked insurance contracts. The non-life insurance contracts issued by the Group mainly include automobile, fire and allied and technical lines and healthcare.</w:t>
      </w:r>
    </w:p>
    <w:p>
      <w:pPr>
        <w:spacing w:after="0" w:line="320" w:lineRule="exact"/>
        <w:rPr>
          <w:rFonts w:ascii="Arial" w:cs="Arial" w:eastAsia="Arial" w:hAnsi="Arial"/>
          <w:sz w:val="14"/>
          <w:szCs w:val="14"/>
          <w:color w:val="auto"/>
        </w:rPr>
      </w:pPr>
    </w:p>
    <w:p>
      <w:pPr>
        <w:ind w:left="5643" w:hanging="94"/>
        <w:spacing w:after="0"/>
        <w:tabs>
          <w:tab w:leader="none" w:pos="5643" w:val="left"/>
        </w:tabs>
        <w:numPr>
          <w:ilvl w:val="1"/>
          <w:numId w:val="22"/>
        </w:numPr>
        <w:rPr>
          <w:rFonts w:ascii="Arial" w:cs="Arial" w:eastAsia="Arial" w:hAnsi="Arial"/>
          <w:sz w:val="16"/>
          <w:szCs w:val="16"/>
          <w:color w:val="auto"/>
        </w:rPr>
      </w:pPr>
      <w:r>
        <w:rPr>
          <w:rFonts w:ascii="Arial" w:cs="Arial" w:eastAsia="Arial" w:hAnsi="Arial"/>
          <w:sz w:val="16"/>
          <w:szCs w:val="16"/>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8" w:right="25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Reinsurance: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Group cedes insurance risk in the normal course of the operations for most of its businesses. Reinsurance assets represent balances due from reinsurance companies.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Reinsurance ceded is placed on both a proportional and non-proportional basis.</w:t>
      </w:r>
    </w:p>
    <w:p>
      <w:pPr>
        <w:spacing w:after="0" w:line="191"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Amounts recoverable from reinsurers are estimated in a manner consistent with the outstanding claims provision or settled claims and ceded premiums associated with the ceded policies and are in accordance with the related reinsurance contracts.</w:t>
      </w:r>
    </w:p>
    <w:p>
      <w:pPr>
        <w:spacing w:after="0" w:line="151" w:lineRule="exact"/>
        <w:rPr>
          <w:sz w:val="20"/>
          <w:szCs w:val="20"/>
          <w:color w:val="auto"/>
        </w:rPr>
      </w:pPr>
    </w:p>
    <w:p>
      <w:pPr>
        <w:jc w:val="both"/>
        <w:ind w:right="540"/>
        <w:spacing w:after="0" w:line="284" w:lineRule="auto"/>
        <w:rPr>
          <w:sz w:val="20"/>
          <w:szCs w:val="20"/>
          <w:color w:val="auto"/>
        </w:rPr>
      </w:pPr>
      <w:r>
        <w:rPr>
          <w:rFonts w:ascii="Arial" w:cs="Arial" w:eastAsia="Arial" w:hAnsi="Arial"/>
          <w:sz w:val="15"/>
          <w:szCs w:val="15"/>
          <w:color w:val="auto"/>
        </w:rPr>
        <w:t>Reinsurance assets are reviewed for impairment at each reporting date of the consolidated statement of financial position or more frequently when an indication of impairment arises during the reporting year. Impairment occurs when there is objective evidence as a result of an event that occurred after initial recognition of the reinsurance asset that the Group may not receive all outstanding amounts due under the terms of the contract and the event has a reliably measureable impact on the amounts that the Group will receive from the reinsurer. The impairment loss is recorded in the consolidated statement of income.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Ceded reinsurance arrangements do not relieve the Group from its obligations to policyholders.</w:t>
      </w:r>
    </w:p>
    <w:p>
      <w:pPr>
        <w:spacing w:after="0" w:line="203"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classification of the reinsured insurance contract.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Reinsurance liabilities represent balances due to reinsurance companies. Amounts payable are estimated in a manner consistent with the related reinsurance contract.</w:t>
      </w:r>
    </w:p>
    <w:p>
      <w:pPr>
        <w:spacing w:after="0" w:line="21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Premiums and claims are presented on a gross basis for both ceded and assumed reinsurance, see notes 24 and 25. Reinsurance assets or liabilities are derecognized when the contractual rights are extinguished or expire or when the contract is transferred to another party. Reinsurance contracts that do not transfer significant insurance risk are not material to the insurance segment.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Insurance receivables -</w:t>
      </w:r>
    </w:p>
    <w:p>
      <w:pPr>
        <w:spacing w:after="0" w:line="20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Insurance receivables are recognized when due and measured on initial recognition at the fair value of the consideration received or receivable. Subsequent to initial recognition, insurance receivables are measured at amortized cost. As of December 31, 2016 and 2015 the carrying amount of the insurance receivables is similar to their fair value due to their short term. The carrying value of insurance receivables is reviewed for impairment whenever events or circumstances indicate that the carrying amount may not be recoverable. The impairment loss is recorded in the consolidated statement of income. Insurance receivables are derecognized when the de-recognition criteria for financial assets, as described in Note 3(g), have been met.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Unit- Linked” assets -</w:t>
      </w:r>
    </w:p>
    <w:p>
      <w:pPr>
        <w:spacing w:after="0" w:line="20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“Unit- Linked” assets represent financial instruments held for purposes of funding a group of life insurance contracts and for which investment gains and losses accrue directly to the policyholders who bear the investment risk. Each account has specific objectives and the assets are carried at fair value. The balance of each account is legally segregated and is not subject to claims that arise out of any other business of the Group. The liabilities linked to these accounts are equal to the account assets, net of the commissions that the Group charges for the management of these contracts.</w:t>
      </w:r>
    </w:p>
    <w:p>
      <w:pPr>
        <w:spacing w:after="0" w:line="360"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13970</wp:posOffset>
            </wp:positionV>
            <wp:extent cx="7261225" cy="76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00"/>
          </w:cols>
          <w:pgMar w:left="520" w:top="828" w:right="27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Deferred acquisition costs (DAC) -</w:t>
      </w:r>
    </w:p>
    <w:p>
      <w:pPr>
        <w:spacing w:after="0" w:line="203" w:lineRule="exact"/>
        <w:rPr>
          <w:sz w:val="20"/>
          <w:szCs w:val="20"/>
          <w:color w:val="auto"/>
        </w:rPr>
      </w:pPr>
    </w:p>
    <w:p>
      <w:pPr>
        <w:ind w:right="200"/>
        <w:spacing w:after="0" w:line="354" w:lineRule="auto"/>
        <w:rPr>
          <w:sz w:val="20"/>
          <w:szCs w:val="20"/>
          <w:color w:val="auto"/>
        </w:rPr>
      </w:pPr>
      <w:r>
        <w:rPr>
          <w:rFonts w:ascii="Arial" w:cs="Arial" w:eastAsia="Arial" w:hAnsi="Arial"/>
          <w:sz w:val="14"/>
          <w:szCs w:val="14"/>
          <w:color w:val="auto"/>
        </w:rPr>
        <w:t>These comprise the direct costs that originate with and are related to traditional life and unit-linked insurance contracts which are deferred; all other acquisition costs are recognized as an expense when incurred. The direct acquisition costs comprise primarily agent commissions corresponding to the underwriting and policy issuance costs.</w:t>
      </w:r>
    </w:p>
    <w:p>
      <w:pPr>
        <w:spacing w:after="0" w:line="105"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Subsequent to initial recognition, these costs are amortized on a straight line basis based on the average expiration period of the related insurance contracts. Amortization is recorded in the consolidated statement of income.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DAC for general insurance and health products are amortized over the period in which the related revenues are earned.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DAC are derecognized when the related contracts are either settled or disposed of.</w:t>
      </w:r>
    </w:p>
    <w:p>
      <w:pPr>
        <w:spacing w:after="0" w:line="203"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An impairment review is performed at the date of the consolidated statement of financial position or more frequently when an indication of impairment arises. When the recoverable amounts is less than the carrying value an impairment loss is recognized in the consolidated statement of income. DAC is also considered in the liability adequacy test for each reporting period.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Reinsurance commissions -</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Commissions on reinsurance contracts for ceded premiums are amortized on a straight line basis over the term of the coverage of the related insurance contract.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Insurance contract liabilities -</w:t>
      </w:r>
    </w:p>
    <w:p>
      <w:pPr>
        <w:spacing w:after="0" w:line="203" w:lineRule="exact"/>
        <w:rPr>
          <w:sz w:val="20"/>
          <w:szCs w:val="20"/>
          <w:color w:val="auto"/>
        </w:rPr>
      </w:pPr>
    </w:p>
    <w:p>
      <w:pPr>
        <w:ind w:left="300" w:hanging="293"/>
        <w:spacing w:after="0"/>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Life insurance contract liabilities -</w:t>
      </w:r>
    </w:p>
    <w:p>
      <w:pPr>
        <w:spacing w:after="0" w:line="202"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6"/>
          <w:szCs w:val="16"/>
          <w:color w:val="auto"/>
        </w:rPr>
        <w:t>Life insurance liabilities are recognized when contracts are entered into.</w:t>
      </w:r>
    </w:p>
    <w:p>
      <w:pPr>
        <w:spacing w:after="0" w:line="202" w:lineRule="exact"/>
        <w:rPr>
          <w:rFonts w:ascii="Arial" w:cs="Arial" w:eastAsia="Arial" w:hAnsi="Arial"/>
          <w:sz w:val="16"/>
          <w:szCs w:val="16"/>
          <w:color w:val="auto"/>
        </w:rPr>
      </w:pPr>
    </w:p>
    <w:p>
      <w:pPr>
        <w:ind w:left="300" w:right="180"/>
        <w:spacing w:after="0" w:line="266" w:lineRule="auto"/>
        <w:rPr>
          <w:rFonts w:ascii="Arial" w:cs="Arial" w:eastAsia="Arial" w:hAnsi="Arial"/>
          <w:sz w:val="16"/>
          <w:szCs w:val="16"/>
          <w:color w:val="auto"/>
        </w:rPr>
      </w:pPr>
      <w:r>
        <w:rPr>
          <w:rFonts w:ascii="Arial" w:cs="Arial" w:eastAsia="Arial" w:hAnsi="Arial"/>
          <w:sz w:val="16"/>
          <w:szCs w:val="16"/>
          <w:color w:val="auto"/>
        </w:rPr>
        <w:t>The technical reserves of retirement, disability and survivor’s pension include the reserves of all of the business lines, comprising both the mathematical reserves and those of ongoing risk, as well as the reserves for outstanding claims, settled claims, claim settlement costs, claims incurred but not reported (IBNR), as applicable to each line.</w:t>
      </w:r>
    </w:p>
    <w:p>
      <w:pPr>
        <w:spacing w:after="0" w:line="161" w:lineRule="exact"/>
        <w:rPr>
          <w:rFonts w:ascii="Arial" w:cs="Arial" w:eastAsia="Arial" w:hAnsi="Arial"/>
          <w:sz w:val="16"/>
          <w:szCs w:val="16"/>
          <w:color w:val="auto"/>
        </w:rPr>
      </w:pPr>
    </w:p>
    <w:p>
      <w:pPr>
        <w:ind w:left="300"/>
        <w:spacing w:after="0" w:line="276" w:lineRule="auto"/>
        <w:rPr>
          <w:rFonts w:ascii="Arial" w:cs="Arial" w:eastAsia="Arial" w:hAnsi="Arial"/>
          <w:sz w:val="16"/>
          <w:szCs w:val="16"/>
          <w:color w:val="auto"/>
        </w:rPr>
      </w:pPr>
      <w:r>
        <w:rPr>
          <w:rFonts w:ascii="Arial" w:cs="Arial" w:eastAsia="Arial" w:hAnsi="Arial"/>
          <w:sz w:val="15"/>
          <w:szCs w:val="15"/>
          <w:color w:val="auto"/>
        </w:rPr>
        <w:t>Due to the nature of the business, the mathematical reserves of the pension lines represent the main part of the company’s reserves, with the line of Life Annuities as the major source of reserves due to the important volume of premiums and as a result of having only single premiums. In order to determine the reserves of this business, the discounted present value of the expected future pensions, to be paid in a guaranteed and non-guaranteed period is taken into account, calculated on the basis of mortality tables and interest rates. Those are based on the asset portfolio which supports the liabilities. Additionally, the constituted reserves including the amount required to cover the maintenance expenses related to the individual life insurance contracts (including Unit Linked insurance policies) are determined by the sum of the discounted value of the expected future benefits, occurrence of claims, administration expenses, options, guarantees and profit on investment, less the current value of the exected theoretical premiums which would be required to comply with the payment obligations of future pensions.</w:t>
      </w:r>
    </w:p>
    <w:p>
      <w:pPr>
        <w:spacing w:after="0" w:line="352" w:lineRule="exact"/>
        <w:rPr>
          <w:rFonts w:ascii="Arial" w:cs="Arial" w:eastAsia="Arial" w:hAnsi="Arial"/>
          <w:sz w:val="16"/>
          <w:szCs w:val="16"/>
          <w:color w:val="auto"/>
        </w:rPr>
      </w:pPr>
    </w:p>
    <w:p>
      <w:pPr>
        <w:ind w:left="5360" w:hanging="94"/>
        <w:spacing w:after="0"/>
        <w:tabs>
          <w:tab w:leader="none" w:pos="53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13970</wp:posOffset>
            </wp:positionV>
            <wp:extent cx="7261225" cy="76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40"/>
          </w:cols>
          <w:pgMar w:left="520" w:top="828" w:right="239" w:bottom="1440" w:gutter="0" w:footer="0" w:header="0"/>
        </w:sectPr>
      </w:pPr>
    </w:p>
    <w:bookmarkStart w:id="33" w:name="page34"/>
    <w:bookmarkEnd w:id="33"/>
    <w:p>
      <w:pPr>
        <w:ind w:left="293" w:right="40"/>
        <w:spacing w:after="0" w:line="257" w:lineRule="auto"/>
        <w:rPr>
          <w:sz w:val="20"/>
          <w:szCs w:val="20"/>
          <w:color w:val="auto"/>
        </w:rPr>
      </w:pPr>
      <w:r>
        <w:rPr>
          <w:rFonts w:ascii="Arial" w:cs="Arial" w:eastAsia="Arial" w:hAnsi="Arial"/>
          <w:sz w:val="16"/>
          <w:szCs w:val="16"/>
          <w:color w:val="auto"/>
        </w:rPr>
        <w:t>On the other hand, in the Life Annuities business the company offers some products which are only risk related and others of risk and savings, the latter being those which comprise the highest percentage of reserves of the line. Life insurance contracts comprise the provision for unearned premiums and ongoing risks. Risk and savings products can be differentiated between those with a guaranteed interest rate and others without guaranteed interest, the reserve for the first group being equal to the balance of the policy accounts plus the unaccredited surplus interest, and for the second group it is equal to the balance of the policy accounts. Said accounts are established with the premiums collected, tax deductions, expenses and costs of insurance and the accreditation of interest based on the yield of the portfolio which supports said reserves.</w:t>
      </w:r>
    </w:p>
    <w:p>
      <w:pPr>
        <w:spacing w:after="0" w:line="172" w:lineRule="exact"/>
        <w:rPr>
          <w:sz w:val="20"/>
          <w:szCs w:val="20"/>
          <w:color w:val="auto"/>
        </w:rPr>
      </w:pPr>
    </w:p>
    <w:p>
      <w:pPr>
        <w:ind w:left="293" w:right="100"/>
        <w:spacing w:after="0" w:line="259" w:lineRule="auto"/>
        <w:rPr>
          <w:sz w:val="20"/>
          <w:szCs w:val="20"/>
          <w:color w:val="auto"/>
        </w:rPr>
      </w:pPr>
      <w:r>
        <w:rPr>
          <w:rFonts w:ascii="Arial" w:cs="Arial" w:eastAsia="Arial" w:hAnsi="Arial"/>
          <w:sz w:val="16"/>
          <w:szCs w:val="16"/>
          <w:color w:val="auto"/>
        </w:rPr>
        <w:t>Life insurance claims reserves include reserves for reported claims and the estimates of the incurred claims that have not been reported to the Group (hereinafter “IBNR”). IBNR reserves are determined on the basis of the Chain Ladder methodology (a generally accepted actuarial method), whereby the weighted average of past claim development is projected into the future; this projection is based on the ratios of occurrence of accumulated past claims. Adjustments to the liabilities at each reporting date of the consolidated statement of financial position are recorded in the consolidated statement of income. The liability is derecognized when the contract expires, is discharged or is cancelled.</w:t>
      </w:r>
    </w:p>
    <w:p>
      <w:pPr>
        <w:spacing w:after="0" w:line="168" w:lineRule="exact"/>
        <w:rPr>
          <w:sz w:val="20"/>
          <w:szCs w:val="20"/>
          <w:color w:val="auto"/>
        </w:rPr>
      </w:pPr>
    </w:p>
    <w:p>
      <w:pPr>
        <w:ind w:left="293" w:right="60"/>
        <w:spacing w:after="0" w:line="266" w:lineRule="auto"/>
        <w:rPr>
          <w:sz w:val="20"/>
          <w:szCs w:val="20"/>
          <w:color w:val="auto"/>
        </w:rPr>
      </w:pPr>
      <w:r>
        <w:rPr>
          <w:rFonts w:ascii="Arial" w:cs="Arial" w:eastAsia="Arial" w:hAnsi="Arial"/>
          <w:sz w:val="16"/>
          <w:szCs w:val="16"/>
          <w:color w:val="auto"/>
        </w:rPr>
        <w:t>At each reporting date, an evaluation is carried out as to whether the life insurance liabilities are adequate, net of the related DAC, by means of a liability adequacy test as established by IFRS 4. At December 31, of 2016 and 2015, the Group’s Management concluded that the liabilities are sufficient and, therefore, they have not recognized any additional liability for life insurance contracts.</w:t>
      </w:r>
    </w:p>
    <w:p>
      <w:pPr>
        <w:spacing w:after="0" w:line="162" w:lineRule="exact"/>
        <w:rPr>
          <w:sz w:val="20"/>
          <w:szCs w:val="20"/>
          <w:color w:val="auto"/>
        </w:rPr>
      </w:pPr>
    </w:p>
    <w:p>
      <w:pPr>
        <w:ind w:left="293" w:right="5020" w:hanging="293"/>
        <w:spacing w:after="0" w:line="576" w:lineRule="auto"/>
        <w:tabs>
          <w:tab w:leader="none" w:pos="293"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Non-life insurance contract liabilities (which comprise general and healthcare insurance) - Non-life insurance contract liabilities are recognized when contracts are entered into.</w:t>
      </w:r>
    </w:p>
    <w:p>
      <w:pPr>
        <w:ind w:left="293"/>
        <w:spacing w:after="0" w:line="256" w:lineRule="auto"/>
        <w:rPr>
          <w:rFonts w:ascii="Arial" w:cs="Arial" w:eastAsia="Arial" w:hAnsi="Arial"/>
          <w:sz w:val="14"/>
          <w:szCs w:val="14"/>
          <w:color w:val="auto"/>
        </w:rPr>
      </w:pPr>
      <w:r>
        <w:rPr>
          <w:rFonts w:ascii="Arial" w:cs="Arial" w:eastAsia="Arial" w:hAnsi="Arial"/>
          <w:sz w:val="16"/>
          <w:szCs w:val="16"/>
          <w:color w:val="auto"/>
        </w:rPr>
        <w:t>Claims reserves are based on the last estimated cost of all claims incurred but not settled at the date of the consolidated statement of financial position, whether reported or not, together with related claim handling costs and the expected reduction in value of salvage and other recoveries. Delays can be experienced in the notification and settlement of certain types of claims, therefore their ultimate cost cannot be known with certainty at the date of the consolidated statement of financial position. IBNR are estimated and included in the provision (liabilities). IBNR reserves are determined on the basis of the Bornhuetter - Ferguson methodology – BF (a generally accepted actuarial method), which considers a statistical analysis of the recorded loss history, the use of projection methods and, when appropriate, qualitative factors that reflect present conditions or trends that could affect the historical data. No provision for equalization or catastrophe reserves is recognized. The liabilities are derecognized when the contract expires, is discharged or is cancelled.</w:t>
      </w:r>
    </w:p>
    <w:p>
      <w:pPr>
        <w:spacing w:after="0" w:line="173" w:lineRule="exact"/>
        <w:rPr>
          <w:rFonts w:ascii="Arial" w:cs="Arial" w:eastAsia="Arial" w:hAnsi="Arial"/>
          <w:sz w:val="14"/>
          <w:szCs w:val="14"/>
          <w:color w:val="auto"/>
        </w:rPr>
      </w:pPr>
    </w:p>
    <w:p>
      <w:pPr>
        <w:ind w:left="293" w:right="460"/>
        <w:spacing w:after="0" w:line="280" w:lineRule="auto"/>
        <w:rPr>
          <w:rFonts w:ascii="Arial" w:cs="Arial" w:eastAsia="Arial" w:hAnsi="Arial"/>
          <w:sz w:val="14"/>
          <w:szCs w:val="14"/>
          <w:color w:val="auto"/>
        </w:rPr>
      </w:pPr>
      <w:r>
        <w:rPr>
          <w:rFonts w:ascii="Arial" w:cs="Arial" w:eastAsia="Arial" w:hAnsi="Arial"/>
          <w:sz w:val="16"/>
          <w:szCs w:val="16"/>
          <w:color w:val="auto"/>
        </w:rPr>
        <w:t>Technical reserves for non-life insurance contracts comprise the provision for unearned premiums which represents premiums received for risks that have not yet expired. Generally, the reserve is term of the contract and is recognized as premium income.</w:t>
      </w:r>
    </w:p>
    <w:p>
      <w:pPr>
        <w:spacing w:after="0" w:line="150" w:lineRule="exact"/>
        <w:rPr>
          <w:rFonts w:ascii="Arial" w:cs="Arial" w:eastAsia="Arial" w:hAnsi="Arial"/>
          <w:sz w:val="14"/>
          <w:szCs w:val="14"/>
          <w:color w:val="auto"/>
        </w:rPr>
      </w:pPr>
    </w:p>
    <w:p>
      <w:pPr>
        <w:ind w:left="293" w:right="20"/>
        <w:spacing w:after="0" w:line="284" w:lineRule="auto"/>
        <w:rPr>
          <w:rFonts w:ascii="Arial" w:cs="Arial" w:eastAsia="Arial" w:hAnsi="Arial"/>
          <w:sz w:val="14"/>
          <w:szCs w:val="14"/>
          <w:color w:val="auto"/>
        </w:rPr>
      </w:pPr>
      <w:r>
        <w:rPr>
          <w:rFonts w:ascii="Arial" w:cs="Arial" w:eastAsia="Arial" w:hAnsi="Arial"/>
          <w:sz w:val="15"/>
          <w:szCs w:val="15"/>
          <w:color w:val="auto"/>
        </w:rPr>
        <w:t>At each reporting date the Group reviews the risk from outstanding claims and an existing liability adequacy test as laid out under IFRS 4, to determine whether there is any overall excess of expected claims over unearned premiums. If these estimates show that the carrying amount of the unearned premiums is inadequate, the deficiency is recognized in the consolidated statement of income by setting up a provision for liability adequacy. As of December 31, 2016 and 2015, Management determined that the liabilities were adequate; therefore, it has not recorded any additional liabilities for non-life insurance contracts.</w:t>
      </w:r>
    </w:p>
    <w:p>
      <w:pPr>
        <w:spacing w:after="0" w:line="343" w:lineRule="exact"/>
        <w:rPr>
          <w:rFonts w:ascii="Arial" w:cs="Arial" w:eastAsia="Arial" w:hAnsi="Arial"/>
          <w:sz w:val="14"/>
          <w:szCs w:val="14"/>
          <w:color w:val="auto"/>
        </w:rPr>
      </w:pPr>
    </w:p>
    <w:p>
      <w:pPr>
        <w:ind w:left="5353" w:hanging="94"/>
        <w:spacing w:after="0"/>
        <w:tabs>
          <w:tab w:leader="none" w:pos="5353" w:val="left"/>
        </w:tabs>
        <w:numPr>
          <w:ilvl w:val="1"/>
          <w:numId w:val="24"/>
        </w:numPr>
        <w:rPr>
          <w:rFonts w:ascii="Arial" w:cs="Arial" w:eastAsia="Arial" w:hAnsi="Arial"/>
          <w:sz w:val="16"/>
          <w:szCs w:val="16"/>
          <w:color w:val="auto"/>
        </w:rPr>
      </w:pPr>
      <w:r>
        <w:rPr>
          <w:rFonts w:ascii="Arial" w:cs="Arial" w:eastAsia="Arial" w:hAnsi="Arial"/>
          <w:sz w:val="16"/>
          <w:szCs w:val="16"/>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13970</wp:posOffset>
            </wp:positionV>
            <wp:extent cx="7261225" cy="76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33"/>
          </w:cols>
          <w:pgMar w:left="527" w:top="828" w:right="239" w:bottom="1440" w:gutter="0" w:footer="0" w:header="0"/>
        </w:sectPr>
      </w:pPr>
    </w:p>
    <w:bookmarkStart w:id="34" w:name="page35"/>
    <w:bookmarkEnd w:id="34"/>
    <w:p>
      <w:pPr>
        <w:ind w:left="66"/>
        <w:spacing w:after="0"/>
        <w:rPr>
          <w:sz w:val="20"/>
          <w:szCs w:val="20"/>
          <w:color w:val="auto"/>
        </w:rPr>
      </w:pPr>
      <w:r>
        <w:rPr>
          <w:rFonts w:ascii="Arial" w:cs="Arial" w:eastAsia="Arial" w:hAnsi="Arial"/>
          <w:sz w:val="16"/>
          <w:szCs w:val="16"/>
          <w:color w:val="auto"/>
        </w:rPr>
        <w:t>Income recognition:</w:t>
      </w:r>
    </w:p>
    <w:p>
      <w:pPr>
        <w:spacing w:after="0" w:line="203" w:lineRule="exact"/>
        <w:rPr>
          <w:sz w:val="20"/>
          <w:szCs w:val="20"/>
          <w:color w:val="auto"/>
        </w:rPr>
      </w:pPr>
    </w:p>
    <w:p>
      <w:pPr>
        <w:ind w:left="366" w:hanging="293"/>
        <w:spacing w:after="0"/>
        <w:tabs>
          <w:tab w:leader="none" w:pos="366" w:val="left"/>
        </w:tabs>
        <w:numPr>
          <w:ilvl w:val="0"/>
          <w:numId w:val="25"/>
        </w:numPr>
        <w:rPr>
          <w:rFonts w:ascii="Arial" w:cs="Arial" w:eastAsia="Arial" w:hAnsi="Arial"/>
          <w:sz w:val="16"/>
          <w:szCs w:val="16"/>
          <w:color w:val="auto"/>
        </w:rPr>
      </w:pPr>
      <w:r>
        <w:rPr>
          <w:rFonts w:ascii="Arial" w:cs="Arial" w:eastAsia="Arial" w:hAnsi="Arial"/>
          <w:sz w:val="16"/>
          <w:szCs w:val="16"/>
          <w:color w:val="auto"/>
        </w:rPr>
        <w:t>Gross premiums -</w:t>
      </w:r>
    </w:p>
    <w:p>
      <w:pPr>
        <w:spacing w:after="0" w:line="202" w:lineRule="exact"/>
        <w:rPr>
          <w:rFonts w:ascii="Arial" w:cs="Arial" w:eastAsia="Arial" w:hAnsi="Arial"/>
          <w:sz w:val="16"/>
          <w:szCs w:val="16"/>
          <w:color w:val="auto"/>
        </w:rPr>
      </w:pPr>
    </w:p>
    <w:p>
      <w:pPr>
        <w:ind w:left="366"/>
        <w:spacing w:after="0"/>
        <w:rPr>
          <w:rFonts w:ascii="Arial" w:cs="Arial" w:eastAsia="Arial" w:hAnsi="Arial"/>
          <w:sz w:val="16"/>
          <w:szCs w:val="16"/>
          <w:color w:val="auto"/>
        </w:rPr>
      </w:pPr>
      <w:r>
        <w:rPr>
          <w:rFonts w:ascii="Arial" w:cs="Arial" w:eastAsia="Arial" w:hAnsi="Arial"/>
          <w:sz w:val="16"/>
          <w:szCs w:val="16"/>
          <w:color w:val="auto"/>
        </w:rPr>
        <w:t>Life insurance contracts -</w:t>
      </w:r>
    </w:p>
    <w:p>
      <w:pPr>
        <w:spacing w:after="0" w:line="202" w:lineRule="exact"/>
        <w:rPr>
          <w:rFonts w:ascii="Arial" w:cs="Arial" w:eastAsia="Arial" w:hAnsi="Arial"/>
          <w:sz w:val="16"/>
          <w:szCs w:val="16"/>
          <w:color w:val="auto"/>
        </w:rPr>
      </w:pPr>
    </w:p>
    <w:p>
      <w:pPr>
        <w:ind w:left="366" w:right="20"/>
        <w:spacing w:after="0" w:line="280" w:lineRule="auto"/>
        <w:rPr>
          <w:rFonts w:ascii="Arial" w:cs="Arial" w:eastAsia="Arial" w:hAnsi="Arial"/>
          <w:sz w:val="16"/>
          <w:szCs w:val="16"/>
          <w:color w:val="auto"/>
        </w:rPr>
      </w:pPr>
      <w:r>
        <w:rPr>
          <w:rFonts w:ascii="Arial" w:cs="Arial" w:eastAsia="Arial" w:hAnsi="Arial"/>
          <w:sz w:val="16"/>
          <w:szCs w:val="16"/>
          <w:color w:val="auto"/>
        </w:rPr>
        <w:t>Gross premiums on life contracts are recognized as revenue when due from the policyholder. For single premium business, revenue is recognized on the date on which the policy is effective.</w:t>
      </w:r>
    </w:p>
    <w:p>
      <w:pPr>
        <w:spacing w:after="0" w:line="150" w:lineRule="exact"/>
        <w:rPr>
          <w:rFonts w:ascii="Arial" w:cs="Arial" w:eastAsia="Arial" w:hAnsi="Arial"/>
          <w:sz w:val="16"/>
          <w:szCs w:val="16"/>
          <w:color w:val="auto"/>
        </w:rPr>
      </w:pPr>
    </w:p>
    <w:p>
      <w:pPr>
        <w:ind w:left="366"/>
        <w:spacing w:after="0"/>
        <w:rPr>
          <w:rFonts w:ascii="Arial" w:cs="Arial" w:eastAsia="Arial" w:hAnsi="Arial"/>
          <w:sz w:val="16"/>
          <w:szCs w:val="16"/>
          <w:color w:val="auto"/>
        </w:rPr>
      </w:pPr>
      <w:r>
        <w:rPr>
          <w:rFonts w:ascii="Arial" w:cs="Arial" w:eastAsia="Arial" w:hAnsi="Arial"/>
          <w:sz w:val="16"/>
          <w:szCs w:val="16"/>
          <w:color w:val="auto"/>
        </w:rPr>
        <w:t>Non-life insurance contracts -</w:t>
      </w:r>
    </w:p>
    <w:p>
      <w:pPr>
        <w:spacing w:after="0" w:line="202" w:lineRule="exact"/>
        <w:rPr>
          <w:rFonts w:ascii="Arial" w:cs="Arial" w:eastAsia="Arial" w:hAnsi="Arial"/>
          <w:sz w:val="16"/>
          <w:szCs w:val="16"/>
          <w:color w:val="auto"/>
        </w:rPr>
      </w:pPr>
    </w:p>
    <w:p>
      <w:pPr>
        <w:ind w:left="366"/>
        <w:spacing w:after="0" w:line="266" w:lineRule="auto"/>
        <w:rPr>
          <w:rFonts w:ascii="Arial" w:cs="Arial" w:eastAsia="Arial" w:hAnsi="Arial"/>
          <w:sz w:val="16"/>
          <w:szCs w:val="16"/>
          <w:color w:val="auto"/>
        </w:rPr>
      </w:pPr>
      <w:r>
        <w:rPr>
          <w:rFonts w:ascii="Arial" w:cs="Arial" w:eastAsia="Arial" w:hAnsi="Arial"/>
          <w:sz w:val="16"/>
          <w:szCs w:val="16"/>
          <w:color w:val="auto"/>
        </w:rPr>
        <w:t>Gross non-life insurance direct and assumed premiums comprise the total premiums written and are recognized on the date of issue of the policy as a receivable. At the same time, a reserve is recorded for unearned premiums which represents premiums for risks that have not yet expired. Unearned premiums are recognized as income over the contract period which is also the coverage and risk period.</w:t>
      </w:r>
    </w:p>
    <w:p>
      <w:pPr>
        <w:spacing w:after="0" w:line="161" w:lineRule="exact"/>
        <w:rPr>
          <w:rFonts w:ascii="Arial" w:cs="Arial" w:eastAsia="Arial" w:hAnsi="Arial"/>
          <w:sz w:val="16"/>
          <w:szCs w:val="16"/>
          <w:color w:val="auto"/>
        </w:rPr>
      </w:pPr>
    </w:p>
    <w:p>
      <w:pPr>
        <w:ind w:left="366" w:hanging="293"/>
        <w:spacing w:after="0"/>
        <w:tabs>
          <w:tab w:leader="none" w:pos="366" w:val="left"/>
        </w:tabs>
        <w:numPr>
          <w:ilvl w:val="0"/>
          <w:numId w:val="25"/>
        </w:numPr>
        <w:rPr>
          <w:rFonts w:ascii="Arial" w:cs="Arial" w:eastAsia="Arial" w:hAnsi="Arial"/>
          <w:sz w:val="16"/>
          <w:szCs w:val="16"/>
          <w:color w:val="auto"/>
        </w:rPr>
      </w:pPr>
      <w:r>
        <w:rPr>
          <w:rFonts w:ascii="Arial" w:cs="Arial" w:eastAsia="Arial" w:hAnsi="Arial"/>
          <w:sz w:val="16"/>
          <w:szCs w:val="16"/>
          <w:color w:val="auto"/>
        </w:rPr>
        <w:t>Fees and commission income -</w:t>
      </w:r>
    </w:p>
    <w:p>
      <w:pPr>
        <w:spacing w:after="0" w:line="202" w:lineRule="exact"/>
        <w:rPr>
          <w:rFonts w:ascii="Arial" w:cs="Arial" w:eastAsia="Arial" w:hAnsi="Arial"/>
          <w:sz w:val="16"/>
          <w:szCs w:val="16"/>
          <w:color w:val="auto"/>
        </w:rPr>
      </w:pPr>
    </w:p>
    <w:p>
      <w:pPr>
        <w:ind w:left="366" w:right="60"/>
        <w:spacing w:after="0" w:line="280" w:lineRule="auto"/>
        <w:rPr>
          <w:rFonts w:ascii="Arial" w:cs="Arial" w:eastAsia="Arial" w:hAnsi="Arial"/>
          <w:sz w:val="16"/>
          <w:szCs w:val="16"/>
          <w:color w:val="auto"/>
        </w:rPr>
      </w:pPr>
      <w:r>
        <w:rPr>
          <w:rFonts w:ascii="Arial" w:cs="Arial" w:eastAsia="Arial" w:hAnsi="Arial"/>
          <w:sz w:val="16"/>
          <w:szCs w:val="16"/>
          <w:color w:val="auto"/>
        </w:rPr>
        <w:t>Unit-linked insurance contract policyholders remunerate the Group for policy administration services, investment management services, surrenders and other contract fees. These fees are recognized as revenue in the consolidated statement of income in the period in which the services are provided.</w:t>
      </w:r>
    </w:p>
    <w:p>
      <w:pPr>
        <w:spacing w:after="0" w:line="150" w:lineRule="exact"/>
        <w:rPr>
          <w:rFonts w:ascii="Arial" w:cs="Arial" w:eastAsia="Arial" w:hAnsi="Arial"/>
          <w:sz w:val="16"/>
          <w:szCs w:val="16"/>
          <w:color w:val="auto"/>
        </w:rPr>
      </w:pPr>
    </w:p>
    <w:p>
      <w:pPr>
        <w:ind w:left="366" w:right="4240" w:hanging="293"/>
        <w:spacing w:after="0" w:line="504" w:lineRule="auto"/>
        <w:tabs>
          <w:tab w:leader="none" w:pos="366"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Income from medical services and sale of medicines (those not categorized as healthcare insurance) - Income from medical services is recognized on the date the service is provided.</w:t>
      </w:r>
    </w:p>
    <w:p>
      <w:pPr>
        <w:spacing w:after="0" w:line="1" w:lineRule="exact"/>
        <w:rPr>
          <w:sz w:val="20"/>
          <w:szCs w:val="20"/>
          <w:color w:val="auto"/>
        </w:rPr>
      </w:pPr>
    </w:p>
    <w:p>
      <w:pPr>
        <w:ind w:left="366" w:right="40"/>
        <w:spacing w:after="0" w:line="280" w:lineRule="auto"/>
        <w:rPr>
          <w:sz w:val="20"/>
          <w:szCs w:val="20"/>
          <w:color w:val="auto"/>
        </w:rPr>
      </w:pPr>
      <w:r>
        <w:rPr>
          <w:rFonts w:ascii="Arial" w:cs="Arial" w:eastAsia="Arial" w:hAnsi="Arial"/>
          <w:sz w:val="16"/>
          <w:szCs w:val="16"/>
          <w:color w:val="auto"/>
        </w:rPr>
        <w:t>Income from the sale of medicines is recognized when the significant risks and rewards inherent to ownership of the medicines have passed to the buyer, usually upon delivery of the medicines.</w:t>
      </w:r>
    </w:p>
    <w:p>
      <w:pPr>
        <w:spacing w:after="0" w:line="151" w:lineRule="exact"/>
        <w:rPr>
          <w:sz w:val="20"/>
          <w:szCs w:val="20"/>
          <w:color w:val="auto"/>
        </w:rPr>
      </w:pPr>
    </w:p>
    <w:p>
      <w:pPr>
        <w:ind w:left="366"/>
        <w:spacing w:after="0"/>
        <w:rPr>
          <w:sz w:val="20"/>
          <w:szCs w:val="20"/>
          <w:color w:val="auto"/>
        </w:rPr>
      </w:pPr>
      <w:r>
        <w:rPr>
          <w:rFonts w:ascii="Arial" w:cs="Arial" w:eastAsia="Arial" w:hAnsi="Arial"/>
          <w:sz w:val="16"/>
          <w:szCs w:val="16"/>
          <w:color w:val="auto"/>
        </w:rPr>
        <w:t>Income from medical services and sale of medicines is recorded in “Other income” of the consolidated statement of income.</w:t>
      </w:r>
    </w:p>
    <w:p>
      <w:pPr>
        <w:spacing w:after="0" w:line="203" w:lineRule="exact"/>
        <w:rPr>
          <w:sz w:val="20"/>
          <w:szCs w:val="20"/>
          <w:color w:val="auto"/>
        </w:rPr>
      </w:pPr>
    </w:p>
    <w:p>
      <w:pPr>
        <w:ind w:left="66"/>
        <w:spacing w:after="0"/>
        <w:rPr>
          <w:sz w:val="20"/>
          <w:szCs w:val="20"/>
          <w:color w:val="auto"/>
        </w:rPr>
      </w:pPr>
      <w:r>
        <w:rPr>
          <w:rFonts w:ascii="Arial" w:cs="Arial" w:eastAsia="Arial" w:hAnsi="Arial"/>
          <w:sz w:val="16"/>
          <w:szCs w:val="16"/>
          <w:color w:val="auto"/>
        </w:rPr>
        <w:t>Recognition of benefits, claims and expenses:</w:t>
      </w:r>
    </w:p>
    <w:p>
      <w:pPr>
        <w:spacing w:after="0" w:line="203" w:lineRule="exact"/>
        <w:rPr>
          <w:sz w:val="20"/>
          <w:szCs w:val="20"/>
          <w:color w:val="auto"/>
        </w:rPr>
      </w:pPr>
    </w:p>
    <w:p>
      <w:pPr>
        <w:ind w:left="346" w:hanging="273"/>
        <w:spacing w:after="0"/>
        <w:tabs>
          <w:tab w:leader="none" w:pos="346" w:val="left"/>
        </w:tabs>
        <w:numPr>
          <w:ilvl w:val="1"/>
          <w:numId w:val="26"/>
        </w:numPr>
        <w:rPr>
          <w:rFonts w:ascii="Arial" w:cs="Arial" w:eastAsia="Arial" w:hAnsi="Arial"/>
          <w:sz w:val="16"/>
          <w:szCs w:val="16"/>
          <w:color w:val="auto"/>
        </w:rPr>
      </w:pPr>
      <w:r>
        <w:rPr>
          <w:rFonts w:ascii="Arial" w:cs="Arial" w:eastAsia="Arial" w:hAnsi="Arial"/>
          <w:sz w:val="16"/>
          <w:szCs w:val="16"/>
          <w:color w:val="auto"/>
        </w:rPr>
        <w:t>Benefits and claims -</w:t>
      </w:r>
    </w:p>
    <w:p>
      <w:pPr>
        <w:spacing w:after="0" w:line="202" w:lineRule="exact"/>
        <w:rPr>
          <w:rFonts w:ascii="Arial" w:cs="Arial" w:eastAsia="Arial" w:hAnsi="Arial"/>
          <w:sz w:val="16"/>
          <w:szCs w:val="16"/>
          <w:color w:val="auto"/>
        </w:rPr>
      </w:pPr>
    </w:p>
    <w:p>
      <w:pPr>
        <w:ind w:left="366" w:right="120"/>
        <w:spacing w:after="0" w:line="266" w:lineRule="auto"/>
        <w:rPr>
          <w:rFonts w:ascii="Arial" w:cs="Arial" w:eastAsia="Arial" w:hAnsi="Arial"/>
          <w:sz w:val="16"/>
          <w:szCs w:val="16"/>
          <w:color w:val="auto"/>
        </w:rPr>
      </w:pPr>
      <w:r>
        <w:rPr>
          <w:rFonts w:ascii="Arial" w:cs="Arial" w:eastAsia="Arial" w:hAnsi="Arial"/>
          <w:sz w:val="16"/>
          <w:szCs w:val="16"/>
          <w:color w:val="auto"/>
        </w:rPr>
        <w:t>The benefits and claims for life insurance contracts include the cost of all claims arising during the year including internal and external claim handling costs that are directly related to the processing and settlement of claims. Death, survival and disability claims are recorded on the basis of notifications received. Pension payments are recorded when they accrue.</w:t>
      </w:r>
    </w:p>
    <w:p>
      <w:pPr>
        <w:spacing w:after="0" w:line="161" w:lineRule="exact"/>
        <w:rPr>
          <w:rFonts w:ascii="Arial" w:cs="Arial" w:eastAsia="Arial" w:hAnsi="Arial"/>
          <w:sz w:val="16"/>
          <w:szCs w:val="16"/>
          <w:color w:val="auto"/>
        </w:rPr>
      </w:pPr>
    </w:p>
    <w:p>
      <w:pPr>
        <w:jc w:val="both"/>
        <w:ind w:left="366" w:right="160"/>
        <w:spacing w:after="0" w:line="266" w:lineRule="auto"/>
        <w:rPr>
          <w:rFonts w:ascii="Arial" w:cs="Arial" w:eastAsia="Arial" w:hAnsi="Arial"/>
          <w:sz w:val="16"/>
          <w:szCs w:val="16"/>
          <w:color w:val="auto"/>
        </w:rPr>
      </w:pPr>
      <w:r>
        <w:rPr>
          <w:rFonts w:ascii="Arial" w:cs="Arial" w:eastAsia="Arial" w:hAnsi="Arial"/>
          <w:sz w:val="16"/>
          <w:szCs w:val="16"/>
          <w:color w:val="auto"/>
        </w:rPr>
        <w:t>General and health insurance claims include all claims occurring during the year, whether reported or not, internal and external claim handling costs that are directly related to the processing and settlement of claims, a reduction for the value of salvage and other recoveries, and any adjustment to claims outstanding from previous years.</w:t>
      </w:r>
    </w:p>
    <w:p>
      <w:pPr>
        <w:spacing w:after="0" w:line="161" w:lineRule="exact"/>
        <w:rPr>
          <w:rFonts w:ascii="Arial" w:cs="Arial" w:eastAsia="Arial" w:hAnsi="Arial"/>
          <w:sz w:val="16"/>
          <w:szCs w:val="16"/>
          <w:color w:val="auto"/>
        </w:rPr>
      </w:pPr>
    </w:p>
    <w:p>
      <w:pPr>
        <w:ind w:left="346" w:hanging="346"/>
        <w:spacing w:after="0"/>
        <w:tabs>
          <w:tab w:leader="none" w:pos="346"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Reinsurance premiums -</w:t>
      </w:r>
    </w:p>
    <w:p>
      <w:pPr>
        <w:spacing w:after="0" w:line="203" w:lineRule="exact"/>
        <w:rPr>
          <w:sz w:val="20"/>
          <w:szCs w:val="20"/>
          <w:color w:val="auto"/>
        </w:rPr>
      </w:pPr>
    </w:p>
    <w:p>
      <w:pPr>
        <w:ind w:left="366" w:right="640"/>
        <w:spacing w:after="0" w:line="280" w:lineRule="auto"/>
        <w:rPr>
          <w:sz w:val="20"/>
          <w:szCs w:val="20"/>
          <w:color w:val="auto"/>
        </w:rPr>
      </w:pPr>
      <w:r>
        <w:rPr>
          <w:rFonts w:ascii="Arial" w:cs="Arial" w:eastAsia="Arial" w:hAnsi="Arial"/>
          <w:sz w:val="16"/>
          <w:szCs w:val="16"/>
          <w:color w:val="auto"/>
        </w:rPr>
        <w:t>Comprise the total premiums payable for the coverage of the insurance contracts and are recognized on the date on which the validity of the insurance policy commences. Unearned ceded premiums are deferred over the term of the underlying insurance contract.</w:t>
      </w:r>
    </w:p>
    <w:p>
      <w:pPr>
        <w:spacing w:after="0" w:line="344" w:lineRule="exact"/>
        <w:rPr>
          <w:sz w:val="20"/>
          <w:szCs w:val="20"/>
          <w:color w:val="auto"/>
        </w:rPr>
      </w:pPr>
    </w:p>
    <w:p>
      <w:pPr>
        <w:jc w:val="center"/>
        <w:ind w:right="114"/>
        <w:spacing w:after="0"/>
        <w:rPr>
          <w:sz w:val="20"/>
          <w:szCs w:val="20"/>
          <w:color w:val="auto"/>
        </w:rPr>
      </w:pPr>
      <w:r>
        <w:rPr>
          <w:rFonts w:ascii="Arial" w:cs="Arial" w:eastAsia="Arial" w:hAnsi="Arial"/>
          <w:sz w:val="16"/>
          <w:szCs w:val="16"/>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13970</wp:posOffset>
            </wp:positionV>
            <wp:extent cx="7261225"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26"/>
          </w:cols>
          <w:pgMar w:left="454" w:top="828" w:right="319" w:bottom="1440" w:gutter="0" w:footer="0" w:header="0"/>
        </w:sectPr>
      </w:pPr>
    </w:p>
    <w:bookmarkStart w:id="35" w:name="page36"/>
    <w:bookmarkEnd w:id="35"/>
    <w:p>
      <w:pPr>
        <w:ind w:left="223"/>
        <w:spacing w:after="0"/>
        <w:rPr>
          <w:sz w:val="20"/>
          <w:szCs w:val="20"/>
          <w:color w:val="auto"/>
        </w:rPr>
      </w:pPr>
      <w:r>
        <w:rPr>
          <w:rFonts w:ascii="Arial" w:cs="Arial" w:eastAsia="Arial" w:hAnsi="Arial"/>
          <w:sz w:val="16"/>
          <w:szCs w:val="16"/>
          <w:color w:val="auto"/>
        </w:rPr>
        <w:t>(iii) Reinsurance claims -</w:t>
      </w:r>
    </w:p>
    <w:p>
      <w:pPr>
        <w:spacing w:after="0" w:line="203" w:lineRule="exact"/>
        <w:rPr>
          <w:sz w:val="20"/>
          <w:szCs w:val="20"/>
          <w:color w:val="auto"/>
        </w:rPr>
      </w:pPr>
    </w:p>
    <w:p>
      <w:pPr>
        <w:ind w:left="583"/>
        <w:spacing w:after="0"/>
        <w:rPr>
          <w:sz w:val="20"/>
          <w:szCs w:val="20"/>
          <w:color w:val="auto"/>
        </w:rPr>
      </w:pPr>
      <w:r>
        <w:rPr>
          <w:rFonts w:ascii="Arial" w:cs="Arial" w:eastAsia="Arial" w:hAnsi="Arial"/>
          <w:sz w:val="16"/>
          <w:szCs w:val="16"/>
          <w:color w:val="auto"/>
        </w:rPr>
        <w:t>Reinsurance claims are recognized when the related gross insurance claim is recognized according to the terms of the relevant contract.</w:t>
      </w:r>
    </w:p>
    <w:p>
      <w:pPr>
        <w:spacing w:after="0" w:line="203" w:lineRule="exact"/>
        <w:rPr>
          <w:sz w:val="20"/>
          <w:szCs w:val="20"/>
          <w:color w:val="auto"/>
        </w:rPr>
      </w:pPr>
    </w:p>
    <w:p>
      <w:pPr>
        <w:ind w:left="223"/>
        <w:spacing w:after="0"/>
        <w:rPr>
          <w:sz w:val="20"/>
          <w:szCs w:val="20"/>
          <w:color w:val="auto"/>
        </w:rPr>
      </w:pPr>
      <w:r>
        <w:rPr>
          <w:rFonts w:ascii="Arial" w:cs="Arial" w:eastAsia="Arial" w:hAnsi="Arial"/>
          <w:sz w:val="16"/>
          <w:szCs w:val="16"/>
          <w:color w:val="auto"/>
        </w:rPr>
        <w:t>(iv)  Cost of medical services and sale of medicines (those not categorized as healthcare insurance) -</w:t>
      </w:r>
    </w:p>
    <w:p>
      <w:pPr>
        <w:spacing w:after="0" w:line="203" w:lineRule="exact"/>
        <w:rPr>
          <w:sz w:val="20"/>
          <w:szCs w:val="20"/>
          <w:color w:val="auto"/>
        </w:rPr>
      </w:pPr>
    </w:p>
    <w:p>
      <w:pPr>
        <w:ind w:left="583"/>
        <w:spacing w:after="0"/>
        <w:rPr>
          <w:sz w:val="20"/>
          <w:szCs w:val="20"/>
          <w:color w:val="auto"/>
        </w:rPr>
      </w:pPr>
      <w:r>
        <w:rPr>
          <w:rFonts w:ascii="Arial" w:cs="Arial" w:eastAsia="Arial" w:hAnsi="Arial"/>
          <w:sz w:val="16"/>
          <w:szCs w:val="16"/>
          <w:color w:val="auto"/>
        </w:rPr>
        <w:t>Cost of medical services is recorded when incurred.</w:t>
      </w:r>
    </w:p>
    <w:p>
      <w:pPr>
        <w:spacing w:after="0" w:line="203" w:lineRule="exact"/>
        <w:rPr>
          <w:sz w:val="20"/>
          <w:szCs w:val="20"/>
          <w:color w:val="auto"/>
        </w:rPr>
      </w:pPr>
    </w:p>
    <w:p>
      <w:pPr>
        <w:ind w:left="583" w:right="200"/>
        <w:spacing w:after="0" w:line="280" w:lineRule="auto"/>
        <w:rPr>
          <w:sz w:val="20"/>
          <w:szCs w:val="20"/>
          <w:color w:val="auto"/>
        </w:rPr>
      </w:pPr>
      <w:r>
        <w:rPr>
          <w:rFonts w:ascii="Arial" w:cs="Arial" w:eastAsia="Arial" w:hAnsi="Arial"/>
          <w:sz w:val="16"/>
          <w:szCs w:val="16"/>
          <w:color w:val="auto"/>
        </w:rPr>
        <w:t>Cost of sale of medicines, which is the cost of acquisition of the medicines, is recorded when medicines are delivered, simultaneously with the recognition of income for the corresponding sale.</w:t>
      </w:r>
    </w:p>
    <w:p>
      <w:pPr>
        <w:spacing w:after="0" w:line="151" w:lineRule="exact"/>
        <w:rPr>
          <w:sz w:val="20"/>
          <w:szCs w:val="20"/>
          <w:color w:val="auto"/>
        </w:rPr>
      </w:pPr>
    </w:p>
    <w:p>
      <w:pPr>
        <w:ind w:left="583"/>
        <w:spacing w:after="0"/>
        <w:rPr>
          <w:sz w:val="20"/>
          <w:szCs w:val="20"/>
          <w:color w:val="auto"/>
        </w:rPr>
      </w:pPr>
      <w:r>
        <w:rPr>
          <w:rFonts w:ascii="Arial" w:cs="Arial" w:eastAsia="Arial" w:hAnsi="Arial"/>
          <w:sz w:val="16"/>
          <w:szCs w:val="16"/>
          <w:color w:val="auto"/>
        </w:rPr>
        <w:t>Cost of medical services and sale of medicines are recorded in “Other expense” of the consolidated statement of income.</w:t>
      </w:r>
    </w:p>
    <w:p>
      <w:pPr>
        <w:spacing w:after="0" w:line="203" w:lineRule="exact"/>
        <w:rPr>
          <w:sz w:val="20"/>
          <w:szCs w:val="20"/>
          <w:color w:val="auto"/>
        </w:rPr>
      </w:pPr>
    </w:p>
    <w:p>
      <w:pPr>
        <w:ind w:left="283" w:hanging="283"/>
        <w:spacing w:after="0"/>
        <w:tabs>
          <w:tab w:leader="none" w:pos="2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Financial Instruments: Initial recognition and subsequent measurement -</w:t>
      </w:r>
    </w:p>
    <w:p>
      <w:pPr>
        <w:spacing w:after="0" w:line="202"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A financial instrument is any contract that gives rise to a financial asset of one entity and a financial liability or equity instrument or another entity.</w:t>
      </w:r>
    </w:p>
    <w:p>
      <w:pPr>
        <w:spacing w:after="0" w:line="202" w:lineRule="exact"/>
        <w:rPr>
          <w:rFonts w:ascii="Arial" w:cs="Arial" w:eastAsia="Arial" w:hAnsi="Arial"/>
          <w:sz w:val="16"/>
          <w:szCs w:val="16"/>
          <w:color w:val="auto"/>
        </w:rPr>
      </w:pPr>
    </w:p>
    <w:p>
      <w:pPr>
        <w:ind w:left="283" w:right="40"/>
        <w:spacing w:after="0" w:line="257" w:lineRule="auto"/>
        <w:rPr>
          <w:rFonts w:ascii="Arial" w:cs="Arial" w:eastAsia="Arial" w:hAnsi="Arial"/>
          <w:sz w:val="16"/>
          <w:szCs w:val="16"/>
          <w:color w:val="auto"/>
        </w:rPr>
      </w:pPr>
      <w:r>
        <w:rPr>
          <w:rFonts w:ascii="Arial" w:cs="Arial" w:eastAsia="Arial" w:hAnsi="Arial"/>
          <w:sz w:val="16"/>
          <w:szCs w:val="16"/>
          <w:color w:val="auto"/>
        </w:rPr>
        <w:t>The Group classifies its financial instruments in one of the categories defined by IAS 39: financial assets and financial liabilities at fair value through profit or loss; loans and receivables; available-for-sale financial investments; held-to-maturity financial investments and other financial liabilities. The Group determines the classification of its financial instruments at initial recognition.</w:t>
      </w:r>
    </w:p>
    <w:p>
      <w:pPr>
        <w:spacing w:after="0" w:line="1" w:lineRule="exact"/>
        <w:rPr>
          <w:rFonts w:ascii="Arial" w:cs="Arial" w:eastAsia="Arial" w:hAnsi="Arial"/>
          <w:sz w:val="16"/>
          <w:szCs w:val="16"/>
          <w:color w:val="auto"/>
        </w:rPr>
      </w:pPr>
    </w:p>
    <w:p>
      <w:pPr>
        <w:ind w:left="283"/>
        <w:spacing w:after="0" w:line="283" w:lineRule="auto"/>
        <w:rPr>
          <w:rFonts w:ascii="Arial" w:cs="Arial" w:eastAsia="Arial" w:hAnsi="Arial"/>
          <w:sz w:val="16"/>
          <w:szCs w:val="16"/>
          <w:color w:val="auto"/>
        </w:rPr>
      </w:pPr>
      <w:r>
        <w:rPr>
          <w:rFonts w:ascii="Arial" w:cs="Arial" w:eastAsia="Arial" w:hAnsi="Arial"/>
          <w:sz w:val="15"/>
          <w:szCs w:val="15"/>
          <w:color w:val="auto"/>
        </w:rPr>
        <w:t>The classification of financial instruments at initial recognition depends on the purpose and the Management intention for which the financial instruments were acquired and their characteristics. All financial instruments are measured initially at their fair value plus the incremental costs related to the transaction which are directly attributable to the acquisition or issue of the instrument, except in the case of financial assets and financial liabilities recorded at fair value through profit or loss.</w:t>
      </w:r>
    </w:p>
    <w:p>
      <w:pPr>
        <w:spacing w:after="0" w:line="151" w:lineRule="exact"/>
        <w:rPr>
          <w:rFonts w:ascii="Arial" w:cs="Arial" w:eastAsia="Arial" w:hAnsi="Arial"/>
          <w:sz w:val="16"/>
          <w:szCs w:val="16"/>
          <w:color w:val="auto"/>
        </w:rPr>
      </w:pPr>
    </w:p>
    <w:p>
      <w:pPr>
        <w:ind w:left="283" w:right="180"/>
        <w:spacing w:after="0" w:line="354" w:lineRule="auto"/>
        <w:rPr>
          <w:rFonts w:ascii="Arial" w:cs="Arial" w:eastAsia="Arial" w:hAnsi="Arial"/>
          <w:sz w:val="16"/>
          <w:szCs w:val="16"/>
          <w:color w:val="auto"/>
        </w:rPr>
      </w:pPr>
      <w:r>
        <w:rPr>
          <w:rFonts w:ascii="Arial" w:cs="Arial" w:eastAsia="Arial" w:hAnsi="Arial"/>
          <w:sz w:val="14"/>
          <w:szCs w:val="14"/>
          <w:color w:val="auto"/>
        </w:rPr>
        <w:t>Purchases or sales of financial assets that require delivery of assets within a time frame established according to market regulations or conventions (regular market trades) are recognized on the trade date, that is, the date on which the Group commits to purchase or sell the asset. Derivatives are recognized on a trade date basis.</w:t>
      </w:r>
    </w:p>
    <w:p>
      <w:pPr>
        <w:spacing w:after="0" w:line="105" w:lineRule="exact"/>
        <w:rPr>
          <w:rFonts w:ascii="Arial" w:cs="Arial" w:eastAsia="Arial" w:hAnsi="Arial"/>
          <w:sz w:val="16"/>
          <w:szCs w:val="16"/>
          <w:color w:val="auto"/>
        </w:rPr>
      </w:pPr>
    </w:p>
    <w:p>
      <w:pPr>
        <w:ind w:left="683" w:hanging="393"/>
        <w:spacing w:after="0"/>
        <w:tabs>
          <w:tab w:leader="none" w:pos="683" w:val="left"/>
        </w:tabs>
        <w:numPr>
          <w:ilvl w:val="1"/>
          <w:numId w:val="28"/>
        </w:numPr>
        <w:rPr>
          <w:rFonts w:ascii="Arial" w:cs="Arial" w:eastAsia="Arial" w:hAnsi="Arial"/>
          <w:sz w:val="16"/>
          <w:szCs w:val="16"/>
          <w:color w:val="auto"/>
        </w:rPr>
      </w:pPr>
      <w:r>
        <w:rPr>
          <w:rFonts w:ascii="Arial" w:cs="Arial" w:eastAsia="Arial" w:hAnsi="Arial"/>
          <w:sz w:val="16"/>
          <w:szCs w:val="16"/>
          <w:color w:val="auto"/>
        </w:rPr>
        <w:t>Financial assets and liabilities at fair value through profit or loss -</w:t>
      </w:r>
    </w:p>
    <w:p>
      <w:pPr>
        <w:spacing w:after="0" w:line="202" w:lineRule="exact"/>
        <w:rPr>
          <w:rFonts w:ascii="Arial" w:cs="Arial" w:eastAsia="Arial" w:hAnsi="Arial"/>
          <w:sz w:val="16"/>
          <w:szCs w:val="16"/>
          <w:color w:val="auto"/>
        </w:rPr>
      </w:pPr>
    </w:p>
    <w:p>
      <w:pPr>
        <w:ind w:left="683" w:right="280"/>
        <w:spacing w:after="0" w:line="266" w:lineRule="auto"/>
        <w:rPr>
          <w:rFonts w:ascii="Arial" w:cs="Arial" w:eastAsia="Arial" w:hAnsi="Arial"/>
          <w:sz w:val="16"/>
          <w:szCs w:val="16"/>
          <w:color w:val="auto"/>
        </w:rPr>
      </w:pPr>
      <w:r>
        <w:rPr>
          <w:rFonts w:ascii="Arial" w:cs="Arial" w:eastAsia="Arial" w:hAnsi="Arial"/>
          <w:sz w:val="16"/>
          <w:szCs w:val="16"/>
          <w:color w:val="auto"/>
        </w:rPr>
        <w:t>Financial assets and liabilities at fair value through profit or loss include financial assets held for trading and financial assets and liabilities designated at fair value through profit or loss, the designation of which is upon initial recognition and on an instrument by instrument basis. Derivative financial instruments are also categorized as held for trading unless they are designated as hedging instruments.</w:t>
      </w:r>
    </w:p>
    <w:p>
      <w:pPr>
        <w:spacing w:after="0" w:line="161" w:lineRule="exact"/>
        <w:rPr>
          <w:rFonts w:ascii="Arial" w:cs="Arial" w:eastAsia="Arial" w:hAnsi="Arial"/>
          <w:sz w:val="16"/>
          <w:szCs w:val="16"/>
          <w:color w:val="auto"/>
        </w:rPr>
      </w:pPr>
    </w:p>
    <w:p>
      <w:pPr>
        <w:ind w:left="683" w:right="100"/>
        <w:spacing w:after="0" w:line="280" w:lineRule="auto"/>
        <w:rPr>
          <w:rFonts w:ascii="Arial" w:cs="Arial" w:eastAsia="Arial" w:hAnsi="Arial"/>
          <w:sz w:val="16"/>
          <w:szCs w:val="16"/>
          <w:color w:val="auto"/>
        </w:rPr>
      </w:pPr>
      <w:r>
        <w:rPr>
          <w:rFonts w:ascii="Arial" w:cs="Arial" w:eastAsia="Arial" w:hAnsi="Arial"/>
          <w:sz w:val="16"/>
          <w:szCs w:val="16"/>
          <w:color w:val="auto"/>
        </w:rPr>
        <w:t>A financial asset or liability is classified as held for trading if it is acquired for the purpose of selling or repurchasing it in the short term, and is presented in “Trading securities” or “Financial liabilities at fair value through profit or loss” in the consolidated statement of financial position.</w:t>
      </w:r>
    </w:p>
    <w:p>
      <w:pPr>
        <w:spacing w:after="0" w:line="150" w:lineRule="exact"/>
        <w:rPr>
          <w:rFonts w:ascii="Arial" w:cs="Arial" w:eastAsia="Arial" w:hAnsi="Arial"/>
          <w:sz w:val="16"/>
          <w:szCs w:val="16"/>
          <w:color w:val="auto"/>
        </w:rPr>
      </w:pPr>
    </w:p>
    <w:p>
      <w:pPr>
        <w:ind w:left="683"/>
        <w:spacing w:after="0"/>
        <w:rPr>
          <w:rFonts w:ascii="Arial" w:cs="Arial" w:eastAsia="Arial" w:hAnsi="Arial"/>
          <w:sz w:val="16"/>
          <w:szCs w:val="16"/>
          <w:color w:val="auto"/>
        </w:rPr>
      </w:pPr>
      <w:r>
        <w:rPr>
          <w:rFonts w:ascii="Arial" w:cs="Arial" w:eastAsia="Arial" w:hAnsi="Arial"/>
          <w:sz w:val="16"/>
          <w:szCs w:val="16"/>
          <w:color w:val="auto"/>
        </w:rPr>
        <w:t>Management may only designate an instrument at fair value through profit or loss upon initial recognition when the following criteria are met:</w:t>
      </w:r>
    </w:p>
    <w:p>
      <w:pPr>
        <w:spacing w:after="0" w:line="202" w:lineRule="exact"/>
        <w:rPr>
          <w:rFonts w:ascii="Arial" w:cs="Arial" w:eastAsia="Arial" w:hAnsi="Arial"/>
          <w:sz w:val="16"/>
          <w:szCs w:val="16"/>
          <w:color w:val="auto"/>
        </w:rPr>
      </w:pPr>
    </w:p>
    <w:p>
      <w:pPr>
        <w:ind w:left="963" w:right="80" w:hanging="286"/>
        <w:spacing w:after="0" w:line="280" w:lineRule="auto"/>
        <w:tabs>
          <w:tab w:leader="none" w:pos="963"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designation eliminates or significantly reduces the inconsistent treatment that would otherwise arise from measuring assets or liabilities or recognizing gains or losses generated by them on a different basis; or</w:t>
      </w:r>
    </w:p>
    <w:p>
      <w:pPr>
        <w:spacing w:after="0" w:line="344" w:lineRule="exact"/>
        <w:rPr>
          <w:rFonts w:ascii="Arial" w:cs="Arial" w:eastAsia="Arial" w:hAnsi="Arial"/>
          <w:sz w:val="16"/>
          <w:szCs w:val="16"/>
          <w:color w:val="auto"/>
        </w:rPr>
      </w:pPr>
    </w:p>
    <w:p>
      <w:pPr>
        <w:ind w:left="5643" w:hanging="94"/>
        <w:spacing w:after="0"/>
        <w:tabs>
          <w:tab w:leader="none" w:pos="5643" w:val="left"/>
        </w:tabs>
        <w:numPr>
          <w:ilvl w:val="3"/>
          <w:numId w:val="28"/>
        </w:numPr>
        <w:rPr>
          <w:rFonts w:ascii="Arial" w:cs="Arial" w:eastAsia="Arial" w:hAnsi="Arial"/>
          <w:sz w:val="16"/>
          <w:szCs w:val="16"/>
          <w:color w:val="auto"/>
        </w:rPr>
      </w:pPr>
      <w:r>
        <w:rPr>
          <w:rFonts w:ascii="Arial" w:cs="Arial" w:eastAsia="Arial" w:hAnsi="Arial"/>
          <w:sz w:val="16"/>
          <w:szCs w:val="16"/>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8" w:right="239" w:bottom="1440" w:gutter="0" w:footer="0" w:header="0"/>
        </w:sectPr>
      </w:pPr>
    </w:p>
    <w:bookmarkStart w:id="36" w:name="page37"/>
    <w:bookmarkEnd w:id="36"/>
    <w:p>
      <w:pPr>
        <w:ind w:left="673" w:hanging="286"/>
        <w:spacing w:after="0" w:line="260" w:lineRule="auto"/>
        <w:tabs>
          <w:tab w:leader="none" w:pos="67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assets and liabilities are part of a group of financial assets, financial liabilities or both which are managed and evaluated based on the yield on their fair value, in accordance with a documented risk management or investment strategy; or</w:t>
      </w:r>
    </w:p>
    <w:p>
      <w:pPr>
        <w:ind w:left="673" w:hanging="286"/>
        <w:spacing w:after="0"/>
        <w:tabs>
          <w:tab w:leader="none" w:pos="673"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financial instruments contain one or more embedded derivatives, which significantly modify the cash flows that otherwise would be required by the contract.</w:t>
      </w:r>
    </w:p>
    <w:p>
      <w:pPr>
        <w:spacing w:after="0" w:line="214" w:lineRule="exact"/>
        <w:rPr>
          <w:sz w:val="20"/>
          <w:szCs w:val="20"/>
          <w:color w:val="auto"/>
        </w:rPr>
      </w:pPr>
    </w:p>
    <w:p>
      <w:pPr>
        <w:ind w:left="393" w:right="100"/>
        <w:spacing w:after="0" w:line="321" w:lineRule="auto"/>
        <w:rPr>
          <w:sz w:val="20"/>
          <w:szCs w:val="20"/>
          <w:color w:val="auto"/>
        </w:rPr>
      </w:pPr>
      <w:r>
        <w:rPr>
          <w:rFonts w:ascii="Arial" w:cs="Arial" w:eastAsia="Arial" w:hAnsi="Arial"/>
          <w:sz w:val="14"/>
          <w:szCs w:val="14"/>
          <w:color w:val="auto"/>
        </w:rPr>
        <w:t>Changes in fair value of a designated financial asset and liability through profit or loss are recorded in “Net gain (loss) on financial assets designated at fair value through profit or loss” of the consolidated statement of income. Interest earned or incurred is accrued in the consolidated statement of income in “Interest and similar income” or “interest and similar expenses”, according to the terms of the contract. Dividend income is recorded when the right to payment has been established.</w:t>
      </w:r>
    </w:p>
    <w:p>
      <w:pPr>
        <w:spacing w:after="0" w:line="128" w:lineRule="exact"/>
        <w:rPr>
          <w:sz w:val="20"/>
          <w:szCs w:val="20"/>
          <w:color w:val="auto"/>
        </w:rPr>
      </w:pPr>
    </w:p>
    <w:p>
      <w:pPr>
        <w:ind w:left="393" w:hanging="393"/>
        <w:spacing w:after="0"/>
        <w:tabs>
          <w:tab w:leader="none" w:pos="393"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Loans and receivables -</w:t>
      </w:r>
    </w:p>
    <w:p>
      <w:pPr>
        <w:spacing w:after="0" w:line="202" w:lineRule="exact"/>
        <w:rPr>
          <w:rFonts w:ascii="Arial" w:cs="Arial" w:eastAsia="Arial" w:hAnsi="Arial"/>
          <w:sz w:val="16"/>
          <w:szCs w:val="16"/>
          <w:color w:val="auto"/>
        </w:rPr>
      </w:pPr>
    </w:p>
    <w:p>
      <w:pPr>
        <w:ind w:left="393"/>
        <w:spacing w:after="0"/>
        <w:rPr>
          <w:rFonts w:ascii="Arial" w:cs="Arial" w:eastAsia="Arial" w:hAnsi="Arial"/>
          <w:sz w:val="16"/>
          <w:szCs w:val="16"/>
          <w:color w:val="auto"/>
        </w:rPr>
      </w:pPr>
      <w:r>
        <w:rPr>
          <w:rFonts w:ascii="Arial" w:cs="Arial" w:eastAsia="Arial" w:hAnsi="Arial"/>
          <w:sz w:val="16"/>
          <w:szCs w:val="16"/>
          <w:color w:val="auto"/>
        </w:rPr>
        <w:t>Loans and receivables are non-derivative financial assets with fixed or determinable payments that are not quoted in an active market.</w:t>
      </w:r>
    </w:p>
    <w:p>
      <w:pPr>
        <w:spacing w:after="0" w:line="202" w:lineRule="exact"/>
        <w:rPr>
          <w:rFonts w:ascii="Arial" w:cs="Arial" w:eastAsia="Arial" w:hAnsi="Arial"/>
          <w:sz w:val="16"/>
          <w:szCs w:val="16"/>
          <w:color w:val="auto"/>
        </w:rPr>
      </w:pPr>
    </w:p>
    <w:p>
      <w:pPr>
        <w:ind w:left="393" w:right="20"/>
        <w:spacing w:after="0" w:line="261" w:lineRule="auto"/>
        <w:rPr>
          <w:rFonts w:ascii="Arial" w:cs="Arial" w:eastAsia="Arial" w:hAnsi="Arial"/>
          <w:sz w:val="16"/>
          <w:szCs w:val="16"/>
          <w:color w:val="auto"/>
        </w:rPr>
      </w:pPr>
      <w:r>
        <w:rPr>
          <w:rFonts w:ascii="Arial" w:cs="Arial" w:eastAsia="Arial" w:hAnsi="Arial"/>
          <w:sz w:val="16"/>
          <w:szCs w:val="16"/>
          <w:color w:val="auto"/>
        </w:rPr>
        <w:t>After initial measurement, loans and receivables are measured at amortized cost using the effective interest rate method, less any provision for impairment. Amortized cost is calculated by taking into account any discount or premium on acquisition and fees or costs that are an integral part of the effective interest rate. The effective interest rate amortization is recognized in the consolidated statement of income in “Interest and similar income”. Losses from impairment are recognized in the consolidated statement of income in “Provision for loan losses, net of recoveries”.</w:t>
      </w:r>
    </w:p>
    <w:p>
      <w:pPr>
        <w:spacing w:after="0" w:line="166" w:lineRule="exact"/>
        <w:rPr>
          <w:rFonts w:ascii="Arial" w:cs="Arial" w:eastAsia="Arial" w:hAnsi="Arial"/>
          <w:sz w:val="16"/>
          <w:szCs w:val="16"/>
          <w:color w:val="auto"/>
        </w:rPr>
      </w:pPr>
    </w:p>
    <w:p>
      <w:pPr>
        <w:ind w:left="393" w:right="320"/>
        <w:spacing w:after="0" w:line="266" w:lineRule="auto"/>
        <w:rPr>
          <w:rFonts w:ascii="Arial" w:cs="Arial" w:eastAsia="Arial" w:hAnsi="Arial"/>
          <w:sz w:val="16"/>
          <w:szCs w:val="16"/>
          <w:color w:val="auto"/>
        </w:rPr>
      </w:pPr>
      <w:r>
        <w:rPr>
          <w:rFonts w:ascii="Arial" w:cs="Arial" w:eastAsia="Arial" w:hAnsi="Arial"/>
          <w:sz w:val="16"/>
          <w:szCs w:val="16"/>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161" w:lineRule="exact"/>
        <w:rPr>
          <w:rFonts w:ascii="Arial" w:cs="Arial" w:eastAsia="Arial" w:hAnsi="Arial"/>
          <w:sz w:val="16"/>
          <w:szCs w:val="16"/>
          <w:color w:val="auto"/>
        </w:rPr>
      </w:pPr>
    </w:p>
    <w:p>
      <w:pPr>
        <w:jc w:val="both"/>
        <w:ind w:left="393" w:right="140"/>
        <w:spacing w:after="0" w:line="297" w:lineRule="auto"/>
        <w:rPr>
          <w:rFonts w:ascii="Arial" w:cs="Arial" w:eastAsia="Arial" w:hAnsi="Arial"/>
          <w:sz w:val="16"/>
          <w:szCs w:val="16"/>
          <w:color w:val="auto"/>
        </w:rPr>
      </w:pPr>
      <w:r>
        <w:rPr>
          <w:rFonts w:ascii="Arial" w:cs="Arial" w:eastAsia="Arial" w:hAnsi="Arial"/>
          <w:sz w:val="14"/>
          <w:szCs w:val="14"/>
          <w:color w:val="auto"/>
        </w:rPr>
        <w:t>A provision for loan losses is established if there is objective evidence that the Group will not be able to collect all amounts due according to the original contractual terms of the loans. The provision for loan losses is established based on an internal risk classification and considering any guarantees and collaterals received, Note3</w:t>
      </w:r>
    </w:p>
    <w:p>
      <w:pPr>
        <w:ind w:left="573" w:hanging="186"/>
        <w:spacing w:after="0"/>
        <w:tabs>
          <w:tab w:leader="none" w:pos="573"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and 34.1.</w:t>
      </w:r>
    </w:p>
    <w:p>
      <w:pPr>
        <w:spacing w:after="0" w:line="190" w:lineRule="exact"/>
        <w:rPr>
          <w:rFonts w:ascii="Arial" w:cs="Arial" w:eastAsia="Arial" w:hAnsi="Arial"/>
          <w:sz w:val="16"/>
          <w:szCs w:val="16"/>
          <w:color w:val="auto"/>
        </w:rPr>
      </w:pPr>
    </w:p>
    <w:p>
      <w:pPr>
        <w:ind w:left="393" w:hanging="393"/>
        <w:spacing w:after="0"/>
        <w:tabs>
          <w:tab w:leader="none" w:pos="393" w:val="left"/>
        </w:tabs>
        <w:numPr>
          <w:ilvl w:val="0"/>
          <w:numId w:val="30"/>
        </w:numPr>
        <w:rPr>
          <w:rFonts w:ascii="Arial" w:cs="Arial" w:eastAsia="Arial" w:hAnsi="Arial"/>
          <w:sz w:val="16"/>
          <w:szCs w:val="16"/>
          <w:color w:val="auto"/>
        </w:rPr>
      </w:pPr>
      <w:r>
        <w:rPr>
          <w:rFonts w:ascii="Arial" w:cs="Arial" w:eastAsia="Arial" w:hAnsi="Arial"/>
          <w:sz w:val="16"/>
          <w:szCs w:val="16"/>
          <w:color w:val="auto"/>
        </w:rPr>
        <w:t>Available-for-sale financial investments -</w:t>
      </w:r>
    </w:p>
    <w:p>
      <w:pPr>
        <w:spacing w:after="0" w:line="202" w:lineRule="exact"/>
        <w:rPr>
          <w:rFonts w:ascii="Arial" w:cs="Arial" w:eastAsia="Arial" w:hAnsi="Arial"/>
          <w:sz w:val="16"/>
          <w:szCs w:val="16"/>
          <w:color w:val="auto"/>
        </w:rPr>
      </w:pPr>
    </w:p>
    <w:p>
      <w:pPr>
        <w:ind w:left="393" w:right="20"/>
        <w:spacing w:after="0" w:line="266" w:lineRule="auto"/>
        <w:rPr>
          <w:rFonts w:ascii="Arial" w:cs="Arial" w:eastAsia="Arial" w:hAnsi="Arial"/>
          <w:sz w:val="16"/>
          <w:szCs w:val="16"/>
          <w:color w:val="auto"/>
        </w:rPr>
      </w:pPr>
      <w:r>
        <w:rPr>
          <w:rFonts w:ascii="Arial" w:cs="Arial" w:eastAsia="Arial" w:hAnsi="Arial"/>
          <w:sz w:val="16"/>
          <w:szCs w:val="16"/>
          <w:color w:val="auto"/>
        </w:rPr>
        <w:t>Available-for-sale financial investments include equity investments and debt securities. Equity investments classified as available-for-sale are those that are neither classified as held for trading nor designated at fair value through profit or loss. Debt instruments in this category are those that are intended to be held for an indefinite period of time and that may be sold in response to needs for liquidity or in response to changes in market conditions.</w:t>
      </w:r>
    </w:p>
    <w:p>
      <w:pPr>
        <w:spacing w:after="0" w:line="161" w:lineRule="exact"/>
        <w:rPr>
          <w:rFonts w:ascii="Arial" w:cs="Arial" w:eastAsia="Arial" w:hAnsi="Arial"/>
          <w:sz w:val="16"/>
          <w:szCs w:val="16"/>
          <w:color w:val="auto"/>
        </w:rPr>
      </w:pPr>
    </w:p>
    <w:p>
      <w:pPr>
        <w:ind w:left="393" w:right="60"/>
        <w:spacing w:after="0" w:line="259" w:lineRule="auto"/>
        <w:rPr>
          <w:rFonts w:ascii="Arial" w:cs="Arial" w:eastAsia="Arial" w:hAnsi="Arial"/>
          <w:sz w:val="16"/>
          <w:szCs w:val="16"/>
          <w:color w:val="auto"/>
        </w:rPr>
      </w:pPr>
      <w:r>
        <w:rPr>
          <w:rFonts w:ascii="Arial" w:cs="Arial" w:eastAsia="Arial" w:hAnsi="Arial"/>
          <w:sz w:val="16"/>
          <w:szCs w:val="16"/>
          <w:color w:val="auto"/>
        </w:rPr>
        <w:t>After initial recognition, available-for-sale financial investments are subsequently measured at fair value with unrealized gains or losses recognized as other comprehensive income in the available-for-sale reserve, net of the corresponding deferred tax and non-controlling interest, until the investment is derecognized, at which time the cumulative gain or loss is recognized in the consolidated statement of income in “Net gain on the sale of securities”, or determined to be impaired, at which time the impaired amount is recognized in the consolidated statement of income in “Impairment loss on available–for–sale investments” and removed from the available-for-sale reserve.</w:t>
      </w:r>
    </w:p>
    <w:p>
      <w:pPr>
        <w:spacing w:after="0" w:line="167" w:lineRule="exact"/>
        <w:rPr>
          <w:rFonts w:ascii="Arial" w:cs="Arial" w:eastAsia="Arial" w:hAnsi="Arial"/>
          <w:sz w:val="16"/>
          <w:szCs w:val="16"/>
          <w:color w:val="auto"/>
        </w:rPr>
      </w:pPr>
    </w:p>
    <w:p>
      <w:pPr>
        <w:ind w:left="393" w:right="380"/>
        <w:spacing w:after="0" w:line="280" w:lineRule="auto"/>
        <w:rPr>
          <w:rFonts w:ascii="Arial" w:cs="Arial" w:eastAsia="Arial" w:hAnsi="Arial"/>
          <w:sz w:val="16"/>
          <w:szCs w:val="16"/>
          <w:color w:val="auto"/>
        </w:rPr>
      </w:pPr>
      <w:r>
        <w:rPr>
          <w:rFonts w:ascii="Arial" w:cs="Arial" w:eastAsia="Arial" w:hAnsi="Arial"/>
          <w:sz w:val="16"/>
          <w:szCs w:val="16"/>
          <w:color w:val="auto"/>
        </w:rPr>
        <w:t>Interest and similar income earned are recognized in the consolidated statement of income in “Interest and similar income”. Interest earned is reported as interest income using the effective interest rate method and dividends earned are recognized when collection rights are established.</w:t>
      </w:r>
    </w:p>
    <w:p>
      <w:pPr>
        <w:spacing w:after="0" w:line="344" w:lineRule="exact"/>
        <w:rPr>
          <w:rFonts w:ascii="Arial" w:cs="Arial" w:eastAsia="Arial" w:hAnsi="Arial"/>
          <w:sz w:val="16"/>
          <w:szCs w:val="16"/>
          <w:color w:val="auto"/>
        </w:rPr>
      </w:pPr>
    </w:p>
    <w:p>
      <w:pPr>
        <w:ind w:left="5353" w:hanging="94"/>
        <w:spacing w:after="0"/>
        <w:tabs>
          <w:tab w:leader="none" w:pos="5353" w:val="left"/>
        </w:tabs>
        <w:numPr>
          <w:ilvl w:val="2"/>
          <w:numId w:val="30"/>
        </w:numPr>
        <w:rPr>
          <w:rFonts w:ascii="Arial" w:cs="Arial" w:eastAsia="Arial" w:hAnsi="Arial"/>
          <w:sz w:val="16"/>
          <w:szCs w:val="16"/>
          <w:color w:val="auto"/>
        </w:rPr>
      </w:pPr>
      <w:r>
        <w:rPr>
          <w:rFonts w:ascii="Arial" w:cs="Arial" w:eastAsia="Arial" w:hAnsi="Arial"/>
          <w:sz w:val="16"/>
          <w:szCs w:val="16"/>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13970</wp:posOffset>
            </wp:positionV>
            <wp:extent cx="7261225" cy="76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33"/>
          </w:cols>
          <w:pgMar w:left="527" w:top="828" w:right="239" w:bottom="1440" w:gutter="0" w:footer="0" w:header="0"/>
        </w:sectPr>
      </w:pPr>
    </w:p>
    <w:bookmarkStart w:id="37" w:name="page38"/>
    <w:bookmarkEnd w:id="37"/>
    <w:p>
      <w:pPr>
        <w:ind w:left="393" w:right="780"/>
        <w:spacing w:after="0" w:line="280" w:lineRule="auto"/>
        <w:rPr>
          <w:sz w:val="20"/>
          <w:szCs w:val="20"/>
          <w:color w:val="auto"/>
        </w:rPr>
      </w:pPr>
      <w:r>
        <w:rPr>
          <w:rFonts w:ascii="Arial" w:cs="Arial" w:eastAsia="Arial" w:hAnsi="Arial"/>
          <w:sz w:val="16"/>
          <w:szCs w:val="16"/>
          <w:color w:val="auto"/>
        </w:rPr>
        <w:t>Estimated fair values are based primarily on quoted prices or, if quoted market prices are not available, discounted expected cash flows using market rates commensurate with the credit quality and maturity of the investment.</w:t>
      </w:r>
    </w:p>
    <w:p>
      <w:pPr>
        <w:spacing w:after="0" w:line="151" w:lineRule="exact"/>
        <w:rPr>
          <w:sz w:val="20"/>
          <w:szCs w:val="20"/>
          <w:color w:val="auto"/>
        </w:rPr>
      </w:pPr>
    </w:p>
    <w:p>
      <w:pPr>
        <w:ind w:left="393" w:right="20"/>
        <w:spacing w:after="0" w:line="266" w:lineRule="auto"/>
        <w:rPr>
          <w:sz w:val="20"/>
          <w:szCs w:val="20"/>
          <w:color w:val="auto"/>
        </w:rPr>
      </w:pPr>
      <w:r>
        <w:rPr>
          <w:rFonts w:ascii="Arial" w:cs="Arial" w:eastAsia="Arial" w:hAnsi="Arial"/>
          <w:sz w:val="16"/>
          <w:szCs w:val="16"/>
          <w:color w:val="auto"/>
        </w:rPr>
        <w:t>The Group evaluates whether its ability and intention to sell its available-for-sale financial assets in the near term is still appropriate. When, in rare circumstances, the Group is unable to trade these financial assets due to inactive markets, the Group may elect to reclassify these financial assets if Management has the ability and intention to hold such assets for the foreseeable future or until maturity.</w:t>
      </w:r>
    </w:p>
    <w:p>
      <w:pPr>
        <w:spacing w:after="0" w:line="162" w:lineRule="exact"/>
        <w:rPr>
          <w:sz w:val="20"/>
          <w:szCs w:val="20"/>
          <w:color w:val="auto"/>
        </w:rPr>
      </w:pPr>
    </w:p>
    <w:p>
      <w:pPr>
        <w:ind w:left="393" w:right="20"/>
        <w:spacing w:after="0" w:line="266" w:lineRule="auto"/>
        <w:rPr>
          <w:sz w:val="20"/>
          <w:szCs w:val="20"/>
          <w:color w:val="auto"/>
        </w:rPr>
      </w:pPr>
      <w:r>
        <w:rPr>
          <w:rFonts w:ascii="Arial" w:cs="Arial" w:eastAsia="Arial" w:hAnsi="Arial"/>
          <w:sz w:val="16"/>
          <w:szCs w:val="16"/>
          <w:color w:val="auto"/>
        </w:rPr>
        <w:t>For a financial asset reclassified from the available-for-sale category, the fair value carrying amount at the date of reclassification becomes its new amortized cost and any previous gain or loss on the asset that has been recognized in equity is amortized to profit or loss over the remaining life of the investment using the effective interest rate.</w:t>
      </w:r>
    </w:p>
    <w:p>
      <w:pPr>
        <w:spacing w:after="0" w:line="162" w:lineRule="exact"/>
        <w:rPr>
          <w:sz w:val="20"/>
          <w:szCs w:val="20"/>
          <w:color w:val="auto"/>
        </w:rPr>
      </w:pPr>
    </w:p>
    <w:p>
      <w:pPr>
        <w:ind w:left="393" w:hanging="393"/>
        <w:spacing w:after="0"/>
        <w:tabs>
          <w:tab w:leader="none" w:pos="393" w:val="left"/>
        </w:tabs>
        <w:numPr>
          <w:ilvl w:val="0"/>
          <w:numId w:val="31"/>
        </w:numPr>
        <w:rPr>
          <w:rFonts w:ascii="Arial" w:cs="Arial" w:eastAsia="Arial" w:hAnsi="Arial"/>
          <w:sz w:val="16"/>
          <w:szCs w:val="16"/>
          <w:color w:val="auto"/>
        </w:rPr>
      </w:pPr>
      <w:r>
        <w:rPr>
          <w:rFonts w:ascii="Arial" w:cs="Arial" w:eastAsia="Arial" w:hAnsi="Arial"/>
          <w:sz w:val="16"/>
          <w:szCs w:val="16"/>
          <w:color w:val="auto"/>
        </w:rPr>
        <w:t>Held-to-maturity financial investments -</w:t>
      </w:r>
    </w:p>
    <w:p>
      <w:pPr>
        <w:spacing w:after="0" w:line="202" w:lineRule="exact"/>
        <w:rPr>
          <w:rFonts w:ascii="Arial" w:cs="Arial" w:eastAsia="Arial" w:hAnsi="Arial"/>
          <w:sz w:val="16"/>
          <w:szCs w:val="16"/>
          <w:color w:val="auto"/>
        </w:rPr>
      </w:pPr>
    </w:p>
    <w:p>
      <w:pPr>
        <w:ind w:left="393" w:right="20"/>
        <w:spacing w:after="0" w:line="259" w:lineRule="auto"/>
        <w:rPr>
          <w:rFonts w:ascii="Arial" w:cs="Arial" w:eastAsia="Arial" w:hAnsi="Arial"/>
          <w:sz w:val="16"/>
          <w:szCs w:val="16"/>
          <w:color w:val="auto"/>
        </w:rPr>
      </w:pPr>
      <w:r>
        <w:rPr>
          <w:rFonts w:ascii="Arial" w:cs="Arial" w:eastAsia="Arial" w:hAnsi="Arial"/>
          <w:sz w:val="16"/>
          <w:szCs w:val="16"/>
          <w:color w:val="auto"/>
        </w:rPr>
        <w:t>Held-to-maturity financial investments are non–derivative financial assets with fixed or determinable payments and fixed maturities, which Credicorp has the intention and ability to hold to maturity. After initial measurement, held-to-maturity financial investments are subsequently measured at amortized cost using the effective interest rate less impairment. Amortized cost is calculated by taking into account any discount or premium on acquisition and fees that are an integral part of the effective interest rate. The amortization is included in “Interest and similar income” of the consolidated statement of income. The losses arising from impairment of these investments are recognized in the consolidated statement of income.</w:t>
      </w:r>
    </w:p>
    <w:p>
      <w:pPr>
        <w:spacing w:after="0" w:line="167" w:lineRule="exact"/>
        <w:rPr>
          <w:rFonts w:ascii="Arial" w:cs="Arial" w:eastAsia="Arial" w:hAnsi="Arial"/>
          <w:sz w:val="16"/>
          <w:szCs w:val="16"/>
          <w:color w:val="auto"/>
        </w:rPr>
      </w:pPr>
    </w:p>
    <w:p>
      <w:pPr>
        <w:ind w:left="393" w:right="340"/>
        <w:spacing w:after="0" w:line="280" w:lineRule="auto"/>
        <w:rPr>
          <w:rFonts w:ascii="Arial" w:cs="Arial" w:eastAsia="Arial" w:hAnsi="Arial"/>
          <w:sz w:val="16"/>
          <w:szCs w:val="16"/>
          <w:color w:val="auto"/>
        </w:rPr>
      </w:pPr>
      <w:r>
        <w:rPr>
          <w:rFonts w:ascii="Arial" w:cs="Arial" w:eastAsia="Arial" w:hAnsi="Arial"/>
          <w:sz w:val="16"/>
          <w:szCs w:val="16"/>
          <w:color w:val="auto"/>
        </w:rPr>
        <w:t>At December 31, 2016 and 2015 the Group has not recognized any impairment loss on held-to-maturity investments, see policy of impairment of financial assets carried at amortized cost in note 3(i)(i).</w:t>
      </w:r>
    </w:p>
    <w:p>
      <w:pPr>
        <w:spacing w:after="0" w:line="150" w:lineRule="exact"/>
        <w:rPr>
          <w:rFonts w:ascii="Arial" w:cs="Arial" w:eastAsia="Arial" w:hAnsi="Arial"/>
          <w:sz w:val="16"/>
          <w:szCs w:val="16"/>
          <w:color w:val="auto"/>
        </w:rPr>
      </w:pPr>
    </w:p>
    <w:p>
      <w:pPr>
        <w:ind w:left="393" w:right="520"/>
        <w:spacing w:after="0" w:line="266" w:lineRule="auto"/>
        <w:rPr>
          <w:rFonts w:ascii="Arial" w:cs="Arial" w:eastAsia="Arial" w:hAnsi="Arial"/>
          <w:sz w:val="16"/>
          <w:szCs w:val="16"/>
          <w:color w:val="auto"/>
        </w:rPr>
      </w:pPr>
      <w:r>
        <w:rPr>
          <w:rFonts w:ascii="Arial" w:cs="Arial" w:eastAsia="Arial" w:hAnsi="Arial"/>
          <w:sz w:val="16"/>
          <w:szCs w:val="16"/>
          <w:color w:val="auto"/>
        </w:rPr>
        <w:t>If the Group were to sell or reclassify a more than an insignificant amount of held-to-maturity investments before maturity (other than in certain specific circumstances), the entire category would be tainted and would have to be reclassified as available-for-sale. Furthermore, the Group would be prohibited from classifying any financial asset as held-to-maturity during the following two (02) years.</w:t>
      </w:r>
    </w:p>
    <w:p>
      <w:pPr>
        <w:spacing w:after="0" w:line="161" w:lineRule="exact"/>
        <w:rPr>
          <w:rFonts w:ascii="Arial" w:cs="Arial" w:eastAsia="Arial" w:hAnsi="Arial"/>
          <w:sz w:val="16"/>
          <w:szCs w:val="16"/>
          <w:color w:val="auto"/>
        </w:rPr>
      </w:pPr>
    </w:p>
    <w:p>
      <w:pPr>
        <w:ind w:left="393"/>
        <w:spacing w:after="0"/>
        <w:rPr>
          <w:rFonts w:ascii="Arial" w:cs="Arial" w:eastAsia="Arial" w:hAnsi="Arial"/>
          <w:sz w:val="16"/>
          <w:szCs w:val="16"/>
          <w:color w:val="auto"/>
        </w:rPr>
      </w:pPr>
      <w:r>
        <w:rPr>
          <w:rFonts w:ascii="Arial" w:cs="Arial" w:eastAsia="Arial" w:hAnsi="Arial"/>
          <w:sz w:val="16"/>
          <w:szCs w:val="16"/>
          <w:color w:val="auto"/>
        </w:rPr>
        <w:t>At December 31, 2016 and 2015 the Group did not sell or reclassify any of its held-to-maturity investments.</w:t>
      </w:r>
    </w:p>
    <w:p>
      <w:pPr>
        <w:spacing w:after="0" w:line="202" w:lineRule="exact"/>
        <w:rPr>
          <w:rFonts w:ascii="Arial" w:cs="Arial" w:eastAsia="Arial" w:hAnsi="Arial"/>
          <w:sz w:val="16"/>
          <w:szCs w:val="16"/>
          <w:color w:val="auto"/>
        </w:rPr>
      </w:pPr>
    </w:p>
    <w:p>
      <w:pPr>
        <w:ind w:left="393" w:hanging="393"/>
        <w:spacing w:after="0"/>
        <w:tabs>
          <w:tab w:leader="none" w:pos="393"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Repurchase and reverse repurchase agreements and security lending and borrowing transactions -</w:t>
      </w:r>
    </w:p>
    <w:p>
      <w:pPr>
        <w:spacing w:after="0" w:line="202" w:lineRule="exact"/>
        <w:rPr>
          <w:rFonts w:ascii="Arial" w:cs="Arial" w:eastAsia="Arial" w:hAnsi="Arial"/>
          <w:sz w:val="16"/>
          <w:szCs w:val="16"/>
          <w:color w:val="auto"/>
        </w:rPr>
      </w:pPr>
    </w:p>
    <w:p>
      <w:pPr>
        <w:ind w:left="393"/>
        <w:spacing w:after="0" w:line="259" w:lineRule="auto"/>
        <w:rPr>
          <w:rFonts w:ascii="Arial" w:cs="Arial" w:eastAsia="Arial" w:hAnsi="Arial"/>
          <w:sz w:val="16"/>
          <w:szCs w:val="16"/>
          <w:color w:val="auto"/>
        </w:rPr>
      </w:pPr>
      <w:r>
        <w:rPr>
          <w:rFonts w:ascii="Arial" w:cs="Arial" w:eastAsia="Arial" w:hAnsi="Arial"/>
          <w:sz w:val="16"/>
          <w:szCs w:val="16"/>
          <w:color w:val="auto"/>
        </w:rPr>
        <w:t>Securities sold under agreements to repurchase at a specified future date are not derecognized from the consolidated statement of financial position as the Group retains substantially all of the risks and rewards of ownership. The cash received is recognized as an asset with a corresponding obligation to return it, including accrued interest, as a liability in “Payables from repurchase agreements and security lendings”, reflecting the transaction’s economic substance as a loan to the Group. The difference between the sale and repurchase price is treated as interest expense and is accrued over the life of the agreement using the effective interest rate and is recognized in “Interest and similar expenses” of the consolidated statement of income.</w:t>
      </w:r>
    </w:p>
    <w:p>
      <w:pPr>
        <w:spacing w:after="0" w:line="361" w:lineRule="exact"/>
        <w:rPr>
          <w:rFonts w:ascii="Arial" w:cs="Arial" w:eastAsia="Arial" w:hAnsi="Arial"/>
          <w:sz w:val="16"/>
          <w:szCs w:val="16"/>
          <w:color w:val="auto"/>
        </w:rPr>
      </w:pPr>
    </w:p>
    <w:p>
      <w:pPr>
        <w:ind w:left="5353" w:hanging="94"/>
        <w:spacing w:after="0"/>
        <w:tabs>
          <w:tab w:leader="none" w:pos="5353" w:val="left"/>
        </w:tabs>
        <w:numPr>
          <w:ilvl w:val="1"/>
          <w:numId w:val="31"/>
        </w:numPr>
        <w:rPr>
          <w:rFonts w:ascii="Arial" w:cs="Arial" w:eastAsia="Arial" w:hAnsi="Arial"/>
          <w:sz w:val="16"/>
          <w:szCs w:val="16"/>
          <w:color w:val="auto"/>
        </w:rPr>
      </w:pPr>
      <w:r>
        <w:rPr>
          <w:rFonts w:ascii="Arial" w:cs="Arial" w:eastAsia="Arial" w:hAnsi="Arial"/>
          <w:sz w:val="16"/>
          <w:szCs w:val="16"/>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13970</wp:posOffset>
            </wp:positionV>
            <wp:extent cx="7261225" cy="76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093"/>
          </w:cols>
          <w:pgMar w:left="527" w:top="828" w:right="279" w:bottom="1440" w:gutter="0" w:footer="0" w:header="0"/>
        </w:sectPr>
      </w:pPr>
    </w:p>
    <w:bookmarkStart w:id="38" w:name="page39"/>
    <w:bookmarkEnd w:id="38"/>
    <w:p>
      <w:pPr>
        <w:ind w:left="393" w:right="100"/>
        <w:spacing w:after="0" w:line="259" w:lineRule="auto"/>
        <w:rPr>
          <w:sz w:val="20"/>
          <w:szCs w:val="20"/>
          <w:color w:val="auto"/>
        </w:rPr>
      </w:pPr>
      <w:r>
        <w:rPr>
          <w:rFonts w:ascii="Arial" w:cs="Arial" w:eastAsia="Arial" w:hAnsi="Arial"/>
          <w:sz w:val="16"/>
          <w:szCs w:val="16"/>
          <w:color w:val="auto"/>
        </w:rPr>
        <w:t>As part of this transaction the Group grants assets as collateral. When the counterparty receives securities and has the right to sell or re-pledge, the Group reclassifies those securities in “Available-for-sale investments pledged as collateral” or “Held-to-maturity investments pledged as collateral”, as appropriate, of the consolidated statement of financial position. Also, when the counterparty receives cash as collateral that will be restricted until the maturity of the contract, the Group reclassifies the cash in Cash collateral, reverse repurchase agreements and security borrowings" in the consolidated statement of financial position, which includes accrued interest that is calculated according to the method of the effective interest rate.</w:t>
      </w:r>
    </w:p>
    <w:p>
      <w:pPr>
        <w:spacing w:after="0" w:line="168" w:lineRule="exact"/>
        <w:rPr>
          <w:sz w:val="20"/>
          <w:szCs w:val="20"/>
          <w:color w:val="auto"/>
        </w:rPr>
      </w:pPr>
    </w:p>
    <w:p>
      <w:pPr>
        <w:ind w:left="393"/>
        <w:spacing w:after="0" w:line="284" w:lineRule="auto"/>
        <w:rPr>
          <w:sz w:val="20"/>
          <w:szCs w:val="20"/>
          <w:color w:val="auto"/>
        </w:rPr>
      </w:pPr>
      <w:r>
        <w:rPr>
          <w:rFonts w:ascii="Arial" w:cs="Arial" w:eastAsia="Arial" w:hAnsi="Arial"/>
          <w:sz w:val="15"/>
          <w:szCs w:val="15"/>
          <w:color w:val="auto"/>
        </w:rPr>
        <w:t>Conversely, securities purchased under agreements to resell at a specified future date are not recognized in the consolidated statement of financial position. The consideration paid, including accrued interest, is recorded in “Receivables from reverse repurchase agreements and security borrowings” of the consolidated statement of financial position, reflecting the transaction’s economic substance as a loan by the Group. The difference between the purchase and resale price is recorded in “Interest and similar income” of the consolidated statement of income and is accrued over the life of the agreement using the effective interest rate.</w:t>
      </w:r>
    </w:p>
    <w:p>
      <w:pPr>
        <w:spacing w:after="0" w:line="151" w:lineRule="exact"/>
        <w:rPr>
          <w:sz w:val="20"/>
          <w:szCs w:val="20"/>
          <w:color w:val="auto"/>
        </w:rPr>
      </w:pPr>
    </w:p>
    <w:p>
      <w:pPr>
        <w:ind w:left="393" w:right="380"/>
        <w:spacing w:after="0" w:line="266" w:lineRule="auto"/>
        <w:rPr>
          <w:sz w:val="20"/>
          <w:szCs w:val="20"/>
          <w:color w:val="auto"/>
        </w:rPr>
      </w:pPr>
      <w:r>
        <w:rPr>
          <w:rFonts w:ascii="Arial" w:cs="Arial" w:eastAsia="Arial" w:hAnsi="Arial"/>
          <w:sz w:val="16"/>
          <w:szCs w:val="16"/>
          <w:color w:val="auto"/>
        </w:rPr>
        <w:t>If securities purchased under agreement to resell are subsequently sold to third parties, the obligation to return the securities is recorded as a short sale in the consolidated statement of financial position heading “Financial liabilities at fair value through profit or loss” and measured at fair value, with any gains or losses included in the consolidated statement of income caption “Net gain on sale of securities”.</w:t>
      </w:r>
    </w:p>
    <w:p>
      <w:pPr>
        <w:spacing w:after="0" w:line="162" w:lineRule="exact"/>
        <w:rPr>
          <w:sz w:val="20"/>
          <w:szCs w:val="20"/>
          <w:color w:val="auto"/>
        </w:rPr>
      </w:pPr>
    </w:p>
    <w:p>
      <w:pPr>
        <w:ind w:left="393" w:right="260"/>
        <w:spacing w:after="0" w:line="280" w:lineRule="auto"/>
        <w:rPr>
          <w:sz w:val="20"/>
          <w:szCs w:val="20"/>
          <w:color w:val="auto"/>
        </w:rPr>
      </w:pPr>
      <w:r>
        <w:rPr>
          <w:rFonts w:ascii="Arial" w:cs="Arial" w:eastAsia="Arial" w:hAnsi="Arial"/>
          <w:sz w:val="16"/>
          <w:szCs w:val="16"/>
          <w:color w:val="auto"/>
        </w:rPr>
        <w:t>Security lending and borrowing transactions are usually collateralized by securities and cash. The transfer of the securities to counterparties is only reflected in the consolidated statement of financial position if the risks and rewards of ownership are also transferred.</w:t>
      </w:r>
    </w:p>
    <w:p>
      <w:pPr>
        <w:spacing w:after="0" w:line="151" w:lineRule="exact"/>
        <w:rPr>
          <w:sz w:val="20"/>
          <w:szCs w:val="20"/>
          <w:color w:val="auto"/>
        </w:rPr>
      </w:pPr>
    </w:p>
    <w:p>
      <w:pPr>
        <w:ind w:left="393" w:hanging="393"/>
        <w:spacing w:after="0"/>
        <w:tabs>
          <w:tab w:leader="none" w:pos="393" w:val="left"/>
        </w:tabs>
        <w:numPr>
          <w:ilvl w:val="0"/>
          <w:numId w:val="32"/>
        </w:numPr>
        <w:rPr>
          <w:rFonts w:ascii="Arial" w:cs="Arial" w:eastAsia="Arial" w:hAnsi="Arial"/>
          <w:sz w:val="16"/>
          <w:szCs w:val="16"/>
          <w:color w:val="auto"/>
        </w:rPr>
      </w:pPr>
      <w:r>
        <w:rPr>
          <w:rFonts w:ascii="Arial" w:cs="Arial" w:eastAsia="Arial" w:hAnsi="Arial"/>
          <w:sz w:val="16"/>
          <w:szCs w:val="16"/>
          <w:color w:val="auto"/>
        </w:rPr>
        <w:t>Put and call options over non-controlling interest -</w:t>
      </w:r>
    </w:p>
    <w:p>
      <w:pPr>
        <w:spacing w:after="0" w:line="202" w:lineRule="exact"/>
        <w:rPr>
          <w:rFonts w:ascii="Arial" w:cs="Arial" w:eastAsia="Arial" w:hAnsi="Arial"/>
          <w:sz w:val="16"/>
          <w:szCs w:val="16"/>
          <w:color w:val="auto"/>
        </w:rPr>
      </w:pPr>
    </w:p>
    <w:p>
      <w:pPr>
        <w:ind w:left="393" w:right="200"/>
        <w:spacing w:after="0" w:line="292" w:lineRule="auto"/>
        <w:rPr>
          <w:rFonts w:ascii="Arial" w:cs="Arial" w:eastAsia="Arial" w:hAnsi="Arial"/>
          <w:sz w:val="16"/>
          <w:szCs w:val="16"/>
          <w:color w:val="auto"/>
        </w:rPr>
      </w:pPr>
      <w:r>
        <w:rPr>
          <w:rFonts w:ascii="Arial" w:cs="Arial" w:eastAsia="Arial" w:hAnsi="Arial"/>
          <w:sz w:val="15"/>
          <w:szCs w:val="15"/>
          <w:color w:val="auto"/>
        </w:rPr>
        <w:t>Put options granted to non-controlling interests give rise to a financial liability for the present value of the redemption amount. When the financial liability is recognized initially, the present value of the amount payable upon exercise of the option is recorded in equity. All subsequent changes in the carrying amount of the liability, due to a re-measurement of the present value of the amount payable on exercise, are recognized in the consolidated statements of income.</w:t>
      </w:r>
    </w:p>
    <w:p>
      <w:pPr>
        <w:spacing w:after="0" w:line="144" w:lineRule="exact"/>
        <w:rPr>
          <w:rFonts w:ascii="Arial" w:cs="Arial" w:eastAsia="Arial" w:hAnsi="Arial"/>
          <w:sz w:val="16"/>
          <w:szCs w:val="16"/>
          <w:color w:val="auto"/>
        </w:rPr>
      </w:pPr>
    </w:p>
    <w:p>
      <w:pPr>
        <w:ind w:left="393" w:right="300"/>
        <w:spacing w:after="0" w:line="266" w:lineRule="auto"/>
        <w:rPr>
          <w:rFonts w:ascii="Arial" w:cs="Arial" w:eastAsia="Arial" w:hAnsi="Arial"/>
          <w:sz w:val="16"/>
          <w:szCs w:val="16"/>
          <w:color w:val="auto"/>
        </w:rPr>
      </w:pPr>
      <w:r>
        <w:rPr>
          <w:rFonts w:ascii="Arial" w:cs="Arial" w:eastAsia="Arial" w:hAnsi="Arial"/>
          <w:sz w:val="16"/>
          <w:szCs w:val="16"/>
          <w:color w:val="auto"/>
        </w:rPr>
        <w:t>Call options are initially recognized as a financial asset at their fair value, with any subsequent changes in their fair value recognized in profit or loss. If the call options are exercised, the fair value of the option at that date is included as part of the cost of the acquisition of the non-controllin interest. If the call options lapse unexercised, any carrying amount for the call option is expensed in profit or loss.</w:t>
      </w:r>
    </w:p>
    <w:p>
      <w:pPr>
        <w:spacing w:after="0" w:line="161" w:lineRule="exact"/>
        <w:rPr>
          <w:rFonts w:ascii="Arial" w:cs="Arial" w:eastAsia="Arial" w:hAnsi="Arial"/>
          <w:sz w:val="16"/>
          <w:szCs w:val="16"/>
          <w:color w:val="auto"/>
        </w:rPr>
      </w:pPr>
    </w:p>
    <w:p>
      <w:pPr>
        <w:ind w:left="393"/>
        <w:spacing w:after="0"/>
        <w:rPr>
          <w:rFonts w:ascii="Arial" w:cs="Arial" w:eastAsia="Arial" w:hAnsi="Arial"/>
          <w:sz w:val="16"/>
          <w:szCs w:val="16"/>
          <w:color w:val="auto"/>
        </w:rPr>
      </w:pPr>
      <w:r>
        <w:rPr>
          <w:rFonts w:ascii="Arial" w:cs="Arial" w:eastAsia="Arial" w:hAnsi="Arial"/>
          <w:sz w:val="16"/>
          <w:szCs w:val="16"/>
          <w:color w:val="auto"/>
        </w:rPr>
        <w:t>Put and call options do not give the Group present access to the benefits associated with the ownership interest.</w:t>
      </w:r>
    </w:p>
    <w:p>
      <w:pPr>
        <w:spacing w:after="0" w:line="202" w:lineRule="exact"/>
        <w:rPr>
          <w:rFonts w:ascii="Arial" w:cs="Arial" w:eastAsia="Arial" w:hAnsi="Arial"/>
          <w:sz w:val="16"/>
          <w:szCs w:val="16"/>
          <w:color w:val="auto"/>
        </w:rPr>
      </w:pPr>
    </w:p>
    <w:p>
      <w:pPr>
        <w:ind w:left="393" w:hanging="393"/>
        <w:spacing w:after="0"/>
        <w:tabs>
          <w:tab w:leader="none" w:pos="393"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financial liabilities -</w:t>
      </w:r>
    </w:p>
    <w:p>
      <w:pPr>
        <w:spacing w:after="0" w:line="202" w:lineRule="exact"/>
        <w:rPr>
          <w:rFonts w:ascii="Arial" w:cs="Arial" w:eastAsia="Arial" w:hAnsi="Arial"/>
          <w:sz w:val="16"/>
          <w:szCs w:val="16"/>
          <w:color w:val="auto"/>
        </w:rPr>
      </w:pPr>
    </w:p>
    <w:p>
      <w:pPr>
        <w:ind w:left="393" w:right="100"/>
        <w:spacing w:after="0" w:line="280" w:lineRule="auto"/>
        <w:rPr>
          <w:rFonts w:ascii="Arial" w:cs="Arial" w:eastAsia="Arial" w:hAnsi="Arial"/>
          <w:sz w:val="16"/>
          <w:szCs w:val="16"/>
          <w:color w:val="auto"/>
        </w:rPr>
      </w:pPr>
      <w:r>
        <w:rPr>
          <w:rFonts w:ascii="Arial" w:cs="Arial" w:eastAsia="Arial" w:hAnsi="Arial"/>
          <w:sz w:val="16"/>
          <w:szCs w:val="16"/>
          <w:color w:val="auto"/>
        </w:rPr>
        <w:t>After initial measurement other financial liabilities are subsequently measured at amortized cost using the effective interest rate method. Amortized cost includes any issuance discount or premium and directly attributable transaction costs that are an integral part of the effective interest rate.</w:t>
      </w:r>
    </w:p>
    <w:p>
      <w:pPr>
        <w:spacing w:after="0" w:line="344" w:lineRule="exact"/>
        <w:rPr>
          <w:rFonts w:ascii="Arial" w:cs="Arial" w:eastAsia="Arial" w:hAnsi="Arial"/>
          <w:sz w:val="16"/>
          <w:szCs w:val="16"/>
          <w:color w:val="auto"/>
        </w:rPr>
      </w:pPr>
    </w:p>
    <w:p>
      <w:pPr>
        <w:ind w:left="5353" w:hanging="94"/>
        <w:spacing w:after="0"/>
        <w:tabs>
          <w:tab w:leader="none" w:pos="5353" w:val="left"/>
        </w:tabs>
        <w:numPr>
          <w:ilvl w:val="1"/>
          <w:numId w:val="32"/>
        </w:numPr>
        <w:rPr>
          <w:rFonts w:ascii="Arial" w:cs="Arial" w:eastAsia="Arial" w:hAnsi="Arial"/>
          <w:sz w:val="16"/>
          <w:szCs w:val="16"/>
          <w:color w:val="auto"/>
        </w:rPr>
      </w:pPr>
      <w:r>
        <w:rPr>
          <w:rFonts w:ascii="Arial" w:cs="Arial" w:eastAsia="Arial" w:hAnsi="Arial"/>
          <w:sz w:val="16"/>
          <w:szCs w:val="16"/>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13970</wp:posOffset>
            </wp:positionV>
            <wp:extent cx="7261225" cy="76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33"/>
          </w:cols>
          <w:pgMar w:left="527" w:top="828" w:right="239" w:bottom="1440" w:gutter="0" w:footer="0" w:header="0"/>
        </w:sectPr>
      </w:pPr>
    </w:p>
    <w:bookmarkStart w:id="39" w:name="page40"/>
    <w:bookmarkEnd w:id="39"/>
    <w:p>
      <w:pPr>
        <w:ind w:left="283" w:right="7900" w:hanging="283"/>
        <w:spacing w:after="0" w:line="504" w:lineRule="auto"/>
        <w:tabs>
          <w:tab w:leader="none" w:pos="2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De-recognition of financial assets and liabilities - Financial assets -</w:t>
      </w:r>
    </w:p>
    <w:p>
      <w:pPr>
        <w:ind w:left="283" w:right="140"/>
        <w:spacing w:after="0" w:line="284" w:lineRule="auto"/>
        <w:rPr>
          <w:rFonts w:ascii="Arial" w:cs="Arial" w:eastAsia="Arial" w:hAnsi="Arial"/>
          <w:sz w:val="16"/>
          <w:szCs w:val="16"/>
          <w:color w:val="auto"/>
        </w:rPr>
      </w:pPr>
      <w:r>
        <w:rPr>
          <w:rFonts w:ascii="Arial" w:cs="Arial" w:eastAsia="Arial" w:hAnsi="Arial"/>
          <w:sz w:val="15"/>
          <w:szCs w:val="15"/>
          <w:color w:val="auto"/>
        </w:rPr>
        <w:t>A financial asset (or, where applicable a part of a financial asset or a part of a group of similar financial assets) is derecognized when: (i)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 either the Group has transferred substantially all the risks and rewards of the asset, or the Group has neither transferred nor retained substantially all the risks and rewards of the asset, but has transferred control of the asset.</w:t>
      </w:r>
    </w:p>
    <w:p>
      <w:pPr>
        <w:spacing w:after="0" w:line="150" w:lineRule="exact"/>
        <w:rPr>
          <w:rFonts w:ascii="Arial" w:cs="Arial" w:eastAsia="Arial" w:hAnsi="Arial"/>
          <w:sz w:val="16"/>
          <w:szCs w:val="16"/>
          <w:color w:val="auto"/>
        </w:rPr>
      </w:pPr>
    </w:p>
    <w:p>
      <w:pPr>
        <w:ind w:left="283"/>
        <w:spacing w:after="0" w:line="284" w:lineRule="auto"/>
        <w:rPr>
          <w:rFonts w:ascii="Arial" w:cs="Arial" w:eastAsia="Arial" w:hAnsi="Arial"/>
          <w:sz w:val="16"/>
          <w:szCs w:val="16"/>
          <w:color w:val="auto"/>
        </w:rPr>
      </w:pPr>
      <w:r>
        <w:rPr>
          <w:rFonts w:ascii="Arial" w:cs="Arial" w:eastAsia="Arial" w:hAnsi="Arial"/>
          <w:sz w:val="15"/>
          <w:szCs w:val="15"/>
          <w:color w:val="auto"/>
        </w:rPr>
        <w:t>When the Group has transferred its right to receive cash flows from an asset or has entered into a pass-through arrangement, it evaluates if and to what extent it has retained the risks and rewards of ownership. When it has neither transferred nor retained substantially all of the risks and rewards of the asset, nor transferred control of the asset, the Group continues to recognize the transferred asset to the extent of the Group’s continuing involvement. In that case, the Group also recognizes an associated liability. The transferred asset and the associated liability are measured on a basis that reflects the rights and obligations that the Group has retained.</w:t>
      </w:r>
    </w:p>
    <w:p>
      <w:pPr>
        <w:spacing w:after="0" w:line="150" w:lineRule="exact"/>
        <w:rPr>
          <w:rFonts w:ascii="Arial" w:cs="Arial" w:eastAsia="Arial" w:hAnsi="Arial"/>
          <w:sz w:val="16"/>
          <w:szCs w:val="16"/>
          <w:color w:val="auto"/>
        </w:rPr>
      </w:pPr>
    </w:p>
    <w:p>
      <w:pPr>
        <w:ind w:left="283" w:right="20"/>
        <w:spacing w:after="0" w:line="280" w:lineRule="auto"/>
        <w:rPr>
          <w:rFonts w:ascii="Arial" w:cs="Arial" w:eastAsia="Arial" w:hAnsi="Arial"/>
          <w:sz w:val="16"/>
          <w:szCs w:val="16"/>
          <w:color w:val="auto"/>
        </w:rPr>
      </w:pPr>
      <w:r>
        <w:rPr>
          <w:rFonts w:ascii="Arial" w:cs="Arial" w:eastAsia="Arial" w:hAnsi="Arial"/>
          <w:sz w:val="16"/>
          <w:szCs w:val="16"/>
          <w:color w:val="auto"/>
        </w:rPr>
        <w:t>Continuing involvement that takes the form of a guarantee over the transferred asset is measured at the lower of the original carrying amount of the asset and the maximum amount of consideration that the Group could be required to repay.</w:t>
      </w:r>
    </w:p>
    <w:p>
      <w:pPr>
        <w:spacing w:after="0" w:line="150"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Financial liabilities -</w:t>
      </w:r>
    </w:p>
    <w:p>
      <w:pPr>
        <w:spacing w:after="0" w:line="202" w:lineRule="exact"/>
        <w:rPr>
          <w:rFonts w:ascii="Arial" w:cs="Arial" w:eastAsia="Arial" w:hAnsi="Arial"/>
          <w:sz w:val="16"/>
          <w:szCs w:val="16"/>
          <w:color w:val="auto"/>
        </w:rPr>
      </w:pPr>
    </w:p>
    <w:p>
      <w:pPr>
        <w:ind w:left="283" w:right="20"/>
        <w:spacing w:after="0" w:line="261" w:lineRule="auto"/>
        <w:rPr>
          <w:rFonts w:ascii="Arial" w:cs="Arial" w:eastAsia="Arial" w:hAnsi="Arial"/>
          <w:sz w:val="16"/>
          <w:szCs w:val="16"/>
          <w:color w:val="auto"/>
        </w:rPr>
      </w:pPr>
      <w:r>
        <w:rPr>
          <w:rFonts w:ascii="Arial" w:cs="Arial" w:eastAsia="Arial" w:hAnsi="Arial"/>
          <w:sz w:val="16"/>
          <w:szCs w:val="16"/>
          <w:color w:val="auto"/>
        </w:rPr>
        <w:t>A financial liability is derecognized when the obligation under the liability is discharged, cancelled or expires. When an existing financial liability is replaced by another from the same lender on substantially different terms, or the terms of an existing liability are substantially modified, such exchange or modification is treated as a de-recognition of the original liability and the recognition of a new liability; the difference between the carrying amount of the original financial liability and the consideration paid is recognized in the consolidated statement of income.</w:t>
      </w:r>
    </w:p>
    <w:p>
      <w:pPr>
        <w:spacing w:after="0" w:line="166" w:lineRule="exact"/>
        <w:rPr>
          <w:rFonts w:ascii="Arial" w:cs="Arial" w:eastAsia="Arial" w:hAnsi="Arial"/>
          <w:sz w:val="16"/>
          <w:szCs w:val="16"/>
          <w:color w:val="auto"/>
        </w:rPr>
      </w:pPr>
    </w:p>
    <w:p>
      <w:pPr>
        <w:ind w:left="283" w:hanging="283"/>
        <w:spacing w:after="0"/>
        <w:tabs>
          <w:tab w:leader="none" w:pos="2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Offsetting financial instruments -</w:t>
      </w:r>
    </w:p>
    <w:p>
      <w:pPr>
        <w:spacing w:after="0" w:line="202" w:lineRule="exact"/>
        <w:rPr>
          <w:rFonts w:ascii="Arial" w:cs="Arial" w:eastAsia="Arial" w:hAnsi="Arial"/>
          <w:sz w:val="16"/>
          <w:szCs w:val="16"/>
          <w:color w:val="auto"/>
        </w:rPr>
      </w:pPr>
    </w:p>
    <w:p>
      <w:pPr>
        <w:ind w:left="283" w:right="60"/>
        <w:spacing w:after="0" w:line="315" w:lineRule="auto"/>
        <w:rPr>
          <w:rFonts w:ascii="Arial" w:cs="Arial" w:eastAsia="Arial" w:hAnsi="Arial"/>
          <w:sz w:val="16"/>
          <w:szCs w:val="16"/>
          <w:color w:val="auto"/>
        </w:rPr>
      </w:pPr>
      <w:r>
        <w:rPr>
          <w:rFonts w:ascii="Arial" w:cs="Arial" w:eastAsia="Arial" w:hAnsi="Arial"/>
          <w:sz w:val="15"/>
          <w:szCs w:val="15"/>
          <w:color w:val="auto"/>
        </w:rPr>
        <w:t>Financial assets and liabilities are offset and the net amount is reported in the consolidated statement of financial position when there is a legally enforceable right to offset the recognized amounts and Management has the intention to settle on a net basis, or realize the assets and settle the liability simultaneously.</w:t>
      </w:r>
    </w:p>
    <w:p>
      <w:pPr>
        <w:spacing w:after="0" w:line="127" w:lineRule="exact"/>
        <w:rPr>
          <w:rFonts w:ascii="Arial" w:cs="Arial" w:eastAsia="Arial" w:hAnsi="Arial"/>
          <w:sz w:val="16"/>
          <w:szCs w:val="16"/>
          <w:color w:val="auto"/>
        </w:rPr>
      </w:pPr>
    </w:p>
    <w:p>
      <w:pPr>
        <w:ind w:left="283" w:hanging="283"/>
        <w:spacing w:after="0"/>
        <w:tabs>
          <w:tab w:leader="none" w:pos="2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Impairment of financial assets -</w:t>
      </w:r>
    </w:p>
    <w:p>
      <w:pPr>
        <w:spacing w:after="0" w:line="202" w:lineRule="exact"/>
        <w:rPr>
          <w:rFonts w:ascii="Arial" w:cs="Arial" w:eastAsia="Arial" w:hAnsi="Arial"/>
          <w:sz w:val="16"/>
          <w:szCs w:val="16"/>
          <w:color w:val="auto"/>
        </w:rPr>
      </w:pPr>
    </w:p>
    <w:p>
      <w:pPr>
        <w:ind w:left="283" w:right="180"/>
        <w:spacing w:after="0" w:line="278" w:lineRule="auto"/>
        <w:rPr>
          <w:rFonts w:ascii="Arial" w:cs="Arial" w:eastAsia="Arial" w:hAnsi="Arial"/>
          <w:sz w:val="16"/>
          <w:szCs w:val="16"/>
          <w:color w:val="auto"/>
        </w:rPr>
      </w:pPr>
      <w:r>
        <w:rPr>
          <w:rFonts w:ascii="Arial" w:cs="Arial" w:eastAsia="Arial" w:hAnsi="Arial"/>
          <w:sz w:val="15"/>
          <w:szCs w:val="15"/>
          <w:color w:val="auto"/>
        </w:rPr>
        <w:t>The Group assesses at the date of each consolidated statement of financial position whether there is any objective evidence that a financial asset or a group of financial assets is impaired. An impairment exists if one or more events that has occurred since the initial recognition of the asset (an incurred “loss event”), has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go bankrupt or other legal financial reorganization process and where observable data indicate that there is a measurable decrease in the estimated future cash flows, such as changes in arrears or economic conditions that correlate with defaults.</w:t>
      </w:r>
    </w:p>
    <w:p>
      <w:pPr>
        <w:spacing w:after="0" w:line="348" w:lineRule="exact"/>
        <w:rPr>
          <w:rFonts w:ascii="Arial" w:cs="Arial" w:eastAsia="Arial" w:hAnsi="Arial"/>
          <w:sz w:val="16"/>
          <w:szCs w:val="16"/>
          <w:color w:val="auto"/>
        </w:rPr>
      </w:pPr>
    </w:p>
    <w:p>
      <w:pPr>
        <w:ind w:left="5643" w:hanging="94"/>
        <w:spacing w:after="0"/>
        <w:tabs>
          <w:tab w:leader="none" w:pos="5643" w:val="left"/>
        </w:tabs>
        <w:numPr>
          <w:ilvl w:val="1"/>
          <w:numId w:val="33"/>
        </w:numPr>
        <w:rPr>
          <w:rFonts w:ascii="Arial" w:cs="Arial" w:eastAsia="Arial" w:hAnsi="Arial"/>
          <w:sz w:val="16"/>
          <w:szCs w:val="16"/>
          <w:color w:val="auto"/>
        </w:rPr>
      </w:pPr>
      <w:r>
        <w:rPr>
          <w:rFonts w:ascii="Arial" w:cs="Arial" w:eastAsia="Arial" w:hAnsi="Arial"/>
          <w:sz w:val="16"/>
          <w:szCs w:val="16"/>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63"/>
          </w:cols>
          <w:pgMar w:left="237" w:top="828" w:right="29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The criterion used for each category of financial assets is as follows:</w:t>
      </w:r>
    </w:p>
    <w:p>
      <w:pPr>
        <w:spacing w:after="0" w:line="203" w:lineRule="exact"/>
        <w:rPr>
          <w:sz w:val="20"/>
          <w:szCs w:val="20"/>
          <w:color w:val="auto"/>
        </w:rPr>
      </w:pPr>
    </w:p>
    <w:p>
      <w:pPr>
        <w:ind w:left="300" w:hanging="293"/>
        <w:spacing w:after="0"/>
        <w:tabs>
          <w:tab w:leader="none" w:pos="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Financial assets carried at amortized cost -</w:t>
      </w:r>
    </w:p>
    <w:p>
      <w:pPr>
        <w:spacing w:after="0" w:line="202" w:lineRule="exact"/>
        <w:rPr>
          <w:rFonts w:ascii="Arial" w:cs="Arial" w:eastAsia="Arial" w:hAnsi="Arial"/>
          <w:sz w:val="16"/>
          <w:szCs w:val="16"/>
          <w:color w:val="auto"/>
        </w:rPr>
      </w:pPr>
    </w:p>
    <w:p>
      <w:pPr>
        <w:ind w:left="300" w:right="100"/>
        <w:spacing w:after="0" w:line="259" w:lineRule="auto"/>
        <w:rPr>
          <w:rFonts w:ascii="Arial" w:cs="Arial" w:eastAsia="Arial" w:hAnsi="Arial"/>
          <w:sz w:val="16"/>
          <w:szCs w:val="16"/>
          <w:color w:val="auto"/>
        </w:rPr>
      </w:pPr>
      <w:r>
        <w:rPr>
          <w:rFonts w:ascii="Arial" w:cs="Arial" w:eastAsia="Arial" w:hAnsi="Arial"/>
          <w:sz w:val="16"/>
          <w:szCs w:val="16"/>
          <w:color w:val="auto"/>
        </w:rPr>
        <w:t>For loans, receivables and held-to-maturity investments that are carried at amortized cost, the Group first assesses whether impairment exists individually for financial assets that are individually significant, or collectively for financial assets that are not individually significant. If the Group determines that no objective evidence of impairment exists for an individually assessed financial asset, whether significant or not, it includes the asset in a group of financial assets with similar credit risk characteristics and collectively assesses them for impairment. Assets that are individually assessed for impairment and for which an impairment loss is, or continues to be, recognized are not included in a collective assessment of impairment.</w:t>
      </w:r>
    </w:p>
    <w:p>
      <w:pPr>
        <w:spacing w:after="0" w:line="167" w:lineRule="exact"/>
        <w:rPr>
          <w:rFonts w:ascii="Arial" w:cs="Arial" w:eastAsia="Arial" w:hAnsi="Arial"/>
          <w:sz w:val="16"/>
          <w:szCs w:val="16"/>
          <w:color w:val="auto"/>
        </w:rPr>
      </w:pPr>
    </w:p>
    <w:p>
      <w:pPr>
        <w:ind w:left="300" w:right="220"/>
        <w:spacing w:after="0" w:line="280" w:lineRule="auto"/>
        <w:rPr>
          <w:rFonts w:ascii="Arial" w:cs="Arial" w:eastAsia="Arial" w:hAnsi="Arial"/>
          <w:sz w:val="16"/>
          <w:szCs w:val="16"/>
          <w:color w:val="auto"/>
        </w:rPr>
      </w:pPr>
      <w:r>
        <w:rPr>
          <w:rFonts w:ascii="Arial" w:cs="Arial" w:eastAsia="Arial" w:hAnsi="Arial"/>
          <w:sz w:val="16"/>
          <w:szCs w:val="16"/>
          <w:color w:val="auto"/>
        </w:rPr>
        <w:t>The amount of any impairment loss identified is measured as the difference between the asset’s carrying amount and the present value of estimated future cash flows (excluding future expected credit losses that have not yet been incurred).</w:t>
      </w:r>
    </w:p>
    <w:p>
      <w:pPr>
        <w:spacing w:after="0" w:line="150" w:lineRule="exact"/>
        <w:rPr>
          <w:rFonts w:ascii="Arial" w:cs="Arial" w:eastAsia="Arial" w:hAnsi="Arial"/>
          <w:sz w:val="16"/>
          <w:szCs w:val="16"/>
          <w:color w:val="auto"/>
        </w:rPr>
      </w:pPr>
    </w:p>
    <w:p>
      <w:pPr>
        <w:ind w:left="300" w:right="100"/>
        <w:spacing w:after="0" w:line="261" w:lineRule="auto"/>
        <w:rPr>
          <w:rFonts w:ascii="Arial" w:cs="Arial" w:eastAsia="Arial" w:hAnsi="Arial"/>
          <w:sz w:val="16"/>
          <w:szCs w:val="16"/>
          <w:color w:val="auto"/>
        </w:rPr>
      </w:pPr>
      <w:r>
        <w:rPr>
          <w:rFonts w:ascii="Arial" w:cs="Arial" w:eastAsia="Arial" w:hAnsi="Arial"/>
          <w:sz w:val="16"/>
          <w:szCs w:val="16"/>
          <w:color w:val="auto"/>
        </w:rPr>
        <w:t>The carrying amount of the asset is reduced through the use of a provision account and the amount of the loss is recognized in the consolidated statement of income. A loan together with the respective associated provision is written off when classified as a loss and is fully provisioned and there is real and verifiable evidence that the loan is irrecoverable and collection efforts concluded without success, the impossibility of foreclosures or all collateral has been realized or has been transferred to the Group.</w:t>
      </w:r>
    </w:p>
    <w:p>
      <w:pPr>
        <w:spacing w:after="0" w:line="166" w:lineRule="exact"/>
        <w:rPr>
          <w:rFonts w:ascii="Arial" w:cs="Arial" w:eastAsia="Arial" w:hAnsi="Arial"/>
          <w:sz w:val="16"/>
          <w:szCs w:val="16"/>
          <w:color w:val="auto"/>
        </w:rPr>
      </w:pPr>
    </w:p>
    <w:p>
      <w:pPr>
        <w:jc w:val="both"/>
        <w:ind w:left="300" w:right="180"/>
        <w:spacing w:after="0" w:line="266" w:lineRule="auto"/>
        <w:rPr>
          <w:rFonts w:ascii="Arial" w:cs="Arial" w:eastAsia="Arial" w:hAnsi="Arial"/>
          <w:sz w:val="16"/>
          <w:szCs w:val="16"/>
          <w:color w:val="auto"/>
        </w:rPr>
      </w:pPr>
      <w:r>
        <w:rPr>
          <w:rFonts w:ascii="Arial" w:cs="Arial" w:eastAsia="Arial" w:hAnsi="Arial"/>
          <w:sz w:val="16"/>
          <w:szCs w:val="16"/>
          <w:color w:val="auto"/>
        </w:rPr>
        <w:t>If in any subsequent year, the amount of the estimated impairment loss increases or decreases because of an event occurring after the impairment was recognized, the previously recognized impairment loss is increased or reduced by adjusting the provision account. If in the future a written-off loan is later recovered, the recovery is recognized in the consolidated statement of income, as a credit to “Provision for loan losses, net of recoveries”.</w:t>
      </w:r>
    </w:p>
    <w:p>
      <w:pPr>
        <w:spacing w:after="0" w:line="161" w:lineRule="exact"/>
        <w:rPr>
          <w:rFonts w:ascii="Arial" w:cs="Arial" w:eastAsia="Arial" w:hAnsi="Arial"/>
          <w:sz w:val="16"/>
          <w:szCs w:val="16"/>
          <w:color w:val="auto"/>
        </w:rPr>
      </w:pPr>
    </w:p>
    <w:p>
      <w:pPr>
        <w:ind w:left="300"/>
        <w:spacing w:after="0" w:line="321" w:lineRule="auto"/>
        <w:rPr>
          <w:rFonts w:ascii="Arial" w:cs="Arial" w:eastAsia="Arial" w:hAnsi="Arial"/>
          <w:sz w:val="16"/>
          <w:szCs w:val="16"/>
          <w:color w:val="auto"/>
        </w:rPr>
      </w:pPr>
      <w:r>
        <w:rPr>
          <w:rFonts w:ascii="Arial" w:cs="Arial" w:eastAsia="Arial" w:hAnsi="Arial"/>
          <w:sz w:val="14"/>
          <w:szCs w:val="14"/>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127" w:lineRule="exact"/>
        <w:rPr>
          <w:rFonts w:ascii="Arial" w:cs="Arial" w:eastAsia="Arial" w:hAnsi="Arial"/>
          <w:sz w:val="16"/>
          <w:szCs w:val="16"/>
          <w:color w:val="auto"/>
        </w:rPr>
      </w:pPr>
    </w:p>
    <w:p>
      <w:pPr>
        <w:ind w:left="300"/>
        <w:spacing w:after="0" w:line="280" w:lineRule="auto"/>
        <w:rPr>
          <w:rFonts w:ascii="Arial" w:cs="Arial" w:eastAsia="Arial" w:hAnsi="Arial"/>
          <w:sz w:val="16"/>
          <w:szCs w:val="16"/>
          <w:color w:val="auto"/>
        </w:rPr>
      </w:pPr>
      <w:r>
        <w:rPr>
          <w:rFonts w:ascii="Arial" w:cs="Arial" w:eastAsia="Arial" w:hAnsi="Arial"/>
          <w:sz w:val="16"/>
          <w:szCs w:val="16"/>
          <w:color w:val="auto"/>
        </w:rPr>
        <w:t>For collective assessment of impairment, financial assets are grouped considering the Group’s internal credit grading system, which considers credit risk characteristics; for example: asset type, industry, geographical location, collateral type and past-due status and other relevant factors.</w:t>
      </w:r>
    </w:p>
    <w:p>
      <w:pPr>
        <w:spacing w:after="0" w:line="150" w:lineRule="exact"/>
        <w:rPr>
          <w:rFonts w:ascii="Arial" w:cs="Arial" w:eastAsia="Arial" w:hAnsi="Arial"/>
          <w:sz w:val="16"/>
          <w:szCs w:val="16"/>
          <w:color w:val="auto"/>
        </w:rPr>
      </w:pPr>
    </w:p>
    <w:p>
      <w:pPr>
        <w:ind w:left="300" w:right="140"/>
        <w:spacing w:after="0" w:line="310" w:lineRule="auto"/>
        <w:rPr>
          <w:rFonts w:ascii="Arial" w:cs="Arial" w:eastAsia="Arial" w:hAnsi="Arial"/>
          <w:sz w:val="16"/>
          <w:szCs w:val="16"/>
          <w:color w:val="auto"/>
        </w:rPr>
      </w:pPr>
      <w:r>
        <w:rPr>
          <w:rFonts w:ascii="Arial" w:cs="Arial" w:eastAsia="Arial" w:hAnsi="Arial"/>
          <w:sz w:val="14"/>
          <w:szCs w:val="14"/>
          <w:color w:val="auto"/>
        </w:rPr>
        <w:t>Future cash flows from a group of financial assets that are collectively evaluated for impairment are estimated on the basis of historical loss experience for assets with similar credit risk characteristics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currently exists. The methodology and assumptions used are reviewed regularly to reduce any differences between loss estimates and actual loss experience.</w:t>
      </w:r>
    </w:p>
    <w:p>
      <w:pPr>
        <w:spacing w:after="0" w:line="135" w:lineRule="exact"/>
        <w:rPr>
          <w:rFonts w:ascii="Arial" w:cs="Arial" w:eastAsia="Arial" w:hAnsi="Arial"/>
          <w:sz w:val="16"/>
          <w:szCs w:val="16"/>
          <w:color w:val="auto"/>
        </w:rPr>
      </w:pPr>
    </w:p>
    <w:p>
      <w:pPr>
        <w:ind w:left="300" w:hanging="293"/>
        <w:spacing w:after="0"/>
        <w:tabs>
          <w:tab w:leader="none" w:pos="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Available-for-sale financial investments -</w:t>
      </w:r>
    </w:p>
    <w:p>
      <w:pPr>
        <w:spacing w:after="0" w:line="202" w:lineRule="exact"/>
        <w:rPr>
          <w:rFonts w:ascii="Arial" w:cs="Arial" w:eastAsia="Arial" w:hAnsi="Arial"/>
          <w:sz w:val="16"/>
          <w:szCs w:val="16"/>
          <w:color w:val="auto"/>
        </w:rPr>
      </w:pPr>
    </w:p>
    <w:p>
      <w:pPr>
        <w:ind w:left="300" w:right="80"/>
        <w:spacing w:after="0" w:line="280" w:lineRule="auto"/>
        <w:rPr>
          <w:rFonts w:ascii="Arial" w:cs="Arial" w:eastAsia="Arial" w:hAnsi="Arial"/>
          <w:sz w:val="16"/>
          <w:szCs w:val="16"/>
          <w:color w:val="auto"/>
        </w:rPr>
      </w:pPr>
      <w:r>
        <w:rPr>
          <w:rFonts w:ascii="Arial" w:cs="Arial" w:eastAsia="Arial" w:hAnsi="Arial"/>
          <w:sz w:val="16"/>
          <w:szCs w:val="16"/>
          <w:color w:val="auto"/>
        </w:rPr>
        <w:t>For available-for-sale financial investments, the Group assesses at each date of the consolidated statement of financial position whether there is objective evidence that an investment or a group of investments is impaired.</w:t>
      </w:r>
    </w:p>
    <w:p>
      <w:pPr>
        <w:spacing w:after="0" w:line="344" w:lineRule="exact"/>
        <w:rPr>
          <w:rFonts w:ascii="Arial" w:cs="Arial" w:eastAsia="Arial" w:hAnsi="Arial"/>
          <w:sz w:val="16"/>
          <w:szCs w:val="16"/>
          <w:color w:val="auto"/>
        </w:rPr>
      </w:pPr>
    </w:p>
    <w:p>
      <w:pPr>
        <w:ind w:left="5360" w:hanging="94"/>
        <w:spacing w:after="0"/>
        <w:tabs>
          <w:tab w:leader="none" w:pos="53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13970</wp:posOffset>
            </wp:positionV>
            <wp:extent cx="7261225" cy="762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40"/>
          </w:cols>
          <w:pgMar w:left="520" w:top="828" w:right="239" w:bottom="1440" w:gutter="0" w:footer="0" w:header="0"/>
        </w:sectPr>
      </w:pPr>
    </w:p>
    <w:bookmarkStart w:id="41" w:name="page42"/>
    <w:bookmarkEnd w:id="41"/>
    <w:p>
      <w:pPr>
        <w:ind w:left="583" w:right="20"/>
        <w:spacing w:after="0" w:line="261" w:lineRule="auto"/>
        <w:rPr>
          <w:sz w:val="20"/>
          <w:szCs w:val="20"/>
          <w:color w:val="auto"/>
        </w:rPr>
      </w:pPr>
      <w:r>
        <w:rPr>
          <w:rFonts w:ascii="Arial" w:cs="Arial" w:eastAsia="Arial" w:hAnsi="Arial"/>
          <w:sz w:val="16"/>
          <w:szCs w:val="16"/>
          <w:color w:val="auto"/>
        </w:rPr>
        <w:t>In the case of equity investments, objective evidence would include a significant or prolonged decline in their fair value below cost. “Significant” is to be evaluated against the original cost of the investment and “prolonged” against the period in which the fair value has been below its original cost. The determination of what is “significant” or “prolonged” requires judgment. In making this judgment, the Group evaluates, among other factors, the duration or extent to which the fair value of an investment is less than its cost.</w:t>
      </w:r>
    </w:p>
    <w:p>
      <w:pPr>
        <w:spacing w:after="0" w:line="167" w:lineRule="exact"/>
        <w:rPr>
          <w:sz w:val="20"/>
          <w:szCs w:val="20"/>
          <w:color w:val="auto"/>
        </w:rPr>
      </w:pPr>
    </w:p>
    <w:p>
      <w:pPr>
        <w:ind w:left="583" w:right="40"/>
        <w:spacing w:after="0" w:line="261" w:lineRule="auto"/>
        <w:rPr>
          <w:sz w:val="20"/>
          <w:szCs w:val="20"/>
          <w:color w:val="auto"/>
        </w:rPr>
      </w:pPr>
      <w:r>
        <w:rPr>
          <w:rFonts w:ascii="Arial" w:cs="Arial" w:eastAsia="Arial" w:hAnsi="Arial"/>
          <w:sz w:val="16"/>
          <w:szCs w:val="16"/>
          <w:color w:val="auto"/>
        </w:rPr>
        <w:t>When there is evidence of impairment, the cumulative loss (measured as the difference between the acquisition cost and the current fair value, less any previously recognized impairment loss) is removed from available-for-sale investments reserve of the consolidated statement of changes in equity and recognized in the consolidated statement of income. Impairment losses on equity investments are not reversed through the consolidated statement of income; increases in their fair value after impairment are recognized directly in the consolidated statement of comprehensive income.</w:t>
      </w:r>
    </w:p>
    <w:p>
      <w:pPr>
        <w:spacing w:after="0" w:line="167" w:lineRule="exact"/>
        <w:rPr>
          <w:sz w:val="20"/>
          <w:szCs w:val="20"/>
          <w:color w:val="auto"/>
        </w:rPr>
      </w:pPr>
    </w:p>
    <w:p>
      <w:pPr>
        <w:ind w:left="583" w:right="20"/>
        <w:spacing w:after="0" w:line="301" w:lineRule="auto"/>
        <w:rPr>
          <w:sz w:val="20"/>
          <w:szCs w:val="20"/>
          <w:color w:val="auto"/>
        </w:rPr>
      </w:pPr>
      <w:r>
        <w:rPr>
          <w:rFonts w:ascii="Arial" w:cs="Arial" w:eastAsia="Arial" w:hAnsi="Arial"/>
          <w:sz w:val="14"/>
          <w:szCs w:val="14"/>
          <w:color w:val="auto"/>
        </w:rPr>
        <w:t>In the case of debt instruments, impairment is assessed based on the same criteria as financial assets carried at amortized cost. However, the amount recorded for impairment is the cumulative loss measured as the difference between the amortized cost and the current fair value, less any impairment loss on that investment previously recognized in the consolidated statement of income. Future interest income is based on the reduced carrying amount and is accrued using the interest rate used to discount the future cash flows for the purpose of measuring the impairment loss. Interest income is recorded as part of “Interest and similar income” of the consolidated statement of income. If in a subsequent year, the fair value of a debt instrument increases and the increase can be objectively related to an event occurring after the impairment loss was recognized in the consolidated statements of income, the impairment loss is reversed through the consolidated statement of income.</w:t>
      </w:r>
    </w:p>
    <w:p>
      <w:pPr>
        <w:spacing w:after="0" w:line="142" w:lineRule="exact"/>
        <w:rPr>
          <w:sz w:val="20"/>
          <w:szCs w:val="20"/>
          <w:color w:val="auto"/>
        </w:rPr>
      </w:pPr>
    </w:p>
    <w:p>
      <w:pPr>
        <w:ind w:left="583" w:hanging="293"/>
        <w:spacing w:after="0"/>
        <w:tabs>
          <w:tab w:leader="none" w:pos="583" w:val="left"/>
        </w:tabs>
        <w:numPr>
          <w:ilvl w:val="1"/>
          <w:numId w:val="35"/>
        </w:numPr>
        <w:rPr>
          <w:rFonts w:ascii="Arial" w:cs="Arial" w:eastAsia="Arial" w:hAnsi="Arial"/>
          <w:sz w:val="16"/>
          <w:szCs w:val="16"/>
          <w:color w:val="auto"/>
        </w:rPr>
      </w:pPr>
      <w:r>
        <w:rPr>
          <w:rFonts w:ascii="Arial" w:cs="Arial" w:eastAsia="Arial" w:hAnsi="Arial"/>
          <w:sz w:val="16"/>
          <w:szCs w:val="16"/>
          <w:color w:val="auto"/>
        </w:rPr>
        <w:t>Renegotiated loans -</w:t>
      </w:r>
    </w:p>
    <w:p>
      <w:pPr>
        <w:spacing w:after="0" w:line="202" w:lineRule="exact"/>
        <w:rPr>
          <w:rFonts w:ascii="Arial" w:cs="Arial" w:eastAsia="Arial" w:hAnsi="Arial"/>
          <w:sz w:val="16"/>
          <w:szCs w:val="16"/>
          <w:color w:val="auto"/>
        </w:rPr>
      </w:pPr>
    </w:p>
    <w:p>
      <w:pPr>
        <w:ind w:left="583" w:right="60"/>
        <w:spacing w:after="0" w:line="292" w:lineRule="auto"/>
        <w:rPr>
          <w:rFonts w:ascii="Arial" w:cs="Arial" w:eastAsia="Arial" w:hAnsi="Arial"/>
          <w:sz w:val="16"/>
          <w:szCs w:val="16"/>
          <w:color w:val="auto"/>
        </w:rPr>
      </w:pPr>
      <w:r>
        <w:rPr>
          <w:rFonts w:ascii="Arial" w:cs="Arial" w:eastAsia="Arial" w:hAnsi="Arial"/>
          <w:sz w:val="15"/>
          <w:szCs w:val="15"/>
          <w:color w:val="auto"/>
        </w:rPr>
        <w:t>When a loan is modified, it is no longer considered as past due but it maintains its previous classification as impaired or not impaired. If the debtor complies with the new agreement during the following six months, and an analysis of its payment capacity supports a new improved risk classification, it is classified as not impaired. If subsequent to the loan modification the debtor fails to comply with the new agreement, it is considered as impaired and past due.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Leases -</w:t>
      </w:r>
    </w:p>
    <w:p>
      <w:pPr>
        <w:spacing w:after="0" w:line="202" w:lineRule="exact"/>
        <w:rPr>
          <w:rFonts w:ascii="Arial" w:cs="Arial" w:eastAsia="Arial" w:hAnsi="Arial"/>
          <w:sz w:val="16"/>
          <w:szCs w:val="16"/>
          <w:color w:val="auto"/>
        </w:rPr>
      </w:pPr>
    </w:p>
    <w:p>
      <w:pPr>
        <w:ind w:left="283" w:right="20"/>
        <w:spacing w:after="0" w:line="266" w:lineRule="auto"/>
        <w:rPr>
          <w:rFonts w:ascii="Arial" w:cs="Arial" w:eastAsia="Arial" w:hAnsi="Arial"/>
          <w:sz w:val="16"/>
          <w:szCs w:val="16"/>
          <w:color w:val="auto"/>
        </w:rPr>
      </w:pPr>
      <w:r>
        <w:rPr>
          <w:rFonts w:ascii="Arial" w:cs="Arial" w:eastAsia="Arial" w:hAnsi="Arial"/>
          <w:sz w:val="16"/>
          <w:szCs w:val="16"/>
          <w:color w:val="auto"/>
        </w:rPr>
        <w:t>The determination of whether an arrangement is, or contains, a lease is based in the substance of the arrangement at the inception date: whether fulfillment of the arrangement is dependent on the use of a specific asset or assets and on whether the arrangement conveys a right to use the asset even if that right is not explicitly specified in an arrangement.</w:t>
      </w:r>
    </w:p>
    <w:p>
      <w:pPr>
        <w:spacing w:after="0" w:line="161"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Operating leases -</w:t>
      </w:r>
    </w:p>
    <w:p>
      <w:pPr>
        <w:spacing w:after="0" w:line="202" w:lineRule="exact"/>
        <w:rPr>
          <w:rFonts w:ascii="Arial" w:cs="Arial" w:eastAsia="Arial" w:hAnsi="Arial"/>
          <w:sz w:val="16"/>
          <w:szCs w:val="16"/>
          <w:color w:val="auto"/>
        </w:rPr>
      </w:pPr>
    </w:p>
    <w:p>
      <w:pPr>
        <w:ind w:left="283" w:right="80"/>
        <w:spacing w:after="0" w:line="280" w:lineRule="auto"/>
        <w:rPr>
          <w:rFonts w:ascii="Arial" w:cs="Arial" w:eastAsia="Arial" w:hAnsi="Arial"/>
          <w:sz w:val="16"/>
          <w:szCs w:val="16"/>
          <w:color w:val="auto"/>
        </w:rPr>
      </w:pPr>
      <w:r>
        <w:rPr>
          <w:rFonts w:ascii="Arial" w:cs="Arial" w:eastAsia="Arial" w:hAnsi="Arial"/>
          <w:sz w:val="16"/>
          <w:szCs w:val="16"/>
          <w:color w:val="auto"/>
        </w:rPr>
        <w:t>Leases in which a significant portion of the risks and benefits of the asset are held by the lessor are classified as operating leases. Under this concept the Group has mainly leased premises used as offices and agencies of the Group’s subsidiaries.</w:t>
      </w:r>
    </w:p>
    <w:p>
      <w:pPr>
        <w:spacing w:after="0" w:line="150" w:lineRule="exact"/>
        <w:rPr>
          <w:rFonts w:ascii="Arial" w:cs="Arial" w:eastAsia="Arial" w:hAnsi="Arial"/>
          <w:sz w:val="16"/>
          <w:szCs w:val="16"/>
          <w:color w:val="auto"/>
        </w:rPr>
      </w:pPr>
    </w:p>
    <w:p>
      <w:pPr>
        <w:ind w:left="283" w:right="20"/>
        <w:spacing w:after="0" w:line="280" w:lineRule="auto"/>
        <w:rPr>
          <w:rFonts w:ascii="Arial" w:cs="Arial" w:eastAsia="Arial" w:hAnsi="Arial"/>
          <w:sz w:val="16"/>
          <w:szCs w:val="16"/>
          <w:color w:val="auto"/>
        </w:rPr>
      </w:pPr>
      <w:r>
        <w:rPr>
          <w:rFonts w:ascii="Arial" w:cs="Arial" w:eastAsia="Arial" w:hAnsi="Arial"/>
          <w:sz w:val="16"/>
          <w:szCs w:val="16"/>
          <w:color w:val="auto"/>
        </w:rPr>
        <w:t>When an operating lease is terminated before the lease period has expired, any penalty payment to the lessor is recognized as an expense in the period in which termination takes place.</w:t>
      </w:r>
    </w:p>
    <w:p>
      <w:pPr>
        <w:spacing w:after="0" w:line="150"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Finance leases -</w:t>
      </w:r>
    </w:p>
    <w:p>
      <w:pPr>
        <w:spacing w:after="0" w:line="202" w:lineRule="exact"/>
        <w:rPr>
          <w:rFonts w:ascii="Arial" w:cs="Arial" w:eastAsia="Arial" w:hAnsi="Arial"/>
          <w:sz w:val="16"/>
          <w:szCs w:val="16"/>
          <w:color w:val="auto"/>
        </w:rPr>
      </w:pPr>
    </w:p>
    <w:p>
      <w:pPr>
        <w:ind w:left="283"/>
        <w:spacing w:after="0" w:line="266" w:lineRule="auto"/>
        <w:rPr>
          <w:rFonts w:ascii="Arial" w:cs="Arial" w:eastAsia="Arial" w:hAnsi="Arial"/>
          <w:sz w:val="16"/>
          <w:szCs w:val="16"/>
          <w:color w:val="auto"/>
        </w:rPr>
      </w:pPr>
      <w:r>
        <w:rPr>
          <w:rFonts w:ascii="Arial" w:cs="Arial" w:eastAsia="Arial" w:hAnsi="Arial"/>
          <w:sz w:val="16"/>
          <w:szCs w:val="16"/>
          <w:color w:val="auto"/>
        </w:rPr>
        <w:t>Finance leases are recognized as granted loans at the present value of the future lease collections. The difference between the gross receivable amount and the present value of the loan is recognized as unearned interest. Lease income is recognized over the term of the lease agreement using the effective interest rate method, which reflects a constant periodic rate of return.</w:t>
      </w:r>
    </w:p>
    <w:p>
      <w:pPr>
        <w:spacing w:after="0" w:line="355" w:lineRule="exact"/>
        <w:rPr>
          <w:rFonts w:ascii="Arial" w:cs="Arial" w:eastAsia="Arial" w:hAnsi="Arial"/>
          <w:sz w:val="16"/>
          <w:szCs w:val="16"/>
          <w:color w:val="auto"/>
        </w:rPr>
      </w:pPr>
    </w:p>
    <w:p>
      <w:pPr>
        <w:ind w:left="5643" w:hanging="94"/>
        <w:spacing w:after="0"/>
        <w:tabs>
          <w:tab w:leader="none" w:pos="5643" w:val="left"/>
        </w:tabs>
        <w:numPr>
          <w:ilvl w:val="2"/>
          <w:numId w:val="36"/>
        </w:numPr>
        <w:rPr>
          <w:rFonts w:ascii="Arial" w:cs="Arial" w:eastAsia="Arial" w:hAnsi="Arial"/>
          <w:sz w:val="16"/>
          <w:szCs w:val="16"/>
          <w:color w:val="auto"/>
        </w:rPr>
      </w:pPr>
      <w:r>
        <w:rPr>
          <w:rFonts w:ascii="Arial" w:cs="Arial" w:eastAsia="Arial" w:hAnsi="Arial"/>
          <w:sz w:val="16"/>
          <w:szCs w:val="16"/>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63"/>
          </w:cols>
          <w:pgMar w:left="237" w:top="828" w:right="299" w:bottom="1440" w:gutter="0" w:footer="0" w:header="0"/>
        </w:sectPr>
      </w:pPr>
    </w:p>
    <w:bookmarkStart w:id="42" w:name="page43"/>
    <w:bookmarkEnd w:id="42"/>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Property, furniture and equipment -</w:t>
      </w:r>
    </w:p>
    <w:p>
      <w:pPr>
        <w:spacing w:after="0" w:line="202" w:lineRule="exact"/>
        <w:rPr>
          <w:rFonts w:ascii="Arial" w:cs="Arial" w:eastAsia="Arial" w:hAnsi="Arial"/>
          <w:sz w:val="16"/>
          <w:szCs w:val="16"/>
          <w:color w:val="auto"/>
        </w:rPr>
      </w:pPr>
    </w:p>
    <w:p>
      <w:pPr>
        <w:ind w:left="283"/>
        <w:spacing w:after="0" w:line="261" w:lineRule="auto"/>
        <w:rPr>
          <w:rFonts w:ascii="Arial" w:cs="Arial" w:eastAsia="Arial" w:hAnsi="Arial"/>
          <w:sz w:val="16"/>
          <w:szCs w:val="16"/>
          <w:color w:val="auto"/>
        </w:rPr>
      </w:pPr>
      <w:r>
        <w:rPr>
          <w:rFonts w:ascii="Arial" w:cs="Arial" w:eastAsia="Arial" w:hAnsi="Arial"/>
          <w:sz w:val="16"/>
          <w:szCs w:val="16"/>
          <w:color w:val="auto"/>
        </w:rPr>
        <w:t>Property, furniture and equipment are stated at historical acquisition cost less accumulated depreciation and impairment losses, if applicable. Historical acquisition costs include expenditures that are directly attributable to the acquired property, furniture or equipment. Maintenance and repair costs are charged to the consolidated statement of income; significant renewals and improvements are capitalized when it is probable that future economic benefits, in excess of the originally assessed standard of performance, will flow from the use of the acquired property, furniture or equipment.</w:t>
      </w:r>
    </w:p>
    <w:p>
      <w:pPr>
        <w:spacing w:after="0" w:line="166"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Land is not depreciated. Depreciation is calculated using the straight-line method over the estimated useful lives, which are as follows:</w:t>
      </w:r>
    </w:p>
    <w:p>
      <w:pPr>
        <w:spacing w:after="0" w:line="211" w:lineRule="exact"/>
        <w:rPr>
          <w:sz w:val="20"/>
          <w:szCs w:val="20"/>
          <w:color w:val="auto"/>
        </w:rPr>
      </w:pPr>
    </w:p>
    <w:tbl>
      <w:tblPr>
        <w:tblLayout w:type="fixed"/>
        <w:tblInd w:w="283"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w w:val="82"/>
              </w:rPr>
              <w:t>Years</w:t>
            </w:r>
          </w:p>
        </w:tc>
      </w:tr>
      <w:tr>
        <w:trPr>
          <w:trHeight w:val="186"/>
        </w:trPr>
        <w:tc>
          <w:tcPr>
            <w:tcW w:w="57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3"/>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Buildings and other construction</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60" w:type="dxa"/>
            <w:vAlign w:val="bottom"/>
            <w:shd w:val="clear" w:color="auto" w:fill="CCEEFF"/>
          </w:tcPr>
          <w:p>
            <w:pPr>
              <w:spacing w:after="0"/>
              <w:rPr>
                <w:sz w:val="16"/>
                <w:szCs w:val="16"/>
                <w:color w:val="auto"/>
              </w:rPr>
            </w:pPr>
          </w:p>
        </w:tc>
      </w:tr>
      <w:tr>
        <w:trPr>
          <w:trHeight w:val="193"/>
        </w:trPr>
        <w:tc>
          <w:tcPr>
            <w:tcW w:w="5700" w:type="dxa"/>
            <w:vAlign w:val="bottom"/>
          </w:tcPr>
          <w:p>
            <w:pPr>
              <w:spacing w:after="0"/>
              <w:rPr>
                <w:sz w:val="20"/>
                <w:szCs w:val="20"/>
                <w:color w:val="auto"/>
              </w:rPr>
            </w:pPr>
            <w:r>
              <w:rPr>
                <w:rFonts w:ascii="Arial" w:cs="Arial" w:eastAsia="Arial" w:hAnsi="Arial"/>
                <w:sz w:val="16"/>
                <w:szCs w:val="16"/>
                <w:color w:val="auto"/>
              </w:rPr>
              <w:t>Installations</w:t>
            </w: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6"/>
                <w:szCs w:val="16"/>
                <w:color w:val="auto"/>
              </w:rPr>
            </w:pPr>
          </w:p>
        </w:tc>
      </w:tr>
      <w:tr>
        <w:trPr>
          <w:trHeight w:val="193"/>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6"/>
                <w:szCs w:val="16"/>
                <w:color w:val="auto"/>
              </w:rPr>
            </w:pPr>
          </w:p>
        </w:tc>
      </w:tr>
      <w:tr>
        <w:trPr>
          <w:trHeight w:val="193"/>
        </w:trPr>
        <w:tc>
          <w:tcPr>
            <w:tcW w:w="5700" w:type="dxa"/>
            <w:vAlign w:val="bottom"/>
          </w:tcPr>
          <w:p>
            <w:pPr>
              <w:spacing w:after="0"/>
              <w:rPr>
                <w:sz w:val="20"/>
                <w:szCs w:val="20"/>
                <w:color w:val="auto"/>
              </w:rPr>
            </w:pPr>
            <w:r>
              <w:rPr>
                <w:rFonts w:ascii="Arial" w:cs="Arial" w:eastAsia="Arial" w:hAnsi="Arial"/>
                <w:sz w:val="16"/>
                <w:szCs w:val="16"/>
                <w:color w:val="auto"/>
              </w:rPr>
              <w:t>Vehicles and equipment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r>
      <w:tr>
        <w:trPr>
          <w:trHeight w:val="193"/>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Computer hardware</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r>
    </w:tbl>
    <w:p>
      <w:pPr>
        <w:spacing w:after="0" w:line="181" w:lineRule="exact"/>
        <w:rPr>
          <w:sz w:val="20"/>
          <w:szCs w:val="20"/>
          <w:color w:val="auto"/>
        </w:rPr>
      </w:pPr>
    </w:p>
    <w:p>
      <w:pPr>
        <w:jc w:val="both"/>
        <w:ind w:left="283" w:right="120"/>
        <w:spacing w:after="0" w:line="266" w:lineRule="auto"/>
        <w:rPr>
          <w:sz w:val="20"/>
          <w:szCs w:val="20"/>
          <w:color w:val="auto"/>
        </w:rPr>
      </w:pPr>
      <w:r>
        <w:rPr>
          <w:rFonts w:ascii="Arial" w:cs="Arial" w:eastAsia="Arial" w:hAnsi="Arial"/>
          <w:sz w:val="16"/>
          <w:szCs w:val="16"/>
          <w:color w:val="auto"/>
        </w:rPr>
        <w:t>An item of property, furniture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statement of income.</w:t>
      </w:r>
    </w:p>
    <w:p>
      <w:pPr>
        <w:spacing w:after="0" w:line="162" w:lineRule="exact"/>
        <w:rPr>
          <w:sz w:val="20"/>
          <w:szCs w:val="20"/>
          <w:color w:val="auto"/>
        </w:rPr>
      </w:pPr>
    </w:p>
    <w:p>
      <w:pPr>
        <w:ind w:left="283"/>
        <w:spacing w:after="0"/>
        <w:rPr>
          <w:sz w:val="20"/>
          <w:szCs w:val="20"/>
          <w:color w:val="auto"/>
        </w:rPr>
      </w:pPr>
      <w:r>
        <w:rPr>
          <w:rFonts w:ascii="Arial" w:cs="Arial" w:eastAsia="Arial" w:hAnsi="Arial"/>
          <w:sz w:val="15"/>
          <w:szCs w:val="15"/>
          <w:color w:val="auto"/>
        </w:rPr>
        <w:t>Assets’ residual value, and the selected useful life are periodically reviewed to ensure that they are consistent with current economic benefits and life expectancy.</w:t>
      </w:r>
    </w:p>
    <w:p>
      <w:pPr>
        <w:spacing w:after="0" w:line="214" w:lineRule="exact"/>
        <w:rPr>
          <w:sz w:val="20"/>
          <w:szCs w:val="20"/>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Investment properties -</w:t>
      </w:r>
    </w:p>
    <w:p>
      <w:pPr>
        <w:spacing w:after="0" w:line="202" w:lineRule="exact"/>
        <w:rPr>
          <w:rFonts w:ascii="Arial" w:cs="Arial" w:eastAsia="Arial" w:hAnsi="Arial"/>
          <w:sz w:val="16"/>
          <w:szCs w:val="16"/>
          <w:color w:val="auto"/>
        </w:rPr>
      </w:pPr>
    </w:p>
    <w:p>
      <w:pPr>
        <w:ind w:left="283" w:right="40"/>
        <w:spacing w:after="0" w:line="266" w:lineRule="auto"/>
        <w:rPr>
          <w:rFonts w:ascii="Arial" w:cs="Arial" w:eastAsia="Arial" w:hAnsi="Arial"/>
          <w:sz w:val="16"/>
          <w:szCs w:val="16"/>
          <w:color w:val="auto"/>
        </w:rPr>
      </w:pPr>
      <w:r>
        <w:rPr>
          <w:rFonts w:ascii="Arial" w:cs="Arial" w:eastAsia="Arial" w:hAnsi="Arial"/>
          <w:sz w:val="16"/>
          <w:szCs w:val="16"/>
          <w:color w:val="auto"/>
        </w:rPr>
        <w:t>Investment properties are held to earn rentals or for capital appreciation or both rather than for: (a) use in the production or supply or goods or services or for administrative purposes; or (b) sale in the ordinary course of business. Property that is being constructed or developed for future use as investment property is recognized at cost before completion.</w:t>
      </w:r>
    </w:p>
    <w:p>
      <w:pPr>
        <w:spacing w:after="0" w:line="161" w:lineRule="exact"/>
        <w:rPr>
          <w:rFonts w:ascii="Arial" w:cs="Arial" w:eastAsia="Arial" w:hAnsi="Arial"/>
          <w:sz w:val="16"/>
          <w:szCs w:val="16"/>
          <w:color w:val="auto"/>
        </w:rPr>
      </w:pPr>
    </w:p>
    <w:p>
      <w:pPr>
        <w:ind w:left="283" w:right="300"/>
        <w:spacing w:after="0" w:line="280" w:lineRule="auto"/>
        <w:rPr>
          <w:rFonts w:ascii="Arial" w:cs="Arial" w:eastAsia="Arial" w:hAnsi="Arial"/>
          <w:sz w:val="16"/>
          <w:szCs w:val="16"/>
          <w:color w:val="auto"/>
        </w:rPr>
      </w:pPr>
      <w:r>
        <w:rPr>
          <w:rFonts w:ascii="Arial" w:cs="Arial" w:eastAsia="Arial" w:hAnsi="Arial"/>
          <w:sz w:val="16"/>
          <w:szCs w:val="16"/>
          <w:color w:val="auto"/>
        </w:rPr>
        <w:t>Investment properties are initially measured at fair value which is the purchase transaction price, unless otherwise indicated. Transaction costs are included in the initial measurement, which includes the purchase price and any other cost directly attributable to the transaction.</w:t>
      </w:r>
    </w:p>
    <w:p>
      <w:pPr>
        <w:spacing w:after="0" w:line="150" w:lineRule="exact"/>
        <w:rPr>
          <w:rFonts w:ascii="Arial" w:cs="Arial" w:eastAsia="Arial" w:hAnsi="Arial"/>
          <w:sz w:val="16"/>
          <w:szCs w:val="16"/>
          <w:color w:val="auto"/>
        </w:rPr>
      </w:pPr>
    </w:p>
    <w:p>
      <w:pPr>
        <w:ind w:left="283" w:right="60"/>
        <w:spacing w:after="0" w:line="266" w:lineRule="auto"/>
        <w:rPr>
          <w:rFonts w:ascii="Arial" w:cs="Arial" w:eastAsia="Arial" w:hAnsi="Arial"/>
          <w:sz w:val="16"/>
          <w:szCs w:val="16"/>
          <w:color w:val="auto"/>
        </w:rPr>
      </w:pPr>
      <w:r>
        <w:rPr>
          <w:rFonts w:ascii="Arial" w:cs="Arial" w:eastAsia="Arial" w:hAnsi="Arial"/>
          <w:sz w:val="16"/>
          <w:szCs w:val="16"/>
          <w:color w:val="auto"/>
        </w:rPr>
        <w:t>For subsequent recognition, an entity shall choose as its accounting policy either the fair value model or the cost model and shall apply that policy to all its investment property. At the date of the consolidated financial statements, the Group has opted for keeping the cost model. Accordingly, investment properties are accounted for at their acquisition cost less accumulated depreciation and the accumulated impairment losses, if any.</w:t>
      </w:r>
    </w:p>
    <w:p>
      <w:pPr>
        <w:spacing w:after="0" w:line="161" w:lineRule="exact"/>
        <w:rPr>
          <w:rFonts w:ascii="Arial" w:cs="Arial" w:eastAsia="Arial" w:hAnsi="Arial"/>
          <w:sz w:val="16"/>
          <w:szCs w:val="16"/>
          <w:color w:val="auto"/>
        </w:rPr>
      </w:pPr>
    </w:p>
    <w:p>
      <w:pPr>
        <w:ind w:left="283" w:right="200"/>
        <w:spacing w:after="0" w:line="266" w:lineRule="auto"/>
        <w:rPr>
          <w:rFonts w:ascii="Arial" w:cs="Arial" w:eastAsia="Arial" w:hAnsi="Arial"/>
          <w:sz w:val="16"/>
          <w:szCs w:val="16"/>
          <w:color w:val="auto"/>
        </w:rPr>
      </w:pPr>
      <w:r>
        <w:rPr>
          <w:rFonts w:ascii="Arial" w:cs="Arial" w:eastAsia="Arial" w:hAnsi="Arial"/>
          <w:sz w:val="16"/>
          <w:szCs w:val="16"/>
          <w:color w:val="auto"/>
        </w:rPr>
        <w:t>An entity can opt for recognizing and depreciating separately the components of an investment property or as a single unit for recording and depreciation purposes. The Group recognizes as a single unit each of its investment properties and has estimated a useful life of 33 years for purposes of determining depreciation under the straight-line method.</w:t>
      </w:r>
    </w:p>
    <w:p>
      <w:pPr>
        <w:spacing w:after="0" w:line="161" w:lineRule="exact"/>
        <w:rPr>
          <w:rFonts w:ascii="Arial" w:cs="Arial" w:eastAsia="Arial" w:hAnsi="Arial"/>
          <w:sz w:val="16"/>
          <w:szCs w:val="16"/>
          <w:color w:val="auto"/>
        </w:rPr>
      </w:pPr>
    </w:p>
    <w:p>
      <w:pPr>
        <w:ind w:left="283" w:right="60"/>
        <w:spacing w:after="0" w:line="280" w:lineRule="auto"/>
        <w:rPr>
          <w:rFonts w:ascii="Arial" w:cs="Arial" w:eastAsia="Arial" w:hAnsi="Arial"/>
          <w:sz w:val="16"/>
          <w:szCs w:val="16"/>
          <w:color w:val="auto"/>
        </w:rPr>
      </w:pPr>
      <w:r>
        <w:rPr>
          <w:rFonts w:ascii="Arial" w:cs="Arial" w:eastAsia="Arial" w:hAnsi="Arial"/>
          <w:sz w:val="16"/>
          <w:szCs w:val="16"/>
          <w:color w:val="auto"/>
        </w:rPr>
        <w:t>Rental income is recognized as rents that are accrued under the related rental agreement; depreciation expenses as well as maintenance expenses and other related expenses are accounted for as maintenance of the rented assets, net within “Other income” in the consolidated statement of income.</w:t>
      </w:r>
    </w:p>
    <w:p>
      <w:pPr>
        <w:spacing w:after="0" w:line="344" w:lineRule="exact"/>
        <w:rPr>
          <w:rFonts w:ascii="Arial" w:cs="Arial" w:eastAsia="Arial" w:hAnsi="Arial"/>
          <w:sz w:val="16"/>
          <w:szCs w:val="16"/>
          <w:color w:val="auto"/>
        </w:rPr>
      </w:pPr>
    </w:p>
    <w:p>
      <w:pPr>
        <w:ind w:left="5643" w:hanging="94"/>
        <w:spacing w:after="0"/>
        <w:tabs>
          <w:tab w:leader="none" w:pos="5643" w:val="left"/>
        </w:tabs>
        <w:numPr>
          <w:ilvl w:val="1"/>
          <w:numId w:val="38"/>
        </w:numPr>
        <w:rPr>
          <w:rFonts w:ascii="Arial" w:cs="Arial" w:eastAsia="Arial" w:hAnsi="Arial"/>
          <w:sz w:val="16"/>
          <w:szCs w:val="16"/>
          <w:color w:val="auto"/>
        </w:rPr>
      </w:pPr>
      <w:r>
        <w:rPr>
          <w:rFonts w:ascii="Arial" w:cs="Arial" w:eastAsia="Arial" w:hAnsi="Arial"/>
          <w:sz w:val="16"/>
          <w:szCs w:val="16"/>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8" w:right="259" w:bottom="1440" w:gutter="0" w:footer="0" w:header="0"/>
        </w:sectPr>
      </w:pPr>
    </w:p>
    <w:bookmarkStart w:id="43" w:name="page44"/>
    <w:bookmarkEnd w:id="43"/>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Seized assets -</w:t>
      </w:r>
    </w:p>
    <w:p>
      <w:pPr>
        <w:spacing w:after="0" w:line="202" w:lineRule="exact"/>
        <w:rPr>
          <w:rFonts w:ascii="Arial" w:cs="Arial" w:eastAsia="Arial" w:hAnsi="Arial"/>
          <w:sz w:val="16"/>
          <w:szCs w:val="16"/>
          <w:color w:val="auto"/>
        </w:rPr>
      </w:pPr>
    </w:p>
    <w:p>
      <w:pPr>
        <w:ind w:left="283" w:right="60"/>
        <w:spacing w:after="0" w:line="280" w:lineRule="auto"/>
        <w:rPr>
          <w:rFonts w:ascii="Arial" w:cs="Arial" w:eastAsia="Arial" w:hAnsi="Arial"/>
          <w:sz w:val="16"/>
          <w:szCs w:val="16"/>
          <w:color w:val="auto"/>
        </w:rPr>
      </w:pPr>
      <w:r>
        <w:rPr>
          <w:rFonts w:ascii="Arial" w:cs="Arial" w:eastAsia="Arial" w:hAnsi="Arial"/>
          <w:sz w:val="16"/>
          <w:szCs w:val="16"/>
          <w:color w:val="auto"/>
        </w:rPr>
        <w:t>Seized assets are recorded at the lower of cost or estimated market value, which is obtained from valuations made by independent appraisers. Reductions in book values are recorded in the consolidated statement of income.</w:t>
      </w:r>
    </w:p>
    <w:p>
      <w:pPr>
        <w:spacing w:after="0" w:line="150"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Business combination -</w:t>
      </w:r>
    </w:p>
    <w:p>
      <w:pPr>
        <w:spacing w:after="0" w:line="202" w:lineRule="exact"/>
        <w:rPr>
          <w:rFonts w:ascii="Arial" w:cs="Arial" w:eastAsia="Arial" w:hAnsi="Arial"/>
          <w:sz w:val="16"/>
          <w:szCs w:val="16"/>
          <w:color w:val="auto"/>
        </w:rPr>
      </w:pPr>
    </w:p>
    <w:p>
      <w:pPr>
        <w:ind w:left="283" w:right="480"/>
        <w:spacing w:after="0" w:line="260" w:lineRule="auto"/>
        <w:rPr>
          <w:rFonts w:ascii="Arial" w:cs="Arial" w:eastAsia="Arial" w:hAnsi="Arial"/>
          <w:sz w:val="16"/>
          <w:szCs w:val="16"/>
          <w:color w:val="auto"/>
        </w:rPr>
      </w:pPr>
      <w:r>
        <w:rPr>
          <w:rFonts w:ascii="Arial" w:cs="Arial" w:eastAsia="Arial" w:hAnsi="Arial"/>
          <w:sz w:val="16"/>
          <w:szCs w:val="16"/>
          <w:color w:val="auto"/>
        </w:rPr>
        <w:t>Business combinations made are accounted for using the acquisition method in accordance with IFRS 3 Business Combination, regardless of whether they are equity instruments or other acquired assets.</w:t>
      </w:r>
    </w:p>
    <w:p>
      <w:pPr>
        <w:ind w:left="283"/>
        <w:spacing w:after="0" w:line="258" w:lineRule="auto"/>
        <w:rPr>
          <w:rFonts w:ascii="Arial" w:cs="Arial" w:eastAsia="Arial" w:hAnsi="Arial"/>
          <w:sz w:val="16"/>
          <w:szCs w:val="16"/>
          <w:color w:val="auto"/>
        </w:rPr>
      </w:pPr>
      <w:r>
        <w:rPr>
          <w:rFonts w:ascii="Arial" w:cs="Arial" w:eastAsia="Arial" w:hAnsi="Arial"/>
          <w:sz w:val="16"/>
          <w:szCs w:val="16"/>
          <w:color w:val="auto"/>
        </w:rPr>
        <w:t>The acquisition cost is the sum of the consideration paid for the acquisition measured at fair value at the acquisition date and the amount of the share in the non-controlling interest acquired. For each business combination the Group decides whether to measure the non-controlling interest in the acquire at fair value or at the proportional share in the identifiable net assets of the acquire.</w:t>
      </w:r>
    </w:p>
    <w:p>
      <w:pPr>
        <w:spacing w:after="0" w:line="168" w:lineRule="exact"/>
        <w:rPr>
          <w:rFonts w:ascii="Arial" w:cs="Arial" w:eastAsia="Arial" w:hAnsi="Arial"/>
          <w:sz w:val="16"/>
          <w:szCs w:val="16"/>
          <w:color w:val="auto"/>
        </w:rPr>
      </w:pPr>
    </w:p>
    <w:p>
      <w:pPr>
        <w:ind w:left="283" w:right="40"/>
        <w:spacing w:after="0" w:line="292" w:lineRule="auto"/>
        <w:rPr>
          <w:rFonts w:ascii="Arial" w:cs="Arial" w:eastAsia="Arial" w:hAnsi="Arial"/>
          <w:sz w:val="16"/>
          <w:szCs w:val="16"/>
          <w:color w:val="auto"/>
        </w:rPr>
      </w:pPr>
      <w:r>
        <w:rPr>
          <w:rFonts w:ascii="Arial" w:cs="Arial" w:eastAsia="Arial" w:hAnsi="Arial"/>
          <w:sz w:val="15"/>
          <w:szCs w:val="15"/>
          <w:color w:val="auto"/>
        </w:rPr>
        <w:t>Acquisition-related costs are recognized as expense and are included within “Administrative expenses” in the consolidated statement of income. When the Group acquires a business, it assesses the financial assets and liabilities assumed for its own classification and denomination under the contractual terms, economic circumstances and prevailing conditions at the date of acquisition. This includes the separation of embedded derivative contracts signed by the acquiree.</w:t>
      </w:r>
    </w:p>
    <w:p>
      <w:pPr>
        <w:spacing w:after="0" w:line="144" w:lineRule="exact"/>
        <w:rPr>
          <w:rFonts w:ascii="Arial" w:cs="Arial" w:eastAsia="Arial" w:hAnsi="Arial"/>
          <w:sz w:val="16"/>
          <w:szCs w:val="16"/>
          <w:color w:val="auto"/>
        </w:rPr>
      </w:pPr>
    </w:p>
    <w:p>
      <w:pPr>
        <w:jc w:val="both"/>
        <w:ind w:left="283" w:right="20"/>
        <w:spacing w:after="0" w:line="266" w:lineRule="auto"/>
        <w:rPr>
          <w:rFonts w:ascii="Arial" w:cs="Arial" w:eastAsia="Arial" w:hAnsi="Arial"/>
          <w:sz w:val="16"/>
          <w:szCs w:val="16"/>
          <w:color w:val="auto"/>
        </w:rPr>
      </w:pPr>
      <w:r>
        <w:rPr>
          <w:rFonts w:ascii="Arial" w:cs="Arial" w:eastAsia="Arial" w:hAnsi="Arial"/>
          <w:sz w:val="16"/>
          <w:szCs w:val="16"/>
          <w:color w:val="auto"/>
        </w:rPr>
        <w:t>Any contingency transferred by the acquirer is recognized at fair value at the acquisition date. The contingency classified as an asset or liability that is a financial instrument and is within the scope of IAS 39 “Financial instruments: Recognition and measurement” is measured at fair value with changes recognized in the consolidated statement of income or consolidated statement of comprehensive income.</w:t>
      </w:r>
    </w:p>
    <w:p>
      <w:pPr>
        <w:spacing w:after="0" w:line="161" w:lineRule="exact"/>
        <w:rPr>
          <w:rFonts w:ascii="Arial" w:cs="Arial" w:eastAsia="Arial" w:hAnsi="Arial"/>
          <w:sz w:val="16"/>
          <w:szCs w:val="16"/>
          <w:color w:val="auto"/>
        </w:rPr>
      </w:pPr>
    </w:p>
    <w:p>
      <w:pPr>
        <w:ind w:left="283" w:right="620"/>
        <w:spacing w:after="0" w:line="280" w:lineRule="auto"/>
        <w:rPr>
          <w:rFonts w:ascii="Arial" w:cs="Arial" w:eastAsia="Arial" w:hAnsi="Arial"/>
          <w:sz w:val="16"/>
          <w:szCs w:val="16"/>
          <w:color w:val="auto"/>
        </w:rPr>
      </w:pPr>
      <w:r>
        <w:rPr>
          <w:rFonts w:ascii="Arial" w:cs="Arial" w:eastAsia="Arial" w:hAnsi="Arial"/>
          <w:sz w:val="16"/>
          <w:szCs w:val="16"/>
          <w:color w:val="auto"/>
        </w:rPr>
        <w:t>If the contingency is not within the scope of IAS 39, it is measured in accordance with the applicable IFRS. A contingency that is classified as equity should not be measured again and its subsequent settlement is accounted for within equity.</w:t>
      </w:r>
    </w:p>
    <w:p>
      <w:pPr>
        <w:spacing w:after="0" w:line="150" w:lineRule="exact"/>
        <w:rPr>
          <w:rFonts w:ascii="Arial" w:cs="Arial" w:eastAsia="Arial" w:hAnsi="Arial"/>
          <w:sz w:val="16"/>
          <w:szCs w:val="16"/>
          <w:color w:val="auto"/>
        </w:rPr>
      </w:pPr>
    </w:p>
    <w:p>
      <w:pPr>
        <w:ind w:left="283" w:right="180"/>
        <w:spacing w:after="0" w:line="266" w:lineRule="auto"/>
        <w:rPr>
          <w:rFonts w:ascii="Arial" w:cs="Arial" w:eastAsia="Arial" w:hAnsi="Arial"/>
          <w:sz w:val="16"/>
          <w:szCs w:val="16"/>
          <w:color w:val="auto"/>
        </w:rPr>
      </w:pPr>
      <w:r>
        <w:rPr>
          <w:rFonts w:ascii="Arial" w:cs="Arial" w:eastAsia="Arial" w:hAnsi="Arial"/>
          <w:sz w:val="16"/>
          <w:szCs w:val="16"/>
          <w:color w:val="auto"/>
        </w:rPr>
        <w:t>The acquisition of a non-controlling interest is recorded directly in net equity, any difference between the amount paid and the fair value of the identifiable net assets is recorded as an equity transaction. Accordingly, the Group recognized no additional goodwill after the acquisition of the non-controlling interest, nor does it recognize any profit or loss from the disposal of the non-controlling interest.</w:t>
      </w:r>
    </w:p>
    <w:p>
      <w:pPr>
        <w:spacing w:after="0" w:line="161" w:lineRule="exact"/>
        <w:rPr>
          <w:rFonts w:ascii="Arial" w:cs="Arial" w:eastAsia="Arial" w:hAnsi="Arial"/>
          <w:sz w:val="16"/>
          <w:szCs w:val="16"/>
          <w:color w:val="auto"/>
        </w:rPr>
      </w:pPr>
    </w:p>
    <w:p>
      <w:pPr>
        <w:ind w:left="283" w:right="80"/>
        <w:spacing w:after="0" w:line="280" w:lineRule="auto"/>
        <w:rPr>
          <w:rFonts w:ascii="Arial" w:cs="Arial" w:eastAsia="Arial" w:hAnsi="Arial"/>
          <w:sz w:val="16"/>
          <w:szCs w:val="16"/>
          <w:color w:val="auto"/>
        </w:rPr>
      </w:pPr>
      <w:r>
        <w:rPr>
          <w:rFonts w:ascii="Arial" w:cs="Arial" w:eastAsia="Arial" w:hAnsi="Arial"/>
          <w:sz w:val="16"/>
          <w:szCs w:val="16"/>
          <w:color w:val="auto"/>
        </w:rPr>
        <w:t>Equity attributable to the non-controlling interest is shown separately in the consolidated statement of financial position. Profit attributable to the non-controlling interest is shown separately in the consolidated statement of income and consolidated statement of comprehensive income.</w:t>
      </w:r>
    </w:p>
    <w:p>
      <w:pPr>
        <w:spacing w:after="0" w:line="150" w:lineRule="exact"/>
        <w:rPr>
          <w:rFonts w:ascii="Arial" w:cs="Arial" w:eastAsia="Arial" w:hAnsi="Arial"/>
          <w:sz w:val="16"/>
          <w:szCs w:val="16"/>
          <w:color w:val="auto"/>
        </w:rPr>
      </w:pPr>
    </w:p>
    <w:p>
      <w:pPr>
        <w:ind w:left="283" w:right="540"/>
        <w:spacing w:after="0" w:line="280" w:lineRule="auto"/>
        <w:rPr>
          <w:rFonts w:ascii="Arial" w:cs="Arial" w:eastAsia="Arial" w:hAnsi="Arial"/>
          <w:sz w:val="16"/>
          <w:szCs w:val="16"/>
          <w:color w:val="auto"/>
        </w:rPr>
      </w:pPr>
      <w:r>
        <w:rPr>
          <w:rFonts w:ascii="Arial" w:cs="Arial" w:eastAsia="Arial" w:hAnsi="Arial"/>
          <w:sz w:val="16"/>
          <w:szCs w:val="16"/>
          <w:color w:val="auto"/>
        </w:rPr>
        <w:t>In a business combination achieved in stages, the acquirer shall re-measure its ´previously held equity interest in the acquire at fair value at the acquisition-date. The resulting gain or loss is recognized in profit or loss.</w:t>
      </w:r>
    </w:p>
    <w:p>
      <w:pPr>
        <w:spacing w:after="0" w:line="150"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Intangible assets -</w:t>
      </w:r>
    </w:p>
    <w:p>
      <w:pPr>
        <w:spacing w:after="0" w:line="202" w:lineRule="exact"/>
        <w:rPr>
          <w:rFonts w:ascii="Arial" w:cs="Arial" w:eastAsia="Arial" w:hAnsi="Arial"/>
          <w:sz w:val="16"/>
          <w:szCs w:val="16"/>
          <w:color w:val="auto"/>
        </w:rPr>
      </w:pPr>
    </w:p>
    <w:p>
      <w:pPr>
        <w:ind w:left="283" w:right="140"/>
        <w:spacing w:after="0" w:line="280" w:lineRule="auto"/>
        <w:rPr>
          <w:rFonts w:ascii="Arial" w:cs="Arial" w:eastAsia="Arial" w:hAnsi="Arial"/>
          <w:sz w:val="16"/>
          <w:szCs w:val="16"/>
          <w:color w:val="auto"/>
        </w:rPr>
      </w:pPr>
      <w:r>
        <w:rPr>
          <w:rFonts w:ascii="Arial" w:cs="Arial" w:eastAsia="Arial" w:hAnsi="Arial"/>
          <w:sz w:val="16"/>
          <w:szCs w:val="16"/>
          <w:color w:val="auto"/>
        </w:rPr>
        <w:t>Comprise internally developed and acquired software licenses used by the Group. Acquired software licenses are measured on initial recognition at cost and are amortized using the straight-line method over their estimated useful life (between 3 and 5 years).</w:t>
      </w:r>
    </w:p>
    <w:p>
      <w:pPr>
        <w:spacing w:after="0" w:line="150" w:lineRule="exact"/>
        <w:rPr>
          <w:rFonts w:ascii="Arial" w:cs="Arial" w:eastAsia="Arial" w:hAnsi="Arial"/>
          <w:sz w:val="16"/>
          <w:szCs w:val="16"/>
          <w:color w:val="auto"/>
        </w:rPr>
      </w:pPr>
    </w:p>
    <w:p>
      <w:pPr>
        <w:ind w:left="283" w:right="680"/>
        <w:spacing w:after="0" w:line="280" w:lineRule="auto"/>
        <w:rPr>
          <w:rFonts w:ascii="Arial" w:cs="Arial" w:eastAsia="Arial" w:hAnsi="Arial"/>
          <w:sz w:val="16"/>
          <w:szCs w:val="16"/>
          <w:color w:val="auto"/>
        </w:rPr>
      </w:pPr>
      <w:r>
        <w:rPr>
          <w:rFonts w:ascii="Arial" w:cs="Arial" w:eastAsia="Arial" w:hAnsi="Arial"/>
          <w:sz w:val="16"/>
          <w:szCs w:val="16"/>
          <w:color w:val="auto"/>
        </w:rPr>
        <w:t>Intangible assets identified as a consequence of the acquisition of subsidiaries are recognized in the consolidated statement of financial position at their fair values determined on the acquisition date and are amortized using the straight line method over their estimated useful life as follows:</w:t>
      </w:r>
    </w:p>
    <w:p>
      <w:pPr>
        <w:spacing w:after="0" w:line="344" w:lineRule="exact"/>
        <w:rPr>
          <w:rFonts w:ascii="Arial" w:cs="Arial" w:eastAsia="Arial" w:hAnsi="Arial"/>
          <w:sz w:val="16"/>
          <w:szCs w:val="16"/>
          <w:color w:val="auto"/>
        </w:rPr>
      </w:pPr>
    </w:p>
    <w:p>
      <w:pPr>
        <w:ind w:left="5643" w:hanging="94"/>
        <w:spacing w:after="0"/>
        <w:tabs>
          <w:tab w:leader="none" w:pos="5643" w:val="left"/>
        </w:tabs>
        <w:numPr>
          <w:ilvl w:val="1"/>
          <w:numId w:val="39"/>
        </w:numPr>
        <w:rPr>
          <w:rFonts w:ascii="Arial" w:cs="Arial" w:eastAsia="Arial" w:hAnsi="Arial"/>
          <w:sz w:val="16"/>
          <w:szCs w:val="16"/>
          <w:color w:val="auto"/>
        </w:rPr>
      </w:pPr>
      <w:r>
        <w:rPr>
          <w:rFonts w:ascii="Arial" w:cs="Arial" w:eastAsia="Arial" w:hAnsi="Arial"/>
          <w:sz w:val="16"/>
          <w:szCs w:val="16"/>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8" w:right="239" w:bottom="1440" w:gutter="0" w:footer="0" w:header="0"/>
        </w:sectPr>
      </w:pPr>
    </w:p>
    <w:bookmarkStart w:id="44" w:name="page45"/>
    <w:bookmarkEnd w:id="44"/>
    <w:tbl>
      <w:tblPr>
        <w:tblLayout w:type="fixed"/>
        <w:tblInd w:w="283" w:type="dxa"/>
        <w:tblCellMar>
          <w:top w:w="0" w:type="dxa"/>
          <w:left w:w="0" w:type="dxa"/>
          <w:bottom w:w="0" w:type="dxa"/>
          <w:right w:w="0" w:type="dxa"/>
        </w:tblCellMar>
      </w:tblPr>
      <w:tr>
        <w:trPr>
          <w:trHeight w:val="205"/>
        </w:trPr>
        <w:tc>
          <w:tcPr>
            <w:tcW w:w="884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6"/>
                <w:szCs w:val="16"/>
                <w:b w:val="1"/>
                <w:bCs w:val="1"/>
                <w:color w:val="auto"/>
              </w:rPr>
              <w:t>Estimated useful</w:t>
            </w:r>
          </w:p>
        </w:tc>
      </w:tr>
      <w:tr>
        <w:trPr>
          <w:trHeight w:val="210"/>
        </w:trPr>
        <w:tc>
          <w:tcPr>
            <w:tcW w:w="884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6"/>
                <w:szCs w:val="16"/>
                <w:b w:val="1"/>
                <w:bCs w:val="1"/>
                <w:color w:val="auto"/>
              </w:rPr>
              <w:t>lives in years</w:t>
            </w:r>
          </w:p>
        </w:tc>
      </w:tr>
      <w:tr>
        <w:trPr>
          <w:trHeight w:val="186"/>
        </w:trPr>
        <w:tc>
          <w:tcPr>
            <w:tcW w:w="884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8840" w:type="dxa"/>
            <w:vAlign w:val="bottom"/>
            <w:shd w:val="clear" w:color="auto" w:fill="CCEEFF"/>
          </w:tcPr>
          <w:p>
            <w:pPr>
              <w:spacing w:after="0"/>
              <w:rPr>
                <w:sz w:val="20"/>
                <w:szCs w:val="20"/>
                <w:color w:val="auto"/>
              </w:rPr>
            </w:pPr>
            <w:r>
              <w:rPr>
                <w:rFonts w:ascii="Arial" w:cs="Arial" w:eastAsia="Arial" w:hAnsi="Arial"/>
                <w:sz w:val="16"/>
                <w:szCs w:val="16"/>
                <w:color w:val="auto"/>
              </w:rPr>
              <w:t>Client relationship - Prima AFP (AFP Unión Vida)</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6"/>
                <w:szCs w:val="16"/>
                <w:color w:val="auto"/>
              </w:rPr>
            </w:pPr>
          </w:p>
        </w:tc>
      </w:tr>
      <w:tr>
        <w:trPr>
          <w:trHeight w:val="193"/>
        </w:trPr>
        <w:tc>
          <w:tcPr>
            <w:tcW w:w="8840" w:type="dxa"/>
            <w:vAlign w:val="bottom"/>
          </w:tcPr>
          <w:p>
            <w:pPr>
              <w:spacing w:after="0"/>
              <w:rPr>
                <w:sz w:val="20"/>
                <w:szCs w:val="20"/>
                <w:color w:val="auto"/>
              </w:rPr>
            </w:pPr>
            <w:r>
              <w:rPr>
                <w:rFonts w:ascii="Arial" w:cs="Arial" w:eastAsia="Arial" w:hAnsi="Arial"/>
                <w:sz w:val="16"/>
                <w:szCs w:val="16"/>
                <w:color w:val="auto"/>
              </w:rPr>
              <w:t>Client relationship - Inversiones IMT S.A.</w:t>
            </w:r>
          </w:p>
        </w:tc>
        <w:tc>
          <w:tcPr>
            <w:tcW w:w="17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6"/>
                <w:szCs w:val="16"/>
                <w:color w:val="auto"/>
              </w:rPr>
            </w:pPr>
          </w:p>
        </w:tc>
      </w:tr>
      <w:tr>
        <w:trPr>
          <w:trHeight w:val="193"/>
        </w:trPr>
        <w:tc>
          <w:tcPr>
            <w:tcW w:w="8840" w:type="dxa"/>
            <w:vAlign w:val="bottom"/>
            <w:shd w:val="clear" w:color="auto" w:fill="CCEEFF"/>
          </w:tcPr>
          <w:p>
            <w:pPr>
              <w:spacing w:after="0"/>
              <w:rPr>
                <w:sz w:val="20"/>
                <w:szCs w:val="20"/>
                <w:color w:val="auto"/>
              </w:rPr>
            </w:pPr>
            <w:r>
              <w:rPr>
                <w:rFonts w:ascii="Arial" w:cs="Arial" w:eastAsia="Arial" w:hAnsi="Arial"/>
                <w:sz w:val="16"/>
                <w:szCs w:val="16"/>
                <w:color w:val="auto"/>
              </w:rPr>
              <w:t>Client relationship cash, fixed and variable income - Credicorp Capital Colombia</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w:t>
            </w:r>
          </w:p>
        </w:tc>
      </w:tr>
      <w:tr>
        <w:trPr>
          <w:trHeight w:val="193"/>
        </w:trPr>
        <w:tc>
          <w:tcPr>
            <w:tcW w:w="8840" w:type="dxa"/>
            <w:vAlign w:val="bottom"/>
          </w:tcPr>
          <w:p>
            <w:pPr>
              <w:spacing w:after="0"/>
              <w:rPr>
                <w:sz w:val="20"/>
                <w:szCs w:val="20"/>
                <w:color w:val="auto"/>
              </w:rPr>
            </w:pPr>
            <w:r>
              <w:rPr>
                <w:rFonts w:ascii="Arial" w:cs="Arial" w:eastAsia="Arial" w:hAnsi="Arial"/>
                <w:sz w:val="16"/>
                <w:szCs w:val="16"/>
                <w:color w:val="auto"/>
              </w:rPr>
              <w:t>Client relationship APT - Credicorp Capital Colombia</w:t>
            </w:r>
          </w:p>
        </w:tc>
        <w:tc>
          <w:tcPr>
            <w:tcW w:w="17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r>
      <w:tr>
        <w:trPr>
          <w:trHeight w:val="193"/>
        </w:trPr>
        <w:tc>
          <w:tcPr>
            <w:tcW w:w="8840" w:type="dxa"/>
            <w:vAlign w:val="bottom"/>
            <w:shd w:val="clear" w:color="auto" w:fill="CCEEFF"/>
          </w:tcPr>
          <w:p>
            <w:pPr>
              <w:spacing w:after="0"/>
              <w:rPr>
                <w:sz w:val="20"/>
                <w:szCs w:val="20"/>
                <w:color w:val="auto"/>
              </w:rPr>
            </w:pPr>
            <w:r>
              <w:rPr>
                <w:rFonts w:ascii="Arial" w:cs="Arial" w:eastAsia="Arial" w:hAnsi="Arial"/>
                <w:sz w:val="16"/>
                <w:szCs w:val="16"/>
                <w:color w:val="auto"/>
              </w:rPr>
              <w:t>Client relationship - Edyficar</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6"/>
                <w:szCs w:val="16"/>
                <w:color w:val="auto"/>
              </w:rPr>
            </w:pPr>
          </w:p>
        </w:tc>
      </w:tr>
      <w:tr>
        <w:trPr>
          <w:trHeight w:val="193"/>
        </w:trPr>
        <w:tc>
          <w:tcPr>
            <w:tcW w:w="8840" w:type="dxa"/>
            <w:vAlign w:val="bottom"/>
          </w:tcPr>
          <w:p>
            <w:pPr>
              <w:spacing w:after="0"/>
              <w:rPr>
                <w:sz w:val="20"/>
                <w:szCs w:val="20"/>
                <w:color w:val="auto"/>
              </w:rPr>
            </w:pPr>
            <w:r>
              <w:rPr>
                <w:rFonts w:ascii="Arial" w:cs="Arial" w:eastAsia="Arial" w:hAnsi="Arial"/>
                <w:sz w:val="16"/>
                <w:szCs w:val="16"/>
                <w:color w:val="auto"/>
              </w:rPr>
              <w:t>Brand - Mibanco</w:t>
            </w:r>
          </w:p>
        </w:tc>
        <w:tc>
          <w:tcPr>
            <w:tcW w:w="17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6"/>
                <w:szCs w:val="16"/>
                <w:color w:val="auto"/>
              </w:rPr>
            </w:pPr>
          </w:p>
        </w:tc>
      </w:tr>
      <w:tr>
        <w:trPr>
          <w:trHeight w:val="193"/>
        </w:trPr>
        <w:tc>
          <w:tcPr>
            <w:tcW w:w="8840" w:type="dxa"/>
            <w:vAlign w:val="bottom"/>
            <w:shd w:val="clear" w:color="auto" w:fill="CCEEFF"/>
          </w:tcPr>
          <w:p>
            <w:pPr>
              <w:spacing w:after="0"/>
              <w:rPr>
                <w:sz w:val="20"/>
                <w:szCs w:val="20"/>
                <w:color w:val="auto"/>
              </w:rPr>
            </w:pPr>
            <w:r>
              <w:rPr>
                <w:rFonts w:ascii="Arial" w:cs="Arial" w:eastAsia="Arial" w:hAnsi="Arial"/>
                <w:sz w:val="16"/>
                <w:szCs w:val="16"/>
                <w:color w:val="auto"/>
              </w:rPr>
              <w:t>Brand - Credicorp Capital Colombia</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r>
      <w:tr>
        <w:trPr>
          <w:trHeight w:val="193"/>
        </w:trPr>
        <w:tc>
          <w:tcPr>
            <w:tcW w:w="8840" w:type="dxa"/>
            <w:vAlign w:val="bottom"/>
          </w:tcPr>
          <w:p>
            <w:pPr>
              <w:spacing w:after="0"/>
              <w:rPr>
                <w:sz w:val="20"/>
                <w:szCs w:val="20"/>
                <w:color w:val="auto"/>
              </w:rPr>
            </w:pPr>
            <w:r>
              <w:rPr>
                <w:rFonts w:ascii="Arial" w:cs="Arial" w:eastAsia="Arial" w:hAnsi="Arial"/>
                <w:sz w:val="16"/>
                <w:szCs w:val="16"/>
                <w:color w:val="auto"/>
              </w:rPr>
              <w:t>Brand - Inversiones IMT S.A.</w:t>
            </w:r>
          </w:p>
        </w:tc>
        <w:tc>
          <w:tcPr>
            <w:tcW w:w="180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r>
      <w:tr>
        <w:trPr>
          <w:trHeight w:val="193"/>
        </w:trPr>
        <w:tc>
          <w:tcPr>
            <w:tcW w:w="8840" w:type="dxa"/>
            <w:vAlign w:val="bottom"/>
            <w:shd w:val="clear" w:color="auto" w:fill="CCEEFF"/>
          </w:tcPr>
          <w:p>
            <w:pPr>
              <w:spacing w:after="0"/>
              <w:rPr>
                <w:sz w:val="20"/>
                <w:szCs w:val="20"/>
                <w:color w:val="auto"/>
              </w:rPr>
            </w:pPr>
            <w:r>
              <w:rPr>
                <w:rFonts w:ascii="Arial" w:cs="Arial" w:eastAsia="Arial" w:hAnsi="Arial"/>
                <w:sz w:val="16"/>
                <w:szCs w:val="16"/>
                <w:color w:val="auto"/>
              </w:rPr>
              <w:t>Fund manager contract - Credicorp Capital Colombia</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6"/>
                <w:szCs w:val="16"/>
                <w:color w:val="auto"/>
              </w:rPr>
            </w:pPr>
          </w:p>
        </w:tc>
      </w:tr>
      <w:tr>
        <w:trPr>
          <w:trHeight w:val="193"/>
        </w:trPr>
        <w:tc>
          <w:tcPr>
            <w:tcW w:w="8840" w:type="dxa"/>
            <w:vAlign w:val="bottom"/>
          </w:tcPr>
          <w:p>
            <w:pPr>
              <w:spacing w:after="0"/>
              <w:rPr>
                <w:sz w:val="20"/>
                <w:szCs w:val="20"/>
                <w:color w:val="auto"/>
              </w:rPr>
            </w:pPr>
            <w:r>
              <w:rPr>
                <w:rFonts w:ascii="Arial" w:cs="Arial" w:eastAsia="Arial" w:hAnsi="Arial"/>
                <w:sz w:val="16"/>
                <w:szCs w:val="16"/>
                <w:color w:val="auto"/>
              </w:rPr>
              <w:t>Fund manager contract - Inversiones IMT S.A.</w:t>
            </w:r>
          </w:p>
        </w:tc>
        <w:tc>
          <w:tcPr>
            <w:tcW w:w="180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r>
      <w:tr>
        <w:trPr>
          <w:trHeight w:val="193"/>
        </w:trPr>
        <w:tc>
          <w:tcPr>
            <w:tcW w:w="8840" w:type="dxa"/>
            <w:vAlign w:val="bottom"/>
            <w:shd w:val="clear" w:color="auto" w:fill="CCEEFF"/>
          </w:tcPr>
          <w:p>
            <w:pPr>
              <w:spacing w:after="0"/>
              <w:rPr>
                <w:sz w:val="20"/>
                <w:szCs w:val="20"/>
                <w:color w:val="auto"/>
              </w:rPr>
            </w:pPr>
            <w:r>
              <w:rPr>
                <w:rFonts w:ascii="Arial" w:cs="Arial" w:eastAsia="Arial" w:hAnsi="Arial"/>
                <w:sz w:val="16"/>
                <w:szCs w:val="16"/>
                <w:color w:val="auto"/>
              </w:rPr>
              <w:t>Core deposits - Mibanco</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r>
      <w:tr>
        <w:trPr>
          <w:trHeight w:val="193"/>
        </w:trPr>
        <w:tc>
          <w:tcPr>
            <w:tcW w:w="8840" w:type="dxa"/>
            <w:vAlign w:val="bottom"/>
          </w:tcPr>
          <w:p>
            <w:pPr>
              <w:spacing w:after="0"/>
              <w:rPr>
                <w:sz w:val="20"/>
                <w:szCs w:val="20"/>
                <w:color w:val="auto"/>
              </w:rPr>
            </w:pPr>
            <w:r>
              <w:rPr>
                <w:rFonts w:ascii="Arial" w:cs="Arial" w:eastAsia="Arial" w:hAnsi="Arial"/>
                <w:sz w:val="16"/>
                <w:szCs w:val="16"/>
                <w:color w:val="auto"/>
              </w:rPr>
              <w:t>Right of use - BCP</w:t>
            </w:r>
          </w:p>
        </w:tc>
        <w:tc>
          <w:tcPr>
            <w:tcW w:w="180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r>
      <w:tr>
        <w:trPr>
          <w:trHeight w:val="193"/>
        </w:trPr>
        <w:tc>
          <w:tcPr>
            <w:tcW w:w="884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r>
    </w:tbl>
    <w:p>
      <w:pPr>
        <w:spacing w:after="0" w:line="181" w:lineRule="exact"/>
        <w:rPr>
          <w:sz w:val="20"/>
          <w:szCs w:val="20"/>
          <w:color w:val="auto"/>
        </w:rPr>
      </w:pPr>
    </w:p>
    <w:p>
      <w:pPr>
        <w:ind w:left="283" w:right="200"/>
        <w:spacing w:after="0" w:line="261" w:lineRule="auto"/>
        <w:rPr>
          <w:sz w:val="20"/>
          <w:szCs w:val="20"/>
          <w:color w:val="auto"/>
        </w:rPr>
      </w:pPr>
      <w:r>
        <w:rPr>
          <w:rFonts w:ascii="Arial" w:cs="Arial" w:eastAsia="Arial" w:hAnsi="Arial"/>
          <w:sz w:val="16"/>
          <w:szCs w:val="16"/>
          <w:color w:val="auto"/>
        </w:rPr>
        <w:t>The period and the amortization method, for intangible assets are reviewed at the end of each period. If the expected useful life differs from previous estimates, the amortization period will be changed to reflect this change. If there has been a change in the expected pattern of consumption of the future economic benefits embodied in the asset, the amortization method shall be amended to reflect these changes. The effects of these changes in the period and the amortization method are prospectively treated as changes in accounting estimates under IAS 8.</w:t>
      </w:r>
    </w:p>
    <w:p>
      <w:pPr>
        <w:spacing w:after="0" w:line="167" w:lineRule="exact"/>
        <w:rPr>
          <w:sz w:val="20"/>
          <w:szCs w:val="20"/>
          <w:color w:val="auto"/>
        </w:rPr>
      </w:pPr>
    </w:p>
    <w:p>
      <w:pPr>
        <w:ind w:left="283" w:right="40"/>
        <w:spacing w:after="0" w:line="280" w:lineRule="auto"/>
        <w:rPr>
          <w:sz w:val="20"/>
          <w:szCs w:val="20"/>
          <w:color w:val="auto"/>
        </w:rPr>
      </w:pPr>
      <w:r>
        <w:rPr>
          <w:rFonts w:ascii="Arial" w:cs="Arial" w:eastAsia="Arial" w:hAnsi="Arial"/>
          <w:sz w:val="16"/>
          <w:szCs w:val="16"/>
          <w:color w:val="auto"/>
        </w:rPr>
        <w:t>Gains or losses arising from de-recognition of an intangible asset are measured as the difference between the net disposal proceeds and the carrying amount of the asset and are recognized in the consolidated statement of income when the asset is derecognized.</w:t>
      </w:r>
    </w:p>
    <w:p>
      <w:pPr>
        <w:spacing w:after="0" w:line="151" w:lineRule="exact"/>
        <w:rPr>
          <w:sz w:val="20"/>
          <w:szCs w:val="20"/>
          <w:color w:val="auto"/>
        </w:rPr>
      </w:pPr>
    </w:p>
    <w:p>
      <w:pPr>
        <w:ind w:left="283" w:hanging="283"/>
        <w:spacing w:after="0"/>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Goodwill -</w:t>
      </w:r>
    </w:p>
    <w:p>
      <w:pPr>
        <w:spacing w:after="0" w:line="202" w:lineRule="exact"/>
        <w:rPr>
          <w:rFonts w:ascii="Arial" w:cs="Arial" w:eastAsia="Arial" w:hAnsi="Arial"/>
          <w:sz w:val="16"/>
          <w:szCs w:val="16"/>
          <w:color w:val="auto"/>
        </w:rPr>
      </w:pPr>
    </w:p>
    <w:p>
      <w:pPr>
        <w:ind w:left="283" w:right="140"/>
        <w:spacing w:after="0" w:line="266" w:lineRule="auto"/>
        <w:rPr>
          <w:rFonts w:ascii="Arial" w:cs="Arial" w:eastAsia="Arial" w:hAnsi="Arial"/>
          <w:sz w:val="16"/>
          <w:szCs w:val="16"/>
          <w:color w:val="auto"/>
        </w:rPr>
      </w:pPr>
      <w:r>
        <w:rPr>
          <w:rFonts w:ascii="Arial" w:cs="Arial" w:eastAsia="Arial" w:hAnsi="Arial"/>
          <w:sz w:val="16"/>
          <w:szCs w:val="16"/>
          <w:color w:val="auto"/>
        </w:rPr>
        <w:t>Goodwill is the excess of the aggregate of the consideration transferred over the fair value recognized for the acquisition of the net value of the identifiable net assets acquired and liabilities assumed. If the fair value of the net assets acquired exceeds the aggregate consideration transferred, then the gain is recognized in the consolidated statement of income.</w:t>
      </w:r>
    </w:p>
    <w:p>
      <w:pPr>
        <w:spacing w:after="0" w:line="161" w:lineRule="exact"/>
        <w:rPr>
          <w:rFonts w:ascii="Arial" w:cs="Arial" w:eastAsia="Arial" w:hAnsi="Arial"/>
          <w:sz w:val="16"/>
          <w:szCs w:val="16"/>
          <w:color w:val="auto"/>
        </w:rPr>
      </w:pPr>
    </w:p>
    <w:p>
      <w:pPr>
        <w:ind w:left="283" w:right="220"/>
        <w:spacing w:after="0" w:line="266" w:lineRule="auto"/>
        <w:rPr>
          <w:rFonts w:ascii="Arial" w:cs="Arial" w:eastAsia="Arial" w:hAnsi="Arial"/>
          <w:sz w:val="16"/>
          <w:szCs w:val="16"/>
          <w:color w:val="auto"/>
        </w:rPr>
      </w:pPr>
      <w:r>
        <w:rPr>
          <w:rFonts w:ascii="Arial" w:cs="Arial" w:eastAsia="Arial" w:hAnsi="Arial"/>
          <w:sz w:val="16"/>
          <w:szCs w:val="16"/>
          <w:color w:val="auto"/>
        </w:rPr>
        <w:t>After initial recognition, goodwill is measured at cost less any accumulated impairment losses. For the purpose of impairment testing, goodwill acquired in a business combination is, from the acquisition date, allocated to each of the Group’s cash-generating units (CGU) that are expected to benefit from the combination, irrespective of whether other assets or liabilities of the acquire are assigned to these units.</w:t>
      </w:r>
    </w:p>
    <w:p>
      <w:pPr>
        <w:spacing w:after="0" w:line="161" w:lineRule="exact"/>
        <w:rPr>
          <w:rFonts w:ascii="Arial" w:cs="Arial" w:eastAsia="Arial" w:hAnsi="Arial"/>
          <w:sz w:val="16"/>
          <w:szCs w:val="16"/>
          <w:color w:val="auto"/>
        </w:rPr>
      </w:pPr>
    </w:p>
    <w:p>
      <w:pPr>
        <w:ind w:left="283"/>
        <w:spacing w:after="0" w:line="266" w:lineRule="auto"/>
        <w:rPr>
          <w:rFonts w:ascii="Arial" w:cs="Arial" w:eastAsia="Arial" w:hAnsi="Arial"/>
          <w:sz w:val="16"/>
          <w:szCs w:val="16"/>
          <w:color w:val="auto"/>
        </w:rPr>
      </w:pPr>
      <w:r>
        <w:rPr>
          <w:rFonts w:ascii="Arial" w:cs="Arial" w:eastAsia="Arial" w:hAnsi="Arial"/>
          <w:sz w:val="16"/>
          <w:szCs w:val="16"/>
          <w:color w:val="auto"/>
        </w:rPr>
        <w:t>Where goodwill has been allocated to a CGU and part of the operation within that unit is disposed of, the goodwill associated with the disposed operation is included in the carrying amount of the operation when determining the gain or loss on disposal. Goodwill disposed of in these circumstances is measured based on the relative values of the disposed operation and the portion of the cash-generating unit retained.</w:t>
      </w:r>
    </w:p>
    <w:p>
      <w:pPr>
        <w:spacing w:after="0" w:line="161" w:lineRule="exact"/>
        <w:rPr>
          <w:rFonts w:ascii="Arial" w:cs="Arial" w:eastAsia="Arial" w:hAnsi="Arial"/>
          <w:sz w:val="16"/>
          <w:szCs w:val="16"/>
          <w:color w:val="auto"/>
        </w:rPr>
      </w:pPr>
    </w:p>
    <w:p>
      <w:pPr>
        <w:ind w:left="283" w:right="40"/>
        <w:spacing w:after="0" w:line="315" w:lineRule="auto"/>
        <w:rPr>
          <w:rFonts w:ascii="Arial" w:cs="Arial" w:eastAsia="Arial" w:hAnsi="Arial"/>
          <w:sz w:val="16"/>
          <w:szCs w:val="16"/>
          <w:color w:val="auto"/>
        </w:rPr>
      </w:pPr>
      <w:r>
        <w:rPr>
          <w:rFonts w:ascii="Arial" w:cs="Arial" w:eastAsia="Arial" w:hAnsi="Arial"/>
          <w:sz w:val="15"/>
          <w:szCs w:val="15"/>
          <w:color w:val="auto"/>
        </w:rPr>
        <w:t>Impairment is determined for goodwill by assessing the recoverable amount of each CGU (or group of CGUs) to which the goodwill relates. Where the recoverable amount of the CGU is less than its carrying amount, an impairment loss is recognized. Impairment losses relating to goodwill cannot be reversed in future periods.</w:t>
      </w:r>
    </w:p>
    <w:p>
      <w:pPr>
        <w:spacing w:after="0" w:line="320" w:lineRule="exact"/>
        <w:rPr>
          <w:rFonts w:ascii="Arial" w:cs="Arial" w:eastAsia="Arial" w:hAnsi="Arial"/>
          <w:sz w:val="16"/>
          <w:szCs w:val="16"/>
          <w:color w:val="auto"/>
        </w:rPr>
      </w:pPr>
    </w:p>
    <w:p>
      <w:pPr>
        <w:ind w:left="5643" w:hanging="94"/>
        <w:spacing w:after="0"/>
        <w:tabs>
          <w:tab w:leader="none" w:pos="5643" w:val="left"/>
        </w:tabs>
        <w:numPr>
          <w:ilvl w:val="1"/>
          <w:numId w:val="40"/>
        </w:numPr>
        <w:rPr>
          <w:rFonts w:ascii="Arial" w:cs="Arial" w:eastAsia="Arial" w:hAnsi="Arial"/>
          <w:sz w:val="16"/>
          <w:szCs w:val="16"/>
          <w:color w:val="auto"/>
        </w:rPr>
      </w:pPr>
      <w:r>
        <w:rPr>
          <w:rFonts w:ascii="Arial" w:cs="Arial" w:eastAsia="Arial" w:hAnsi="Arial"/>
          <w:sz w:val="16"/>
          <w:szCs w:val="16"/>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4" w:right="259" w:bottom="1440" w:gutter="0" w:footer="0" w:header="0"/>
        </w:sectPr>
      </w:pPr>
    </w:p>
    <w:bookmarkStart w:id="45" w:name="page46"/>
    <w:bookmarkEnd w:id="45"/>
    <w:p>
      <w:pPr>
        <w:ind w:left="283" w:hanging="283"/>
        <w:spacing w:after="0"/>
        <w:tabs>
          <w:tab w:leader="none" w:pos="283" w:val="left"/>
        </w:tabs>
        <w:numPr>
          <w:ilvl w:val="0"/>
          <w:numId w:val="41"/>
        </w:numPr>
        <w:rPr>
          <w:rFonts w:ascii="Arial" w:cs="Arial" w:eastAsia="Arial" w:hAnsi="Arial"/>
          <w:sz w:val="16"/>
          <w:szCs w:val="16"/>
          <w:color w:val="auto"/>
        </w:rPr>
      </w:pPr>
      <w:r>
        <w:rPr>
          <w:rFonts w:ascii="Arial" w:cs="Arial" w:eastAsia="Arial" w:hAnsi="Arial"/>
          <w:sz w:val="16"/>
          <w:szCs w:val="16"/>
          <w:color w:val="auto"/>
        </w:rPr>
        <w:t>Impairment of non-financial assets -</w:t>
      </w:r>
    </w:p>
    <w:p>
      <w:pPr>
        <w:spacing w:after="0" w:line="202" w:lineRule="exact"/>
        <w:rPr>
          <w:rFonts w:ascii="Arial" w:cs="Arial" w:eastAsia="Arial" w:hAnsi="Arial"/>
          <w:sz w:val="16"/>
          <w:szCs w:val="16"/>
          <w:color w:val="auto"/>
        </w:rPr>
      </w:pPr>
    </w:p>
    <w:p>
      <w:pPr>
        <w:ind w:left="283" w:right="80"/>
        <w:spacing w:after="0" w:line="261" w:lineRule="auto"/>
        <w:rPr>
          <w:rFonts w:ascii="Arial" w:cs="Arial" w:eastAsia="Arial" w:hAnsi="Arial"/>
          <w:sz w:val="16"/>
          <w:szCs w:val="16"/>
          <w:color w:val="auto"/>
        </w:rPr>
      </w:pPr>
      <w:r>
        <w:rPr>
          <w:rFonts w:ascii="Arial" w:cs="Arial" w:eastAsia="Arial" w:hAnsi="Arial"/>
          <w:sz w:val="16"/>
          <w:szCs w:val="16"/>
          <w:color w:val="auto"/>
        </w:rPr>
        <w:t>The Group assesses, at each reporting date, whether there is an indicator that an asset may be impaired. If any indication exists, or when annual impairment testing for an asset is required, the Group estimates the asset’s recoverable amount. An asset’s recoverable amount is the higher of the value of the asset or the CGU less costs to sell and its value in use and is determined for each individual asset, unless the asset does not generate cash inflows that are largely independent of those from other assets or groups of assets.</w:t>
      </w:r>
    </w:p>
    <w:p>
      <w:pPr>
        <w:spacing w:after="0" w:line="166" w:lineRule="exact"/>
        <w:rPr>
          <w:rFonts w:ascii="Arial" w:cs="Arial" w:eastAsia="Arial" w:hAnsi="Arial"/>
          <w:sz w:val="16"/>
          <w:szCs w:val="16"/>
          <w:color w:val="auto"/>
        </w:rPr>
      </w:pPr>
    </w:p>
    <w:p>
      <w:pPr>
        <w:ind w:left="283"/>
        <w:spacing w:after="0" w:line="261" w:lineRule="auto"/>
        <w:rPr>
          <w:rFonts w:ascii="Arial" w:cs="Arial" w:eastAsia="Arial" w:hAnsi="Arial"/>
          <w:sz w:val="16"/>
          <w:szCs w:val="16"/>
          <w:color w:val="auto"/>
        </w:rPr>
      </w:pPr>
      <w:r>
        <w:rPr>
          <w:rFonts w:ascii="Arial" w:cs="Arial" w:eastAsia="Arial" w:hAnsi="Arial"/>
          <w:sz w:val="16"/>
          <w:szCs w:val="16"/>
          <w:color w:val="auto"/>
        </w:rPr>
        <w:t>When the carrying amount of an asset or CGU exceeds its recoverable amount, the asset is considered impaired and is written down to its recoverable amount. In assessing value in use, the estimated future cash flows are discounted to their present value using a pre-tax discount rate that reflects current market assessments of the time value of money and the risks specific to the asset. In determining fair value less costs to sell, an appropriate valuation model is used. These calculations are verified against valuation multiples, quoted share prices for publicly traded subsidiaries or other available fair value indicators.</w:t>
      </w:r>
    </w:p>
    <w:p>
      <w:pPr>
        <w:spacing w:after="0" w:line="166" w:lineRule="exact"/>
        <w:rPr>
          <w:rFonts w:ascii="Arial" w:cs="Arial" w:eastAsia="Arial" w:hAnsi="Arial"/>
          <w:sz w:val="16"/>
          <w:szCs w:val="16"/>
          <w:color w:val="auto"/>
        </w:rPr>
      </w:pPr>
    </w:p>
    <w:p>
      <w:pPr>
        <w:jc w:val="both"/>
        <w:ind w:left="283" w:right="60"/>
        <w:spacing w:after="0" w:line="292" w:lineRule="auto"/>
        <w:rPr>
          <w:rFonts w:ascii="Arial" w:cs="Arial" w:eastAsia="Arial" w:hAnsi="Arial"/>
          <w:sz w:val="16"/>
          <w:szCs w:val="16"/>
          <w:color w:val="auto"/>
        </w:rPr>
      </w:pPr>
      <w:r>
        <w:rPr>
          <w:rFonts w:ascii="Arial" w:cs="Arial" w:eastAsia="Arial" w:hAnsi="Arial"/>
          <w:sz w:val="15"/>
          <w:szCs w:val="15"/>
          <w:color w:val="auto"/>
        </w:rPr>
        <w:t>For non-financial assets, excluding goodwill, an assessment is made at each reporting date whether there is an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w:t>
      </w:r>
    </w:p>
    <w:p>
      <w:pPr>
        <w:spacing w:after="0" w:line="144" w:lineRule="exact"/>
        <w:rPr>
          <w:rFonts w:ascii="Arial" w:cs="Arial" w:eastAsia="Arial" w:hAnsi="Arial"/>
          <w:sz w:val="16"/>
          <w:szCs w:val="16"/>
          <w:color w:val="auto"/>
        </w:rPr>
      </w:pPr>
    </w:p>
    <w:p>
      <w:pPr>
        <w:ind w:left="283" w:right="180"/>
        <w:spacing w:after="0" w:line="354" w:lineRule="auto"/>
        <w:rPr>
          <w:rFonts w:ascii="Arial" w:cs="Arial" w:eastAsia="Arial" w:hAnsi="Arial"/>
          <w:sz w:val="16"/>
          <w:szCs w:val="16"/>
          <w:color w:val="auto"/>
        </w:rPr>
      </w:pPr>
      <w:r>
        <w:rPr>
          <w:rFonts w:ascii="Arial" w:cs="Arial" w:eastAsia="Arial" w:hAnsi="Arial"/>
          <w:sz w:val="14"/>
          <w:szCs w:val="14"/>
          <w:color w:val="auto"/>
        </w:rPr>
        <w:t>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consolidated statement of income.</w:t>
      </w:r>
    </w:p>
    <w:p>
      <w:pPr>
        <w:spacing w:after="0" w:line="105" w:lineRule="exact"/>
        <w:rPr>
          <w:rFonts w:ascii="Arial" w:cs="Arial" w:eastAsia="Arial" w:hAnsi="Arial"/>
          <w:sz w:val="16"/>
          <w:szCs w:val="16"/>
          <w:color w:val="auto"/>
        </w:rPr>
      </w:pPr>
    </w:p>
    <w:p>
      <w:pPr>
        <w:ind w:left="283" w:hanging="283"/>
        <w:spacing w:after="0"/>
        <w:tabs>
          <w:tab w:leader="none" w:pos="283"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Non-current assets held for sale -</w:t>
      </w:r>
    </w:p>
    <w:p>
      <w:pPr>
        <w:spacing w:after="0" w:line="202" w:lineRule="exact"/>
        <w:rPr>
          <w:rFonts w:ascii="Arial" w:cs="Arial" w:eastAsia="Arial" w:hAnsi="Arial"/>
          <w:sz w:val="16"/>
          <w:szCs w:val="16"/>
          <w:color w:val="auto"/>
        </w:rPr>
      </w:pPr>
    </w:p>
    <w:p>
      <w:pPr>
        <w:jc w:val="both"/>
        <w:ind w:left="283" w:right="20"/>
        <w:spacing w:after="0" w:line="284" w:lineRule="auto"/>
        <w:rPr>
          <w:rFonts w:ascii="Arial" w:cs="Arial" w:eastAsia="Arial" w:hAnsi="Arial"/>
          <w:sz w:val="16"/>
          <w:szCs w:val="16"/>
          <w:color w:val="auto"/>
        </w:rPr>
      </w:pPr>
      <w:r>
        <w:rPr>
          <w:rFonts w:ascii="Arial" w:cs="Arial" w:eastAsia="Arial" w:hAnsi="Arial"/>
          <w:sz w:val="15"/>
          <w:szCs w:val="15"/>
          <w:color w:val="auto"/>
        </w:rPr>
        <w:t>The Group classifies non-current assets as held for sale if their carrying amounts will be recovered principally through a sale transaction rather than through continuing use. Non-current assets classified as held for sale are measured at the lower of their carrying amount and fair value less costs to sell. The criteria for held for sale classification is regarded as met only when the sale is highly probable and the assets are available for immediate sale in their present condition. Management must be committed to the sale, which should be expected to qualify for recognition as a completed sale within one year from the date of classification.</w:t>
      </w:r>
    </w:p>
    <w:p>
      <w:pPr>
        <w:spacing w:after="0" w:line="150"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Property, furniture and equipment and intangible assets are not depreciated or amortized once classified as held for sale.</w:t>
      </w:r>
    </w:p>
    <w:p>
      <w:pPr>
        <w:spacing w:after="0" w:line="202" w:lineRule="exact"/>
        <w:rPr>
          <w:rFonts w:ascii="Arial" w:cs="Arial" w:eastAsia="Arial" w:hAnsi="Arial"/>
          <w:sz w:val="16"/>
          <w:szCs w:val="16"/>
          <w:color w:val="auto"/>
        </w:rPr>
      </w:pPr>
    </w:p>
    <w:p>
      <w:pPr>
        <w:ind w:left="283" w:right="100"/>
        <w:spacing w:after="0" w:line="280" w:lineRule="auto"/>
        <w:rPr>
          <w:rFonts w:ascii="Arial" w:cs="Arial" w:eastAsia="Arial" w:hAnsi="Arial"/>
          <w:sz w:val="16"/>
          <w:szCs w:val="16"/>
          <w:color w:val="auto"/>
        </w:rPr>
      </w:pPr>
      <w:r>
        <w:rPr>
          <w:rFonts w:ascii="Arial" w:cs="Arial" w:eastAsia="Arial" w:hAnsi="Arial"/>
          <w:sz w:val="16"/>
          <w:szCs w:val="16"/>
          <w:color w:val="auto"/>
        </w:rPr>
        <w:t>If the Group is committed to a sale plan involving loss of control of a subsidiary, the Group will classify all the assets and liabilities of that subsidiary as held for sale. This is regardless of whether it will retain a non-controlling interest in the former subsidiary after the sale.</w:t>
      </w:r>
    </w:p>
    <w:p>
      <w:pPr>
        <w:spacing w:after="0" w:line="150" w:lineRule="exact"/>
        <w:rPr>
          <w:rFonts w:ascii="Arial" w:cs="Arial" w:eastAsia="Arial" w:hAnsi="Arial"/>
          <w:sz w:val="16"/>
          <w:szCs w:val="16"/>
          <w:color w:val="auto"/>
        </w:rPr>
      </w:pPr>
    </w:p>
    <w:p>
      <w:pPr>
        <w:ind w:left="283" w:right="40"/>
        <w:spacing w:after="0" w:line="266" w:lineRule="auto"/>
        <w:rPr>
          <w:rFonts w:ascii="Arial" w:cs="Arial" w:eastAsia="Arial" w:hAnsi="Arial"/>
          <w:sz w:val="16"/>
          <w:szCs w:val="16"/>
          <w:color w:val="auto"/>
        </w:rPr>
      </w:pPr>
      <w:r>
        <w:rPr>
          <w:rFonts w:ascii="Arial" w:cs="Arial" w:eastAsia="Arial" w:hAnsi="Arial"/>
          <w:sz w:val="16"/>
          <w:szCs w:val="16"/>
          <w:color w:val="auto"/>
        </w:rPr>
        <w:t>Non-current assets classified as held for sale and liabilities classified as held for sale are presented separately from other assets and liabilities, respectively, in the consolidated statement of financial position according to IFRS 5. The Group discloses the major classes of assets and liabilities classified as held for sale separately in Note 13.</w:t>
      </w:r>
    </w:p>
    <w:p>
      <w:pPr>
        <w:spacing w:after="0" w:line="161" w:lineRule="exact"/>
        <w:rPr>
          <w:rFonts w:ascii="Arial" w:cs="Arial" w:eastAsia="Arial" w:hAnsi="Arial"/>
          <w:sz w:val="16"/>
          <w:szCs w:val="16"/>
          <w:color w:val="auto"/>
        </w:rPr>
      </w:pPr>
    </w:p>
    <w:p>
      <w:pPr>
        <w:ind w:left="283"/>
        <w:spacing w:after="0" w:line="261" w:lineRule="auto"/>
        <w:rPr>
          <w:rFonts w:ascii="Arial" w:cs="Arial" w:eastAsia="Arial" w:hAnsi="Arial"/>
          <w:sz w:val="16"/>
          <w:szCs w:val="16"/>
          <w:color w:val="auto"/>
        </w:rPr>
      </w:pPr>
      <w:r>
        <w:rPr>
          <w:rFonts w:ascii="Arial" w:cs="Arial" w:eastAsia="Arial" w:hAnsi="Arial"/>
          <w:sz w:val="16"/>
          <w:szCs w:val="16"/>
          <w:color w:val="auto"/>
        </w:rPr>
        <w:t>Also, when non-current assets held for sale do not represent a separate major line of business or geographical area of operations and they are not part of a single coordinated plan to dispose of a separate major line of business or geographical area of operations, nor are they a subsidiary acquired exclusively with a view to resale; the non-current assets held for sale are not considered a discontinued operation and they are not excluded from the results of continuing operations and are not presented as a single amount of profit or loss after tax from discontinued operations in the consolidated statement of income.</w:t>
      </w:r>
    </w:p>
    <w:p>
      <w:pPr>
        <w:spacing w:after="0" w:line="360" w:lineRule="exact"/>
        <w:rPr>
          <w:rFonts w:ascii="Arial" w:cs="Arial" w:eastAsia="Arial" w:hAnsi="Arial"/>
          <w:sz w:val="16"/>
          <w:szCs w:val="16"/>
          <w:color w:val="auto"/>
        </w:rPr>
      </w:pPr>
    </w:p>
    <w:p>
      <w:pPr>
        <w:ind w:left="5643" w:hanging="94"/>
        <w:spacing w:after="0"/>
        <w:tabs>
          <w:tab w:leader="none" w:pos="5643" w:val="left"/>
        </w:tabs>
        <w:numPr>
          <w:ilvl w:val="1"/>
          <w:numId w:val="41"/>
        </w:numPr>
        <w:rPr>
          <w:rFonts w:ascii="Arial" w:cs="Arial" w:eastAsia="Arial" w:hAnsi="Arial"/>
          <w:sz w:val="16"/>
          <w:szCs w:val="16"/>
          <w:color w:val="auto"/>
        </w:rPr>
      </w:pPr>
      <w:r>
        <w:rPr>
          <w:rFonts w:ascii="Arial" w:cs="Arial" w:eastAsia="Arial" w:hAnsi="Arial"/>
          <w:sz w:val="16"/>
          <w:szCs w:val="16"/>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8" w:right="259" w:bottom="1440" w:gutter="0" w:footer="0" w:header="0"/>
        </w:sectPr>
      </w:pPr>
    </w:p>
    <w:bookmarkStart w:id="46" w:name="page47"/>
    <w:bookmarkEnd w:id="46"/>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Due from customers on acceptances -</w:t>
      </w:r>
    </w:p>
    <w:p>
      <w:pPr>
        <w:spacing w:after="0" w:line="202" w:lineRule="exact"/>
        <w:rPr>
          <w:rFonts w:ascii="Arial" w:cs="Arial" w:eastAsia="Arial" w:hAnsi="Arial"/>
          <w:sz w:val="16"/>
          <w:szCs w:val="16"/>
          <w:color w:val="auto"/>
        </w:rPr>
      </w:pPr>
    </w:p>
    <w:p>
      <w:pPr>
        <w:ind w:left="283" w:right="260"/>
        <w:spacing w:after="0" w:line="280" w:lineRule="auto"/>
        <w:rPr>
          <w:rFonts w:ascii="Arial" w:cs="Arial" w:eastAsia="Arial" w:hAnsi="Arial"/>
          <w:sz w:val="16"/>
          <w:szCs w:val="16"/>
          <w:color w:val="auto"/>
        </w:rPr>
      </w:pPr>
      <w:r>
        <w:rPr>
          <w:rFonts w:ascii="Arial" w:cs="Arial" w:eastAsia="Arial" w:hAnsi="Arial"/>
          <w:sz w:val="16"/>
          <w:szCs w:val="16"/>
          <w:color w:val="auto"/>
        </w:rPr>
        <w:t>Due from customers on acceptances corresponds to accounts receivable from customers for import and export transactions, whose obligations have been accepted by the Group. The obligations that must be assumed by the Group for such transactions are recorded as liabilities.</w:t>
      </w:r>
    </w:p>
    <w:p>
      <w:pPr>
        <w:spacing w:after="0" w:line="150"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Financial guarantees -</w:t>
      </w:r>
    </w:p>
    <w:p>
      <w:pPr>
        <w:spacing w:after="0" w:line="202" w:lineRule="exact"/>
        <w:rPr>
          <w:rFonts w:ascii="Arial" w:cs="Arial" w:eastAsia="Arial" w:hAnsi="Arial"/>
          <w:sz w:val="16"/>
          <w:szCs w:val="16"/>
          <w:color w:val="auto"/>
        </w:rPr>
      </w:pPr>
    </w:p>
    <w:p>
      <w:pPr>
        <w:ind w:left="283" w:right="120"/>
        <w:spacing w:after="0" w:line="259" w:lineRule="auto"/>
        <w:rPr>
          <w:rFonts w:ascii="Arial" w:cs="Arial" w:eastAsia="Arial" w:hAnsi="Arial"/>
          <w:sz w:val="16"/>
          <w:szCs w:val="16"/>
          <w:color w:val="auto"/>
        </w:rPr>
      </w:pPr>
      <w:r>
        <w:rPr>
          <w:rFonts w:ascii="Arial" w:cs="Arial" w:eastAsia="Arial" w:hAnsi="Arial"/>
          <w:sz w:val="16"/>
          <w:szCs w:val="16"/>
          <w:color w:val="auto"/>
        </w:rPr>
        <w:t>In the ordinary course of business, the Group issues financial guarantees, such as letters of credit, guarantees and acceptances. Financial guarantees are initially recognized at fair value (which is equivalent at that moment to the fee received) in “Other liabilities” of the consolidated statement of financial position. Subsequent to initial recognition, the Group’s liability under each guarantee is measured at the higher of the amount initially recognized less, when appropriate, cumulative amortization recognized in the consolidated statement of income, and the best estimate of expenditure required to settle any financial obligation arising as a result of the financial guarantee.</w:t>
      </w:r>
    </w:p>
    <w:p>
      <w:pPr>
        <w:spacing w:after="0" w:line="167" w:lineRule="exact"/>
        <w:rPr>
          <w:rFonts w:ascii="Arial" w:cs="Arial" w:eastAsia="Arial" w:hAnsi="Arial"/>
          <w:sz w:val="16"/>
          <w:szCs w:val="16"/>
          <w:color w:val="auto"/>
        </w:rPr>
      </w:pPr>
    </w:p>
    <w:p>
      <w:pPr>
        <w:ind w:left="283" w:right="480"/>
        <w:spacing w:after="0" w:line="280" w:lineRule="auto"/>
        <w:rPr>
          <w:rFonts w:ascii="Arial" w:cs="Arial" w:eastAsia="Arial" w:hAnsi="Arial"/>
          <w:sz w:val="16"/>
          <w:szCs w:val="16"/>
          <w:color w:val="auto"/>
        </w:rPr>
      </w:pPr>
      <w:r>
        <w:rPr>
          <w:rFonts w:ascii="Arial" w:cs="Arial" w:eastAsia="Arial" w:hAnsi="Arial"/>
          <w:sz w:val="16"/>
          <w:szCs w:val="16"/>
          <w:color w:val="auto"/>
        </w:rPr>
        <w:t>Any increase in the liability relating to a financial guarantee is included in the consolidated statement of income. The fee received is recognized in “Banking services commissions” of the consolidated statement of income on a straight line basis over the life of the granted financial guarantee.</w:t>
      </w:r>
    </w:p>
    <w:p>
      <w:pPr>
        <w:spacing w:after="0" w:line="150"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Provisions -</w:t>
      </w:r>
    </w:p>
    <w:p>
      <w:pPr>
        <w:spacing w:after="0" w:line="202" w:lineRule="exact"/>
        <w:rPr>
          <w:rFonts w:ascii="Arial" w:cs="Arial" w:eastAsia="Arial" w:hAnsi="Arial"/>
          <w:sz w:val="16"/>
          <w:szCs w:val="16"/>
          <w:color w:val="auto"/>
        </w:rPr>
      </w:pPr>
    </w:p>
    <w:p>
      <w:pPr>
        <w:ind w:left="283"/>
        <w:spacing w:after="0" w:line="259" w:lineRule="auto"/>
        <w:rPr>
          <w:rFonts w:ascii="Arial" w:cs="Arial" w:eastAsia="Arial" w:hAnsi="Arial"/>
          <w:sz w:val="16"/>
          <w:szCs w:val="16"/>
          <w:color w:val="auto"/>
        </w:rPr>
      </w:pPr>
      <w:r>
        <w:rPr>
          <w:rFonts w:ascii="Arial" w:cs="Arial" w:eastAsia="Arial" w:hAnsi="Arial"/>
          <w:sz w:val="16"/>
          <w:szCs w:val="16"/>
          <w:color w:val="auto"/>
        </w:rPr>
        <w:t>Provisions are recognized when the Group has a present obligation (legal or constructive) as a result of a past event, it is probable that an outflow or resources embodying economic benefits will be required to settle the obligation and a reliable estimate can be made of the amount of the obligation. The expense relating to any provision is presented in the consolidated statement of income net of any reimbursement. If the effect of the time value of money is material, provisions are discounted using a current pre-tax rate that reflects, where appropriate, the specific risks of the liability. When discounting is used, the increase in the provision due to the passage of time is recognized as a finance cost.</w:t>
      </w:r>
    </w:p>
    <w:p>
      <w:pPr>
        <w:spacing w:after="0" w:line="167"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Contingencies -</w:t>
      </w:r>
    </w:p>
    <w:p>
      <w:pPr>
        <w:spacing w:after="0" w:line="202" w:lineRule="exact"/>
        <w:rPr>
          <w:rFonts w:ascii="Arial" w:cs="Arial" w:eastAsia="Arial" w:hAnsi="Arial"/>
          <w:sz w:val="16"/>
          <w:szCs w:val="16"/>
          <w:color w:val="auto"/>
        </w:rPr>
      </w:pPr>
    </w:p>
    <w:p>
      <w:pPr>
        <w:ind w:left="283" w:right="20"/>
        <w:spacing w:after="0" w:line="315" w:lineRule="auto"/>
        <w:rPr>
          <w:rFonts w:ascii="Arial" w:cs="Arial" w:eastAsia="Arial" w:hAnsi="Arial"/>
          <w:sz w:val="16"/>
          <w:szCs w:val="16"/>
          <w:color w:val="auto"/>
        </w:rPr>
      </w:pPr>
      <w:r>
        <w:rPr>
          <w:rFonts w:ascii="Arial" w:cs="Arial" w:eastAsia="Arial" w:hAnsi="Arial"/>
          <w:sz w:val="15"/>
          <w:szCs w:val="15"/>
          <w:color w:val="auto"/>
        </w:rPr>
        <w:t>Contingent liabilities are not recognized in the consolidated financial statements. They are disclosed in the notes, unless the probability of an outflow of resources is remote. Contingent assets are not recorded in the financial statements; they are disclosed if it is probable that an inflow of economic benefits will be realized.</w:t>
      </w:r>
    </w:p>
    <w:p>
      <w:pPr>
        <w:spacing w:after="0" w:line="127"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Income tax -</w:t>
      </w:r>
    </w:p>
    <w:p>
      <w:pPr>
        <w:spacing w:after="0" w:line="202"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Income tax is computed based on the individual financial statements of Credicorp and of each of its subsidiaries.</w:t>
      </w:r>
    </w:p>
    <w:p>
      <w:pPr>
        <w:spacing w:after="0" w:line="202" w:lineRule="exact"/>
        <w:rPr>
          <w:rFonts w:ascii="Arial" w:cs="Arial" w:eastAsia="Arial" w:hAnsi="Arial"/>
          <w:sz w:val="16"/>
          <w:szCs w:val="16"/>
          <w:color w:val="auto"/>
        </w:rPr>
      </w:pPr>
    </w:p>
    <w:p>
      <w:pPr>
        <w:ind w:left="283" w:right="40"/>
        <w:spacing w:after="0" w:line="310" w:lineRule="auto"/>
        <w:rPr>
          <w:rFonts w:ascii="Arial" w:cs="Arial" w:eastAsia="Arial" w:hAnsi="Arial"/>
          <w:sz w:val="16"/>
          <w:szCs w:val="16"/>
          <w:color w:val="auto"/>
        </w:rPr>
      </w:pPr>
      <w:r>
        <w:rPr>
          <w:rFonts w:ascii="Arial" w:cs="Arial" w:eastAsia="Arial" w:hAnsi="Arial"/>
          <w:sz w:val="14"/>
          <w:szCs w:val="14"/>
          <w:color w:val="auto"/>
        </w:rPr>
        <w:t>Deferred income tax reflects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date of the consolidated statement of financial position, to recover or settle the carrying amount of its assets and liabilities.</w:t>
      </w:r>
    </w:p>
    <w:p>
      <w:pPr>
        <w:spacing w:after="0" w:line="135" w:lineRule="exact"/>
        <w:rPr>
          <w:rFonts w:ascii="Arial" w:cs="Arial" w:eastAsia="Arial" w:hAnsi="Arial"/>
          <w:sz w:val="16"/>
          <w:szCs w:val="16"/>
          <w:color w:val="auto"/>
        </w:rPr>
      </w:pPr>
    </w:p>
    <w:p>
      <w:pPr>
        <w:ind w:left="283" w:right="320"/>
        <w:spacing w:after="0" w:line="266" w:lineRule="auto"/>
        <w:rPr>
          <w:rFonts w:ascii="Arial" w:cs="Arial" w:eastAsia="Arial" w:hAnsi="Arial"/>
          <w:sz w:val="16"/>
          <w:szCs w:val="16"/>
          <w:color w:val="auto"/>
        </w:rPr>
      </w:pPr>
      <w:r>
        <w:rPr>
          <w:rFonts w:ascii="Arial" w:cs="Arial" w:eastAsia="Arial" w:hAnsi="Arial"/>
          <w:sz w:val="16"/>
          <w:szCs w:val="16"/>
          <w:color w:val="auto"/>
        </w:rPr>
        <w:t>The carrying amount of deferred tax assets and liabilities may change even though there is no change in the amount of the related temporary differences. This can result from a change in tax rates or tax laws. In this case, the resulting deferred tax shall be recognized in profit or loss, except to the extent that it relates to items previously recognized outside profit or loss.</w:t>
      </w:r>
    </w:p>
    <w:p>
      <w:pPr>
        <w:spacing w:after="0" w:line="355" w:lineRule="exact"/>
        <w:rPr>
          <w:rFonts w:ascii="Arial" w:cs="Arial" w:eastAsia="Arial" w:hAnsi="Arial"/>
          <w:sz w:val="16"/>
          <w:szCs w:val="16"/>
          <w:color w:val="auto"/>
        </w:rPr>
      </w:pPr>
    </w:p>
    <w:p>
      <w:pPr>
        <w:ind w:left="5643" w:hanging="94"/>
        <w:spacing w:after="0"/>
        <w:tabs>
          <w:tab w:leader="none" w:pos="5643" w:val="left"/>
        </w:tabs>
        <w:numPr>
          <w:ilvl w:val="1"/>
          <w:numId w:val="42"/>
        </w:numPr>
        <w:rPr>
          <w:rFonts w:ascii="Arial" w:cs="Arial" w:eastAsia="Arial" w:hAnsi="Arial"/>
          <w:sz w:val="16"/>
          <w:szCs w:val="16"/>
          <w:color w:val="auto"/>
        </w:rPr>
      </w:pPr>
      <w:r>
        <w:rPr>
          <w:rFonts w:ascii="Arial" w:cs="Arial" w:eastAsia="Arial" w:hAnsi="Arial"/>
          <w:sz w:val="16"/>
          <w:szCs w:val="16"/>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8" w:right="239" w:bottom="1440" w:gutter="0" w:footer="0" w:header="0"/>
        </w:sectPr>
      </w:pPr>
    </w:p>
    <w:bookmarkStart w:id="47" w:name="page48"/>
    <w:bookmarkEnd w:id="47"/>
    <w:p>
      <w:pPr>
        <w:jc w:val="both"/>
        <w:ind w:left="283" w:right="200"/>
        <w:spacing w:after="0" w:line="292" w:lineRule="auto"/>
        <w:rPr>
          <w:sz w:val="20"/>
          <w:szCs w:val="20"/>
          <w:color w:val="auto"/>
        </w:rPr>
      </w:pPr>
      <w:r>
        <w:rPr>
          <w:rFonts w:ascii="Arial" w:cs="Arial" w:eastAsia="Arial" w:hAnsi="Arial"/>
          <w:sz w:val="15"/>
          <w:szCs w:val="15"/>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date of the consolidated statement of financial position, Credicorp and its Subsidiaries assess unrecognized deferred assets and the carrying amount of recognized deferred assets.</w:t>
      </w:r>
    </w:p>
    <w:p>
      <w:pPr>
        <w:spacing w:after="0" w:line="144" w:lineRule="exact"/>
        <w:rPr>
          <w:sz w:val="20"/>
          <w:szCs w:val="20"/>
          <w:color w:val="auto"/>
        </w:rPr>
      </w:pPr>
    </w:p>
    <w:p>
      <w:pPr>
        <w:ind w:left="283" w:right="700"/>
        <w:spacing w:after="0" w:line="280" w:lineRule="auto"/>
        <w:rPr>
          <w:sz w:val="20"/>
          <w:szCs w:val="20"/>
          <w:color w:val="auto"/>
        </w:rPr>
      </w:pPr>
      <w:r>
        <w:rPr>
          <w:rFonts w:ascii="Arial" w:cs="Arial" w:eastAsia="Arial" w:hAnsi="Arial"/>
          <w:sz w:val="16"/>
          <w:szCs w:val="16"/>
          <w:color w:val="auto"/>
        </w:rPr>
        <w:t>Credicorp and its Subsidiaries determine their deferred income tax considering the tax rate applicable to its undistributed earnings; any additional tax on dividend distribution is recorded on the date a liability is recognized.</w:t>
      </w:r>
    </w:p>
    <w:p>
      <w:pPr>
        <w:spacing w:after="0" w:line="151" w:lineRule="exact"/>
        <w:rPr>
          <w:sz w:val="20"/>
          <w:szCs w:val="20"/>
          <w:color w:val="auto"/>
        </w:rPr>
      </w:pPr>
    </w:p>
    <w:p>
      <w:pPr>
        <w:ind w:left="283"/>
        <w:spacing w:after="0"/>
        <w:rPr>
          <w:sz w:val="20"/>
          <w:szCs w:val="20"/>
          <w:color w:val="auto"/>
        </w:rPr>
      </w:pPr>
      <w:r>
        <w:rPr>
          <w:rFonts w:ascii="Arial" w:cs="Arial" w:eastAsia="Arial" w:hAnsi="Arial"/>
          <w:sz w:val="15"/>
          <w:szCs w:val="15"/>
          <w:color w:val="auto"/>
        </w:rPr>
        <w:t>Deferred tax assets and liabilities are offset if there is a legal right of offset and the deferred taxes are related to the same taxpaying entity and the same tax authority.</w:t>
      </w:r>
    </w:p>
    <w:p>
      <w:pPr>
        <w:spacing w:after="0" w:line="214" w:lineRule="exact"/>
        <w:rPr>
          <w:sz w:val="20"/>
          <w:szCs w:val="20"/>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Earnings per share -</w:t>
      </w:r>
    </w:p>
    <w:p>
      <w:pPr>
        <w:spacing w:after="0" w:line="202" w:lineRule="exact"/>
        <w:rPr>
          <w:rFonts w:ascii="Arial" w:cs="Arial" w:eastAsia="Arial" w:hAnsi="Arial"/>
          <w:sz w:val="16"/>
          <w:szCs w:val="16"/>
          <w:color w:val="auto"/>
        </w:rPr>
      </w:pPr>
    </w:p>
    <w:p>
      <w:pPr>
        <w:ind w:left="283" w:right="240"/>
        <w:spacing w:after="0" w:line="280" w:lineRule="auto"/>
        <w:rPr>
          <w:rFonts w:ascii="Arial" w:cs="Arial" w:eastAsia="Arial" w:hAnsi="Arial"/>
          <w:sz w:val="16"/>
          <w:szCs w:val="16"/>
          <w:color w:val="auto"/>
        </w:rPr>
      </w:pPr>
      <w:r>
        <w:rPr>
          <w:rFonts w:ascii="Arial" w:cs="Arial" w:eastAsia="Arial" w:hAnsi="Arial"/>
          <w:sz w:val="16"/>
          <w:szCs w:val="16"/>
          <w:color w:val="auto"/>
        </w:rPr>
        <w:t>Basic earnings per share is calculated by dividing the net profit for the year attributable to Credicorp’s equity holders by the weighted average number of ordinary shares outstanding during the year, excluding the average number of ordinary shares purchased and held as treasury stock.</w:t>
      </w:r>
    </w:p>
    <w:p>
      <w:pPr>
        <w:spacing w:after="0" w:line="150" w:lineRule="exact"/>
        <w:rPr>
          <w:rFonts w:ascii="Arial" w:cs="Arial" w:eastAsia="Arial" w:hAnsi="Arial"/>
          <w:sz w:val="16"/>
          <w:szCs w:val="16"/>
          <w:color w:val="auto"/>
        </w:rPr>
      </w:pPr>
    </w:p>
    <w:p>
      <w:pPr>
        <w:jc w:val="both"/>
        <w:ind w:left="283" w:right="100"/>
        <w:spacing w:after="0" w:line="266" w:lineRule="auto"/>
        <w:rPr>
          <w:rFonts w:ascii="Arial" w:cs="Arial" w:eastAsia="Arial" w:hAnsi="Arial"/>
          <w:sz w:val="16"/>
          <w:szCs w:val="16"/>
          <w:color w:val="auto"/>
        </w:rPr>
      </w:pPr>
      <w:r>
        <w:rPr>
          <w:rFonts w:ascii="Arial" w:cs="Arial" w:eastAsia="Arial" w:hAnsi="Arial"/>
          <w:sz w:val="16"/>
          <w:szCs w:val="16"/>
          <w:color w:val="auto"/>
        </w:rPr>
        <w:t>Diluted earnings per share is calculated by dividing the net profit attributable to Credicorp’s equity holders by the weighted average number of ordinary shares outstanding during the year, excluding the average number of ordinary shares purchased and held as treasury stock, plus the weighted average number of ordinary shares that would be issued on the conversion of all the dilutive potential ordinary shares into ordinary shares.</w:t>
      </w:r>
    </w:p>
    <w:p>
      <w:pPr>
        <w:spacing w:after="0" w:line="161" w:lineRule="exact"/>
        <w:rPr>
          <w:rFonts w:ascii="Arial" w:cs="Arial" w:eastAsia="Arial" w:hAnsi="Arial"/>
          <w:sz w:val="16"/>
          <w:szCs w:val="16"/>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Share-based payment transactions -</w:t>
      </w:r>
    </w:p>
    <w:p>
      <w:pPr>
        <w:spacing w:after="0" w:line="202" w:lineRule="exact"/>
        <w:rPr>
          <w:rFonts w:ascii="Arial" w:cs="Arial" w:eastAsia="Arial" w:hAnsi="Arial"/>
          <w:sz w:val="16"/>
          <w:szCs w:val="16"/>
          <w:color w:val="auto"/>
        </w:rPr>
      </w:pPr>
    </w:p>
    <w:p>
      <w:pPr>
        <w:ind w:left="283" w:right="200"/>
        <w:spacing w:after="0" w:line="280" w:lineRule="auto"/>
        <w:rPr>
          <w:rFonts w:ascii="Arial" w:cs="Arial" w:eastAsia="Arial" w:hAnsi="Arial"/>
          <w:sz w:val="16"/>
          <w:szCs w:val="16"/>
          <w:color w:val="auto"/>
        </w:rPr>
      </w:pPr>
      <w:r>
        <w:rPr>
          <w:rFonts w:ascii="Arial" w:cs="Arial" w:eastAsia="Arial" w:hAnsi="Arial"/>
          <w:sz w:val="16"/>
          <w:szCs w:val="16"/>
          <w:color w:val="auto"/>
        </w:rPr>
        <w:t>The cost of this equity-settled plan is recognized, together with a corresponding increase in equity, over the period in which the service conditions are fulfilled, ending on the date on which the relevant employees become fully entitled to the award (‘the vesting date”).</w:t>
      </w:r>
    </w:p>
    <w:p>
      <w:pPr>
        <w:spacing w:after="0" w:line="150" w:lineRule="exact"/>
        <w:rPr>
          <w:rFonts w:ascii="Arial" w:cs="Arial" w:eastAsia="Arial" w:hAnsi="Arial"/>
          <w:sz w:val="16"/>
          <w:szCs w:val="16"/>
          <w:color w:val="auto"/>
        </w:rPr>
      </w:pPr>
    </w:p>
    <w:p>
      <w:pPr>
        <w:ind w:left="283"/>
        <w:spacing w:after="0" w:line="266" w:lineRule="auto"/>
        <w:rPr>
          <w:rFonts w:ascii="Arial" w:cs="Arial" w:eastAsia="Arial" w:hAnsi="Arial"/>
          <w:sz w:val="16"/>
          <w:szCs w:val="16"/>
          <w:color w:val="auto"/>
        </w:rPr>
      </w:pPr>
      <w:r>
        <w:rPr>
          <w:rFonts w:ascii="Arial" w:cs="Arial" w:eastAsia="Arial" w:hAnsi="Arial"/>
          <w:sz w:val="16"/>
          <w:szCs w:val="16"/>
          <w:color w:val="auto"/>
        </w:rPr>
        <w:t>The cumulative expense recognized for equity-settled transactions at each reporting date until the vesting date reflects the extent to which the vesting period has expired and the Group’s best estimate of the number of equity instruments that will ultimately vest. The expense is recorded in “Salaries and employee benefits” of the consolidated statement of income.</w:t>
      </w:r>
    </w:p>
    <w:p>
      <w:pPr>
        <w:spacing w:after="0" w:line="161" w:lineRule="exact"/>
        <w:rPr>
          <w:rFonts w:ascii="Arial" w:cs="Arial" w:eastAsia="Arial" w:hAnsi="Arial"/>
          <w:sz w:val="16"/>
          <w:szCs w:val="16"/>
          <w:color w:val="auto"/>
        </w:rPr>
      </w:pPr>
    </w:p>
    <w:p>
      <w:pPr>
        <w:ind w:left="283" w:right="60"/>
        <w:spacing w:after="0" w:line="266" w:lineRule="auto"/>
        <w:rPr>
          <w:rFonts w:ascii="Arial" w:cs="Arial" w:eastAsia="Arial" w:hAnsi="Arial"/>
          <w:sz w:val="16"/>
          <w:szCs w:val="16"/>
          <w:color w:val="auto"/>
        </w:rPr>
      </w:pPr>
      <w:r>
        <w:rPr>
          <w:rFonts w:ascii="Arial" w:cs="Arial" w:eastAsia="Arial" w:hAnsi="Arial"/>
          <w:sz w:val="16"/>
          <w:szCs w:val="16"/>
          <w:color w:val="auto"/>
        </w:rPr>
        <w:t>When the terms of an equity-settled award are modified, the minimum expense recognized is the expense as if the terms had not been modified. An additional expense is recognized for any modification which increases the total fair value of the share-based payment arrangement, or which is otherwise beneficial to the employee as measured at the date of modification.</w:t>
      </w:r>
    </w:p>
    <w:p>
      <w:pPr>
        <w:spacing w:after="0" w:line="161"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The dilutive effect of outstanding stock awards is reflected as a share dilution in the computation of diluted earnings per share, see (x) above.</w:t>
      </w:r>
    </w:p>
    <w:p>
      <w:pPr>
        <w:spacing w:after="0" w:line="202" w:lineRule="exact"/>
        <w:rPr>
          <w:rFonts w:ascii="Arial" w:cs="Arial" w:eastAsia="Arial" w:hAnsi="Arial"/>
          <w:sz w:val="16"/>
          <w:szCs w:val="16"/>
          <w:color w:val="auto"/>
        </w:rPr>
      </w:pPr>
    </w:p>
    <w:p>
      <w:pPr>
        <w:ind w:left="283" w:right="7500" w:hanging="283"/>
        <w:spacing w:after="0" w:line="504" w:lineRule="auto"/>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Derivative financial instruments and hedge accounting - Trading -</w:t>
      </w:r>
    </w:p>
    <w:p>
      <w:pPr>
        <w:ind w:left="283"/>
        <w:spacing w:after="0" w:line="280" w:lineRule="auto"/>
        <w:rPr>
          <w:rFonts w:ascii="Arial" w:cs="Arial" w:eastAsia="Arial" w:hAnsi="Arial"/>
          <w:sz w:val="16"/>
          <w:szCs w:val="16"/>
          <w:color w:val="auto"/>
        </w:rPr>
      </w:pPr>
      <w:r>
        <w:rPr>
          <w:rFonts w:ascii="Arial" w:cs="Arial" w:eastAsia="Arial" w:hAnsi="Arial"/>
          <w:sz w:val="16"/>
          <w:szCs w:val="16"/>
          <w:color w:val="auto"/>
        </w:rPr>
        <w:t>The Group negotiates derivative financial instruments in order to meet its clients’ needs. The Group may also take positions with the expectation of profiting from favorable movements in prices, rates or indexes.</w:t>
      </w:r>
    </w:p>
    <w:p>
      <w:pPr>
        <w:spacing w:after="0" w:line="150" w:lineRule="exact"/>
        <w:rPr>
          <w:rFonts w:ascii="Arial" w:cs="Arial" w:eastAsia="Arial" w:hAnsi="Arial"/>
          <w:sz w:val="16"/>
          <w:szCs w:val="16"/>
          <w:color w:val="auto"/>
        </w:rPr>
      </w:pPr>
    </w:p>
    <w:p>
      <w:pPr>
        <w:ind w:left="283" w:right="180"/>
        <w:spacing w:after="0" w:line="280" w:lineRule="auto"/>
        <w:rPr>
          <w:rFonts w:ascii="Arial" w:cs="Arial" w:eastAsia="Arial" w:hAnsi="Arial"/>
          <w:sz w:val="16"/>
          <w:szCs w:val="16"/>
          <w:color w:val="auto"/>
        </w:rPr>
      </w:pPr>
      <w:r>
        <w:rPr>
          <w:rFonts w:ascii="Arial" w:cs="Arial" w:eastAsia="Arial" w:hAnsi="Arial"/>
          <w:sz w:val="16"/>
          <w:szCs w:val="16"/>
          <w:color w:val="auto"/>
        </w:rPr>
        <w:t>Part of the transactions with derivatives, while providing effective economic hedges under Group’s risk management positions, do not qualify for hedge accounting under the specific rules of IAS 39 and are, therefore, treated as trading derivatives.</w:t>
      </w:r>
    </w:p>
    <w:p>
      <w:pPr>
        <w:spacing w:after="0" w:line="344" w:lineRule="exact"/>
        <w:rPr>
          <w:rFonts w:ascii="Arial" w:cs="Arial" w:eastAsia="Arial" w:hAnsi="Arial"/>
          <w:sz w:val="16"/>
          <w:szCs w:val="16"/>
          <w:color w:val="auto"/>
        </w:rPr>
      </w:pPr>
    </w:p>
    <w:p>
      <w:pPr>
        <w:ind w:left="5643" w:hanging="94"/>
        <w:spacing w:after="0"/>
        <w:tabs>
          <w:tab w:leader="none" w:pos="5643" w:val="left"/>
        </w:tabs>
        <w:numPr>
          <w:ilvl w:val="1"/>
          <w:numId w:val="43"/>
        </w:numPr>
        <w:rPr>
          <w:rFonts w:ascii="Arial" w:cs="Arial" w:eastAsia="Arial" w:hAnsi="Arial"/>
          <w:sz w:val="16"/>
          <w:szCs w:val="16"/>
          <w:color w:val="auto"/>
        </w:rPr>
      </w:pPr>
      <w:r>
        <w:rPr>
          <w:rFonts w:ascii="Arial" w:cs="Arial" w:eastAsia="Arial" w:hAnsi="Arial"/>
          <w:sz w:val="16"/>
          <w:szCs w:val="16"/>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8" w:right="259" w:bottom="1440" w:gutter="0" w:footer="0" w:header="0"/>
        </w:sectPr>
      </w:pPr>
    </w:p>
    <w:bookmarkStart w:id="48" w:name="page49"/>
    <w:bookmarkEnd w:id="48"/>
    <w:p>
      <w:pPr>
        <w:ind w:right="60"/>
        <w:spacing w:after="0" w:line="266" w:lineRule="auto"/>
        <w:rPr>
          <w:sz w:val="20"/>
          <w:szCs w:val="20"/>
          <w:color w:val="auto"/>
        </w:rPr>
      </w:pPr>
      <w:r>
        <w:rPr>
          <w:rFonts w:ascii="Arial" w:cs="Arial" w:eastAsia="Arial" w:hAnsi="Arial"/>
          <w:sz w:val="16"/>
          <w:szCs w:val="16"/>
          <w:color w:val="auto"/>
        </w:rPr>
        <w:t>Derivative financial instruments are initially recognized at fair value in the consolidated statement of financial position and subsequently are re-measured at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statement of income.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Hedging -</w:t>
      </w:r>
    </w:p>
    <w:p>
      <w:pPr>
        <w:spacing w:after="0" w:line="203"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The Group uses derivative instruments to manage exposures to interest rate and foreign currency. In order to manage particular risks, the Group applies hedge accounting for transactions which meet the specified criteria.</w:t>
      </w:r>
    </w:p>
    <w:p>
      <w:pPr>
        <w:spacing w:after="0" w:line="151"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At inception of the hedge relationship, the Group formally documents the relationship between the hedged item and the hedging instrument, including the nature of the risk, the objective and strategy for undertaking the hedge and the method that will be used to assess the effectiveness of the hedging relationship.</w:t>
      </w:r>
    </w:p>
    <w:p>
      <w:pPr>
        <w:spacing w:after="0" w:line="127" w:lineRule="exact"/>
        <w:rPr>
          <w:sz w:val="20"/>
          <w:szCs w:val="20"/>
          <w:color w:val="auto"/>
        </w:rPr>
      </w:pPr>
    </w:p>
    <w:p>
      <w:pPr>
        <w:ind w:right="420"/>
        <w:spacing w:after="0" w:line="280" w:lineRule="auto"/>
        <w:rPr>
          <w:sz w:val="20"/>
          <w:szCs w:val="20"/>
          <w:color w:val="auto"/>
        </w:rPr>
      </w:pPr>
      <w:r>
        <w:rPr>
          <w:rFonts w:ascii="Arial" w:cs="Arial" w:eastAsia="Arial" w:hAnsi="Arial"/>
          <w:sz w:val="16"/>
          <w:szCs w:val="16"/>
          <w:color w:val="auto"/>
        </w:rPr>
        <w:t>Also, at the inception of the hedge relationship, a formal assessment is undertaken to ensure the hedging instrument is expected to be highly effective in offsetting the designated risk in the hedged item. Hedges are formally assessed at each reporting date.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treatment is established according to the nature of the hedged item and compliance with the hedge criteria, as follows.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 hedge is considered highly effective if the following conditions are met:</w:t>
      </w:r>
    </w:p>
    <w:p>
      <w:pPr>
        <w:spacing w:after="0" w:line="203" w:lineRule="exact"/>
        <w:rPr>
          <w:sz w:val="20"/>
          <w:szCs w:val="20"/>
          <w:color w:val="auto"/>
        </w:rPr>
      </w:pPr>
    </w:p>
    <w:p>
      <w:pPr>
        <w:ind w:left="300" w:right="440" w:hanging="293"/>
        <w:spacing w:after="0" w:line="260" w:lineRule="auto"/>
        <w:tabs>
          <w:tab w:leader="none" w:pos="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At the inception of a hedge and in following years, the hedge is expected to be highly effective to offset changes in the fair value or cash flows attributable to the hedged risk over the designated period of the hedge; and</w:t>
      </w:r>
    </w:p>
    <w:p>
      <w:pPr>
        <w:ind w:left="300" w:hanging="293"/>
        <w:spacing w:after="0"/>
        <w:tabs>
          <w:tab w:leader="none" w:pos="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actual effectiveness of the hedge is within the range of 80-125 percent.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treatment is determined on the basis of the nature of the hedged item and once the hedging qualifying criteria are met.</w:t>
      </w:r>
    </w:p>
    <w:p>
      <w:pPr>
        <w:spacing w:after="0" w:line="203" w:lineRule="exact"/>
        <w:rPr>
          <w:sz w:val="20"/>
          <w:szCs w:val="20"/>
          <w:color w:val="auto"/>
        </w:rPr>
      </w:pPr>
    </w:p>
    <w:p>
      <w:pPr>
        <w:ind w:left="300" w:hanging="293"/>
        <w:spacing w:after="0"/>
        <w:tabs>
          <w:tab w:leader="none" w:pos="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Cash flow hedges -</w:t>
      </w:r>
    </w:p>
    <w:p>
      <w:pPr>
        <w:spacing w:after="0" w:line="202" w:lineRule="exact"/>
        <w:rPr>
          <w:rFonts w:ascii="Arial" w:cs="Arial" w:eastAsia="Arial" w:hAnsi="Arial"/>
          <w:sz w:val="16"/>
          <w:szCs w:val="16"/>
          <w:color w:val="auto"/>
        </w:rPr>
      </w:pPr>
    </w:p>
    <w:p>
      <w:pPr>
        <w:ind w:left="300" w:right="180"/>
        <w:spacing w:after="0" w:line="280" w:lineRule="auto"/>
        <w:rPr>
          <w:rFonts w:ascii="Arial" w:cs="Arial" w:eastAsia="Arial" w:hAnsi="Arial"/>
          <w:sz w:val="16"/>
          <w:szCs w:val="16"/>
          <w:color w:val="auto"/>
        </w:rPr>
      </w:pPr>
      <w:r>
        <w:rPr>
          <w:rFonts w:ascii="Arial" w:cs="Arial" w:eastAsia="Arial" w:hAnsi="Arial"/>
          <w:sz w:val="16"/>
          <w:szCs w:val="16"/>
          <w:color w:val="auto"/>
        </w:rPr>
        <w:t>The effective portion of the gain or loss on the hedging instrument is recognized directly as part of other comprehensive income in “Cash flow hedge reserve”, while any ineffective portion is recognized immediately in the consolidated statement of income.</w:t>
      </w:r>
    </w:p>
    <w:p>
      <w:pPr>
        <w:spacing w:after="0" w:line="150" w:lineRule="exact"/>
        <w:rPr>
          <w:rFonts w:ascii="Arial" w:cs="Arial" w:eastAsia="Arial" w:hAnsi="Arial"/>
          <w:sz w:val="16"/>
          <w:szCs w:val="16"/>
          <w:color w:val="auto"/>
        </w:rPr>
      </w:pPr>
    </w:p>
    <w:p>
      <w:pPr>
        <w:ind w:left="300" w:right="60"/>
        <w:spacing w:after="0" w:line="280" w:lineRule="auto"/>
        <w:rPr>
          <w:rFonts w:ascii="Arial" w:cs="Arial" w:eastAsia="Arial" w:hAnsi="Arial"/>
          <w:sz w:val="16"/>
          <w:szCs w:val="16"/>
          <w:color w:val="auto"/>
        </w:rPr>
      </w:pPr>
      <w:r>
        <w:rPr>
          <w:rFonts w:ascii="Arial" w:cs="Arial" w:eastAsia="Arial" w:hAnsi="Arial"/>
          <w:sz w:val="16"/>
          <w:szCs w:val="16"/>
          <w:color w:val="auto"/>
        </w:rPr>
        <w:t>Amounts recognized as other comprehensive income are transferred to the consolidated statement of income when the hedged transaction affects profit or loss, such as when the hedged finance income or finance cost is recognized or when an expected sale occurs.</w:t>
      </w:r>
    </w:p>
    <w:p>
      <w:pPr>
        <w:spacing w:after="0" w:line="150" w:lineRule="exact"/>
        <w:rPr>
          <w:rFonts w:ascii="Arial" w:cs="Arial" w:eastAsia="Arial" w:hAnsi="Arial"/>
          <w:sz w:val="16"/>
          <w:szCs w:val="16"/>
          <w:color w:val="auto"/>
        </w:rPr>
      </w:pPr>
    </w:p>
    <w:p>
      <w:pPr>
        <w:ind w:left="300" w:right="260"/>
        <w:spacing w:after="0" w:line="284" w:lineRule="auto"/>
        <w:rPr>
          <w:rFonts w:ascii="Arial" w:cs="Arial" w:eastAsia="Arial" w:hAnsi="Arial"/>
          <w:sz w:val="16"/>
          <w:szCs w:val="16"/>
          <w:color w:val="auto"/>
        </w:rPr>
      </w:pPr>
      <w:r>
        <w:rPr>
          <w:rFonts w:ascii="Arial" w:cs="Arial" w:eastAsia="Arial" w:hAnsi="Arial"/>
          <w:sz w:val="15"/>
          <w:szCs w:val="15"/>
          <w:color w:val="auto"/>
        </w:rPr>
        <w:t>If the forecasted transaction or firm commitment is no longer expected to occur, the cumulative gain or loss previously recognized in the cash flow hedge reserve is transferred to the consolidated statement of income. If the hedging instrument expires or is sold, terminated or exercised without replacement or rollover, or if its designation as a hedge is revoked, any cumulative gain or loss previously recognized in the cash flow hedge reserve remains in said reserve until the forecast transaction or firm commitment affects profit or loss. At the same time, the derivative is recorded as a trading derivative.</w:t>
      </w:r>
    </w:p>
    <w:p>
      <w:pPr>
        <w:spacing w:after="0" w:line="343" w:lineRule="exact"/>
        <w:rPr>
          <w:rFonts w:ascii="Arial" w:cs="Arial" w:eastAsia="Arial" w:hAnsi="Arial"/>
          <w:sz w:val="16"/>
          <w:szCs w:val="16"/>
          <w:color w:val="auto"/>
        </w:rPr>
      </w:pPr>
    </w:p>
    <w:p>
      <w:pPr>
        <w:ind w:left="5360" w:hanging="94"/>
        <w:spacing w:after="0"/>
        <w:tabs>
          <w:tab w:leader="none" w:pos="53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13970</wp:posOffset>
            </wp:positionV>
            <wp:extent cx="7261225" cy="76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00"/>
          </w:cols>
          <w:pgMar w:left="520" w:top="828" w:right="279" w:bottom="1440" w:gutter="0" w:footer="0" w:header="0"/>
        </w:sectPr>
      </w:pPr>
    </w:p>
    <w:bookmarkStart w:id="49" w:name="page50"/>
    <w:bookmarkEnd w:id="49"/>
    <w:p>
      <w:pPr>
        <w:ind w:left="583" w:hanging="293"/>
        <w:spacing w:after="0"/>
        <w:tabs>
          <w:tab w:leader="none" w:pos="583" w:val="left"/>
        </w:tabs>
        <w:numPr>
          <w:ilvl w:val="1"/>
          <w:numId w:val="46"/>
        </w:numPr>
        <w:rPr>
          <w:rFonts w:ascii="Arial" w:cs="Arial" w:eastAsia="Arial" w:hAnsi="Arial"/>
          <w:sz w:val="16"/>
          <w:szCs w:val="16"/>
          <w:color w:val="auto"/>
        </w:rPr>
      </w:pPr>
      <w:r>
        <w:rPr>
          <w:rFonts w:ascii="Arial" w:cs="Arial" w:eastAsia="Arial" w:hAnsi="Arial"/>
          <w:sz w:val="16"/>
          <w:szCs w:val="16"/>
          <w:color w:val="auto"/>
        </w:rPr>
        <w:t>Fair value hedges -</w:t>
      </w:r>
    </w:p>
    <w:p>
      <w:pPr>
        <w:spacing w:after="0" w:line="202" w:lineRule="exact"/>
        <w:rPr>
          <w:rFonts w:ascii="Arial" w:cs="Arial" w:eastAsia="Arial" w:hAnsi="Arial"/>
          <w:sz w:val="16"/>
          <w:szCs w:val="16"/>
          <w:color w:val="auto"/>
        </w:rPr>
      </w:pPr>
    </w:p>
    <w:p>
      <w:pPr>
        <w:ind w:left="583"/>
        <w:spacing w:after="0" w:line="266" w:lineRule="auto"/>
        <w:rPr>
          <w:rFonts w:ascii="Arial" w:cs="Arial" w:eastAsia="Arial" w:hAnsi="Arial"/>
          <w:sz w:val="16"/>
          <w:szCs w:val="16"/>
          <w:color w:val="auto"/>
        </w:rPr>
      </w:pPr>
      <w:r>
        <w:rPr>
          <w:rFonts w:ascii="Arial" w:cs="Arial" w:eastAsia="Arial" w:hAnsi="Arial"/>
          <w:sz w:val="16"/>
          <w:szCs w:val="16"/>
          <w:color w:val="auto"/>
        </w:rPr>
        <w:t>The change in the fair value of fair value hedges is recognized in “Interest and similar income” or “Interest and similar expenses” of the consolidated statement of income. The change in the fair value of the hedged item attributable to the risk hedged is recorded as a part of the carrying value of the hedged item and is recognized in the consolidated statement of income.</w:t>
      </w:r>
    </w:p>
    <w:p>
      <w:pPr>
        <w:spacing w:after="0" w:line="161" w:lineRule="exact"/>
        <w:rPr>
          <w:rFonts w:ascii="Arial" w:cs="Arial" w:eastAsia="Arial" w:hAnsi="Arial"/>
          <w:sz w:val="16"/>
          <w:szCs w:val="16"/>
          <w:color w:val="auto"/>
        </w:rPr>
      </w:pPr>
    </w:p>
    <w:p>
      <w:pPr>
        <w:jc w:val="both"/>
        <w:ind w:left="583" w:right="160"/>
        <w:spacing w:after="0" w:line="266" w:lineRule="auto"/>
        <w:rPr>
          <w:rFonts w:ascii="Arial" w:cs="Arial" w:eastAsia="Arial" w:hAnsi="Arial"/>
          <w:sz w:val="16"/>
          <w:szCs w:val="16"/>
          <w:color w:val="auto"/>
        </w:rPr>
      </w:pPr>
      <w:r>
        <w:rPr>
          <w:rFonts w:ascii="Arial" w:cs="Arial" w:eastAsia="Arial" w:hAnsi="Arial"/>
          <w:sz w:val="16"/>
          <w:szCs w:val="16"/>
          <w:color w:val="auto"/>
        </w:rPr>
        <w:t>For fair value hedges relating to items carried at amortized cost, any adjustment to the carrying amount of these items, as a result of discontinuation of the hedge, will be amortized through the consolidated statement of income over the remaining life of the hedge. Amortization may begin as soon as an adjustment exists and no later than when the hedged item ceases to be adjusted for changes in its fair value attributable to the risk being hedged.</w:t>
      </w:r>
    </w:p>
    <w:p>
      <w:pPr>
        <w:spacing w:after="0" w:line="161"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6"/>
          <w:szCs w:val="16"/>
          <w:color w:val="auto"/>
        </w:rPr>
        <w:t>If the hedged item is derecognized, the unamortized fair value is recognized immediately in the consolidated statement of income.</w:t>
      </w:r>
    </w:p>
    <w:p>
      <w:pPr>
        <w:spacing w:after="0" w:line="202" w:lineRule="exact"/>
        <w:rPr>
          <w:rFonts w:ascii="Arial" w:cs="Arial" w:eastAsia="Arial" w:hAnsi="Arial"/>
          <w:sz w:val="16"/>
          <w:szCs w:val="16"/>
          <w:color w:val="auto"/>
        </w:rPr>
      </w:pPr>
    </w:p>
    <w:p>
      <w:pPr>
        <w:ind w:left="583" w:right="80"/>
        <w:spacing w:after="0" w:line="259" w:lineRule="auto"/>
        <w:rPr>
          <w:rFonts w:ascii="Arial" w:cs="Arial" w:eastAsia="Arial" w:hAnsi="Arial"/>
          <w:sz w:val="16"/>
          <w:szCs w:val="16"/>
          <w:color w:val="auto"/>
        </w:rPr>
      </w:pPr>
      <w:r>
        <w:rPr>
          <w:rFonts w:ascii="Arial" w:cs="Arial" w:eastAsia="Arial" w:hAnsi="Arial"/>
          <w:sz w:val="16"/>
          <w:szCs w:val="16"/>
          <w:color w:val="auto"/>
        </w:rPr>
        <w:t>The hedge relationship is terminated when the hedging instrument expires or is sold, terminated or exercised, or where the hedge no longer meets the criteria for hedge accounting, the hedge relationship is terminated. For hedged items recorded at amortized cost, the difference between the carrying value of the hedged item on termination and the face value is amortized over the remaining term of the original hedge using the effective interest rate. If the hedged item is derecognized, the unamortized fair value adjustment is recognized immediately in the consolidated statements of income. At the same time, the derivative is recorded as a trading derivative.</w:t>
      </w:r>
    </w:p>
    <w:p>
      <w:pPr>
        <w:spacing w:after="0" w:line="167" w:lineRule="exact"/>
        <w:rPr>
          <w:rFonts w:ascii="Arial" w:cs="Arial" w:eastAsia="Arial" w:hAnsi="Arial"/>
          <w:sz w:val="16"/>
          <w:szCs w:val="16"/>
          <w:color w:val="auto"/>
        </w:rPr>
      </w:pPr>
    </w:p>
    <w:p>
      <w:pPr>
        <w:ind w:left="583" w:hanging="293"/>
        <w:spacing w:after="0"/>
        <w:tabs>
          <w:tab w:leader="none" w:pos="583" w:val="left"/>
        </w:tabs>
        <w:numPr>
          <w:ilvl w:val="1"/>
          <w:numId w:val="46"/>
        </w:numPr>
        <w:rPr>
          <w:rFonts w:ascii="Arial" w:cs="Arial" w:eastAsia="Arial" w:hAnsi="Arial"/>
          <w:sz w:val="16"/>
          <w:szCs w:val="16"/>
          <w:color w:val="auto"/>
        </w:rPr>
      </w:pPr>
      <w:r>
        <w:rPr>
          <w:rFonts w:ascii="Arial" w:cs="Arial" w:eastAsia="Arial" w:hAnsi="Arial"/>
          <w:sz w:val="16"/>
          <w:szCs w:val="16"/>
          <w:color w:val="auto"/>
        </w:rPr>
        <w:t>Embedded derivatives -</w:t>
      </w:r>
    </w:p>
    <w:p>
      <w:pPr>
        <w:spacing w:after="0" w:line="202" w:lineRule="exact"/>
        <w:rPr>
          <w:rFonts w:ascii="Arial" w:cs="Arial" w:eastAsia="Arial" w:hAnsi="Arial"/>
          <w:sz w:val="16"/>
          <w:szCs w:val="16"/>
          <w:color w:val="auto"/>
        </w:rPr>
      </w:pPr>
    </w:p>
    <w:p>
      <w:pPr>
        <w:ind w:left="583" w:right="260"/>
        <w:spacing w:after="0" w:line="315" w:lineRule="auto"/>
        <w:rPr>
          <w:rFonts w:ascii="Arial" w:cs="Arial" w:eastAsia="Arial" w:hAnsi="Arial"/>
          <w:sz w:val="16"/>
          <w:szCs w:val="16"/>
          <w:color w:val="auto"/>
        </w:rPr>
      </w:pPr>
      <w:r>
        <w:rPr>
          <w:rFonts w:ascii="Arial" w:cs="Arial" w:eastAsia="Arial" w:hAnsi="Arial"/>
          <w:sz w:val="15"/>
          <w:szCs w:val="15"/>
          <w:color w:val="auto"/>
        </w:rPr>
        <w:t>Derivatives embedded in host contracts are accounted for as separate derivatives and recorded at fair value if their economic characteristics and risks are not closely related to those of the host contracts, and the host contracts are not held for trading or designated at fair value through profit or loss.</w:t>
      </w:r>
    </w:p>
    <w:p>
      <w:pPr>
        <w:spacing w:after="0" w:line="127" w:lineRule="exact"/>
        <w:rPr>
          <w:rFonts w:ascii="Arial" w:cs="Arial" w:eastAsia="Arial" w:hAnsi="Arial"/>
          <w:sz w:val="16"/>
          <w:szCs w:val="16"/>
          <w:color w:val="auto"/>
        </w:rPr>
      </w:pPr>
    </w:p>
    <w:p>
      <w:pPr>
        <w:ind w:left="583" w:right="220"/>
        <w:spacing w:after="0" w:line="280" w:lineRule="auto"/>
        <w:rPr>
          <w:rFonts w:ascii="Arial" w:cs="Arial" w:eastAsia="Arial" w:hAnsi="Arial"/>
          <w:sz w:val="16"/>
          <w:szCs w:val="16"/>
          <w:color w:val="auto"/>
        </w:rPr>
      </w:pPr>
      <w:r>
        <w:rPr>
          <w:rFonts w:ascii="Arial" w:cs="Arial" w:eastAsia="Arial" w:hAnsi="Arial"/>
          <w:sz w:val="16"/>
          <w:szCs w:val="16"/>
          <w:color w:val="auto"/>
        </w:rPr>
        <w:t>The Group has investments indexed to certain life insurance contracts liabilities, denominated “Unit-Linked”. These instruments have been classified at inception by the Group as “Financial instruments at fair value though profit or loss”, see note 3(f)(i) and note 8.</w:t>
      </w:r>
    </w:p>
    <w:p>
      <w:pPr>
        <w:spacing w:after="0" w:line="150" w:lineRule="exact"/>
        <w:rPr>
          <w:rFonts w:ascii="Arial" w:cs="Arial" w:eastAsia="Arial" w:hAnsi="Arial"/>
          <w:sz w:val="16"/>
          <w:szCs w:val="16"/>
          <w:color w:val="auto"/>
        </w:rPr>
      </w:pPr>
    </w:p>
    <w:p>
      <w:pPr>
        <w:ind w:left="283" w:hanging="283"/>
        <w:spacing w:after="0"/>
        <w:tabs>
          <w:tab w:leader="none" w:pos="283" w:val="left"/>
        </w:tabs>
        <w:numPr>
          <w:ilvl w:val="0"/>
          <w:numId w:val="47"/>
        </w:numPr>
        <w:rPr>
          <w:rFonts w:ascii="Arial" w:cs="Arial" w:eastAsia="Arial" w:hAnsi="Arial"/>
          <w:sz w:val="16"/>
          <w:szCs w:val="16"/>
          <w:color w:val="auto"/>
        </w:rPr>
      </w:pPr>
      <w:r>
        <w:rPr>
          <w:rFonts w:ascii="Arial" w:cs="Arial" w:eastAsia="Arial" w:hAnsi="Arial"/>
          <w:sz w:val="16"/>
          <w:szCs w:val="16"/>
          <w:color w:val="auto"/>
        </w:rPr>
        <w:t>Fair value measurement -</w:t>
      </w:r>
    </w:p>
    <w:p>
      <w:pPr>
        <w:spacing w:after="0" w:line="202" w:lineRule="exact"/>
        <w:rPr>
          <w:rFonts w:ascii="Arial" w:cs="Arial" w:eastAsia="Arial" w:hAnsi="Arial"/>
          <w:sz w:val="16"/>
          <w:szCs w:val="16"/>
          <w:color w:val="auto"/>
        </w:rPr>
      </w:pPr>
    </w:p>
    <w:p>
      <w:pPr>
        <w:ind w:left="283" w:right="20"/>
        <w:spacing w:after="0" w:line="280" w:lineRule="auto"/>
        <w:rPr>
          <w:rFonts w:ascii="Arial" w:cs="Arial" w:eastAsia="Arial" w:hAnsi="Arial"/>
          <w:sz w:val="16"/>
          <w:szCs w:val="16"/>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50"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   In the principal market for the asset or liability, or</w:t>
      </w:r>
    </w:p>
    <w:p>
      <w:pPr>
        <w:spacing w:after="0" w:line="21"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   In the absence of a principal market, in the most advantageous market for the asset or liability.</w:t>
      </w:r>
    </w:p>
    <w:p>
      <w:pPr>
        <w:spacing w:after="0" w:line="190"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The principal or the most advantageous market must be accessible by the Group. Also, the fair value of a liability reflects its non-performance risk.</w:t>
      </w:r>
    </w:p>
    <w:p>
      <w:pPr>
        <w:spacing w:after="0" w:line="202" w:lineRule="exact"/>
        <w:rPr>
          <w:rFonts w:ascii="Arial" w:cs="Arial" w:eastAsia="Arial" w:hAnsi="Arial"/>
          <w:sz w:val="16"/>
          <w:szCs w:val="16"/>
          <w:color w:val="auto"/>
        </w:rPr>
      </w:pPr>
    </w:p>
    <w:p>
      <w:pPr>
        <w:ind w:left="283" w:right="620"/>
        <w:spacing w:after="0" w:line="315" w:lineRule="auto"/>
        <w:rPr>
          <w:rFonts w:ascii="Arial" w:cs="Arial" w:eastAsia="Arial" w:hAnsi="Arial"/>
          <w:sz w:val="16"/>
          <w:szCs w:val="16"/>
          <w:color w:val="auto"/>
        </w:rPr>
      </w:pPr>
      <w:r>
        <w:rPr>
          <w:rFonts w:ascii="Arial" w:cs="Arial" w:eastAsia="Arial" w:hAnsi="Arial"/>
          <w:sz w:val="15"/>
          <w:szCs w:val="15"/>
          <w:color w:val="auto"/>
        </w:rPr>
        <w:t>When available, the Group measures the fair value of an instrument using the quoted price in an active market for that instrument. A market is regarded as active if transactions for the asset or liability take place with sufficient frequency and volume to provide pricing information on an ongoing basis.</w:t>
      </w:r>
    </w:p>
    <w:p>
      <w:pPr>
        <w:spacing w:after="0" w:line="127" w:lineRule="exact"/>
        <w:rPr>
          <w:rFonts w:ascii="Arial" w:cs="Arial" w:eastAsia="Arial" w:hAnsi="Arial"/>
          <w:sz w:val="16"/>
          <w:szCs w:val="16"/>
          <w:color w:val="auto"/>
        </w:rPr>
      </w:pPr>
    </w:p>
    <w:p>
      <w:pPr>
        <w:ind w:left="283" w:right="520"/>
        <w:spacing w:after="0" w:line="280" w:lineRule="auto"/>
        <w:rPr>
          <w:rFonts w:ascii="Arial" w:cs="Arial" w:eastAsia="Arial" w:hAnsi="Arial"/>
          <w:sz w:val="16"/>
          <w:szCs w:val="16"/>
          <w:color w:val="auto"/>
        </w:rPr>
      </w:pPr>
      <w:r>
        <w:rPr>
          <w:rFonts w:ascii="Arial" w:cs="Arial" w:eastAsia="Arial" w:hAnsi="Arial"/>
          <w:sz w:val="16"/>
          <w:szCs w:val="16"/>
          <w:color w:val="auto"/>
        </w:rPr>
        <w:t>If there is no quoted price in an active market, then the Group uses valuation techniques that maximize the use of relevant observable inputs and minimize the use of unobservable inputs.</w:t>
      </w:r>
    </w:p>
    <w:p>
      <w:pPr>
        <w:spacing w:after="0" w:line="344" w:lineRule="exact"/>
        <w:rPr>
          <w:rFonts w:ascii="Arial" w:cs="Arial" w:eastAsia="Arial" w:hAnsi="Arial"/>
          <w:sz w:val="16"/>
          <w:szCs w:val="16"/>
          <w:color w:val="auto"/>
        </w:rPr>
      </w:pPr>
    </w:p>
    <w:p>
      <w:pPr>
        <w:ind w:left="5643" w:hanging="94"/>
        <w:spacing w:after="0"/>
        <w:tabs>
          <w:tab w:leader="none" w:pos="5643" w:val="left"/>
        </w:tabs>
        <w:numPr>
          <w:ilvl w:val="2"/>
          <w:numId w:val="47"/>
        </w:numPr>
        <w:rPr>
          <w:rFonts w:ascii="Arial" w:cs="Arial" w:eastAsia="Arial" w:hAnsi="Arial"/>
          <w:sz w:val="16"/>
          <w:szCs w:val="16"/>
          <w:color w:val="auto"/>
        </w:rPr>
      </w:pPr>
      <w:r>
        <w:rPr>
          <w:rFonts w:ascii="Arial" w:cs="Arial" w:eastAsia="Arial" w:hAnsi="Arial"/>
          <w:sz w:val="16"/>
          <w:szCs w:val="16"/>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8" w:right="239" w:bottom="1440" w:gutter="0" w:footer="0" w:header="0"/>
        </w:sectPr>
      </w:pPr>
    </w:p>
    <w:bookmarkStart w:id="50" w:name="page51"/>
    <w:bookmarkEnd w:id="50"/>
    <w:p>
      <w:pPr>
        <w:ind w:left="280"/>
        <w:spacing w:after="0"/>
        <w:rPr>
          <w:sz w:val="20"/>
          <w:szCs w:val="20"/>
          <w:color w:val="auto"/>
        </w:rPr>
      </w:pPr>
      <w:r>
        <w:rPr>
          <w:rFonts w:ascii="Arial" w:cs="Arial" w:eastAsia="Arial" w:hAnsi="Arial"/>
          <w:sz w:val="16"/>
          <w:szCs w:val="16"/>
          <w:color w:val="auto"/>
        </w:rPr>
        <w:t>The chosen valuation technique incorporates all of the factors that market participants would take into account in pricing a transaction.</w:t>
      </w:r>
    </w:p>
    <w:p>
      <w:pPr>
        <w:spacing w:after="0" w:line="203" w:lineRule="exact"/>
        <w:rPr>
          <w:sz w:val="20"/>
          <w:szCs w:val="20"/>
          <w:color w:val="auto"/>
        </w:rPr>
      </w:pPr>
    </w:p>
    <w:p>
      <w:pPr>
        <w:ind w:left="280" w:right="240"/>
        <w:spacing w:after="0" w:line="280" w:lineRule="auto"/>
        <w:rPr>
          <w:sz w:val="20"/>
          <w:szCs w:val="20"/>
          <w:color w:val="auto"/>
        </w:rPr>
      </w:pPr>
      <w:r>
        <w:rPr>
          <w:rFonts w:ascii="Arial" w:cs="Arial" w:eastAsia="Arial" w:hAnsi="Arial"/>
          <w:sz w:val="16"/>
          <w:szCs w:val="16"/>
          <w:color w:val="auto"/>
        </w:rPr>
        <w:t>All assets and liabilities for which fair value is measured or disclosed in the consolidated financial statements are categorized within the fair value hierarchy, described as follows, based on the lowest level of input that is significant to the fair value measurement as a whole:</w:t>
      </w:r>
    </w:p>
    <w:p>
      <w:pPr>
        <w:spacing w:after="0" w:line="151" w:lineRule="exact"/>
        <w:rPr>
          <w:sz w:val="20"/>
          <w:szCs w:val="20"/>
          <w:color w:val="auto"/>
        </w:rPr>
      </w:pPr>
    </w:p>
    <w:p>
      <w:pPr>
        <w:ind w:left="580" w:hanging="293"/>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Level 1 - Quoted (unadjusted) market prices in active markets for identical assets or liabilities.</w:t>
      </w:r>
    </w:p>
    <w:p>
      <w:pPr>
        <w:spacing w:after="0" w:line="21" w:lineRule="exact"/>
        <w:rPr>
          <w:rFonts w:ascii="Arial" w:cs="Arial" w:eastAsia="Arial" w:hAnsi="Arial"/>
          <w:sz w:val="16"/>
          <w:szCs w:val="16"/>
          <w:color w:val="auto"/>
        </w:rPr>
      </w:pPr>
    </w:p>
    <w:p>
      <w:pPr>
        <w:ind w:left="580" w:hanging="293"/>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Level 2 - Valuation techniques for which the lowest level input that is significant to the fair value measurement is directly or indirectly observable.</w:t>
      </w:r>
    </w:p>
    <w:p>
      <w:pPr>
        <w:spacing w:after="0" w:line="9" w:lineRule="exact"/>
        <w:rPr>
          <w:rFonts w:ascii="Arial" w:cs="Arial" w:eastAsia="Arial" w:hAnsi="Arial"/>
          <w:sz w:val="16"/>
          <w:szCs w:val="16"/>
          <w:color w:val="auto"/>
        </w:rPr>
      </w:pPr>
    </w:p>
    <w:p>
      <w:pPr>
        <w:ind w:left="580" w:hanging="293"/>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Level 3 - Valuation techniques for which the lowest level input that is significant to the fair value measurement is unobservable.</w:t>
      </w:r>
    </w:p>
    <w:p>
      <w:pPr>
        <w:spacing w:after="0" w:line="191" w:lineRule="exact"/>
        <w:rPr>
          <w:sz w:val="20"/>
          <w:szCs w:val="20"/>
          <w:color w:val="auto"/>
        </w:rPr>
      </w:pPr>
    </w:p>
    <w:p>
      <w:pPr>
        <w:jc w:val="both"/>
        <w:ind w:left="280" w:right="60"/>
        <w:spacing w:after="0" w:line="280" w:lineRule="auto"/>
        <w:rPr>
          <w:sz w:val="20"/>
          <w:szCs w:val="20"/>
          <w:color w:val="auto"/>
        </w:rPr>
      </w:pPr>
      <w:r>
        <w:rPr>
          <w:rFonts w:ascii="Arial" w:cs="Arial" w:eastAsia="Arial" w:hAnsi="Arial"/>
          <w:sz w:val="16"/>
          <w:szCs w:val="16"/>
          <w:color w:val="auto"/>
        </w:rPr>
        <w:t>For assets and liabilities that are recognized at fair value in the consolidated financial statements on a recurring basis, the Group determines whether transfers have occurred between levels in the hierarchy by re-assessing categorization at the end of each reporting period.</w:t>
      </w:r>
    </w:p>
    <w:p>
      <w:pPr>
        <w:spacing w:after="0" w:line="151" w:lineRule="exact"/>
        <w:rPr>
          <w:sz w:val="20"/>
          <w:szCs w:val="20"/>
          <w:color w:val="auto"/>
        </w:rPr>
      </w:pPr>
    </w:p>
    <w:p>
      <w:pPr>
        <w:jc w:val="both"/>
        <w:ind w:left="280" w:right="60"/>
        <w:spacing w:after="0" w:line="280" w:lineRule="auto"/>
        <w:rPr>
          <w:sz w:val="20"/>
          <w:szCs w:val="20"/>
          <w:color w:val="auto"/>
        </w:rPr>
      </w:pPr>
      <w:r>
        <w:rPr>
          <w:rFonts w:ascii="Arial" w:cs="Arial" w:eastAsia="Arial" w:hAnsi="Arial"/>
          <w:sz w:val="16"/>
          <w:szCs w:val="16"/>
          <w:color w:val="auto"/>
        </w:rPr>
        <w:t>For the purpose of fair value disclosures, the Group has determined classes of assets and liabilities on the basis of the nature, characteristics and risks of the asset or liability and the level of the fair value hierarchy as explained above.</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Also, fair values of financial instruments measured at amortized cost are disclosed in note 34.7(b).</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ab) Segment reporting -</w:t>
      </w:r>
    </w:p>
    <w:p>
      <w:pPr>
        <w:spacing w:after="0" w:line="203" w:lineRule="exact"/>
        <w:rPr>
          <w:sz w:val="20"/>
          <w:szCs w:val="20"/>
          <w:color w:val="auto"/>
        </w:rPr>
      </w:pPr>
    </w:p>
    <w:p>
      <w:pPr>
        <w:jc w:val="both"/>
        <w:ind w:left="280" w:right="60"/>
        <w:spacing w:after="0" w:line="310" w:lineRule="auto"/>
        <w:rPr>
          <w:sz w:val="20"/>
          <w:szCs w:val="20"/>
          <w:color w:val="auto"/>
        </w:rPr>
      </w:pPr>
      <w:r>
        <w:rPr>
          <w:rFonts w:ascii="Arial" w:cs="Arial" w:eastAsia="Arial" w:hAnsi="Arial"/>
          <w:sz w:val="14"/>
          <w:szCs w:val="14"/>
          <w:color w:val="auto"/>
        </w:rPr>
        <w:t>The Group reports financial and descriptive information about its reportable segments. Reportable segments are operating segments or aggregations of operating segments that meet specified criteria. Operating segments are a component of an entity for which separate financial information is available that is evaluated regularly by the entity’s Chief Operating Decision Maker (“CODM”) in making decisions about how to allocate resources and in assessing performance. Generally, financial information is required to be reported on the same basis as it is used internally for evaluating operating segment performance and deciding how to allocate resources to segments, note 30.</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ac) Fiduciary activities, management of funds and pension funds -</w:t>
      </w:r>
    </w:p>
    <w:p>
      <w:pPr>
        <w:spacing w:after="0" w:line="203" w:lineRule="exact"/>
        <w:rPr>
          <w:sz w:val="20"/>
          <w:szCs w:val="20"/>
          <w:color w:val="auto"/>
        </w:rPr>
      </w:pPr>
    </w:p>
    <w:p>
      <w:pPr>
        <w:ind w:left="280" w:right="420"/>
        <w:spacing w:after="0" w:line="280" w:lineRule="auto"/>
        <w:rPr>
          <w:sz w:val="20"/>
          <w:szCs w:val="20"/>
          <w:color w:val="auto"/>
        </w:rPr>
      </w:pPr>
      <w:r>
        <w:rPr>
          <w:rFonts w:ascii="Arial" w:cs="Arial" w:eastAsia="Arial" w:hAnsi="Arial"/>
          <w:sz w:val="16"/>
          <w:szCs w:val="16"/>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 Note 34.8.</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Commissions generated for these activities are included in “Other income” of the consolidated statement of income.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ad) Cash and cash equivalents -</w:t>
      </w:r>
    </w:p>
    <w:p>
      <w:pPr>
        <w:spacing w:after="0" w:line="203" w:lineRule="exact"/>
        <w:rPr>
          <w:sz w:val="20"/>
          <w:szCs w:val="20"/>
          <w:color w:val="auto"/>
        </w:rPr>
      </w:pPr>
    </w:p>
    <w:p>
      <w:pPr>
        <w:ind w:left="280" w:right="140"/>
        <w:spacing w:after="0" w:line="280" w:lineRule="auto"/>
        <w:rPr>
          <w:sz w:val="20"/>
          <w:szCs w:val="20"/>
          <w:color w:val="auto"/>
        </w:rPr>
      </w:pPr>
      <w:r>
        <w:rPr>
          <w:rFonts w:ascii="Arial" w:cs="Arial" w:eastAsia="Arial" w:hAnsi="Arial"/>
          <w:sz w:val="16"/>
          <w:szCs w:val="16"/>
          <w:color w:val="auto"/>
        </w:rPr>
        <w:t>For the purpose of the consolidated statement of cash flows, cash and cash equivalents comprise balances of cash and non-restricted balances with central banks, overnight deposits, time deposits and amounts due from banks with maturities of three months or less, excluding restricted balances see note 4.</w:t>
      </w:r>
    </w:p>
    <w:p>
      <w:pPr>
        <w:spacing w:after="0" w:line="151" w:lineRule="exact"/>
        <w:rPr>
          <w:sz w:val="20"/>
          <w:szCs w:val="20"/>
          <w:color w:val="auto"/>
        </w:rPr>
      </w:pPr>
    </w:p>
    <w:p>
      <w:pPr>
        <w:ind w:left="280" w:right="260"/>
        <w:spacing w:after="0" w:line="280" w:lineRule="auto"/>
        <w:rPr>
          <w:sz w:val="20"/>
          <w:szCs w:val="20"/>
          <w:color w:val="auto"/>
        </w:rPr>
      </w:pPr>
      <w:r>
        <w:rPr>
          <w:rFonts w:ascii="Arial" w:cs="Arial" w:eastAsia="Arial" w:hAnsi="Arial"/>
          <w:sz w:val="16"/>
          <w:szCs w:val="16"/>
          <w:color w:val="auto"/>
        </w:rPr>
        <w:t>Cash collateral pledged as a part of a repurchase agreement is presented in “Cash collateral, reverse repurchase agreement and securities borrowings” in the consolidated statement of financial position, see note 5(a).</w:t>
      </w:r>
    </w:p>
    <w:p>
      <w:pPr>
        <w:spacing w:after="0" w:line="151" w:lineRule="exact"/>
        <w:rPr>
          <w:sz w:val="20"/>
          <w:szCs w:val="20"/>
          <w:color w:val="auto"/>
        </w:rPr>
      </w:pPr>
    </w:p>
    <w:p>
      <w:pPr>
        <w:ind w:left="280"/>
        <w:spacing w:after="0" w:line="280" w:lineRule="auto"/>
        <w:rPr>
          <w:sz w:val="20"/>
          <w:szCs w:val="20"/>
          <w:color w:val="auto"/>
        </w:rPr>
      </w:pPr>
      <w:r>
        <w:rPr>
          <w:rFonts w:ascii="Arial" w:cs="Arial" w:eastAsia="Arial" w:hAnsi="Arial"/>
          <w:sz w:val="16"/>
          <w:szCs w:val="16"/>
          <w:color w:val="auto"/>
        </w:rPr>
        <w:t>Cash collateral pledged in the negotiation of derivative financial instrument and others are presented in “Other assets” in the consolidated statement of financial position, see note 12.</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828" w:right="21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ae) International Financial Reporting Standards issued but not yet effective -</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Group decided not to early adopt the following standards and interpretations that were issued but are not effective as of December 31, 2016:</w:t>
      </w:r>
    </w:p>
    <w:p>
      <w:pPr>
        <w:spacing w:after="0" w:line="203" w:lineRule="exact"/>
        <w:rPr>
          <w:sz w:val="20"/>
          <w:szCs w:val="20"/>
          <w:color w:val="auto"/>
        </w:rPr>
      </w:pPr>
    </w:p>
    <w:p>
      <w:pPr>
        <w:ind w:left="680" w:hanging="393"/>
        <w:spacing w:after="0"/>
        <w:tabs>
          <w:tab w:leader="none" w:pos="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IFRS 9 “Financial Instruments” -</w:t>
      </w:r>
    </w:p>
    <w:p>
      <w:pPr>
        <w:spacing w:after="0" w:line="202" w:lineRule="exact"/>
        <w:rPr>
          <w:rFonts w:ascii="Arial" w:cs="Arial" w:eastAsia="Arial" w:hAnsi="Arial"/>
          <w:sz w:val="16"/>
          <w:szCs w:val="16"/>
          <w:color w:val="auto"/>
        </w:rPr>
      </w:pPr>
    </w:p>
    <w:p>
      <w:pPr>
        <w:ind w:left="680" w:right="160"/>
        <w:spacing w:after="0" w:line="280" w:lineRule="auto"/>
        <w:rPr>
          <w:rFonts w:ascii="Arial" w:cs="Arial" w:eastAsia="Arial" w:hAnsi="Arial"/>
          <w:sz w:val="16"/>
          <w:szCs w:val="16"/>
          <w:color w:val="auto"/>
        </w:rPr>
      </w:pPr>
      <w:r>
        <w:rPr>
          <w:rFonts w:ascii="Arial" w:cs="Arial" w:eastAsia="Arial" w:hAnsi="Arial"/>
          <w:sz w:val="16"/>
          <w:szCs w:val="16"/>
          <w:color w:val="auto"/>
        </w:rPr>
        <w:t>IFRS 9 replaces the models of IAS 39 “Financial instruments: Measurement and Recognition” with a single model which initially has two classification categories: Amortized cost and fair value.</w:t>
      </w:r>
    </w:p>
    <w:p>
      <w:pPr>
        <w:spacing w:after="0" w:line="150" w:lineRule="exact"/>
        <w:rPr>
          <w:rFonts w:ascii="Arial" w:cs="Arial" w:eastAsia="Arial" w:hAnsi="Arial"/>
          <w:sz w:val="16"/>
          <w:szCs w:val="16"/>
          <w:color w:val="auto"/>
        </w:rPr>
      </w:pPr>
    </w:p>
    <w:p>
      <w:pPr>
        <w:ind w:left="680"/>
        <w:spacing w:after="0" w:line="321" w:lineRule="auto"/>
        <w:rPr>
          <w:rFonts w:ascii="Arial" w:cs="Arial" w:eastAsia="Arial" w:hAnsi="Arial"/>
          <w:sz w:val="16"/>
          <w:szCs w:val="16"/>
          <w:color w:val="auto"/>
        </w:rPr>
      </w:pPr>
      <w:r>
        <w:rPr>
          <w:rFonts w:ascii="Arial" w:cs="Arial" w:eastAsia="Arial" w:hAnsi="Arial"/>
          <w:sz w:val="14"/>
          <w:szCs w:val="14"/>
          <w:color w:val="auto"/>
        </w:rPr>
        <w:t>The classification of debt assets will be based on the business model which the entity uses to manage its financial assets and the characteristics of the contractual cash flows of the financial assets. A debt instrument is measured at amortized cost if: a) the objective of the business model is to maintain the financial asset for the collection of contractual cash flows, and b) the contractual cash flows of the instrument only represent payments of debt principal and interest.</w:t>
      </w:r>
    </w:p>
    <w:p>
      <w:pPr>
        <w:spacing w:after="0" w:line="127" w:lineRule="exact"/>
        <w:rPr>
          <w:rFonts w:ascii="Arial" w:cs="Arial" w:eastAsia="Arial" w:hAnsi="Arial"/>
          <w:sz w:val="16"/>
          <w:szCs w:val="16"/>
          <w:color w:val="auto"/>
        </w:rPr>
      </w:pPr>
    </w:p>
    <w:p>
      <w:pPr>
        <w:ind w:left="680" w:right="440"/>
        <w:spacing w:after="0" w:line="280" w:lineRule="auto"/>
        <w:rPr>
          <w:rFonts w:ascii="Arial" w:cs="Arial" w:eastAsia="Arial" w:hAnsi="Arial"/>
          <w:sz w:val="16"/>
          <w:szCs w:val="16"/>
          <w:color w:val="auto"/>
        </w:rPr>
      </w:pPr>
      <w:r>
        <w:rPr>
          <w:rFonts w:ascii="Arial" w:cs="Arial" w:eastAsia="Arial" w:hAnsi="Arial"/>
          <w:sz w:val="16"/>
          <w:szCs w:val="16"/>
          <w:color w:val="auto"/>
        </w:rPr>
        <w:t>All other debt and equity instruments, including investments in complex debt and capital instruments, must be recognized at fair value through profit or loss or comprehensive income.</w:t>
      </w:r>
    </w:p>
    <w:p>
      <w:pPr>
        <w:spacing w:after="0" w:line="150"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5"/>
          <w:szCs w:val="15"/>
          <w:color w:val="auto"/>
        </w:rPr>
        <w:t>The new hedge accounting rules align hedge accounting with common risk management practices. As a general rule, it will be easier to apply hedge accounting.</w:t>
      </w:r>
    </w:p>
    <w:p>
      <w:pPr>
        <w:spacing w:after="0" w:line="214" w:lineRule="exact"/>
        <w:rPr>
          <w:rFonts w:ascii="Arial" w:cs="Arial" w:eastAsia="Arial" w:hAnsi="Arial"/>
          <w:sz w:val="16"/>
          <w:szCs w:val="16"/>
          <w:color w:val="auto"/>
        </w:rPr>
      </w:pPr>
    </w:p>
    <w:p>
      <w:pPr>
        <w:jc w:val="both"/>
        <w:ind w:left="680" w:right="300"/>
        <w:spacing w:after="0" w:line="266" w:lineRule="auto"/>
        <w:rPr>
          <w:rFonts w:ascii="Arial" w:cs="Arial" w:eastAsia="Arial" w:hAnsi="Arial"/>
          <w:sz w:val="16"/>
          <w:szCs w:val="16"/>
          <w:color w:val="auto"/>
        </w:rPr>
      </w:pPr>
      <w:r>
        <w:rPr>
          <w:rFonts w:ascii="Arial" w:cs="Arial" w:eastAsia="Arial" w:hAnsi="Arial"/>
          <w:sz w:val="16"/>
          <w:szCs w:val="16"/>
          <w:color w:val="auto"/>
        </w:rPr>
        <w:t>Moreover, it modifies the criteria for the recognition of losses for impairment of financial assets, proposing a focus based on a model which seeks to estimate the ‘expected loss’ of the credit portfolio and othe debt instruments, which will replace the current model of IAS 39, which estimates the provision for impairment of financial assets on the basis of the concept of ‘incurred losses’.</w:t>
      </w:r>
    </w:p>
    <w:p>
      <w:pPr>
        <w:spacing w:after="0" w:line="161"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IFRS 9 is effective for accounting periods beginning on or after 1 January 2018. Early adoption is permitted.</w:t>
      </w:r>
    </w:p>
    <w:p>
      <w:pPr>
        <w:spacing w:after="0" w:line="202" w:lineRule="exact"/>
        <w:rPr>
          <w:rFonts w:ascii="Arial" w:cs="Arial" w:eastAsia="Arial" w:hAnsi="Arial"/>
          <w:sz w:val="16"/>
          <w:szCs w:val="16"/>
          <w:color w:val="auto"/>
        </w:rPr>
      </w:pPr>
    </w:p>
    <w:p>
      <w:pPr>
        <w:ind w:left="680" w:right="60"/>
        <w:spacing w:after="0" w:line="266" w:lineRule="auto"/>
        <w:rPr>
          <w:rFonts w:ascii="Arial" w:cs="Arial" w:eastAsia="Arial" w:hAnsi="Arial"/>
          <w:sz w:val="16"/>
          <w:szCs w:val="16"/>
          <w:color w:val="auto"/>
        </w:rPr>
      </w:pPr>
      <w:r>
        <w:rPr>
          <w:rFonts w:ascii="Arial" w:cs="Arial" w:eastAsia="Arial" w:hAnsi="Arial"/>
          <w:sz w:val="16"/>
          <w:szCs w:val="16"/>
          <w:color w:val="auto"/>
        </w:rPr>
        <w:t>The Group Management has carried out a diagnosis regarding the new requirements of IFRS 9, concluding that: (i) the changes presented by IFRS 9 will not have a material impact on the criteria of classification and measurement of financial assets and liabilities currently applied, nor on hedge accounting, and (ii) the new model of recognition of impairment losses could result in early recognition of losses in the credit portfolio.</w:t>
      </w:r>
    </w:p>
    <w:p>
      <w:pPr>
        <w:spacing w:after="0" w:line="161" w:lineRule="exact"/>
        <w:rPr>
          <w:rFonts w:ascii="Arial" w:cs="Arial" w:eastAsia="Arial" w:hAnsi="Arial"/>
          <w:sz w:val="16"/>
          <w:szCs w:val="16"/>
          <w:color w:val="auto"/>
        </w:rPr>
      </w:pPr>
    </w:p>
    <w:p>
      <w:pPr>
        <w:ind w:left="680" w:right="780"/>
        <w:spacing w:after="0" w:line="354" w:lineRule="auto"/>
        <w:rPr>
          <w:rFonts w:ascii="Arial" w:cs="Arial" w:eastAsia="Arial" w:hAnsi="Arial"/>
          <w:sz w:val="16"/>
          <w:szCs w:val="16"/>
          <w:color w:val="auto"/>
        </w:rPr>
      </w:pPr>
      <w:r>
        <w:rPr>
          <w:rFonts w:ascii="Arial" w:cs="Arial" w:eastAsia="Arial" w:hAnsi="Arial"/>
          <w:sz w:val="14"/>
          <w:szCs w:val="14"/>
          <w:color w:val="auto"/>
        </w:rPr>
        <w:t>As a result of the diagnosis performed, the Group established a work plan for each of the subjects of the new rule, and at the date of this report, it is in the implementation stage of: (i) the business models, (ii) the models for the calculation of impairment, and (iii) the processes required for hedge accounting.</w:t>
      </w:r>
    </w:p>
    <w:p>
      <w:pPr>
        <w:spacing w:after="0" w:line="105" w:lineRule="exact"/>
        <w:rPr>
          <w:rFonts w:ascii="Arial" w:cs="Arial" w:eastAsia="Arial" w:hAnsi="Arial"/>
          <w:sz w:val="16"/>
          <w:szCs w:val="16"/>
          <w:color w:val="auto"/>
        </w:rPr>
      </w:pPr>
    </w:p>
    <w:p>
      <w:pPr>
        <w:ind w:left="680" w:right="160"/>
        <w:spacing w:after="0" w:line="321" w:lineRule="auto"/>
        <w:rPr>
          <w:rFonts w:ascii="Arial" w:cs="Arial" w:eastAsia="Arial" w:hAnsi="Arial"/>
          <w:sz w:val="16"/>
          <w:szCs w:val="16"/>
          <w:color w:val="auto"/>
        </w:rPr>
      </w:pPr>
      <w:r>
        <w:rPr>
          <w:rFonts w:ascii="Arial" w:cs="Arial" w:eastAsia="Arial" w:hAnsi="Arial"/>
          <w:sz w:val="14"/>
          <w:szCs w:val="14"/>
          <w:color w:val="auto"/>
        </w:rPr>
        <w:t>As a result of the diagnosis carried out, the Group established a work plan for each of the aspects of the norm, and at the date of this report, it was in the implementation stage of: (i) the process models for the classification of business portfolios, (ii) the models for the calculation of impairment, and (iii) the processes required for hedge accounting (iv) the governance and adaptation to SOX standards of the processes linked to the norm and (v) the required technical support.</w:t>
      </w:r>
    </w:p>
    <w:p>
      <w:pPr>
        <w:spacing w:after="0" w:line="127" w:lineRule="exact"/>
        <w:rPr>
          <w:rFonts w:ascii="Arial" w:cs="Arial" w:eastAsia="Arial" w:hAnsi="Arial"/>
          <w:sz w:val="16"/>
          <w:szCs w:val="16"/>
          <w:color w:val="auto"/>
        </w:rPr>
      </w:pPr>
    </w:p>
    <w:p>
      <w:pPr>
        <w:ind w:left="680" w:right="400"/>
        <w:spacing w:after="0" w:line="292" w:lineRule="auto"/>
        <w:rPr>
          <w:rFonts w:ascii="Arial" w:cs="Arial" w:eastAsia="Arial" w:hAnsi="Arial"/>
          <w:sz w:val="16"/>
          <w:szCs w:val="16"/>
          <w:color w:val="auto"/>
        </w:rPr>
      </w:pPr>
      <w:r>
        <w:rPr>
          <w:rFonts w:ascii="Arial" w:cs="Arial" w:eastAsia="Arial" w:hAnsi="Arial"/>
          <w:sz w:val="15"/>
          <w:szCs w:val="15"/>
          <w:color w:val="auto"/>
        </w:rPr>
        <w:t>The development of the work plan has included staff from different units of Credicorp (mainly Accounting, Risks and Information Technology) and also expert consultants who are advising us on the development of matters relevant to the norm. The plan prioritizes the most relevant expposures in order to achieve an approximate estimate of the impairment loss in adance of the completion of the Project, which will help us to plan better the impact on capital.</w:t>
      </w:r>
    </w:p>
    <w:p>
      <w:pPr>
        <w:spacing w:after="0" w:line="337" w:lineRule="exact"/>
        <w:rPr>
          <w:rFonts w:ascii="Arial" w:cs="Arial" w:eastAsia="Arial" w:hAnsi="Arial"/>
          <w:sz w:val="16"/>
          <w:szCs w:val="16"/>
          <w:color w:val="auto"/>
        </w:rPr>
      </w:pPr>
    </w:p>
    <w:p>
      <w:pPr>
        <w:ind w:left="5640" w:hanging="94"/>
        <w:spacing w:after="0"/>
        <w:tabs>
          <w:tab w:leader="none" w:pos="56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60"/>
          </w:cols>
          <w:pgMar w:left="240" w:top="828" w:right="299" w:bottom="1440" w:gutter="0" w:footer="0" w:header="0"/>
        </w:sectPr>
      </w:pPr>
    </w:p>
    <w:bookmarkStart w:id="52" w:name="page53"/>
    <w:bookmarkEnd w:id="52"/>
    <w:p>
      <w:pPr>
        <w:ind w:left="393" w:right="20"/>
        <w:spacing w:after="0" w:line="310" w:lineRule="auto"/>
        <w:rPr>
          <w:sz w:val="20"/>
          <w:szCs w:val="20"/>
          <w:color w:val="auto"/>
        </w:rPr>
      </w:pPr>
      <w:r>
        <w:rPr>
          <w:rFonts w:ascii="Arial" w:cs="Arial" w:eastAsia="Arial" w:hAnsi="Arial"/>
          <w:sz w:val="14"/>
          <w:szCs w:val="14"/>
          <w:color w:val="auto"/>
        </w:rPr>
        <w:t>Specifically, on the impairment front, for the estimation of the loss parameters (PD, LGD and EAD) we have taken as a base the models of admission and behavior used in credit risk management of wholesale and retail banking, as well as the standard methodologies of the industry. For the classification of the exposures which will form part of stage 2, objective criteria have been developed to determine whether there is a significant increase in risk through the calculation of PD for the whole life of the credit in origination and the reference date. However, other management criteria are also considered, such as days in arrears or belonging to watchlists.</w:t>
      </w:r>
    </w:p>
    <w:p>
      <w:pPr>
        <w:spacing w:after="0" w:line="135" w:lineRule="exact"/>
        <w:rPr>
          <w:sz w:val="20"/>
          <w:szCs w:val="20"/>
          <w:color w:val="auto"/>
        </w:rPr>
      </w:pPr>
    </w:p>
    <w:p>
      <w:pPr>
        <w:ind w:left="393" w:hanging="393"/>
        <w:spacing w:after="0"/>
        <w:tabs>
          <w:tab w:leader="none" w:pos="393"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IFRS 15 “Revenue from contracts with customer” -</w:t>
      </w:r>
    </w:p>
    <w:p>
      <w:pPr>
        <w:spacing w:after="0" w:line="202" w:lineRule="exact"/>
        <w:rPr>
          <w:rFonts w:ascii="Arial" w:cs="Arial" w:eastAsia="Arial" w:hAnsi="Arial"/>
          <w:sz w:val="16"/>
          <w:szCs w:val="16"/>
          <w:color w:val="auto"/>
        </w:rPr>
      </w:pPr>
    </w:p>
    <w:p>
      <w:pPr>
        <w:ind w:left="393" w:right="160"/>
        <w:spacing w:after="0" w:line="315" w:lineRule="auto"/>
        <w:rPr>
          <w:rFonts w:ascii="Arial" w:cs="Arial" w:eastAsia="Arial" w:hAnsi="Arial"/>
          <w:sz w:val="16"/>
          <w:szCs w:val="16"/>
          <w:color w:val="auto"/>
        </w:rPr>
      </w:pPr>
      <w:r>
        <w:rPr>
          <w:rFonts w:ascii="Arial" w:cs="Arial" w:eastAsia="Arial" w:hAnsi="Arial"/>
          <w:sz w:val="15"/>
          <w:szCs w:val="15"/>
          <w:color w:val="auto"/>
        </w:rPr>
        <w:t>This standard will replace IAS 18 “Revenue”, and IAS 11 “Construction Contracts”. The new standard is based on the principle that revenue is recognized when the control of a good or service is transferred to a client, so that the notion of control replaces the existing notion of risks and benefits.</w:t>
      </w:r>
    </w:p>
    <w:p>
      <w:pPr>
        <w:spacing w:after="0" w:line="127" w:lineRule="exact"/>
        <w:rPr>
          <w:rFonts w:ascii="Arial" w:cs="Arial" w:eastAsia="Arial" w:hAnsi="Arial"/>
          <w:sz w:val="16"/>
          <w:szCs w:val="16"/>
          <w:color w:val="auto"/>
        </w:rPr>
      </w:pPr>
    </w:p>
    <w:p>
      <w:pPr>
        <w:ind w:left="393"/>
        <w:spacing w:after="0"/>
        <w:rPr>
          <w:rFonts w:ascii="Arial" w:cs="Arial" w:eastAsia="Arial" w:hAnsi="Arial"/>
          <w:sz w:val="16"/>
          <w:szCs w:val="16"/>
          <w:color w:val="auto"/>
        </w:rPr>
      </w:pPr>
      <w:r>
        <w:rPr>
          <w:rFonts w:ascii="Arial" w:cs="Arial" w:eastAsia="Arial" w:hAnsi="Arial"/>
          <w:sz w:val="16"/>
          <w:szCs w:val="16"/>
          <w:color w:val="auto"/>
        </w:rPr>
        <w:t>A new five-step process must be applied before revenue can be recognized:</w:t>
      </w:r>
    </w:p>
    <w:p>
      <w:pPr>
        <w:spacing w:after="0" w:line="202" w:lineRule="exact"/>
        <w:rPr>
          <w:rFonts w:ascii="Arial" w:cs="Arial" w:eastAsia="Arial" w:hAnsi="Arial"/>
          <w:sz w:val="16"/>
          <w:szCs w:val="16"/>
          <w:color w:val="auto"/>
        </w:rPr>
      </w:pPr>
    </w:p>
    <w:p>
      <w:pPr>
        <w:ind w:left="673" w:hanging="286"/>
        <w:spacing w:after="0"/>
        <w:tabs>
          <w:tab w:leader="none" w:pos="673" w:val="left"/>
        </w:tabs>
        <w:numPr>
          <w:ilvl w:val="1"/>
          <w:numId w:val="50"/>
        </w:numPr>
        <w:rPr>
          <w:rFonts w:ascii="Arial" w:cs="Arial" w:eastAsia="Arial" w:hAnsi="Arial"/>
          <w:sz w:val="16"/>
          <w:szCs w:val="16"/>
          <w:color w:val="auto"/>
        </w:rPr>
      </w:pPr>
      <w:r>
        <w:rPr>
          <w:rFonts w:ascii="Arial" w:cs="Arial" w:eastAsia="Arial" w:hAnsi="Arial"/>
          <w:sz w:val="16"/>
          <w:szCs w:val="16"/>
          <w:color w:val="auto"/>
        </w:rPr>
        <w:t>Identify the contracts with clients.</w:t>
      </w:r>
    </w:p>
    <w:p>
      <w:pPr>
        <w:spacing w:after="0" w:line="21" w:lineRule="exact"/>
        <w:rPr>
          <w:rFonts w:ascii="Arial" w:cs="Arial" w:eastAsia="Arial" w:hAnsi="Arial"/>
          <w:sz w:val="16"/>
          <w:szCs w:val="16"/>
          <w:color w:val="auto"/>
        </w:rPr>
      </w:pPr>
    </w:p>
    <w:p>
      <w:pPr>
        <w:ind w:left="673" w:hanging="286"/>
        <w:spacing w:after="0"/>
        <w:tabs>
          <w:tab w:leader="none" w:pos="673" w:val="left"/>
        </w:tabs>
        <w:numPr>
          <w:ilvl w:val="1"/>
          <w:numId w:val="50"/>
        </w:numPr>
        <w:rPr>
          <w:rFonts w:ascii="Arial" w:cs="Arial" w:eastAsia="Arial" w:hAnsi="Arial"/>
          <w:sz w:val="16"/>
          <w:szCs w:val="16"/>
          <w:color w:val="auto"/>
        </w:rPr>
      </w:pPr>
      <w:r>
        <w:rPr>
          <w:rFonts w:ascii="Arial" w:cs="Arial" w:eastAsia="Arial" w:hAnsi="Arial"/>
          <w:sz w:val="16"/>
          <w:szCs w:val="16"/>
          <w:color w:val="auto"/>
        </w:rPr>
        <w:t>Identify the separate performance obligation.</w:t>
      </w:r>
    </w:p>
    <w:p>
      <w:pPr>
        <w:spacing w:after="0" w:line="9" w:lineRule="exact"/>
        <w:rPr>
          <w:rFonts w:ascii="Arial" w:cs="Arial" w:eastAsia="Arial" w:hAnsi="Arial"/>
          <w:sz w:val="16"/>
          <w:szCs w:val="16"/>
          <w:color w:val="auto"/>
        </w:rPr>
      </w:pPr>
    </w:p>
    <w:p>
      <w:pPr>
        <w:ind w:left="673" w:hanging="286"/>
        <w:spacing w:after="0"/>
        <w:tabs>
          <w:tab w:leader="none" w:pos="673"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Determine the price of the contractual transaction.</w:t>
      </w:r>
    </w:p>
    <w:p>
      <w:pPr>
        <w:spacing w:after="0" w:line="9" w:lineRule="exact"/>
        <w:rPr>
          <w:rFonts w:ascii="Arial" w:cs="Arial" w:eastAsia="Arial" w:hAnsi="Arial"/>
          <w:sz w:val="16"/>
          <w:szCs w:val="16"/>
          <w:color w:val="auto"/>
        </w:rPr>
      </w:pPr>
    </w:p>
    <w:p>
      <w:pPr>
        <w:ind w:left="673" w:hanging="286"/>
        <w:spacing w:after="0"/>
        <w:tabs>
          <w:tab w:leader="none" w:pos="673" w:val="left"/>
        </w:tabs>
        <w:numPr>
          <w:ilvl w:val="1"/>
          <w:numId w:val="50"/>
        </w:numPr>
        <w:rPr>
          <w:rFonts w:ascii="Arial" w:cs="Arial" w:eastAsia="Arial" w:hAnsi="Arial"/>
          <w:sz w:val="16"/>
          <w:szCs w:val="16"/>
          <w:color w:val="auto"/>
        </w:rPr>
      </w:pPr>
      <w:r>
        <w:rPr>
          <w:rFonts w:ascii="Arial" w:cs="Arial" w:eastAsia="Arial" w:hAnsi="Arial"/>
          <w:sz w:val="16"/>
          <w:szCs w:val="16"/>
          <w:color w:val="auto"/>
        </w:rPr>
        <w:t>Assign the price of the transaction to each of the separate performance obligations, and</w:t>
      </w:r>
    </w:p>
    <w:p>
      <w:pPr>
        <w:spacing w:after="0" w:line="9" w:lineRule="exact"/>
        <w:rPr>
          <w:rFonts w:ascii="Arial" w:cs="Arial" w:eastAsia="Arial" w:hAnsi="Arial"/>
          <w:sz w:val="16"/>
          <w:szCs w:val="16"/>
          <w:color w:val="auto"/>
        </w:rPr>
      </w:pPr>
    </w:p>
    <w:p>
      <w:pPr>
        <w:ind w:left="673" w:hanging="286"/>
        <w:spacing w:after="0"/>
        <w:tabs>
          <w:tab w:leader="none" w:pos="673" w:val="left"/>
        </w:tabs>
        <w:numPr>
          <w:ilvl w:val="1"/>
          <w:numId w:val="50"/>
        </w:numPr>
        <w:rPr>
          <w:rFonts w:ascii="Arial" w:cs="Arial" w:eastAsia="Arial" w:hAnsi="Arial"/>
          <w:sz w:val="16"/>
          <w:szCs w:val="16"/>
          <w:color w:val="auto"/>
        </w:rPr>
      </w:pPr>
      <w:r>
        <w:rPr>
          <w:rFonts w:ascii="Arial" w:cs="Arial" w:eastAsia="Arial" w:hAnsi="Arial"/>
          <w:sz w:val="16"/>
          <w:szCs w:val="16"/>
          <w:color w:val="auto"/>
        </w:rPr>
        <w:t>Recognize the revenue as each performance obligation is complied with.</w:t>
      </w:r>
    </w:p>
    <w:p>
      <w:pPr>
        <w:spacing w:after="0" w:line="191" w:lineRule="exact"/>
        <w:rPr>
          <w:sz w:val="20"/>
          <w:szCs w:val="20"/>
          <w:color w:val="auto"/>
        </w:rPr>
      </w:pPr>
    </w:p>
    <w:p>
      <w:pPr>
        <w:ind w:left="393" w:right="340"/>
        <w:spacing w:after="0" w:line="280" w:lineRule="auto"/>
        <w:rPr>
          <w:sz w:val="20"/>
          <w:szCs w:val="20"/>
          <w:color w:val="auto"/>
        </w:rPr>
      </w:pPr>
      <w:r>
        <w:rPr>
          <w:rFonts w:ascii="Arial" w:cs="Arial" w:eastAsia="Arial" w:hAnsi="Arial"/>
          <w:sz w:val="16"/>
          <w:szCs w:val="16"/>
          <w:color w:val="auto"/>
        </w:rPr>
        <w:t>At the date of the financial statements, the Company is not in a position to estimate the effect that IFRS 15 could have on its financial statements. The Group will carry out a more detailed evaluation of these impacts in the course of the next twelve months.</w:t>
      </w:r>
    </w:p>
    <w:p>
      <w:pPr>
        <w:spacing w:after="0" w:line="151" w:lineRule="exact"/>
        <w:rPr>
          <w:sz w:val="20"/>
          <w:szCs w:val="20"/>
          <w:color w:val="auto"/>
        </w:rPr>
      </w:pPr>
    </w:p>
    <w:p>
      <w:pPr>
        <w:ind w:left="393"/>
        <w:spacing w:after="0"/>
        <w:rPr>
          <w:sz w:val="20"/>
          <w:szCs w:val="20"/>
          <w:color w:val="auto"/>
        </w:rPr>
      </w:pPr>
      <w:r>
        <w:rPr>
          <w:rFonts w:ascii="Arial" w:cs="Arial" w:eastAsia="Arial" w:hAnsi="Arial"/>
          <w:sz w:val="16"/>
          <w:szCs w:val="16"/>
          <w:color w:val="auto"/>
        </w:rPr>
        <w:t>IFRS 15 is effective for annual periods beginning on or after January 1, 2018, with early adoption permitted.</w:t>
      </w:r>
    </w:p>
    <w:p>
      <w:pPr>
        <w:spacing w:after="0" w:line="203" w:lineRule="exact"/>
        <w:rPr>
          <w:sz w:val="20"/>
          <w:szCs w:val="20"/>
          <w:color w:val="auto"/>
        </w:rPr>
      </w:pPr>
    </w:p>
    <w:p>
      <w:pPr>
        <w:ind w:left="393" w:hanging="393"/>
        <w:spacing w:after="0"/>
        <w:tabs>
          <w:tab w:leader="none" w:pos="393"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IFRS 16, “Leases” -</w:t>
      </w:r>
    </w:p>
    <w:p>
      <w:pPr>
        <w:spacing w:after="0" w:line="202" w:lineRule="exact"/>
        <w:rPr>
          <w:rFonts w:ascii="Arial" w:cs="Arial" w:eastAsia="Arial" w:hAnsi="Arial"/>
          <w:sz w:val="16"/>
          <w:szCs w:val="16"/>
          <w:color w:val="auto"/>
        </w:rPr>
      </w:pPr>
    </w:p>
    <w:p>
      <w:pPr>
        <w:ind w:left="393"/>
        <w:spacing w:after="0" w:line="256" w:lineRule="auto"/>
        <w:rPr>
          <w:rFonts w:ascii="Arial" w:cs="Arial" w:eastAsia="Arial" w:hAnsi="Arial"/>
          <w:sz w:val="16"/>
          <w:szCs w:val="16"/>
          <w:color w:val="auto"/>
        </w:rPr>
      </w:pPr>
      <w:r>
        <w:rPr>
          <w:rFonts w:ascii="Arial" w:cs="Arial" w:eastAsia="Arial" w:hAnsi="Arial"/>
          <w:sz w:val="16"/>
          <w:szCs w:val="16"/>
          <w:color w:val="auto"/>
        </w:rPr>
        <w:t>On IFRS 16, ‘Leases’ replaces the current standards related to the treatment of leases (IAS 17, ‘Leases’ and IFRIC 4, ‘Determining whether an arrangement contains a lease” and other related interpretations). IFRS 16 will mainly affect the accounting treatment for lessees, and will result in the recognition of almost all leases in the statement of financial position. The standard eliminates the current distinction between finance and operating leases, and requires the recognition of an asset (right to use the leased asset) and a financial liability to make the lease payments of practically all of the lease contracts. There is an optional exception for low value, short term leases. As a result of the new model, an entity will recognize in its balance sheet at the inception of the lease, an asset for the right of use of the leased asset and a liability for the obligations to make future contractual payments. At initial recognition, the asset and liability will be measured at the present value of the minimum lease payments under contract.</w:t>
      </w:r>
    </w:p>
    <w:p>
      <w:pPr>
        <w:spacing w:after="0" w:line="173" w:lineRule="exact"/>
        <w:rPr>
          <w:rFonts w:ascii="Arial" w:cs="Arial" w:eastAsia="Arial" w:hAnsi="Arial"/>
          <w:sz w:val="16"/>
          <w:szCs w:val="16"/>
          <w:color w:val="auto"/>
        </w:rPr>
      </w:pPr>
    </w:p>
    <w:p>
      <w:pPr>
        <w:ind w:left="393" w:right="80"/>
        <w:spacing w:after="0" w:line="280" w:lineRule="auto"/>
        <w:rPr>
          <w:rFonts w:ascii="Arial" w:cs="Arial" w:eastAsia="Arial" w:hAnsi="Arial"/>
          <w:sz w:val="16"/>
          <w:szCs w:val="16"/>
          <w:color w:val="auto"/>
        </w:rPr>
      </w:pPr>
      <w:r>
        <w:rPr>
          <w:rFonts w:ascii="Arial" w:cs="Arial" w:eastAsia="Arial" w:hAnsi="Arial"/>
          <w:sz w:val="16"/>
          <w:szCs w:val="16"/>
          <w:color w:val="auto"/>
        </w:rPr>
        <w:t>At the date of the financial Statements, the Group has made an initial diagnosis and concludes that the application of this standard will have no material effects on the financial statements.</w:t>
      </w:r>
    </w:p>
    <w:p>
      <w:pPr>
        <w:spacing w:after="0" w:line="150" w:lineRule="exact"/>
        <w:rPr>
          <w:rFonts w:ascii="Arial" w:cs="Arial" w:eastAsia="Arial" w:hAnsi="Arial"/>
          <w:sz w:val="16"/>
          <w:szCs w:val="16"/>
          <w:color w:val="auto"/>
        </w:rPr>
      </w:pPr>
    </w:p>
    <w:p>
      <w:pPr>
        <w:ind w:left="393" w:right="240"/>
        <w:spacing w:after="0" w:line="280" w:lineRule="auto"/>
        <w:rPr>
          <w:rFonts w:ascii="Arial" w:cs="Arial" w:eastAsia="Arial" w:hAnsi="Arial"/>
          <w:sz w:val="16"/>
          <w:szCs w:val="16"/>
          <w:color w:val="auto"/>
        </w:rPr>
      </w:pPr>
      <w:r>
        <w:rPr>
          <w:rFonts w:ascii="Arial" w:cs="Arial" w:eastAsia="Arial" w:hAnsi="Arial"/>
          <w:sz w:val="16"/>
          <w:szCs w:val="16"/>
          <w:color w:val="auto"/>
        </w:rPr>
        <w:t>IFRS 16 applies to annual periods beginning on or after January 1, 2019, with earlier application permitted if IFRS 15, Revenue from Contracts with Customers, is also early applied.</w:t>
      </w:r>
    </w:p>
    <w:p>
      <w:pPr>
        <w:spacing w:after="0" w:line="344" w:lineRule="exact"/>
        <w:rPr>
          <w:rFonts w:ascii="Arial" w:cs="Arial" w:eastAsia="Arial" w:hAnsi="Arial"/>
          <w:sz w:val="16"/>
          <w:szCs w:val="16"/>
          <w:color w:val="auto"/>
        </w:rPr>
      </w:pPr>
    </w:p>
    <w:p>
      <w:pPr>
        <w:ind w:left="5353" w:hanging="94"/>
        <w:spacing w:after="0"/>
        <w:tabs>
          <w:tab w:leader="none" w:pos="5353" w:val="left"/>
        </w:tabs>
        <w:numPr>
          <w:ilvl w:val="1"/>
          <w:numId w:val="51"/>
        </w:numPr>
        <w:rPr>
          <w:rFonts w:ascii="Arial" w:cs="Arial" w:eastAsia="Arial" w:hAnsi="Arial"/>
          <w:sz w:val="16"/>
          <w:szCs w:val="16"/>
          <w:color w:val="auto"/>
        </w:rPr>
      </w:pPr>
      <w:r>
        <w:rPr>
          <w:rFonts w:ascii="Arial" w:cs="Arial" w:eastAsia="Arial" w:hAnsi="Arial"/>
          <w:sz w:val="16"/>
          <w:szCs w:val="16"/>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13970</wp:posOffset>
            </wp:positionV>
            <wp:extent cx="7261225" cy="762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33"/>
          </w:cols>
          <w:pgMar w:left="527" w:top="828" w:right="239" w:bottom="1440" w:gutter="0" w:footer="0" w:header="0"/>
        </w:sectPr>
      </w:pPr>
    </w:p>
    <w:bookmarkStart w:id="53" w:name="page54"/>
    <w:bookmarkEnd w:id="53"/>
    <w:p>
      <w:pPr>
        <w:ind w:left="393" w:hanging="393"/>
        <w:spacing w:after="0"/>
        <w:tabs>
          <w:tab w:leader="none" w:pos="393"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Amendments to IAS 12 “Income Taxes”: Recognition of the deferred income tax asset for unrealized losses.</w:t>
      </w:r>
    </w:p>
    <w:p>
      <w:pPr>
        <w:spacing w:after="0" w:line="202" w:lineRule="exact"/>
        <w:rPr>
          <w:rFonts w:ascii="Arial" w:cs="Arial" w:eastAsia="Arial" w:hAnsi="Arial"/>
          <w:sz w:val="16"/>
          <w:szCs w:val="16"/>
          <w:color w:val="auto"/>
        </w:rPr>
      </w:pPr>
    </w:p>
    <w:p>
      <w:pPr>
        <w:ind w:left="393" w:right="300"/>
        <w:spacing w:after="0" w:line="280" w:lineRule="auto"/>
        <w:rPr>
          <w:rFonts w:ascii="Arial" w:cs="Arial" w:eastAsia="Arial" w:hAnsi="Arial"/>
          <w:sz w:val="16"/>
          <w:szCs w:val="16"/>
          <w:color w:val="auto"/>
        </w:rPr>
      </w:pPr>
      <w:r>
        <w:rPr>
          <w:rFonts w:ascii="Arial" w:cs="Arial" w:eastAsia="Arial" w:hAnsi="Arial"/>
          <w:sz w:val="16"/>
          <w:szCs w:val="16"/>
          <w:color w:val="auto"/>
        </w:rPr>
        <w:t>The amendments clarify the accounting treatment of deferred taxes when an asset is measured at fair value and when said fair value is less than the tax base of the asset. The amendments specifically confirm that:</w:t>
      </w:r>
    </w:p>
    <w:p>
      <w:pPr>
        <w:spacing w:after="0" w:line="150" w:lineRule="exact"/>
        <w:rPr>
          <w:rFonts w:ascii="Arial" w:cs="Arial" w:eastAsia="Arial" w:hAnsi="Arial"/>
          <w:sz w:val="16"/>
          <w:szCs w:val="16"/>
          <w:color w:val="auto"/>
        </w:rPr>
      </w:pPr>
    </w:p>
    <w:p>
      <w:pPr>
        <w:ind w:left="673" w:hanging="286"/>
        <w:spacing w:after="0"/>
        <w:tabs>
          <w:tab w:leader="none" w:pos="673" w:val="left"/>
        </w:tabs>
        <w:numPr>
          <w:ilvl w:val="1"/>
          <w:numId w:val="52"/>
        </w:numPr>
        <w:rPr>
          <w:rFonts w:ascii="Arial" w:cs="Arial" w:eastAsia="Arial" w:hAnsi="Arial"/>
          <w:sz w:val="16"/>
          <w:szCs w:val="16"/>
          <w:color w:val="auto"/>
        </w:rPr>
      </w:pPr>
      <w:r>
        <w:rPr>
          <w:rFonts w:ascii="Arial" w:cs="Arial" w:eastAsia="Arial" w:hAnsi="Arial"/>
          <w:sz w:val="16"/>
          <w:szCs w:val="16"/>
          <w:color w:val="auto"/>
        </w:rPr>
        <w:t>A temporary difference exists when the carrying amount of an asset is less than its tax base at the end of the information presentation period.</w:t>
      </w:r>
    </w:p>
    <w:p>
      <w:pPr>
        <w:spacing w:after="0" w:line="21" w:lineRule="exact"/>
        <w:rPr>
          <w:rFonts w:ascii="Arial" w:cs="Arial" w:eastAsia="Arial" w:hAnsi="Arial"/>
          <w:sz w:val="16"/>
          <w:szCs w:val="16"/>
          <w:color w:val="auto"/>
        </w:rPr>
      </w:pPr>
    </w:p>
    <w:p>
      <w:pPr>
        <w:ind w:left="673" w:hanging="286"/>
        <w:spacing w:after="0"/>
        <w:tabs>
          <w:tab w:leader="none" w:pos="673" w:val="left"/>
        </w:tabs>
        <w:numPr>
          <w:ilvl w:val="1"/>
          <w:numId w:val="52"/>
        </w:numPr>
        <w:rPr>
          <w:rFonts w:ascii="Arial" w:cs="Arial" w:eastAsia="Arial" w:hAnsi="Arial"/>
          <w:sz w:val="15"/>
          <w:szCs w:val="15"/>
          <w:color w:val="auto"/>
        </w:rPr>
      </w:pPr>
      <w:r>
        <w:rPr>
          <w:rFonts w:ascii="Arial" w:cs="Arial" w:eastAsia="Arial" w:hAnsi="Arial"/>
          <w:sz w:val="15"/>
          <w:szCs w:val="15"/>
          <w:color w:val="auto"/>
        </w:rPr>
        <w:t>An entity may assume that it will recover an amount greater than the carrying amount of an asset when estimating the future taxable profit that it will obtain.</w:t>
      </w:r>
    </w:p>
    <w:p>
      <w:pPr>
        <w:spacing w:after="0" w:line="20" w:lineRule="exact"/>
        <w:rPr>
          <w:rFonts w:ascii="Arial" w:cs="Arial" w:eastAsia="Arial" w:hAnsi="Arial"/>
          <w:sz w:val="15"/>
          <w:szCs w:val="15"/>
          <w:color w:val="auto"/>
        </w:rPr>
      </w:pPr>
    </w:p>
    <w:p>
      <w:pPr>
        <w:ind w:left="673" w:right="180" w:hanging="286"/>
        <w:spacing w:after="0" w:line="252" w:lineRule="auto"/>
        <w:tabs>
          <w:tab w:leader="none" w:pos="673" w:val="left"/>
        </w:tabs>
        <w:numPr>
          <w:ilvl w:val="1"/>
          <w:numId w:val="52"/>
        </w:numPr>
        <w:rPr>
          <w:rFonts w:ascii="Arial" w:cs="Arial" w:eastAsia="Arial" w:hAnsi="Arial"/>
          <w:sz w:val="16"/>
          <w:szCs w:val="16"/>
          <w:color w:val="auto"/>
        </w:rPr>
      </w:pPr>
      <w:r>
        <w:rPr>
          <w:rFonts w:ascii="Arial" w:cs="Arial" w:eastAsia="Arial" w:hAnsi="Arial"/>
          <w:sz w:val="16"/>
          <w:szCs w:val="16"/>
          <w:color w:val="auto"/>
        </w:rPr>
        <w:t>When tax law restricts the source of taxable profits against which the particular types of deferred tax assets may be recovered, the recoverability of the deferred tax assets can only be evaluated together with other deferred tax assets of the same type.</w:t>
      </w:r>
    </w:p>
    <w:p>
      <w:pPr>
        <w:ind w:left="673" w:right="220" w:hanging="286"/>
        <w:spacing w:after="0" w:line="264" w:lineRule="auto"/>
        <w:tabs>
          <w:tab w:leader="none" w:pos="673"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tax deductions resulting from the reversal of deferred tax assets are excluded from the estimated future taxable profit used to evaluate the recoverability of said assets.</w:t>
      </w:r>
    </w:p>
    <w:p>
      <w:pPr>
        <w:spacing w:after="0" w:line="163" w:lineRule="exact"/>
        <w:rPr>
          <w:sz w:val="20"/>
          <w:szCs w:val="20"/>
          <w:color w:val="auto"/>
        </w:rPr>
      </w:pPr>
    </w:p>
    <w:p>
      <w:pPr>
        <w:ind w:left="393"/>
        <w:spacing w:after="0"/>
        <w:rPr>
          <w:sz w:val="20"/>
          <w:szCs w:val="20"/>
          <w:color w:val="auto"/>
        </w:rPr>
      </w:pPr>
      <w:r>
        <w:rPr>
          <w:rFonts w:ascii="Arial" w:cs="Arial" w:eastAsia="Arial" w:hAnsi="Arial"/>
          <w:sz w:val="16"/>
          <w:szCs w:val="16"/>
          <w:color w:val="auto"/>
        </w:rPr>
        <w:t>The amendment to IAS 12 applies to annual periods beginning on or after January 1, 2017.</w:t>
      </w:r>
    </w:p>
    <w:p>
      <w:pPr>
        <w:spacing w:after="0" w:line="203" w:lineRule="exact"/>
        <w:rPr>
          <w:sz w:val="20"/>
          <w:szCs w:val="20"/>
          <w:color w:val="auto"/>
        </w:rPr>
      </w:pPr>
    </w:p>
    <w:p>
      <w:pPr>
        <w:ind w:left="393" w:hanging="393"/>
        <w:spacing w:after="0"/>
        <w:tabs>
          <w:tab w:leader="none" w:pos="393"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Amendments to IAS 7 “Statement of Cash Flows”: Disclosure initiatives.</w:t>
      </w:r>
    </w:p>
    <w:p>
      <w:pPr>
        <w:spacing w:after="0" w:line="202" w:lineRule="exact"/>
        <w:rPr>
          <w:rFonts w:ascii="Arial" w:cs="Arial" w:eastAsia="Arial" w:hAnsi="Arial"/>
          <w:sz w:val="16"/>
          <w:szCs w:val="16"/>
          <w:color w:val="auto"/>
        </w:rPr>
      </w:pPr>
    </w:p>
    <w:p>
      <w:pPr>
        <w:ind w:left="393"/>
        <w:spacing w:after="0" w:line="354" w:lineRule="auto"/>
        <w:rPr>
          <w:rFonts w:ascii="Arial" w:cs="Arial" w:eastAsia="Arial" w:hAnsi="Arial"/>
          <w:sz w:val="16"/>
          <w:szCs w:val="16"/>
          <w:color w:val="auto"/>
        </w:rPr>
      </w:pPr>
      <w:r>
        <w:rPr>
          <w:rFonts w:ascii="Arial" w:cs="Arial" w:eastAsia="Arial" w:hAnsi="Arial"/>
          <w:sz w:val="14"/>
          <w:szCs w:val="14"/>
          <w:color w:val="auto"/>
        </w:rPr>
        <w:t>In future, it will be necessary for entities to explain the changes in their liabilities arising from financial assets. This includes changes which arise from cash flows (that is, detractions and payments of borrowings) and non-monetary changes, like acquisitions, disposals, increase in interest and unrealized exchange rate differences.</w:t>
      </w:r>
    </w:p>
    <w:p>
      <w:pPr>
        <w:spacing w:after="0" w:line="105" w:lineRule="exact"/>
        <w:rPr>
          <w:rFonts w:ascii="Arial" w:cs="Arial" w:eastAsia="Arial" w:hAnsi="Arial"/>
          <w:sz w:val="16"/>
          <w:szCs w:val="16"/>
          <w:color w:val="auto"/>
        </w:rPr>
      </w:pPr>
    </w:p>
    <w:p>
      <w:pPr>
        <w:ind w:left="393" w:right="60"/>
        <w:spacing w:after="0" w:line="280" w:lineRule="auto"/>
        <w:rPr>
          <w:rFonts w:ascii="Arial" w:cs="Arial" w:eastAsia="Arial" w:hAnsi="Arial"/>
          <w:sz w:val="16"/>
          <w:szCs w:val="16"/>
          <w:color w:val="auto"/>
        </w:rPr>
      </w:pPr>
      <w:r>
        <w:rPr>
          <w:rFonts w:ascii="Arial" w:cs="Arial" w:eastAsia="Arial" w:hAnsi="Arial"/>
          <w:sz w:val="16"/>
          <w:szCs w:val="16"/>
          <w:color w:val="auto"/>
        </w:rPr>
        <w:t>Changes in financial assets must be included in this disclosure if they were included, or will be included in the cash flows of the financial activities. For example, this would be the case of assets which cover liabilities arising from financial liabilities.</w:t>
      </w:r>
    </w:p>
    <w:p>
      <w:pPr>
        <w:spacing w:after="0" w:line="150" w:lineRule="exact"/>
        <w:rPr>
          <w:rFonts w:ascii="Arial" w:cs="Arial" w:eastAsia="Arial" w:hAnsi="Arial"/>
          <w:sz w:val="16"/>
          <w:szCs w:val="16"/>
          <w:color w:val="auto"/>
        </w:rPr>
      </w:pPr>
    </w:p>
    <w:p>
      <w:pPr>
        <w:ind w:left="393" w:right="540"/>
        <w:spacing w:after="0" w:line="280" w:lineRule="auto"/>
        <w:rPr>
          <w:rFonts w:ascii="Arial" w:cs="Arial" w:eastAsia="Arial" w:hAnsi="Arial"/>
          <w:sz w:val="16"/>
          <w:szCs w:val="16"/>
          <w:color w:val="auto"/>
        </w:rPr>
      </w:pPr>
      <w:r>
        <w:rPr>
          <w:rFonts w:ascii="Arial" w:cs="Arial" w:eastAsia="Arial" w:hAnsi="Arial"/>
          <w:sz w:val="16"/>
          <w:szCs w:val="16"/>
          <w:color w:val="auto"/>
        </w:rPr>
        <w:t>Entities may possibly include changes in other items as part of this disclosure; for example: providing a reconciliation of “net debt”. However, in this case, the changes in the other items must be disclosed separately from the changes in liabilities arising from financial activities.</w:t>
      </w:r>
    </w:p>
    <w:p>
      <w:pPr>
        <w:spacing w:after="0" w:line="150" w:lineRule="exact"/>
        <w:rPr>
          <w:rFonts w:ascii="Arial" w:cs="Arial" w:eastAsia="Arial" w:hAnsi="Arial"/>
          <w:sz w:val="16"/>
          <w:szCs w:val="16"/>
          <w:color w:val="auto"/>
        </w:rPr>
      </w:pPr>
    </w:p>
    <w:p>
      <w:pPr>
        <w:ind w:left="393" w:right="780"/>
        <w:spacing w:after="0" w:line="504" w:lineRule="auto"/>
        <w:rPr>
          <w:rFonts w:ascii="Arial" w:cs="Arial" w:eastAsia="Arial" w:hAnsi="Arial"/>
          <w:sz w:val="16"/>
          <w:szCs w:val="16"/>
          <w:color w:val="auto"/>
        </w:rPr>
      </w:pPr>
      <w:r>
        <w:rPr>
          <w:rFonts w:ascii="Arial" w:cs="Arial" w:eastAsia="Arial" w:hAnsi="Arial"/>
          <w:sz w:val="16"/>
          <w:szCs w:val="16"/>
          <w:color w:val="auto"/>
        </w:rPr>
        <w:t>The information may be disclosed in a tabular format as a reconciliation of the opening and closing balances, but no specific obligatory format is required. The amendment to IAS 7 applies to annual periods beginning on or after January 1, 2017.</w:t>
      </w:r>
    </w:p>
    <w:p>
      <w:pPr>
        <w:ind w:left="393" w:right="200" w:hanging="393"/>
        <w:spacing w:after="0" w:line="280" w:lineRule="auto"/>
        <w:tabs>
          <w:tab w:leader="none" w:pos="393"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Amendments to IFRS 10 “Consolidated financial statements” and IAS 28 “Investments in Associates and Joint Ventures”: Sale or contribution of assets between an investor and his associate or joint venture.</w:t>
      </w:r>
    </w:p>
    <w:p>
      <w:pPr>
        <w:spacing w:after="0" w:line="150" w:lineRule="exact"/>
        <w:rPr>
          <w:rFonts w:ascii="Arial" w:cs="Arial" w:eastAsia="Arial" w:hAnsi="Arial"/>
          <w:sz w:val="16"/>
          <w:szCs w:val="16"/>
          <w:color w:val="auto"/>
        </w:rPr>
      </w:pPr>
    </w:p>
    <w:p>
      <w:pPr>
        <w:ind w:left="393" w:right="320"/>
        <w:spacing w:after="0" w:line="266" w:lineRule="auto"/>
        <w:rPr>
          <w:rFonts w:ascii="Arial" w:cs="Arial" w:eastAsia="Arial" w:hAnsi="Arial"/>
          <w:sz w:val="16"/>
          <w:szCs w:val="16"/>
          <w:color w:val="auto"/>
        </w:rPr>
      </w:pPr>
      <w:r>
        <w:rPr>
          <w:rFonts w:ascii="Arial" w:cs="Arial" w:eastAsia="Arial" w:hAnsi="Arial"/>
          <w:sz w:val="16"/>
          <w:szCs w:val="16"/>
          <w:color w:val="auto"/>
        </w:rPr>
        <w:t>The amendments clarify the accounting treatment of the sales or contribution of assets between an investor and his associates or joint venture. These amendments confirm that the accounting treatment depends on whether the non-monetary assets sold or contributed to an associate or joint venture constitute “a business” (as defined in IFRS 3 “Business combinations”).</w:t>
      </w:r>
    </w:p>
    <w:p>
      <w:pPr>
        <w:spacing w:after="0" w:line="161" w:lineRule="exact"/>
        <w:rPr>
          <w:rFonts w:ascii="Arial" w:cs="Arial" w:eastAsia="Arial" w:hAnsi="Arial"/>
          <w:sz w:val="16"/>
          <w:szCs w:val="16"/>
          <w:color w:val="auto"/>
        </w:rPr>
      </w:pPr>
    </w:p>
    <w:p>
      <w:pPr>
        <w:ind w:left="393" w:right="80"/>
        <w:spacing w:after="0" w:line="266" w:lineRule="auto"/>
        <w:rPr>
          <w:rFonts w:ascii="Arial" w:cs="Arial" w:eastAsia="Arial" w:hAnsi="Arial"/>
          <w:sz w:val="16"/>
          <w:szCs w:val="16"/>
          <w:color w:val="auto"/>
        </w:rPr>
      </w:pPr>
      <w:r>
        <w:rPr>
          <w:rFonts w:ascii="Arial" w:cs="Arial" w:eastAsia="Arial" w:hAnsi="Arial"/>
          <w:sz w:val="16"/>
          <w:szCs w:val="16"/>
          <w:color w:val="auto"/>
        </w:rPr>
        <w:t>If the non-monetary assets constitute a business, the investor will recognize the total gain or loss on the sale or contribution of assets. If the assets do not comply with the definition of “business”, the investor will recognize the gain or loss only in proportion to the investor’s investment in the associate or joint venture. The amendments will apply prospectively.</w:t>
      </w:r>
    </w:p>
    <w:p>
      <w:pPr>
        <w:spacing w:after="0" w:line="355" w:lineRule="exact"/>
        <w:rPr>
          <w:rFonts w:ascii="Arial" w:cs="Arial" w:eastAsia="Arial" w:hAnsi="Arial"/>
          <w:sz w:val="16"/>
          <w:szCs w:val="16"/>
          <w:color w:val="auto"/>
        </w:rPr>
      </w:pPr>
    </w:p>
    <w:p>
      <w:pPr>
        <w:ind w:left="5353" w:hanging="94"/>
        <w:spacing w:after="0"/>
        <w:tabs>
          <w:tab w:leader="none" w:pos="5353" w:val="left"/>
        </w:tabs>
        <w:numPr>
          <w:ilvl w:val="1"/>
          <w:numId w:val="53"/>
        </w:numPr>
        <w:rPr>
          <w:rFonts w:ascii="Arial" w:cs="Arial" w:eastAsia="Arial" w:hAnsi="Arial"/>
          <w:sz w:val="16"/>
          <w:szCs w:val="16"/>
          <w:color w:val="auto"/>
        </w:rPr>
      </w:pPr>
      <w:r>
        <w:rPr>
          <w:rFonts w:ascii="Arial" w:cs="Arial" w:eastAsia="Arial" w:hAnsi="Arial"/>
          <w:sz w:val="16"/>
          <w:szCs w:val="16"/>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13970</wp:posOffset>
            </wp:positionV>
            <wp:extent cx="7261225" cy="76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33"/>
          </w:cols>
          <w:pgMar w:left="527" w:top="828" w:right="239" w:bottom="1440" w:gutter="0" w:footer="0" w:header="0"/>
        </w:sectPr>
      </w:pPr>
    </w:p>
    <w:bookmarkStart w:id="54" w:name="page55"/>
    <w:bookmarkEnd w:id="54"/>
    <w:p>
      <w:pPr>
        <w:ind w:left="683"/>
        <w:spacing w:after="0"/>
        <w:rPr>
          <w:sz w:val="20"/>
          <w:szCs w:val="20"/>
          <w:color w:val="auto"/>
        </w:rPr>
      </w:pPr>
      <w:r>
        <w:rPr>
          <w:rFonts w:ascii="Arial" w:cs="Arial" w:eastAsia="Arial" w:hAnsi="Arial"/>
          <w:sz w:val="16"/>
          <w:szCs w:val="16"/>
          <w:color w:val="auto"/>
        </w:rPr>
        <w:t>In December of 2016, the IASB decided to defer the application date of this amendment until it has completed its research project on the equity method.</w:t>
      </w:r>
    </w:p>
    <w:p>
      <w:pPr>
        <w:spacing w:after="0" w:line="203" w:lineRule="exact"/>
        <w:rPr>
          <w:sz w:val="20"/>
          <w:szCs w:val="20"/>
          <w:color w:val="auto"/>
        </w:rPr>
      </w:pPr>
    </w:p>
    <w:p>
      <w:pPr>
        <w:ind w:left="683" w:right="40"/>
        <w:spacing w:after="0" w:line="280" w:lineRule="auto"/>
        <w:rPr>
          <w:sz w:val="20"/>
          <w:szCs w:val="20"/>
          <w:color w:val="auto"/>
        </w:rPr>
      </w:pPr>
      <w:r>
        <w:rPr>
          <w:rFonts w:ascii="Arial" w:cs="Arial" w:eastAsia="Arial" w:hAnsi="Arial"/>
          <w:sz w:val="16"/>
          <w:szCs w:val="16"/>
          <w:color w:val="auto"/>
        </w:rPr>
        <w:t>There are no other standards or amendments to standards which have not yet become effective and are expected to have a significant impact on the Company, either in the current or future periods, as well as on expected future transactions.</w:t>
      </w:r>
    </w:p>
    <w:p>
      <w:pPr>
        <w:spacing w:after="0" w:line="147" w:lineRule="exact"/>
        <w:rPr>
          <w:sz w:val="20"/>
          <w:szCs w:val="20"/>
          <w:color w:val="auto"/>
        </w:rPr>
      </w:pPr>
    </w:p>
    <w:p>
      <w:pPr>
        <w:ind w:left="583" w:hanging="583"/>
        <w:spacing w:after="0"/>
        <w:tabs>
          <w:tab w:leader="none" w:pos="583"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CASH AND CASH EQUIVALENTS</w:t>
      </w:r>
    </w:p>
    <w:p>
      <w:pPr>
        <w:spacing w:after="0" w:line="207" w:lineRule="exact"/>
        <w:rPr>
          <w:sz w:val="20"/>
          <w:szCs w:val="20"/>
          <w:color w:val="auto"/>
        </w:rPr>
      </w:pPr>
    </w:p>
    <w:p>
      <w:pPr>
        <w:ind w:left="3" w:right="40"/>
        <w:spacing w:after="0" w:line="354" w:lineRule="auto"/>
        <w:rPr>
          <w:sz w:val="20"/>
          <w:szCs w:val="20"/>
          <w:color w:val="auto"/>
        </w:rPr>
      </w:pPr>
      <w:r>
        <w:rPr>
          <w:rFonts w:ascii="Arial" w:cs="Arial" w:eastAsia="Arial" w:hAnsi="Arial"/>
          <w:sz w:val="14"/>
          <w:szCs w:val="14"/>
          <w:color w:val="auto"/>
        </w:rPr>
        <w:t>Cash and cash equivalents shown in the consolidated statement of cash flows consist of "cash and deposits with banks" from the consolidated statement of financial position, which includes cash in hand, funds in the Peruvian Central Reserve Bank (hereinafter “BCRP”), time deposits with maturities of three months or less, excluding restricted funds.</w:t>
      </w:r>
    </w:p>
    <w:p>
      <w:pPr>
        <w:spacing w:after="0" w:line="113"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9100" w:type="dxa"/>
            <w:vAlign w:val="bottom"/>
            <w:gridSpan w:val="3"/>
          </w:tcPr>
          <w:p>
            <w:pPr>
              <w:ind w:left="8600"/>
              <w:spacing w:after="0"/>
              <w:rPr>
                <w:sz w:val="20"/>
                <w:szCs w:val="20"/>
                <w:color w:val="auto"/>
              </w:rPr>
            </w:pPr>
            <w:r>
              <w:rPr>
                <w:rFonts w:ascii="Arial" w:cs="Arial" w:eastAsia="Arial" w:hAnsi="Arial"/>
                <w:sz w:val="16"/>
                <w:szCs w:val="16"/>
                <w:b w:val="1"/>
                <w:bCs w:val="1"/>
                <w:color w:val="auto"/>
              </w:rPr>
              <w:t>2016</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w w:val="91"/>
              </w:rPr>
              <w:t>S/(000)</w:t>
            </w: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8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clearing (a)</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4,061,766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3,821,619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80" w:type="dxa"/>
            <w:vAlign w:val="bottom"/>
            <w:gridSpan w:val="2"/>
          </w:tcPr>
          <w:p>
            <w:pPr>
              <w:spacing w:after="0"/>
              <w:rPr>
                <w:sz w:val="20"/>
                <w:szCs w:val="20"/>
                <w:color w:val="auto"/>
              </w:rPr>
            </w:pPr>
            <w:r>
              <w:rPr>
                <w:rFonts w:ascii="Arial" w:cs="Arial" w:eastAsia="Arial" w:hAnsi="Arial"/>
                <w:sz w:val="16"/>
                <w:szCs w:val="16"/>
                <w:color w:val="auto"/>
              </w:rPr>
              <w:t>Deposits with Central Reserve Bank of Peru (a)</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8,642,656</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13,953,839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Deposits with local and foreign banks (b)</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3,778,238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4,085,960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80" w:type="dxa"/>
            <w:vAlign w:val="bottom"/>
            <w:gridSpan w:val="2"/>
          </w:tcPr>
          <w:p>
            <w:pPr>
              <w:spacing w:after="0"/>
              <w:rPr>
                <w:sz w:val="20"/>
                <w:szCs w:val="20"/>
                <w:color w:val="auto"/>
              </w:rPr>
            </w:pPr>
            <w:r>
              <w:rPr>
                <w:rFonts w:ascii="Arial" w:cs="Arial" w:eastAsia="Arial" w:hAnsi="Arial"/>
                <w:sz w:val="16"/>
                <w:szCs w:val="16"/>
                <w:color w:val="auto"/>
              </w:rPr>
              <w:t>Interbank funds</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147,713</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180,031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interest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2,823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80" w:type="dxa"/>
            <w:vAlign w:val="bottom"/>
          </w:tcPr>
          <w:p>
            <w:pPr>
              <w:spacing w:after="0"/>
              <w:rPr>
                <w:sz w:val="20"/>
                <w:szCs w:val="20"/>
                <w:color w:val="auto"/>
              </w:rPr>
            </w:pPr>
            <w:r>
              <w:rPr>
                <w:rFonts w:ascii="Arial" w:cs="Arial" w:eastAsia="Arial" w:hAnsi="Arial"/>
                <w:sz w:val="16"/>
                <w:szCs w:val="16"/>
                <w:color w:val="auto"/>
              </w:rPr>
              <w:t>Total cash and cash equivalents</w:t>
            </w:r>
          </w:p>
        </w:tc>
        <w:tc>
          <w:tcPr>
            <w:tcW w:w="5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16,633,196</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22,044,868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funds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12,573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346,876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80" w:type="dxa"/>
            <w:vAlign w:val="bottom"/>
          </w:tcPr>
          <w:p>
            <w:pPr>
              <w:spacing w:after="0"/>
              <w:rPr>
                <w:sz w:val="20"/>
                <w:szCs w:val="20"/>
                <w:color w:val="auto"/>
              </w:rPr>
            </w:pPr>
            <w:r>
              <w:rPr>
                <w:rFonts w:ascii="Arial" w:cs="Arial" w:eastAsia="Arial" w:hAnsi="Arial"/>
                <w:sz w:val="16"/>
                <w:szCs w:val="16"/>
                <w:b w:val="1"/>
                <w:bCs w:val="1"/>
                <w:color w:val="auto"/>
              </w:rPr>
              <w:t>Total cash</w:t>
            </w:r>
          </w:p>
        </w:tc>
        <w:tc>
          <w:tcPr>
            <w:tcW w:w="5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16,645,769</w:t>
            </w:r>
          </w:p>
        </w:tc>
        <w:tc>
          <w:tcPr>
            <w:tcW w:w="22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22,391,744</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283" w:hanging="283"/>
        <w:spacing w:after="0"/>
        <w:tabs>
          <w:tab w:leader="none" w:pos="283" w:val="left"/>
        </w:tabs>
        <w:numPr>
          <w:ilvl w:val="0"/>
          <w:numId w:val="55"/>
        </w:numPr>
        <w:rPr>
          <w:rFonts w:ascii="Arial" w:cs="Arial" w:eastAsia="Arial" w:hAnsi="Arial"/>
          <w:sz w:val="16"/>
          <w:szCs w:val="16"/>
          <w:color w:val="auto"/>
        </w:rPr>
      </w:pPr>
      <w:r>
        <w:rPr>
          <w:rFonts w:ascii="Arial" w:cs="Arial" w:eastAsia="Arial" w:hAnsi="Arial"/>
          <w:sz w:val="16"/>
          <w:szCs w:val="16"/>
          <w:color w:val="auto"/>
        </w:rPr>
        <w:t>Cash and clearing and deposits with Peruvian Central Reserve Bank -</w:t>
      </w:r>
    </w:p>
    <w:p>
      <w:pPr>
        <w:spacing w:after="0" w:line="202" w:lineRule="exact"/>
        <w:rPr>
          <w:rFonts w:ascii="Arial" w:cs="Arial" w:eastAsia="Arial" w:hAnsi="Arial"/>
          <w:sz w:val="16"/>
          <w:szCs w:val="16"/>
          <w:color w:val="auto"/>
        </w:rPr>
      </w:pPr>
    </w:p>
    <w:p>
      <w:pPr>
        <w:ind w:left="283" w:right="180"/>
        <w:spacing w:after="0" w:line="280" w:lineRule="auto"/>
        <w:rPr>
          <w:rFonts w:ascii="Arial" w:cs="Arial" w:eastAsia="Arial" w:hAnsi="Arial"/>
          <w:sz w:val="16"/>
          <w:szCs w:val="16"/>
          <w:color w:val="auto"/>
        </w:rPr>
      </w:pPr>
      <w:r>
        <w:rPr>
          <w:rFonts w:ascii="Arial" w:cs="Arial" w:eastAsia="Arial" w:hAnsi="Arial"/>
          <w:sz w:val="16"/>
          <w:szCs w:val="16"/>
          <w:color w:val="auto"/>
        </w:rPr>
        <w:t>These accounts mainly include the mandatory reserve that Credicorp and Subsidiaries must keep to be able to honor their obligations with the public, which are within the limits established by current legislation. These reserves consist of the following:</w:t>
      </w:r>
    </w:p>
    <w:p>
      <w:pPr>
        <w:sectPr>
          <w:pgSz w:w="11900" w:h="16838" w:orient="portrait"/>
          <w:cols w:equalWidth="0" w:num="1">
            <w:col w:w="11443"/>
          </w:cols>
          <w:pgMar w:left="237" w:top="82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3"/>
        <w:spacing w:after="0"/>
        <w:rPr>
          <w:sz w:val="20"/>
          <w:szCs w:val="20"/>
          <w:color w:val="auto"/>
        </w:rPr>
      </w:pPr>
      <w:r>
        <w:rPr>
          <w:rFonts w:ascii="Arial" w:cs="Arial" w:eastAsia="Arial" w:hAnsi="Arial"/>
          <w:sz w:val="16"/>
          <w:szCs w:val="16"/>
          <w:b w:val="1"/>
          <w:bCs w:val="1"/>
          <w:color w:val="auto"/>
        </w:rPr>
        <w:t>Mandatory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-105410</wp:posOffset>
            </wp:positionV>
            <wp:extent cx="6969125" cy="1225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969125" cy="122555"/>
                    </a:xfrm>
                    <a:prstGeom prst="rect">
                      <a:avLst/>
                    </a:prstGeom>
                    <a:noFill/>
                  </pic:spPr>
                </pic:pic>
              </a:graphicData>
            </a:graphic>
          </wp:anchor>
        </w:drawing>
      </w:r>
    </w:p>
    <w:p>
      <w:pPr>
        <w:spacing w:after="0" w:line="6" w:lineRule="exact"/>
        <w:rPr>
          <w:sz w:val="20"/>
          <w:szCs w:val="20"/>
          <w:color w:val="auto"/>
        </w:rPr>
      </w:pPr>
    </w:p>
    <w:p>
      <w:pPr>
        <w:ind w:left="283"/>
        <w:spacing w:after="0"/>
        <w:rPr>
          <w:sz w:val="20"/>
          <w:szCs w:val="20"/>
          <w:color w:val="auto"/>
        </w:rPr>
      </w:pPr>
      <w:r>
        <w:rPr>
          <w:rFonts w:ascii="Arial" w:cs="Arial" w:eastAsia="Arial" w:hAnsi="Arial"/>
          <w:sz w:val="14"/>
          <w:szCs w:val="14"/>
          <w:color w:val="auto"/>
        </w:rPr>
        <w:t>Deposits with Peruvian Central Reserve Bank</w:t>
      </w:r>
    </w:p>
    <w:p>
      <w:pPr>
        <w:spacing w:after="0" w:line="32" w:lineRule="exact"/>
        <w:rPr>
          <w:sz w:val="20"/>
          <w:szCs w:val="20"/>
          <w:color w:val="auto"/>
        </w:rPr>
      </w:pPr>
    </w:p>
    <w:p>
      <w:pPr>
        <w:ind w:left="283"/>
        <w:spacing w:after="0"/>
        <w:rPr>
          <w:sz w:val="20"/>
          <w:szCs w:val="20"/>
          <w:color w:val="auto"/>
        </w:rPr>
      </w:pPr>
      <w:r>
        <w:rPr>
          <w:rFonts w:ascii="Arial" w:cs="Arial" w:eastAsia="Arial" w:hAnsi="Arial"/>
          <w:sz w:val="16"/>
          <w:szCs w:val="16"/>
          <w:color w:val="auto"/>
        </w:rPr>
        <w:t>Cash in vaults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-116205</wp:posOffset>
            </wp:positionV>
            <wp:extent cx="6969125" cy="13017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969125" cy="130175"/>
                    </a:xfrm>
                    <a:prstGeom prst="rect">
                      <a:avLst/>
                    </a:prstGeom>
                    <a:noFill/>
                  </pic:spPr>
                </pic:pic>
              </a:graphicData>
            </a:graphic>
          </wp:anchor>
        </w:drawing>
      </w:r>
    </w:p>
    <w:p>
      <w:pPr>
        <w:ind w:left="283"/>
        <w:spacing w:after="0"/>
        <w:rPr>
          <w:sz w:val="20"/>
          <w:szCs w:val="20"/>
          <w:color w:val="auto"/>
        </w:rPr>
      </w:pPr>
      <w:r>
        <w:rPr>
          <w:rFonts w:ascii="Arial" w:cs="Arial" w:eastAsia="Arial" w:hAnsi="Arial"/>
          <w:sz w:val="16"/>
          <w:szCs w:val="16"/>
          <w:b w:val="1"/>
          <w:bCs w:val="1"/>
          <w:color w:val="auto"/>
        </w:rPr>
        <w:t>Total mandatory reserves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2015</w:t>
            </w:r>
          </w:p>
        </w:tc>
      </w:tr>
      <w:tr>
        <w:trPr>
          <w:trHeight w:val="202"/>
        </w:trPr>
        <w:tc>
          <w:tcPr>
            <w:tcW w:w="12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S/(000)</w:t>
            </w:r>
          </w:p>
        </w:tc>
      </w:tr>
    </w:tbl>
    <w:p>
      <w:pPr>
        <w:spacing w:after="0" w:line="358" w:lineRule="exact"/>
        <w:rPr>
          <w:sz w:val="20"/>
          <w:szCs w:val="20"/>
          <w:color w:val="auto"/>
        </w:rPr>
      </w:pPr>
    </w:p>
    <w:p>
      <w:pPr>
        <w:jc w:val="both"/>
        <w:ind w:left="560"/>
        <w:spacing w:after="0"/>
        <w:tabs>
          <w:tab w:leader="none" w:pos="1860" w:val="left"/>
        </w:tabs>
        <w:rPr>
          <w:sz w:val="20"/>
          <w:szCs w:val="20"/>
          <w:color w:val="auto"/>
        </w:rPr>
      </w:pPr>
      <w:r>
        <w:rPr>
          <w:rFonts w:ascii="Arial" w:cs="Arial" w:eastAsia="Arial" w:hAnsi="Arial"/>
          <w:sz w:val="16"/>
          <w:szCs w:val="16"/>
          <w:color w:val="auto"/>
        </w:rPr>
        <w:t>8,625,876</w:t>
      </w:r>
      <w:r>
        <w:rPr>
          <w:sz w:val="20"/>
          <w:szCs w:val="20"/>
          <w:color w:val="auto"/>
        </w:rPr>
        <w:tab/>
      </w:r>
      <w:r>
        <w:rPr>
          <w:rFonts w:ascii="Arial" w:cs="Arial" w:eastAsia="Arial" w:hAnsi="Arial"/>
          <w:sz w:val="16"/>
          <w:szCs w:val="16"/>
          <w:color w:val="auto"/>
        </w:rPr>
        <w:t>12,783,866</w:t>
      </w:r>
    </w:p>
    <w:p>
      <w:pPr>
        <w:spacing w:after="0" w:line="22" w:lineRule="exact"/>
        <w:rPr>
          <w:sz w:val="20"/>
          <w:szCs w:val="20"/>
          <w:color w:val="auto"/>
        </w:rPr>
      </w:pPr>
    </w:p>
    <w:p>
      <w:pPr>
        <w:jc w:val="both"/>
        <w:ind w:left="560"/>
        <w:spacing w:after="0"/>
        <w:tabs>
          <w:tab w:leader="none" w:pos="1940" w:val="left"/>
        </w:tabs>
        <w:rPr>
          <w:sz w:val="20"/>
          <w:szCs w:val="20"/>
          <w:color w:val="auto"/>
        </w:rPr>
      </w:pPr>
      <w:r>
        <w:rPr>
          <w:rFonts w:ascii="Arial" w:cs="Arial" w:eastAsia="Arial" w:hAnsi="Arial"/>
          <w:sz w:val="16"/>
          <w:szCs w:val="16"/>
          <w:color w:val="auto"/>
        </w:rPr>
        <w:t>3,158,153</w:t>
      </w:r>
      <w:r>
        <w:rPr>
          <w:sz w:val="20"/>
          <w:szCs w:val="20"/>
          <w:color w:val="auto"/>
        </w:rPr>
        <w:tab/>
      </w:r>
      <w:r>
        <w:rPr>
          <w:rFonts w:ascii="Arial" w:cs="Arial" w:eastAsia="Arial" w:hAnsi="Arial"/>
          <w:sz w:val="16"/>
          <w:szCs w:val="16"/>
          <w:color w:val="auto"/>
        </w:rPr>
        <w:t>3,289,135</w:t>
      </w:r>
    </w:p>
    <w:p>
      <w:pPr>
        <w:spacing w:after="0" w:line="21" w:lineRule="exact"/>
        <w:rPr>
          <w:sz w:val="20"/>
          <w:szCs w:val="20"/>
          <w:color w:val="auto"/>
        </w:rPr>
      </w:pPr>
    </w:p>
    <w:p>
      <w:pPr>
        <w:jc w:val="both"/>
        <w:ind w:left="480"/>
        <w:spacing w:after="0"/>
        <w:tabs>
          <w:tab w:leader="none" w:pos="1860" w:val="left"/>
        </w:tabs>
        <w:rPr>
          <w:sz w:val="20"/>
          <w:szCs w:val="20"/>
          <w:color w:val="auto"/>
        </w:rPr>
      </w:pPr>
      <w:r>
        <w:rPr>
          <w:rFonts w:ascii="Arial" w:cs="Arial" w:eastAsia="Arial" w:hAnsi="Arial"/>
          <w:sz w:val="16"/>
          <w:szCs w:val="16"/>
          <w:color w:val="auto"/>
        </w:rPr>
        <w:t>11,784,029</w:t>
      </w:r>
      <w:r>
        <w:rPr>
          <w:sz w:val="20"/>
          <w:szCs w:val="20"/>
          <w:color w:val="auto"/>
        </w:rPr>
        <w:tab/>
      </w:r>
      <w:r>
        <w:rPr>
          <w:rFonts w:ascii="Arial" w:cs="Arial" w:eastAsia="Arial" w:hAnsi="Arial"/>
          <w:sz w:val="16"/>
          <w:szCs w:val="16"/>
          <w:color w:val="auto"/>
        </w:rPr>
        <w:t>16,073,001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1665605" cy="762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665605" cy="7620"/>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7823" w:space="720"/>
            <w:col w:w="2900"/>
          </w:cols>
          <w:pgMar w:left="237" w:top="828" w:right="219" w:bottom="1440" w:gutter="0" w:footer="0" w:header="0"/>
          <w:type w:val="continuous"/>
        </w:sectPr>
      </w:pPr>
    </w:p>
    <w:tbl>
      <w:tblPr>
        <w:tblLayout w:type="fixed"/>
        <w:tblInd w:w="283" w:type="dxa"/>
        <w:tblCellMar>
          <w:top w:w="0" w:type="dxa"/>
          <w:left w:w="0" w:type="dxa"/>
          <w:bottom w:w="0" w:type="dxa"/>
          <w:right w:w="0" w:type="dxa"/>
        </w:tblCellMar>
      </w:tblPr>
      <w:tr>
        <w:trPr>
          <w:trHeight w:val="186"/>
        </w:trPr>
        <w:tc>
          <w:tcPr>
            <w:tcW w:w="82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93"/>
        </w:trPr>
        <w:tc>
          <w:tcPr>
            <w:tcW w:w="8260" w:type="dxa"/>
            <w:vAlign w:val="bottom"/>
          </w:tcPr>
          <w:p>
            <w:pPr>
              <w:spacing w:after="0"/>
              <w:rPr>
                <w:sz w:val="20"/>
                <w:szCs w:val="20"/>
                <w:color w:val="auto"/>
              </w:rPr>
            </w:pPr>
            <w:r>
              <w:rPr>
                <w:rFonts w:ascii="Arial" w:cs="Arial" w:eastAsia="Arial" w:hAnsi="Arial"/>
                <w:sz w:val="16"/>
                <w:szCs w:val="16"/>
                <w:b w:val="1"/>
                <w:bCs w:val="1"/>
                <w:color w:val="auto"/>
              </w:rPr>
              <w:t>Non-mandatory reserves:</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Overnight deposits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16,780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1,169,973</w:t>
            </w:r>
          </w:p>
        </w:tc>
        <w:tc>
          <w:tcPr>
            <w:tcW w:w="80" w:type="dxa"/>
            <w:vAlign w:val="bottom"/>
            <w:shd w:val="clear" w:color="auto" w:fill="CCEEFF"/>
          </w:tcPr>
          <w:p>
            <w:pPr>
              <w:spacing w:after="0"/>
              <w:rPr>
                <w:sz w:val="16"/>
                <w:szCs w:val="16"/>
                <w:color w:val="auto"/>
              </w:rPr>
            </w:pPr>
          </w:p>
        </w:tc>
      </w:tr>
      <w:tr>
        <w:trPr>
          <w:trHeight w:val="205"/>
        </w:trPr>
        <w:tc>
          <w:tcPr>
            <w:tcW w:w="8260" w:type="dxa"/>
            <w:vAlign w:val="bottom"/>
          </w:tcPr>
          <w:p>
            <w:pPr>
              <w:spacing w:after="0"/>
              <w:rPr>
                <w:sz w:val="20"/>
                <w:szCs w:val="20"/>
                <w:color w:val="auto"/>
              </w:rPr>
            </w:pPr>
            <w:r>
              <w:rPr>
                <w:rFonts w:ascii="Arial" w:cs="Arial" w:eastAsia="Arial" w:hAnsi="Arial"/>
                <w:sz w:val="16"/>
                <w:szCs w:val="16"/>
                <w:color w:val="auto"/>
              </w:rPr>
              <w:t>Cash in vaults of Bank and others</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903,613</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532,484</w:t>
            </w:r>
          </w:p>
        </w:tc>
        <w:tc>
          <w:tcPr>
            <w:tcW w:w="80" w:type="dxa"/>
            <w:vAlign w:val="bottom"/>
          </w:tcPr>
          <w:p>
            <w:pPr>
              <w:spacing w:after="0"/>
              <w:rPr>
                <w:sz w:val="17"/>
                <w:szCs w:val="17"/>
                <w:color w:val="auto"/>
              </w:rPr>
            </w:pPr>
          </w:p>
        </w:tc>
      </w:tr>
      <w:tr>
        <w:trPr>
          <w:trHeight w:val="185"/>
        </w:trPr>
        <w:tc>
          <w:tcPr>
            <w:tcW w:w="8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non-mandatory reserves</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920,393</w:t>
            </w: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1,702,457</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85"/>
        </w:trPr>
        <w:tc>
          <w:tcPr>
            <w:tcW w:w="82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12,704,422</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17,775,458</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81" w:lineRule="exact"/>
        <w:rPr>
          <w:sz w:val="20"/>
          <w:szCs w:val="20"/>
          <w:color w:val="auto"/>
        </w:rPr>
      </w:pPr>
    </w:p>
    <w:p>
      <w:pPr>
        <w:ind w:left="283" w:right="140"/>
        <w:spacing w:after="0" w:line="354" w:lineRule="auto"/>
        <w:rPr>
          <w:sz w:val="20"/>
          <w:szCs w:val="20"/>
          <w:color w:val="auto"/>
        </w:rPr>
      </w:pPr>
      <w:r>
        <w:rPr>
          <w:rFonts w:ascii="Arial" w:cs="Arial" w:eastAsia="Arial" w:hAnsi="Arial"/>
          <w:sz w:val="14"/>
          <w:szCs w:val="14"/>
          <w:color w:val="auto"/>
        </w:rPr>
        <w:t>At December 31, 2016 cash and deposits appropriated to mandatory reserves in local and foreign currency are subject to an implicit rate of 6.50 percent and 25.89 percent, respectively of the total balance of obligations subject to reserve, as required by the BCRP (6.50 percent and 30.18 percent, respectively, at December 31, 2015).</w:t>
      </w:r>
    </w:p>
    <w:p>
      <w:pPr>
        <w:spacing w:after="0" w:line="29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8" w:right="219" w:bottom="1440" w:gutter="0" w:footer="0" w:header="0"/>
          <w:type w:val="continuous"/>
        </w:sectPr>
      </w:pPr>
    </w:p>
    <w:bookmarkStart w:id="55" w:name="page56"/>
    <w:bookmarkEnd w:id="55"/>
    <w:p>
      <w:pPr>
        <w:ind w:left="283" w:right="20"/>
        <w:spacing w:after="0" w:line="261" w:lineRule="auto"/>
        <w:rPr>
          <w:sz w:val="20"/>
          <w:szCs w:val="20"/>
          <w:color w:val="auto"/>
        </w:rPr>
      </w:pPr>
      <w:r>
        <w:rPr>
          <w:rFonts w:ascii="Arial" w:cs="Arial" w:eastAsia="Arial" w:hAnsi="Arial"/>
          <w:sz w:val="16"/>
          <w:szCs w:val="16"/>
          <w:color w:val="auto"/>
        </w:rPr>
        <w:t>In the same way, at December 31, 2016, the reduction in the balances of the mandatory reserve originated from the following factors: i) reduction in the rates on the legal cash reserve requirement; ii) reduction in the volumes of the total of obligations subject to the legal cash reserve requirement (TOSE); iii) impact of the devaluation of the U.S. Dollar in the year of 1.63 percent on the balances maintained in said currency; and iv) reduction in the excess balances maintained as mandatory reserve in the final days of 2016.</w:t>
      </w:r>
    </w:p>
    <w:p>
      <w:pPr>
        <w:spacing w:after="0" w:line="167"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Deposits with local and foreign banks -</w:t>
      </w:r>
    </w:p>
    <w:p>
      <w:pPr>
        <w:spacing w:after="0" w:line="203" w:lineRule="exact"/>
        <w:rPr>
          <w:sz w:val="20"/>
          <w:szCs w:val="20"/>
          <w:color w:val="auto"/>
        </w:rPr>
      </w:pPr>
    </w:p>
    <w:p>
      <w:pPr>
        <w:ind w:left="283"/>
        <w:spacing w:after="0" w:line="280" w:lineRule="auto"/>
        <w:rPr>
          <w:sz w:val="20"/>
          <w:szCs w:val="20"/>
          <w:color w:val="auto"/>
        </w:rPr>
      </w:pPr>
      <w:r>
        <w:rPr>
          <w:rFonts w:ascii="Arial" w:cs="Arial" w:eastAsia="Arial" w:hAnsi="Arial"/>
          <w:sz w:val="16"/>
          <w:szCs w:val="16"/>
          <w:color w:val="auto"/>
        </w:rPr>
        <w:t>Balances credited to local and foreign banks mainly consist of balances in soles and U.S. dollars; are cash in hand and earn interest at market rates. At December 31, 2016 and 2015 Credicorp and its Subsidiaries do not maintain significant deposits with any bank in particular.</w:t>
      </w:r>
    </w:p>
    <w:p>
      <w:pPr>
        <w:spacing w:after="0" w:line="147" w:lineRule="exact"/>
        <w:rPr>
          <w:sz w:val="20"/>
          <w:szCs w:val="20"/>
          <w:color w:val="auto"/>
        </w:rPr>
      </w:pPr>
    </w:p>
    <w:p>
      <w:pPr>
        <w:ind w:left="583" w:right="380" w:hanging="583"/>
        <w:spacing w:after="0" w:line="285" w:lineRule="auto"/>
        <w:tabs>
          <w:tab w:leader="none" w:pos="583"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CASH COLLATERAL, REVERSE REPURCHASE AGREEMENTS AND SECURITIES BORROWINGS AND PAYABLES FROM REPURCHASE AGREEMENTS AND SECURITY LENDINGS</w:t>
      </w:r>
    </w:p>
    <w:p>
      <w:pPr>
        <w:spacing w:after="0" w:line="147" w:lineRule="exact"/>
        <w:rPr>
          <w:sz w:val="20"/>
          <w:szCs w:val="20"/>
          <w:color w:val="auto"/>
        </w:rPr>
      </w:pPr>
    </w:p>
    <w:tbl>
      <w:tblPr>
        <w:tblLayout w:type="fixed"/>
        <w:tblInd w:w="3" w:type="dxa"/>
        <w:tblCellMar>
          <w:top w:w="0" w:type="dxa"/>
          <w:left w:w="0" w:type="dxa"/>
          <w:bottom w:w="0" w:type="dxa"/>
          <w:right w:w="0" w:type="dxa"/>
        </w:tblCellMar>
      </w:tblPr>
      <w:tr>
        <w:trPr>
          <w:trHeight w:val="206"/>
        </w:trPr>
        <w:tc>
          <w:tcPr>
            <w:tcW w:w="9020" w:type="dxa"/>
            <w:vAlign w:val="bottom"/>
            <w:gridSpan w:val="3"/>
          </w:tcPr>
          <w:p>
            <w:pPr>
              <w:spacing w:after="0"/>
              <w:rPr>
                <w:sz w:val="20"/>
                <w:szCs w:val="20"/>
                <w:color w:val="auto"/>
              </w:rPr>
            </w:pPr>
            <w:r>
              <w:rPr>
                <w:rFonts w:ascii="Arial" w:cs="Arial" w:eastAsia="Arial" w:hAnsi="Arial"/>
                <w:sz w:val="16"/>
                <w:szCs w:val="16"/>
                <w:color w:val="auto"/>
              </w:rPr>
              <w:t>a)  This balance consists of the following:</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9"/>
        </w:trPr>
        <w:tc>
          <w:tcPr>
            <w:tcW w:w="9020" w:type="dxa"/>
            <w:vAlign w:val="bottom"/>
            <w:gridSpan w:val="3"/>
          </w:tcPr>
          <w:p>
            <w:pPr>
              <w:ind w:left="8540"/>
              <w:spacing w:after="0"/>
              <w:rPr>
                <w:sz w:val="20"/>
                <w:szCs w:val="20"/>
                <w:color w:val="auto"/>
              </w:rPr>
            </w:pPr>
            <w:r>
              <w:rPr>
                <w:rFonts w:ascii="Arial" w:cs="Arial" w:eastAsia="Arial" w:hAnsi="Arial"/>
                <w:sz w:val="16"/>
                <w:szCs w:val="16"/>
                <w:b w:val="1"/>
                <w:bCs w:val="1"/>
                <w:color w:val="auto"/>
              </w:rPr>
              <w:t>2016</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6"/>
        </w:trPr>
        <w:tc>
          <w:tcPr>
            <w:tcW w:w="28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w w:val="87"/>
              </w:rPr>
              <w:t>S/(000)</w:t>
            </w: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gridSpan w:val="2"/>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collateral on repurchase agreements and security lendings (i)</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10,621,045</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10,080,794</w:t>
            </w:r>
          </w:p>
        </w:tc>
        <w:tc>
          <w:tcPr>
            <w:tcW w:w="8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740" w:type="dxa"/>
            <w:vAlign w:val="bottom"/>
            <w:gridSpan w:val="2"/>
          </w:tcPr>
          <w:p>
            <w:pPr>
              <w:spacing w:after="0"/>
              <w:rPr>
                <w:sz w:val="20"/>
                <w:szCs w:val="20"/>
                <w:color w:val="auto"/>
              </w:rPr>
            </w:pPr>
            <w:r>
              <w:rPr>
                <w:rFonts w:ascii="Arial" w:cs="Arial" w:eastAsia="Arial" w:hAnsi="Arial"/>
                <w:sz w:val="16"/>
                <w:szCs w:val="16"/>
                <w:color w:val="auto"/>
              </w:rPr>
              <w:t>Reverse repurchase agreement and security borrowings (ii)</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294,558</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945,904</w:t>
            </w:r>
          </w:p>
        </w:tc>
        <w:tc>
          <w:tcPr>
            <w:tcW w:w="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Receivables for short sales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4,021</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4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10,919,624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11,026,698</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81" w:lineRule="exact"/>
        <w:rPr>
          <w:sz w:val="20"/>
          <w:szCs w:val="20"/>
          <w:color w:val="auto"/>
        </w:rPr>
      </w:pPr>
    </w:p>
    <w:p>
      <w:pPr>
        <w:ind w:left="583" w:right="20" w:hanging="293"/>
        <w:spacing w:after="0" w:line="257" w:lineRule="auto"/>
        <w:tabs>
          <w:tab w:leader="none" w:pos="583"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January 2015, the BCRP issued Circular N°002-2015-BCRP, which establishes new procedures for currency reporting operations for the purpose of supporting the process of de-dollarization of credit. In this regard, at December 31, 2016 this balance mainly comprises cash collateral for approximately US$3,127.1 million (equivalent to S/10,494.7 million) delivered to BCRP to secure a borrowing of approximately S/10,008.7 million obtained from the same entity (US$2,955.4 million, equivalent to S/10,080.8 million, and S/9,329.0 million, respectively at December 31, 2015). Cash collateral bears interest at an average annual effective interest rate according to market rates. The related liability is presented in “Payables from repurchase agreements and security lending” of the consolidated statement of financial position, see paragraph (c) below.</w:t>
      </w:r>
    </w:p>
    <w:p>
      <w:pPr>
        <w:spacing w:after="0" w:line="365" w:lineRule="exact"/>
        <w:rPr>
          <w:rFonts w:ascii="Arial" w:cs="Arial" w:eastAsia="Arial" w:hAnsi="Arial"/>
          <w:sz w:val="16"/>
          <w:szCs w:val="16"/>
          <w:color w:val="auto"/>
        </w:rPr>
      </w:pPr>
    </w:p>
    <w:p>
      <w:pPr>
        <w:ind w:left="5643" w:hanging="94"/>
        <w:spacing w:after="0"/>
        <w:tabs>
          <w:tab w:leader="none" w:pos="5643" w:val="left"/>
        </w:tabs>
        <w:numPr>
          <w:ilvl w:val="1"/>
          <w:numId w:val="57"/>
        </w:numPr>
        <w:rPr>
          <w:rFonts w:ascii="Arial" w:cs="Arial" w:eastAsia="Arial" w:hAnsi="Arial"/>
          <w:sz w:val="16"/>
          <w:szCs w:val="16"/>
          <w:color w:val="auto"/>
        </w:rPr>
      </w:pPr>
      <w:r>
        <w:rPr>
          <w:rFonts w:ascii="Arial" w:cs="Arial" w:eastAsia="Arial" w:hAnsi="Arial"/>
          <w:sz w:val="16"/>
          <w:szCs w:val="16"/>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63"/>
          </w:cols>
          <w:pgMar w:left="237" w:top="828" w:right="399" w:bottom="1440" w:gutter="0" w:footer="0" w:header="0"/>
        </w:sectPr>
      </w:pPr>
    </w:p>
    <w:bookmarkStart w:id="56" w:name="page57"/>
    <w:bookmarkEnd w:id="56"/>
    <w:p>
      <w:pPr>
        <w:ind w:left="580" w:right="320" w:hanging="293"/>
        <w:spacing w:after="0" w:line="280" w:lineRule="auto"/>
        <w:tabs>
          <w:tab w:leader="none" w:pos="580" w:val="left"/>
        </w:tabs>
        <w:numPr>
          <w:ilvl w:val="0"/>
          <w:numId w:val="58"/>
        </w:numPr>
        <w:rPr>
          <w:rFonts w:ascii="Arial" w:cs="Arial" w:eastAsia="Arial" w:hAnsi="Arial"/>
          <w:sz w:val="16"/>
          <w:szCs w:val="16"/>
          <w:color w:val="222222"/>
        </w:rPr>
      </w:pPr>
      <w:r>
        <w:rPr>
          <w:rFonts w:ascii="Arial" w:cs="Arial" w:eastAsia="Arial" w:hAnsi="Arial"/>
          <w:sz w:val="16"/>
          <w:szCs w:val="16"/>
          <w:color w:val="222222"/>
        </w:rPr>
        <w:t xml:space="preserve">Credicorp, </w:t>
      </w:r>
      <w:r>
        <w:rPr>
          <w:rFonts w:ascii="Arial" w:cs="Arial" w:eastAsia="Arial" w:hAnsi="Arial"/>
          <w:sz w:val="16"/>
          <w:szCs w:val="16"/>
          <w:color w:val="000000"/>
        </w:rPr>
        <w:t>mainly through its subsidiaries</w:t>
      </w:r>
      <w:r>
        <w:rPr>
          <w:rFonts w:ascii="Arial" w:cs="Arial" w:eastAsia="Arial" w:hAnsi="Arial"/>
          <w:sz w:val="16"/>
          <w:szCs w:val="16"/>
          <w:color w:val="222222"/>
        </w:rPr>
        <w:t xml:space="preserve"> Credicrp Capital Colombia and IM Trust, </w:t>
      </w:r>
      <w:r>
        <w:rPr>
          <w:rFonts w:ascii="Arial" w:cs="Arial" w:eastAsia="Arial" w:hAnsi="Arial"/>
          <w:sz w:val="16"/>
          <w:szCs w:val="16"/>
          <w:color w:val="000000"/>
        </w:rPr>
        <w:t>provides financing to its customers through reverse repurchase agreements and</w:t>
      </w:r>
      <w:r>
        <w:rPr>
          <w:rFonts w:ascii="Arial" w:cs="Arial" w:eastAsia="Arial" w:hAnsi="Arial"/>
          <w:sz w:val="16"/>
          <w:szCs w:val="16"/>
          <w:color w:val="222222"/>
        </w:rPr>
        <w:t xml:space="preserve"> </w:t>
      </w:r>
      <w:r>
        <w:rPr>
          <w:rFonts w:ascii="Arial" w:cs="Arial" w:eastAsia="Arial" w:hAnsi="Arial"/>
          <w:sz w:val="16"/>
          <w:szCs w:val="16"/>
          <w:color w:val="000000"/>
        </w:rPr>
        <w:t>security borrowings, in which a financial instrument serves as collateral. Details of said transactions are as follows</w:t>
      </w:r>
      <w:r>
        <w:rPr>
          <w:rFonts w:ascii="Arial" w:cs="Arial" w:eastAsia="Arial" w:hAnsi="Arial"/>
          <w:sz w:val="16"/>
          <w:szCs w:val="16"/>
          <w:color w:val="222222"/>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At December 31, 2016</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At December 31, 2015</w:t>
            </w: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From 3 to 30</w:t>
            </w:r>
          </w:p>
        </w:tc>
        <w:tc>
          <w:tcPr>
            <w:tcW w:w="78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More than</w:t>
            </w:r>
          </w:p>
        </w:tc>
        <w:tc>
          <w:tcPr>
            <w:tcW w:w="7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Carrying</w:t>
            </w:r>
          </w:p>
        </w:tc>
        <w:tc>
          <w:tcPr>
            <w:tcW w:w="800" w:type="dxa"/>
            <w:vAlign w:val="bottom"/>
            <w:gridSpan w:val="2"/>
          </w:tcPr>
          <w:p>
            <w:pPr>
              <w:ind w:left="100"/>
              <w:spacing w:after="0" w:line="105" w:lineRule="exact"/>
              <w:rPr>
                <w:sz w:val="20"/>
                <w:szCs w:val="20"/>
                <w:color w:val="auto"/>
              </w:rPr>
            </w:pPr>
            <w:r>
              <w:rPr>
                <w:rFonts w:ascii="Arial" w:cs="Arial" w:eastAsia="Arial" w:hAnsi="Arial"/>
                <w:sz w:val="12"/>
                <w:szCs w:val="12"/>
                <w:b w:val="1"/>
                <w:bCs w:val="1"/>
                <w:color w:val="auto"/>
                <w:w w:val="96"/>
              </w:rPr>
              <w:t>Fair value of</w:t>
            </w:r>
          </w:p>
        </w:tc>
        <w:tc>
          <w:tcPr>
            <w:tcW w:w="200" w:type="dxa"/>
            <w:vAlign w:val="bottom"/>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Average</w:t>
            </w:r>
          </w:p>
        </w:tc>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Up to 3</w:t>
            </w:r>
          </w:p>
        </w:tc>
        <w:tc>
          <w:tcPr>
            <w:tcW w:w="8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From 3 to</w:t>
            </w:r>
          </w:p>
        </w:tc>
        <w:tc>
          <w:tcPr>
            <w:tcW w:w="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More than</w:t>
            </w:r>
          </w:p>
        </w:tc>
        <w:tc>
          <w:tcPr>
            <w:tcW w:w="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Carrying</w:t>
            </w:r>
          </w:p>
        </w:tc>
        <w:tc>
          <w:tcPr>
            <w:tcW w:w="700" w:type="dxa"/>
            <w:vAlign w:val="bottom"/>
          </w:tcPr>
          <w:p>
            <w:pPr>
              <w:spacing w:after="0" w:line="105" w:lineRule="exact"/>
              <w:rPr>
                <w:sz w:val="20"/>
                <w:szCs w:val="20"/>
                <w:color w:val="auto"/>
              </w:rPr>
            </w:pPr>
            <w:r>
              <w:rPr>
                <w:rFonts w:ascii="Arial" w:cs="Arial" w:eastAsia="Arial" w:hAnsi="Arial"/>
                <w:sz w:val="12"/>
                <w:szCs w:val="12"/>
                <w:b w:val="1"/>
                <w:bCs w:val="1"/>
                <w:color w:val="auto"/>
                <w:w w:val="96"/>
              </w:rPr>
              <w:t>Fair value of</w:t>
            </w:r>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96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Up to 3 days</w:t>
            </w:r>
          </w:p>
        </w:tc>
        <w:tc>
          <w:tcPr>
            <w:tcW w:w="800" w:type="dxa"/>
            <w:vAlign w:val="bottom"/>
            <w:gridSpan w:val="2"/>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1000" w:type="dxa"/>
            <w:vAlign w:val="bottom"/>
            <w:gridSpan w:val="3"/>
          </w:tcPr>
          <w:p>
            <w:pPr>
              <w:ind w:left="100"/>
              <w:spacing w:after="0" w:line="133" w:lineRule="exact"/>
              <w:rPr>
                <w:sz w:val="20"/>
                <w:szCs w:val="20"/>
                <w:color w:val="auto"/>
              </w:rPr>
            </w:pPr>
            <w:r>
              <w:rPr>
                <w:rFonts w:ascii="Arial" w:cs="Arial" w:eastAsia="Arial" w:hAnsi="Arial"/>
                <w:sz w:val="13"/>
                <w:szCs w:val="13"/>
                <w:b w:val="1"/>
                <w:bCs w:val="1"/>
                <w:color w:val="auto"/>
              </w:rPr>
              <w:t>underlying</w:t>
            </w:r>
          </w:p>
        </w:tc>
        <w:tc>
          <w:tcPr>
            <w:tcW w:w="8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3"/>
                <w:szCs w:val="13"/>
                <w:b w:val="1"/>
                <w:bCs w:val="1"/>
                <w:color w:val="auto"/>
              </w:rPr>
              <w:t>underlying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80" w:type="dxa"/>
            <w:vAlign w:val="bottom"/>
            <w:gridSpan w:val="5"/>
          </w:tcPr>
          <w:p>
            <w:pPr>
              <w:ind w:left="40"/>
              <w:spacing w:after="0"/>
              <w:rPr>
                <w:sz w:val="20"/>
                <w:szCs w:val="20"/>
                <w:color w:val="auto"/>
              </w:rPr>
            </w:pPr>
            <w:r>
              <w:rPr>
                <w:rFonts w:ascii="Arial" w:cs="Arial" w:eastAsia="Arial" w:hAnsi="Arial"/>
                <w:sz w:val="13"/>
                <w:szCs w:val="13"/>
                <w:b w:val="1"/>
                <w:bCs w:val="1"/>
                <w:color w:val="auto"/>
              </w:rPr>
              <w:t>Currency  interest rate</w:t>
            </w:r>
          </w:p>
        </w:tc>
        <w:tc>
          <w:tcPr>
            <w:tcW w:w="960" w:type="dxa"/>
            <w:vAlign w:val="bottom"/>
            <w:gridSpan w:val="3"/>
            <w:vMerge w:val="continue"/>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days</w:t>
            </w:r>
          </w:p>
        </w:tc>
        <w:tc>
          <w:tcPr>
            <w:tcW w:w="780" w:type="dxa"/>
            <w:vAlign w:val="bottom"/>
            <w:gridSpan w:val="3"/>
          </w:tcPr>
          <w:p>
            <w:pPr>
              <w:ind w:left="100"/>
              <w:spacing w:after="0"/>
              <w:rPr>
                <w:sz w:val="20"/>
                <w:szCs w:val="20"/>
                <w:color w:val="auto"/>
              </w:rPr>
            </w:pPr>
            <w:r>
              <w:rPr>
                <w:rFonts w:ascii="Arial" w:cs="Arial" w:eastAsia="Arial" w:hAnsi="Arial"/>
                <w:sz w:val="13"/>
                <w:szCs w:val="13"/>
                <w:b w:val="1"/>
                <w:bCs w:val="1"/>
                <w:color w:val="auto"/>
              </w:rPr>
              <w:t>30 days</w:t>
            </w:r>
          </w:p>
        </w:tc>
        <w:tc>
          <w:tcPr>
            <w:tcW w:w="74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3"/>
          </w:tcPr>
          <w:p>
            <w:pPr>
              <w:ind w:left="100"/>
              <w:spacing w:after="0"/>
              <w:rPr>
                <w:sz w:val="20"/>
                <w:szCs w:val="20"/>
                <w:color w:val="auto"/>
              </w:rPr>
            </w:pPr>
            <w:r>
              <w:rPr>
                <w:rFonts w:ascii="Arial" w:cs="Arial" w:eastAsia="Arial" w:hAnsi="Arial"/>
                <w:sz w:val="13"/>
                <w:szCs w:val="13"/>
                <w:b w:val="1"/>
                <w:bCs w:val="1"/>
                <w:color w:val="auto"/>
              </w:rPr>
              <w:t>assets</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5"/>
              </w:rPr>
              <w:t>interest rate</w:t>
            </w: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days</w:t>
            </w:r>
          </w:p>
        </w:tc>
        <w:tc>
          <w:tcPr>
            <w:tcW w:w="860" w:type="dxa"/>
            <w:vAlign w:val="bottom"/>
            <w:gridSpan w:val="3"/>
          </w:tcPr>
          <w:p>
            <w:pPr>
              <w:ind w:left="80"/>
              <w:spacing w:after="0"/>
              <w:rPr>
                <w:sz w:val="20"/>
                <w:szCs w:val="20"/>
                <w:color w:val="auto"/>
              </w:rPr>
            </w:pPr>
            <w:r>
              <w:rPr>
                <w:rFonts w:ascii="Arial" w:cs="Arial" w:eastAsia="Arial" w:hAnsi="Arial"/>
                <w:sz w:val="13"/>
                <w:szCs w:val="13"/>
                <w:b w:val="1"/>
                <w:bCs w:val="1"/>
                <w:color w:val="auto"/>
              </w:rPr>
              <w:t>30 days</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30 days</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assets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ind w:right="476"/>
              <w:spacing w:after="0"/>
              <w:rPr>
                <w:sz w:val="20"/>
                <w:szCs w:val="20"/>
                <w:color w:val="auto"/>
              </w:rPr>
            </w:pPr>
            <w:r>
              <w:rPr>
                <w:rFonts w:ascii="Arial" w:cs="Arial" w:eastAsia="Arial" w:hAnsi="Arial"/>
                <w:sz w:val="13"/>
                <w:szCs w:val="13"/>
                <w:b w:val="1"/>
                <w:bCs w:val="1"/>
                <w:color w:val="auto"/>
                <w:w w:val="86"/>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3"/>
                <w:szCs w:val="13"/>
                <w:color w:val="auto"/>
              </w:rPr>
            </w:pPr>
          </w:p>
        </w:tc>
        <w:tc>
          <w:tcPr>
            <w:tcW w:w="660" w:type="dxa"/>
            <w:vAlign w:val="bottom"/>
            <w:tcBorders>
              <w:top w:val="single" w:sz="8" w:color="auto"/>
            </w:tcBorders>
          </w:tcPr>
          <w:p>
            <w:pPr>
              <w:jc w:val="right"/>
              <w:ind w:right="476"/>
              <w:spacing w:after="0"/>
              <w:rPr>
                <w:sz w:val="20"/>
                <w:szCs w:val="20"/>
                <w:color w:val="auto"/>
              </w:rPr>
            </w:pPr>
            <w:r>
              <w:rPr>
                <w:rFonts w:ascii="Arial" w:cs="Arial" w:eastAsia="Arial" w:hAnsi="Arial"/>
                <w:sz w:val="13"/>
                <w:szCs w:val="13"/>
                <w:b w:val="1"/>
                <w:bCs w:val="1"/>
                <w:color w:val="auto"/>
                <w:w w:val="86"/>
              </w:rPr>
              <w:t>%</w:t>
            </w:r>
          </w:p>
        </w:tc>
        <w:tc>
          <w:tcPr>
            <w:tcW w:w="20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3"/>
                <w:szCs w:val="13"/>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3"/>
                <w:szCs w:val="13"/>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9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87"/>
              </w:rPr>
              <w:t>Instruments issued</w:t>
            </w:r>
          </w:p>
        </w:tc>
        <w:tc>
          <w:tcPr>
            <w:tcW w:w="1480" w:type="dxa"/>
            <w:vAlign w:val="bottom"/>
            <w:gridSpan w:val="5"/>
            <w:shd w:val="clear" w:color="auto" w:fill="CCEEFF"/>
          </w:tcPr>
          <w:p>
            <w:pPr>
              <w:ind w:left="40"/>
              <w:spacing w:after="0" w:line="117" w:lineRule="exact"/>
              <w:rPr>
                <w:sz w:val="20"/>
                <w:szCs w:val="20"/>
                <w:color w:val="auto"/>
              </w:rPr>
            </w:pPr>
            <w:r>
              <w:rPr>
                <w:rFonts w:ascii="Arial" w:cs="Arial" w:eastAsia="Arial" w:hAnsi="Arial"/>
                <w:sz w:val="13"/>
                <w:szCs w:val="13"/>
                <w:color w:val="auto"/>
              </w:rPr>
              <w:t>Colombian</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4"/>
              </w:rPr>
              <w:t>by the Colombian</w:t>
            </w:r>
          </w:p>
        </w:tc>
        <w:tc>
          <w:tcPr>
            <w:tcW w:w="1480" w:type="dxa"/>
            <w:vAlign w:val="bottom"/>
            <w:gridSpan w:val="5"/>
            <w:shd w:val="clear" w:color="auto" w:fill="CCEEFF"/>
          </w:tcPr>
          <w:p>
            <w:pPr>
              <w:ind w:left="40"/>
              <w:spacing w:after="0" w:line="133" w:lineRule="exact"/>
              <w:rPr>
                <w:sz w:val="20"/>
                <w:szCs w:val="20"/>
                <w:color w:val="auto"/>
              </w:rPr>
            </w:pPr>
            <w:r>
              <w:rPr>
                <w:rFonts w:ascii="Arial" w:cs="Arial" w:eastAsia="Arial" w:hAnsi="Arial"/>
                <w:sz w:val="13"/>
                <w:szCs w:val="13"/>
                <w:color w:val="auto"/>
              </w:rPr>
              <w:t>pesos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Government</w:t>
            </w:r>
          </w:p>
        </w:tc>
        <w:tc>
          <w:tcPr>
            <w:tcW w:w="148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7.30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5,661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96,924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11,408</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113,993</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113,993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5.75</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821,588</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821,588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821,588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line="117" w:lineRule="exact"/>
              <w:rPr>
                <w:sz w:val="20"/>
                <w:szCs w:val="20"/>
                <w:color w:val="auto"/>
              </w:rPr>
            </w:pPr>
            <w:r>
              <w:rPr>
                <w:rFonts w:ascii="Arial" w:cs="Arial" w:eastAsia="Arial" w:hAnsi="Arial"/>
                <w:sz w:val="13"/>
                <w:szCs w:val="13"/>
                <w:color w:val="auto"/>
                <w:w w:val="87"/>
              </w:rPr>
              <w:t>Instruments issued</w:t>
            </w:r>
          </w:p>
        </w:tc>
        <w:tc>
          <w:tcPr>
            <w:tcW w:w="1480" w:type="dxa"/>
            <w:vAlign w:val="bottom"/>
            <w:gridSpan w:val="5"/>
          </w:tcPr>
          <w:p>
            <w:pPr>
              <w:ind w:left="40"/>
              <w:spacing w:after="0" w:line="117" w:lineRule="exact"/>
              <w:rPr>
                <w:sz w:val="20"/>
                <w:szCs w:val="20"/>
                <w:color w:val="auto"/>
              </w:rPr>
            </w:pPr>
            <w:r>
              <w:rPr>
                <w:rFonts w:ascii="Arial" w:cs="Arial" w:eastAsia="Arial" w:hAnsi="Arial"/>
                <w:sz w:val="13"/>
                <w:szCs w:val="13"/>
                <w:color w:val="auto"/>
              </w:rPr>
              <w:t>Chilean</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00" w:type="dxa"/>
            <w:vAlign w:val="bottom"/>
            <w:gridSpan w:val="2"/>
          </w:tcPr>
          <w:p>
            <w:pPr>
              <w:spacing w:after="0" w:line="133" w:lineRule="exact"/>
              <w:rPr>
                <w:sz w:val="20"/>
                <w:szCs w:val="20"/>
                <w:color w:val="auto"/>
              </w:rPr>
            </w:pPr>
            <w:r>
              <w:rPr>
                <w:rFonts w:ascii="Arial" w:cs="Arial" w:eastAsia="Arial" w:hAnsi="Arial"/>
                <w:sz w:val="13"/>
                <w:szCs w:val="13"/>
                <w:color w:val="auto"/>
              </w:rPr>
              <w:t>by the Chilean</w:t>
            </w:r>
          </w:p>
        </w:tc>
        <w:tc>
          <w:tcPr>
            <w:tcW w:w="1480" w:type="dxa"/>
            <w:vAlign w:val="bottom"/>
            <w:gridSpan w:val="5"/>
          </w:tcPr>
          <w:p>
            <w:pPr>
              <w:ind w:left="40"/>
              <w:spacing w:after="0" w:line="133" w:lineRule="exact"/>
              <w:rPr>
                <w:sz w:val="20"/>
                <w:szCs w:val="20"/>
                <w:color w:val="auto"/>
              </w:rPr>
            </w:pPr>
            <w:r>
              <w:rPr>
                <w:rFonts w:ascii="Arial" w:cs="Arial" w:eastAsia="Arial" w:hAnsi="Arial"/>
                <w:sz w:val="13"/>
                <w:szCs w:val="13"/>
                <w:color w:val="auto"/>
              </w:rPr>
              <w:t>pesos</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gridSpan w:val="2"/>
          </w:tcPr>
          <w:p>
            <w:pPr>
              <w:spacing w:after="0"/>
              <w:rPr>
                <w:sz w:val="20"/>
                <w:szCs w:val="20"/>
                <w:color w:val="auto"/>
              </w:rPr>
            </w:pPr>
            <w:r>
              <w:rPr>
                <w:rFonts w:ascii="Arial" w:cs="Arial" w:eastAsia="Arial" w:hAnsi="Arial"/>
                <w:sz w:val="13"/>
                <w:szCs w:val="13"/>
                <w:color w:val="auto"/>
              </w:rPr>
              <w:t>Government</w:t>
            </w:r>
          </w:p>
        </w:tc>
        <w:tc>
          <w:tcPr>
            <w:tcW w:w="1480" w:type="dxa"/>
            <w:vAlign w:val="bottom"/>
            <w:gridSpan w:val="5"/>
          </w:tcPr>
          <w:p>
            <w:pPr>
              <w:jc w:val="right"/>
              <w:ind w:right="100"/>
              <w:spacing w:after="0"/>
              <w:rPr>
                <w:sz w:val="20"/>
                <w:szCs w:val="20"/>
                <w:color w:val="auto"/>
              </w:rPr>
            </w:pPr>
            <w:r>
              <w:rPr>
                <w:rFonts w:ascii="Arial" w:cs="Arial" w:eastAsia="Arial" w:hAnsi="Arial"/>
                <w:sz w:val="13"/>
                <w:szCs w:val="13"/>
                <w:color w:val="auto"/>
              </w:rPr>
              <w:t>0.42</w:t>
            </w:r>
          </w:p>
        </w:tc>
        <w:tc>
          <w:tcPr>
            <w:tcW w:w="96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1,255</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1,255</w:t>
            </w:r>
          </w:p>
        </w:tc>
        <w:tc>
          <w:tcPr>
            <w:tcW w:w="1000" w:type="dxa"/>
            <w:vAlign w:val="bottom"/>
            <w:gridSpan w:val="3"/>
          </w:tcPr>
          <w:p>
            <w:pPr>
              <w:jc w:val="right"/>
              <w:ind w:right="200"/>
              <w:spacing w:after="0"/>
              <w:rPr>
                <w:sz w:val="20"/>
                <w:szCs w:val="20"/>
                <w:color w:val="auto"/>
              </w:rPr>
            </w:pPr>
            <w:r>
              <w:rPr>
                <w:rFonts w:ascii="Arial" w:cs="Arial" w:eastAsia="Arial" w:hAnsi="Arial"/>
                <w:sz w:val="13"/>
                <w:szCs w:val="13"/>
                <w:color w:val="auto"/>
              </w:rPr>
              <w:t>1,259</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0.31</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59,025</w:t>
            </w:r>
          </w:p>
        </w:tc>
        <w:tc>
          <w:tcPr>
            <w:tcW w:w="860" w:type="dxa"/>
            <w:vAlign w:val="bottom"/>
            <w:gridSpan w:val="3"/>
          </w:tcPr>
          <w:p>
            <w:pPr>
              <w:jc w:val="right"/>
              <w:ind w:right="200"/>
              <w:spacing w:after="0"/>
              <w:rPr>
                <w:sz w:val="20"/>
                <w:szCs w:val="20"/>
                <w:color w:val="auto"/>
              </w:rPr>
            </w:pPr>
            <w:r>
              <w:rPr>
                <w:rFonts w:ascii="Arial" w:cs="Arial" w:eastAsia="Arial" w:hAnsi="Arial"/>
                <w:sz w:val="13"/>
                <w:szCs w:val="13"/>
                <w:color w:val="auto"/>
              </w:rPr>
              <w:t>18,661</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1,612</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79,298</w:t>
            </w: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79,338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w w:val="92"/>
              </w:rPr>
              <w:t>Other instruments</w:t>
            </w:r>
          </w:p>
        </w:tc>
        <w:tc>
          <w:tcPr>
            <w:tcW w:w="1480" w:type="dxa"/>
            <w:vAlign w:val="bottom"/>
            <w:gridSpan w:val="5"/>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4.54</w:t>
            </w:r>
          </w:p>
        </w:tc>
        <w:tc>
          <w:tcPr>
            <w:tcW w:w="96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166,826</w:t>
            </w:r>
          </w:p>
        </w:tc>
        <w:tc>
          <w:tcPr>
            <w:tcW w:w="780" w:type="dxa"/>
            <w:vAlign w:val="bottom"/>
            <w:gridSpan w:val="3"/>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12,484</w:t>
            </w:r>
          </w:p>
        </w:tc>
        <w:tc>
          <w:tcPr>
            <w:tcW w:w="740" w:type="dxa"/>
            <w:vAlign w:val="bottom"/>
            <w:gridSpan w:val="3"/>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179,310</w:t>
            </w:r>
          </w:p>
        </w:tc>
        <w:tc>
          <w:tcPr>
            <w:tcW w:w="100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179,809</w:t>
            </w:r>
          </w:p>
        </w:tc>
        <w:tc>
          <w:tcPr>
            <w:tcW w:w="8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5.75</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44,527</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491</w:t>
            </w:r>
          </w:p>
        </w:tc>
        <w:tc>
          <w:tcPr>
            <w:tcW w:w="7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45,018</w:t>
            </w:r>
          </w:p>
        </w:tc>
        <w:tc>
          <w:tcPr>
            <w:tcW w:w="72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45,018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5,661</w:t>
            </w:r>
          </w:p>
        </w:tc>
        <w:tc>
          <w:tcPr>
            <w:tcW w:w="20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265,005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23,892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294,558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295,061</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59,025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884,776</w:t>
            </w:r>
          </w:p>
        </w:tc>
        <w:tc>
          <w:tcPr>
            <w:tcW w:w="2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2,103</w:t>
            </w:r>
          </w:p>
        </w:tc>
        <w:tc>
          <w:tcPr>
            <w:tcW w:w="18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945,904</w:t>
            </w:r>
          </w:p>
        </w:tc>
        <w:tc>
          <w:tcPr>
            <w:tcW w:w="20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945,944</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828" w:right="219" w:bottom="1440" w:gutter="0" w:footer="0" w:header="0"/>
        </w:sectPr>
      </w:pPr>
    </w:p>
    <w:bookmarkStart w:id="57" w:name="page58"/>
    <w:bookmarkEnd w:id="57"/>
    <w:p>
      <w:pPr>
        <w:ind w:left="283" w:right="40" w:hanging="283"/>
        <w:spacing w:after="0" w:line="280" w:lineRule="auto"/>
        <w:tabs>
          <w:tab w:leader="none" w:pos="283" w:val="left"/>
        </w:tabs>
        <w:numPr>
          <w:ilvl w:val="0"/>
          <w:numId w:val="59"/>
        </w:numPr>
        <w:rPr>
          <w:rFonts w:ascii="Arial" w:cs="Arial" w:eastAsia="Arial" w:hAnsi="Arial"/>
          <w:sz w:val="16"/>
          <w:szCs w:val="16"/>
          <w:color w:val="auto"/>
        </w:rPr>
      </w:pPr>
      <w:r>
        <w:rPr>
          <w:rFonts w:ascii="Arial" w:cs="Arial" w:eastAsia="Arial" w:hAnsi="Arial"/>
          <w:sz w:val="16"/>
          <w:szCs w:val="16"/>
          <w:color w:val="auto"/>
        </w:rPr>
        <w:t>Credicorp, through its subsidiaries, obtains financing through “Payables from repurchase agreements and security lendings” by selling financial instruments and committing to repurchase them at future dates, plus interest at a fixed rate. The details of said transactions are as follows: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At December 31, 2016</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At December 31, 2015</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Average</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From 3 to 30</w:t>
            </w:r>
          </w:p>
        </w:tc>
        <w:tc>
          <w:tcPr>
            <w:tcW w:w="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More than</w:t>
            </w:r>
          </w:p>
        </w:tc>
        <w:tc>
          <w:tcPr>
            <w:tcW w:w="8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Carrying</w:t>
            </w:r>
          </w:p>
        </w:tc>
        <w:tc>
          <w:tcPr>
            <w:tcW w:w="800" w:type="dxa"/>
            <w:vAlign w:val="bottom"/>
            <w:gridSpan w:val="2"/>
          </w:tcPr>
          <w:p>
            <w:pPr>
              <w:ind w:left="100"/>
              <w:spacing w:after="0" w:line="105" w:lineRule="exact"/>
              <w:rPr>
                <w:sz w:val="20"/>
                <w:szCs w:val="20"/>
                <w:color w:val="auto"/>
              </w:rPr>
            </w:pPr>
            <w:r>
              <w:rPr>
                <w:rFonts w:ascii="Arial" w:cs="Arial" w:eastAsia="Arial" w:hAnsi="Arial"/>
                <w:sz w:val="12"/>
                <w:szCs w:val="12"/>
                <w:b w:val="1"/>
                <w:bCs w:val="1"/>
                <w:color w:val="auto"/>
                <w:w w:val="96"/>
              </w:rPr>
              <w:t>Fair value of</w:t>
            </w:r>
          </w:p>
        </w:tc>
        <w:tc>
          <w:tcPr>
            <w:tcW w:w="100" w:type="dxa"/>
            <w:vAlign w:val="bottom"/>
          </w:tcPr>
          <w:p>
            <w:pPr>
              <w:spacing w:after="0"/>
              <w:rPr>
                <w:sz w:val="9"/>
                <w:szCs w:val="9"/>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Average</w:t>
            </w:r>
          </w:p>
        </w:tc>
        <w:tc>
          <w:tcPr>
            <w:tcW w:w="70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Up to 3</w:t>
            </w:r>
          </w:p>
        </w:tc>
        <w:tc>
          <w:tcPr>
            <w:tcW w:w="8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From 3 to</w:t>
            </w:r>
          </w:p>
        </w:tc>
        <w:tc>
          <w:tcPr>
            <w:tcW w:w="660" w:type="dxa"/>
            <w:vAlign w:val="bottom"/>
            <w:vMerge w:val="restart"/>
          </w:tcPr>
          <w:p>
            <w:pPr>
              <w:spacing w:after="0"/>
              <w:rPr>
                <w:sz w:val="20"/>
                <w:szCs w:val="20"/>
                <w:color w:val="auto"/>
              </w:rPr>
            </w:pPr>
            <w:r>
              <w:rPr>
                <w:rFonts w:ascii="Arial" w:cs="Arial" w:eastAsia="Arial" w:hAnsi="Arial"/>
                <w:sz w:val="13"/>
                <w:szCs w:val="13"/>
                <w:b w:val="1"/>
                <w:bCs w:val="1"/>
                <w:color w:val="auto"/>
              </w:rPr>
              <w:t>More than</w:t>
            </w:r>
          </w:p>
        </w:tc>
        <w:tc>
          <w:tcPr>
            <w:tcW w:w="100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Carrying</w:t>
            </w:r>
          </w:p>
        </w:tc>
        <w:tc>
          <w:tcPr>
            <w:tcW w:w="72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w w:val="98"/>
              </w:rPr>
              <w:t>Fair value of</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Up to 3 days</w:t>
            </w:r>
          </w:p>
        </w:tc>
        <w:tc>
          <w:tcPr>
            <w:tcW w:w="8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3"/>
                <w:szCs w:val="13"/>
                <w:b w:val="1"/>
                <w:bCs w:val="1"/>
                <w:color w:val="auto"/>
              </w:rPr>
              <w:t>underlying</w:t>
            </w:r>
          </w:p>
        </w:tc>
        <w:tc>
          <w:tcPr>
            <w:tcW w:w="820" w:type="dxa"/>
            <w:vAlign w:val="bottom"/>
            <w:gridSpan w:val="3"/>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3"/>
                <w:szCs w:val="13"/>
                <w:b w:val="1"/>
                <w:bCs w:val="1"/>
                <w:color w:val="auto"/>
              </w:rPr>
              <w:t>underlying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40" w:type="dxa"/>
            <w:vAlign w:val="bottom"/>
            <w:gridSpan w:val="5"/>
          </w:tcPr>
          <w:p>
            <w:pPr>
              <w:ind w:left="40"/>
              <w:spacing w:after="0"/>
              <w:rPr>
                <w:sz w:val="20"/>
                <w:szCs w:val="20"/>
                <w:color w:val="auto"/>
              </w:rPr>
            </w:pPr>
            <w:r>
              <w:rPr>
                <w:rFonts w:ascii="Arial" w:cs="Arial" w:eastAsia="Arial" w:hAnsi="Arial"/>
                <w:sz w:val="13"/>
                <w:szCs w:val="13"/>
                <w:b w:val="1"/>
                <w:bCs w:val="1"/>
                <w:color w:val="auto"/>
                <w:w w:val="99"/>
              </w:rPr>
              <w:t>Currency  interest rate</w:t>
            </w:r>
          </w:p>
        </w:tc>
        <w:tc>
          <w:tcPr>
            <w:tcW w:w="880" w:type="dxa"/>
            <w:vAlign w:val="bottom"/>
            <w:gridSpan w:val="3"/>
            <w:vMerge w:val="continue"/>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days</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30 days</w:t>
            </w:r>
          </w:p>
        </w:tc>
        <w:tc>
          <w:tcPr>
            <w:tcW w:w="82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900" w:type="dxa"/>
            <w:vAlign w:val="bottom"/>
            <w:gridSpan w:val="3"/>
          </w:tcPr>
          <w:p>
            <w:pPr>
              <w:ind w:left="100"/>
              <w:spacing w:after="0"/>
              <w:rPr>
                <w:sz w:val="20"/>
                <w:szCs w:val="20"/>
                <w:color w:val="auto"/>
              </w:rPr>
            </w:pPr>
            <w:r>
              <w:rPr>
                <w:rFonts w:ascii="Arial" w:cs="Arial" w:eastAsia="Arial" w:hAnsi="Arial"/>
                <w:sz w:val="13"/>
                <w:szCs w:val="13"/>
                <w:b w:val="1"/>
                <w:bCs w:val="1"/>
                <w:color w:val="auto"/>
              </w:rPr>
              <w:t>assets</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6"/>
              </w:rPr>
              <w:t>interest rate</w:t>
            </w:r>
          </w:p>
        </w:tc>
        <w:tc>
          <w:tcPr>
            <w:tcW w:w="700" w:type="dxa"/>
            <w:vAlign w:val="bottom"/>
            <w:gridSpan w:val="3"/>
          </w:tcPr>
          <w:p>
            <w:pPr>
              <w:ind w:left="100"/>
              <w:spacing w:after="0"/>
              <w:rPr>
                <w:sz w:val="20"/>
                <w:szCs w:val="20"/>
                <w:color w:val="auto"/>
              </w:rPr>
            </w:pPr>
            <w:r>
              <w:rPr>
                <w:rFonts w:ascii="Arial" w:cs="Arial" w:eastAsia="Arial" w:hAnsi="Arial"/>
                <w:sz w:val="13"/>
                <w:szCs w:val="13"/>
                <w:b w:val="1"/>
                <w:bCs w:val="1"/>
                <w:color w:val="auto"/>
              </w:rPr>
              <w:t>days</w:t>
            </w:r>
          </w:p>
        </w:tc>
        <w:tc>
          <w:tcPr>
            <w:tcW w:w="860" w:type="dxa"/>
            <w:vAlign w:val="bottom"/>
            <w:gridSpan w:val="3"/>
          </w:tcPr>
          <w:p>
            <w:pPr>
              <w:ind w:left="80"/>
              <w:spacing w:after="0"/>
              <w:rPr>
                <w:sz w:val="20"/>
                <w:szCs w:val="20"/>
                <w:color w:val="auto"/>
              </w:rPr>
            </w:pPr>
            <w:r>
              <w:rPr>
                <w:rFonts w:ascii="Arial" w:cs="Arial" w:eastAsia="Arial" w:hAnsi="Arial"/>
                <w:sz w:val="13"/>
                <w:szCs w:val="13"/>
                <w:b w:val="1"/>
                <w:bCs w:val="1"/>
                <w:color w:val="auto"/>
              </w:rPr>
              <w:t>30 days</w:t>
            </w:r>
          </w:p>
        </w:tc>
        <w:tc>
          <w:tcPr>
            <w:tcW w:w="660" w:type="dxa"/>
            <w:vAlign w:val="bottom"/>
          </w:tcPr>
          <w:p>
            <w:pPr>
              <w:spacing w:after="0"/>
              <w:rPr>
                <w:sz w:val="20"/>
                <w:szCs w:val="20"/>
                <w:color w:val="auto"/>
              </w:rPr>
            </w:pPr>
            <w:r>
              <w:rPr>
                <w:rFonts w:ascii="Arial" w:cs="Arial" w:eastAsia="Arial" w:hAnsi="Arial"/>
                <w:sz w:val="13"/>
                <w:szCs w:val="13"/>
                <w:b w:val="1"/>
                <w:bCs w:val="1"/>
                <w:color w:val="auto"/>
              </w:rPr>
              <w:t>30 days</w:t>
            </w:r>
          </w:p>
        </w:tc>
        <w:tc>
          <w:tcPr>
            <w:tcW w:w="1000" w:type="dxa"/>
            <w:vAlign w:val="bottom"/>
            <w:gridSpan w:val="3"/>
          </w:tcPr>
          <w:p>
            <w:pPr>
              <w:ind w:left="160"/>
              <w:spacing w:after="0"/>
              <w:rPr>
                <w:sz w:val="20"/>
                <w:szCs w:val="20"/>
                <w:color w:val="auto"/>
              </w:rPr>
            </w:pPr>
            <w:r>
              <w:rPr>
                <w:rFonts w:ascii="Arial" w:cs="Arial" w:eastAsia="Arial" w:hAnsi="Arial"/>
                <w:sz w:val="13"/>
                <w:szCs w:val="13"/>
                <w:b w:val="1"/>
                <w:bCs w:val="1"/>
                <w:color w:val="auto"/>
              </w:rPr>
              <w:t>amount</w:t>
            </w: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assets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3"/>
                <w:szCs w:val="13"/>
                <w:color w:val="auto"/>
              </w:rPr>
            </w:pPr>
          </w:p>
        </w:tc>
        <w:tc>
          <w:tcPr>
            <w:tcW w:w="72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9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Instruments</w:t>
            </w:r>
          </w:p>
        </w:tc>
        <w:tc>
          <w:tcPr>
            <w:tcW w:w="1440" w:type="dxa"/>
            <w:vAlign w:val="bottom"/>
            <w:gridSpan w:val="5"/>
            <w:shd w:val="clear" w:color="auto" w:fill="CCEEFF"/>
          </w:tcPr>
          <w:p>
            <w:pPr>
              <w:ind w:left="40"/>
              <w:spacing w:after="0" w:line="117" w:lineRule="exact"/>
              <w:rPr>
                <w:sz w:val="20"/>
                <w:szCs w:val="20"/>
                <w:color w:val="auto"/>
              </w:rPr>
            </w:pPr>
            <w:r>
              <w:rPr>
                <w:rFonts w:ascii="Arial" w:cs="Arial" w:eastAsia="Arial" w:hAnsi="Arial"/>
                <w:sz w:val="13"/>
                <w:szCs w:val="13"/>
                <w:color w:val="auto"/>
              </w:rPr>
              <w:t>Colombian</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issued by the</w:t>
            </w:r>
          </w:p>
        </w:tc>
        <w:tc>
          <w:tcPr>
            <w:tcW w:w="1440" w:type="dxa"/>
            <w:vAlign w:val="bottom"/>
            <w:gridSpan w:val="5"/>
            <w:shd w:val="clear" w:color="auto" w:fill="CCEEFF"/>
          </w:tcPr>
          <w:p>
            <w:pPr>
              <w:ind w:left="40"/>
              <w:spacing w:after="0" w:line="133" w:lineRule="exact"/>
              <w:rPr>
                <w:sz w:val="20"/>
                <w:szCs w:val="20"/>
                <w:color w:val="auto"/>
              </w:rPr>
            </w:pPr>
            <w:r>
              <w:rPr>
                <w:rFonts w:ascii="Arial" w:cs="Arial" w:eastAsia="Arial" w:hAnsi="Arial"/>
                <w:sz w:val="13"/>
                <w:szCs w:val="13"/>
                <w:color w:val="auto"/>
              </w:rPr>
              <w:t>pesos</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Colombian</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Government</w:t>
            </w:r>
          </w:p>
        </w:tc>
        <w:tc>
          <w:tcPr>
            <w:tcW w:w="144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color w:val="auto"/>
              </w:rPr>
              <w:t>7.60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63,267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864,071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927,338</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927,865</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5.75</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1,277,165</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1,277,165</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1,277,395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00" w:type="dxa"/>
            <w:vAlign w:val="bottom"/>
          </w:tcPr>
          <w:p>
            <w:pPr>
              <w:spacing w:after="0" w:line="117" w:lineRule="exact"/>
              <w:rPr>
                <w:sz w:val="20"/>
                <w:szCs w:val="20"/>
                <w:color w:val="auto"/>
              </w:rPr>
            </w:pPr>
            <w:r>
              <w:rPr>
                <w:rFonts w:ascii="Arial" w:cs="Arial" w:eastAsia="Arial" w:hAnsi="Arial"/>
                <w:sz w:val="13"/>
                <w:szCs w:val="13"/>
                <w:color w:val="auto"/>
              </w:rPr>
              <w:t>Instruments</w:t>
            </w:r>
          </w:p>
        </w:tc>
        <w:tc>
          <w:tcPr>
            <w:tcW w:w="1440" w:type="dxa"/>
            <w:vAlign w:val="bottom"/>
            <w:gridSpan w:val="5"/>
          </w:tcPr>
          <w:p>
            <w:pPr>
              <w:ind w:left="40"/>
              <w:spacing w:after="0" w:line="117" w:lineRule="exact"/>
              <w:rPr>
                <w:sz w:val="20"/>
                <w:szCs w:val="20"/>
                <w:color w:val="auto"/>
              </w:rPr>
            </w:pPr>
            <w:r>
              <w:rPr>
                <w:rFonts w:ascii="Arial" w:cs="Arial" w:eastAsia="Arial" w:hAnsi="Arial"/>
                <w:sz w:val="13"/>
                <w:szCs w:val="13"/>
                <w:color w:val="auto"/>
              </w:rPr>
              <w:t>Chilean</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920" w:type="dxa"/>
            <w:vAlign w:val="bottom"/>
            <w:gridSpan w:val="2"/>
          </w:tcPr>
          <w:p>
            <w:pPr>
              <w:spacing w:after="0" w:line="133" w:lineRule="exact"/>
              <w:rPr>
                <w:sz w:val="20"/>
                <w:szCs w:val="20"/>
                <w:color w:val="auto"/>
              </w:rPr>
            </w:pPr>
            <w:r>
              <w:rPr>
                <w:rFonts w:ascii="Arial" w:cs="Arial" w:eastAsia="Arial" w:hAnsi="Arial"/>
                <w:sz w:val="13"/>
                <w:szCs w:val="13"/>
                <w:color w:val="auto"/>
              </w:rPr>
              <w:t>issued by the</w:t>
            </w:r>
          </w:p>
        </w:tc>
        <w:tc>
          <w:tcPr>
            <w:tcW w:w="1440" w:type="dxa"/>
            <w:vAlign w:val="bottom"/>
            <w:gridSpan w:val="5"/>
          </w:tcPr>
          <w:p>
            <w:pPr>
              <w:ind w:left="40"/>
              <w:spacing w:after="0" w:line="133" w:lineRule="exact"/>
              <w:rPr>
                <w:sz w:val="20"/>
                <w:szCs w:val="20"/>
                <w:color w:val="auto"/>
              </w:rPr>
            </w:pPr>
            <w:r>
              <w:rPr>
                <w:rFonts w:ascii="Arial" w:cs="Arial" w:eastAsia="Arial" w:hAnsi="Arial"/>
                <w:sz w:val="13"/>
                <w:szCs w:val="13"/>
                <w:color w:val="auto"/>
              </w:rPr>
              <w:t>pesos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20" w:type="dxa"/>
            <w:vAlign w:val="bottom"/>
            <w:gridSpan w:val="2"/>
          </w:tcPr>
          <w:p>
            <w:pPr>
              <w:spacing w:after="0" w:line="133" w:lineRule="exact"/>
              <w:rPr>
                <w:sz w:val="20"/>
                <w:szCs w:val="20"/>
                <w:color w:val="auto"/>
              </w:rPr>
            </w:pPr>
            <w:r>
              <w:rPr>
                <w:rFonts w:ascii="Arial" w:cs="Arial" w:eastAsia="Arial" w:hAnsi="Arial"/>
                <w:sz w:val="13"/>
                <w:szCs w:val="13"/>
                <w:color w:val="auto"/>
              </w:rPr>
              <w:t>Chilean</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gridSpan w:val="2"/>
          </w:tcPr>
          <w:p>
            <w:pPr>
              <w:spacing w:after="0"/>
              <w:rPr>
                <w:sz w:val="20"/>
                <w:szCs w:val="20"/>
                <w:color w:val="auto"/>
              </w:rPr>
            </w:pPr>
            <w:r>
              <w:rPr>
                <w:rFonts w:ascii="Arial" w:cs="Arial" w:eastAsia="Arial" w:hAnsi="Arial"/>
                <w:sz w:val="13"/>
                <w:szCs w:val="13"/>
                <w:color w:val="auto"/>
              </w:rPr>
              <w:t>Government</w:t>
            </w:r>
          </w:p>
        </w:tc>
        <w:tc>
          <w:tcPr>
            <w:tcW w:w="1440" w:type="dxa"/>
            <w:vAlign w:val="bottom"/>
            <w:gridSpan w:val="5"/>
          </w:tcPr>
          <w:p>
            <w:pPr>
              <w:jc w:val="right"/>
              <w:ind w:right="80"/>
              <w:spacing w:after="0"/>
              <w:rPr>
                <w:sz w:val="20"/>
                <w:szCs w:val="20"/>
                <w:color w:val="auto"/>
              </w:rPr>
            </w:pPr>
            <w:r>
              <w:rPr>
                <w:rFonts w:ascii="Arial" w:cs="Arial" w:eastAsia="Arial" w:hAnsi="Arial"/>
                <w:sz w:val="13"/>
                <w:szCs w:val="13"/>
                <w:color w:val="auto"/>
              </w:rPr>
              <w:t>0.34</w:t>
            </w:r>
          </w:p>
        </w:tc>
        <w:tc>
          <w:tcPr>
            <w:tcW w:w="880" w:type="dxa"/>
            <w:vAlign w:val="bottom"/>
            <w:gridSpan w:val="3"/>
          </w:tcPr>
          <w:p>
            <w:pPr>
              <w:jc w:val="right"/>
              <w:ind w:right="140"/>
              <w:spacing w:after="0"/>
              <w:rPr>
                <w:sz w:val="20"/>
                <w:szCs w:val="20"/>
                <w:color w:val="auto"/>
              </w:rPr>
            </w:pPr>
            <w:r>
              <w:rPr>
                <w:rFonts w:ascii="Arial" w:cs="Arial" w:eastAsia="Arial" w:hAnsi="Arial"/>
                <w:sz w:val="13"/>
                <w:szCs w:val="13"/>
                <w:color w:val="auto"/>
              </w:rPr>
              <w:t>231,667</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231,667</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233,108</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0.28</w:t>
            </w:r>
          </w:p>
        </w:tc>
        <w:tc>
          <w:tcPr>
            <w:tcW w:w="700" w:type="dxa"/>
            <w:vAlign w:val="bottom"/>
            <w:gridSpan w:val="3"/>
          </w:tcPr>
          <w:p>
            <w:pPr>
              <w:jc w:val="right"/>
              <w:ind w:right="80"/>
              <w:spacing w:after="0"/>
              <w:rPr>
                <w:sz w:val="20"/>
                <w:szCs w:val="20"/>
                <w:color w:val="auto"/>
              </w:rPr>
            </w:pPr>
            <w:r>
              <w:rPr>
                <w:rFonts w:ascii="Arial" w:cs="Arial" w:eastAsia="Arial" w:hAnsi="Arial"/>
                <w:sz w:val="13"/>
                <w:szCs w:val="13"/>
                <w:color w:val="auto"/>
              </w:rPr>
              <w:t>64,829</w:t>
            </w:r>
          </w:p>
        </w:tc>
        <w:tc>
          <w:tcPr>
            <w:tcW w:w="860" w:type="dxa"/>
            <w:vAlign w:val="bottom"/>
            <w:gridSpan w:val="3"/>
          </w:tcPr>
          <w:p>
            <w:pPr>
              <w:jc w:val="right"/>
              <w:ind w:right="180"/>
              <w:spacing w:after="0"/>
              <w:rPr>
                <w:sz w:val="20"/>
                <w:szCs w:val="20"/>
                <w:color w:val="auto"/>
              </w:rPr>
            </w:pPr>
            <w:r>
              <w:rPr>
                <w:rFonts w:ascii="Arial" w:cs="Arial" w:eastAsia="Arial" w:hAnsi="Arial"/>
                <w:sz w:val="13"/>
                <w:szCs w:val="13"/>
                <w:color w:val="auto"/>
              </w:rPr>
              <w:t>10,674</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75,503</w:t>
            </w: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75,546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Other</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instruments</w:t>
            </w:r>
          </w:p>
        </w:tc>
        <w:tc>
          <w:tcPr>
            <w:tcW w:w="144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color w:val="auto"/>
              </w:rPr>
              <w:t>5.97</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133,494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133,494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133,421</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6.04</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69,799</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70,289</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62,193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00" w:type="dxa"/>
            <w:vAlign w:val="bottom"/>
          </w:tcPr>
          <w:p>
            <w:pPr>
              <w:spacing w:after="0" w:line="117" w:lineRule="exact"/>
              <w:rPr>
                <w:sz w:val="20"/>
                <w:szCs w:val="20"/>
                <w:color w:val="auto"/>
              </w:rPr>
            </w:pPr>
            <w:r>
              <w:rPr>
                <w:rFonts w:ascii="Arial" w:cs="Arial" w:eastAsia="Arial" w:hAnsi="Arial"/>
                <w:sz w:val="13"/>
                <w:szCs w:val="13"/>
                <w:color w:val="auto"/>
                <w:w w:val="89"/>
              </w:rPr>
              <w:t>Debt instruments</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3"/>
                <w:szCs w:val="13"/>
                <w:color w:val="auto"/>
              </w:rPr>
              <w:t>(c)</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13,835,500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13,835,500</w:t>
            </w:r>
          </w:p>
        </w:tc>
        <w:tc>
          <w:tcPr>
            <w:tcW w:w="8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14,065,528</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13,176,793</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13,176,793</w:t>
            </w:r>
          </w:p>
        </w:tc>
        <w:tc>
          <w:tcPr>
            <w:tcW w:w="16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13,176,793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294,934</w:t>
            </w: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997,565</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13,835,500</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8"/>
              </w:rPr>
              <w:t>15,127,999</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15,359,922</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64,829</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1,357,638</w:t>
            </w: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8"/>
              </w:rPr>
              <w:t>13,177,283</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14,599,750</w:t>
            </w: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14,591,927</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8" w:right="219" w:bottom="1440" w:gutter="0" w:footer="0" w:header="0"/>
        </w:sectPr>
      </w:pPr>
    </w:p>
    <w:bookmarkStart w:id="58" w:name="page59"/>
    <w:bookmarkEnd w:id="58"/>
    <w:p>
      <w:pPr>
        <w:ind w:left="283" w:right="280" w:hanging="283"/>
        <w:spacing w:after="0" w:line="280" w:lineRule="auto"/>
        <w:tabs>
          <w:tab w:leader="none" w:pos="283" w:val="left"/>
        </w:tabs>
        <w:numPr>
          <w:ilvl w:val="0"/>
          <w:numId w:val="60"/>
        </w:numPr>
        <w:rPr>
          <w:rFonts w:ascii="Arial" w:cs="Arial" w:eastAsia="Arial" w:hAnsi="Arial"/>
          <w:sz w:val="16"/>
          <w:szCs w:val="16"/>
          <w:color w:val="auto"/>
        </w:rPr>
      </w:pPr>
      <w:r>
        <w:rPr>
          <w:rFonts w:ascii="Arial" w:cs="Arial" w:eastAsia="Arial" w:hAnsi="Arial"/>
          <w:sz w:val="16"/>
          <w:szCs w:val="16"/>
          <w:color w:val="auto"/>
        </w:rPr>
        <w:t>At December 31, 2016, and 2015 the Group has repurchase agreements secured with: (i) cash, see note 5(a), and (ii) available-for-sales investments and held-to-maturity investments, see note 6(b). This item consists of the following:</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53"/>
        </w:trPr>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Arial" w:cs="Arial" w:eastAsia="Arial" w:hAnsi="Arial"/>
                <w:sz w:val="13"/>
                <w:szCs w:val="13"/>
                <w:b w:val="1"/>
                <w:bCs w:val="1"/>
                <w:color w:val="auto"/>
              </w:rPr>
              <w:t>At December 31, 2016</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40" w:type="dxa"/>
            <w:vAlign w:val="bottom"/>
            <w:gridSpan w:val="3"/>
          </w:tcPr>
          <w:p>
            <w:pPr>
              <w:ind w:left="120"/>
              <w:spacing w:after="0"/>
              <w:rPr>
                <w:sz w:val="20"/>
                <w:szCs w:val="20"/>
                <w:color w:val="auto"/>
              </w:rPr>
            </w:pPr>
            <w:r>
              <w:rPr>
                <w:rFonts w:ascii="Arial" w:cs="Arial" w:eastAsia="Arial" w:hAnsi="Arial"/>
                <w:sz w:val="13"/>
                <w:szCs w:val="13"/>
                <w:b w:val="1"/>
                <w:bCs w:val="1"/>
                <w:color w:val="auto"/>
                <w:w w:val="89"/>
              </w:rPr>
              <w:t>At December 31, 2015</w:t>
            </w: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940" w:type="dxa"/>
            <w:vAlign w:val="bottom"/>
            <w:vMerge w:val="restart"/>
          </w:tcPr>
          <w:p>
            <w:pPr>
              <w:spacing w:after="0"/>
              <w:rPr>
                <w:sz w:val="20"/>
                <w:szCs w:val="20"/>
                <w:color w:val="auto"/>
              </w:rPr>
            </w:pPr>
            <w:r>
              <w:rPr>
                <w:rFonts w:ascii="Arial" w:cs="Arial" w:eastAsia="Arial" w:hAnsi="Arial"/>
                <w:sz w:val="13"/>
                <w:szCs w:val="13"/>
                <w:b w:val="1"/>
                <w:bCs w:val="1"/>
                <w:color w:val="auto"/>
              </w:rPr>
              <w:t>Counterparties</w:t>
            </w:r>
          </w:p>
        </w:tc>
        <w:tc>
          <w:tcPr>
            <w:tcW w:w="106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Currency</w:t>
            </w:r>
          </w:p>
        </w:tc>
        <w:tc>
          <w:tcPr>
            <w:tcW w:w="1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Maturity</w:t>
            </w:r>
          </w:p>
        </w:tc>
        <w:tc>
          <w:tcPr>
            <w:tcW w:w="116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Carrying</w:t>
            </w:r>
          </w:p>
        </w:tc>
        <w:tc>
          <w:tcPr>
            <w:tcW w:w="1700" w:type="dxa"/>
            <w:vAlign w:val="bottom"/>
            <w:vMerge w:val="restart"/>
          </w:tcPr>
          <w:p>
            <w:pPr>
              <w:spacing w:after="0"/>
              <w:rPr>
                <w:sz w:val="20"/>
                <w:szCs w:val="20"/>
                <w:color w:val="auto"/>
              </w:rPr>
            </w:pPr>
            <w:r>
              <w:rPr>
                <w:rFonts w:ascii="Arial" w:cs="Arial" w:eastAsia="Arial" w:hAnsi="Arial"/>
                <w:sz w:val="13"/>
                <w:szCs w:val="13"/>
                <w:b w:val="1"/>
                <w:bCs w:val="1"/>
                <w:color w:val="auto"/>
              </w:rPr>
              <w:t>Collateral</w:t>
            </w:r>
          </w:p>
        </w:tc>
        <w:tc>
          <w:tcPr>
            <w:tcW w:w="134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Maturity</w:t>
            </w:r>
          </w:p>
        </w:tc>
        <w:tc>
          <w:tcPr>
            <w:tcW w:w="1140" w:type="dxa"/>
            <w:vAlign w:val="bottom"/>
            <w:gridSpan w:val="3"/>
          </w:tcPr>
          <w:p>
            <w:pPr>
              <w:ind w:left="20"/>
              <w:spacing w:after="0" w:line="105" w:lineRule="exact"/>
              <w:rPr>
                <w:sz w:val="20"/>
                <w:szCs w:val="20"/>
                <w:color w:val="auto"/>
              </w:rPr>
            </w:pPr>
            <w:r>
              <w:rPr>
                <w:rFonts w:ascii="Arial" w:cs="Arial" w:eastAsia="Arial" w:hAnsi="Arial"/>
                <w:sz w:val="12"/>
                <w:szCs w:val="12"/>
                <w:b w:val="1"/>
                <w:bCs w:val="1"/>
                <w:color w:val="auto"/>
              </w:rPr>
              <w:t>Carrying</w:t>
            </w:r>
          </w:p>
        </w:tc>
        <w:tc>
          <w:tcPr>
            <w:tcW w:w="1720" w:type="dxa"/>
            <w:vAlign w:val="bottom"/>
            <w:vMerge w:val="restart"/>
          </w:tcPr>
          <w:p>
            <w:pPr>
              <w:spacing w:after="0"/>
              <w:rPr>
                <w:sz w:val="20"/>
                <w:szCs w:val="20"/>
                <w:color w:val="auto"/>
              </w:rPr>
            </w:pPr>
            <w:r>
              <w:rPr>
                <w:rFonts w:ascii="Arial" w:cs="Arial" w:eastAsia="Arial" w:hAnsi="Arial"/>
                <w:sz w:val="13"/>
                <w:szCs w:val="13"/>
                <w:b w:val="1"/>
                <w:bCs w:val="1"/>
                <w:color w:val="auto"/>
              </w:rPr>
              <w:t>Collateral</w:t>
            </w:r>
          </w:p>
        </w:tc>
        <w:tc>
          <w:tcPr>
            <w:tcW w:w="0" w:type="dxa"/>
            <w:vAlign w:val="bottom"/>
          </w:tcPr>
          <w:p>
            <w:pPr>
              <w:spacing w:after="0"/>
              <w:rPr>
                <w:sz w:val="1"/>
                <w:szCs w:val="1"/>
                <w:color w:val="auto"/>
              </w:rPr>
            </w:pPr>
          </w:p>
        </w:tc>
      </w:tr>
      <w:tr>
        <w:trPr>
          <w:trHeight w:val="153"/>
        </w:trPr>
        <w:tc>
          <w:tcPr>
            <w:tcW w:w="1940" w:type="dxa"/>
            <w:vAlign w:val="bottom"/>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16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700" w:type="dxa"/>
            <w:vAlign w:val="bottom"/>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1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94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BCRP, Note 5(a)(i)</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140"/>
              <w:spacing w:after="0" w:line="117" w:lineRule="exact"/>
              <w:rPr>
                <w:sz w:val="20"/>
                <w:szCs w:val="20"/>
                <w:color w:val="auto"/>
              </w:rPr>
            </w:pPr>
            <w:r>
              <w:rPr>
                <w:rFonts w:ascii="Arial" w:cs="Arial" w:eastAsia="Arial" w:hAnsi="Arial"/>
                <w:sz w:val="13"/>
                <w:szCs w:val="13"/>
                <w:color w:val="auto"/>
                <w:w w:val="85"/>
              </w:rPr>
              <w:t>Soles</w:t>
            </w:r>
          </w:p>
        </w:tc>
        <w:tc>
          <w:tcPr>
            <w:tcW w:w="1380" w:type="dxa"/>
            <w:vAlign w:val="bottom"/>
            <w:gridSpan w:val="2"/>
            <w:shd w:val="clear" w:color="auto" w:fill="CCEEFF"/>
          </w:tcPr>
          <w:p>
            <w:pPr>
              <w:jc w:val="center"/>
              <w:ind w:right="120"/>
              <w:spacing w:after="0" w:line="117" w:lineRule="exact"/>
              <w:rPr>
                <w:sz w:val="20"/>
                <w:szCs w:val="20"/>
                <w:color w:val="auto"/>
              </w:rPr>
            </w:pPr>
            <w:r>
              <w:rPr>
                <w:rFonts w:ascii="Arial" w:cs="Arial" w:eastAsia="Arial" w:hAnsi="Arial"/>
                <w:sz w:val="13"/>
                <w:szCs w:val="13"/>
                <w:color w:val="auto"/>
                <w:w w:val="89"/>
              </w:rPr>
              <w:t>January 2017 / October</w:t>
            </w: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Cash with BCRP</w:t>
            </w: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center"/>
              <w:ind w:right="100"/>
              <w:spacing w:after="0" w:line="117" w:lineRule="exact"/>
              <w:rPr>
                <w:sz w:val="20"/>
                <w:szCs w:val="20"/>
                <w:color w:val="auto"/>
              </w:rPr>
            </w:pPr>
            <w:r>
              <w:rPr>
                <w:rFonts w:ascii="Arial" w:cs="Arial" w:eastAsia="Arial" w:hAnsi="Arial"/>
                <w:sz w:val="13"/>
                <w:szCs w:val="13"/>
                <w:color w:val="auto"/>
                <w:w w:val="93"/>
              </w:rPr>
              <w:t>May 2016 /</w:t>
            </w:r>
          </w:p>
        </w:tc>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Cash with BCRP</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2020</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10,008,700</w:t>
            </w: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September 2020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9,329,000</w:t>
            </w:r>
          </w:p>
        </w:tc>
        <w:tc>
          <w:tcPr>
            <w:tcW w:w="2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940" w:type="dxa"/>
            <w:vAlign w:val="bottom"/>
          </w:tcPr>
          <w:p>
            <w:pPr>
              <w:spacing w:after="0" w:line="117" w:lineRule="exact"/>
              <w:rPr>
                <w:sz w:val="20"/>
                <w:szCs w:val="20"/>
                <w:color w:val="auto"/>
              </w:rPr>
            </w:pPr>
            <w:r>
              <w:rPr>
                <w:rFonts w:ascii="Arial" w:cs="Arial" w:eastAsia="Arial" w:hAnsi="Arial"/>
                <w:sz w:val="13"/>
                <w:szCs w:val="13"/>
                <w:color w:val="auto"/>
              </w:rPr>
              <w:t>BCRP</w:t>
            </w:r>
          </w:p>
        </w:tc>
        <w:tc>
          <w:tcPr>
            <w:tcW w:w="120" w:type="dxa"/>
            <w:vAlign w:val="bottom"/>
          </w:tcPr>
          <w:p>
            <w:pPr>
              <w:spacing w:after="0"/>
              <w:rPr>
                <w:sz w:val="10"/>
                <w:szCs w:val="10"/>
                <w:color w:val="auto"/>
              </w:rPr>
            </w:pPr>
          </w:p>
        </w:tc>
        <w:tc>
          <w:tcPr>
            <w:tcW w:w="940" w:type="dxa"/>
            <w:vAlign w:val="bottom"/>
            <w:gridSpan w:val="2"/>
          </w:tcPr>
          <w:p>
            <w:pPr>
              <w:jc w:val="center"/>
              <w:ind w:right="140"/>
              <w:spacing w:after="0" w:line="117" w:lineRule="exact"/>
              <w:rPr>
                <w:sz w:val="20"/>
                <w:szCs w:val="20"/>
                <w:color w:val="auto"/>
              </w:rPr>
            </w:pPr>
            <w:r>
              <w:rPr>
                <w:rFonts w:ascii="Arial" w:cs="Arial" w:eastAsia="Arial" w:hAnsi="Arial"/>
                <w:sz w:val="13"/>
                <w:szCs w:val="13"/>
                <w:color w:val="auto"/>
                <w:w w:val="85"/>
              </w:rPr>
              <w:t>Soles</w:t>
            </w:r>
          </w:p>
        </w:tc>
        <w:tc>
          <w:tcPr>
            <w:tcW w:w="1380" w:type="dxa"/>
            <w:vAlign w:val="bottom"/>
            <w:gridSpan w:val="2"/>
          </w:tcPr>
          <w:p>
            <w:pPr>
              <w:jc w:val="center"/>
              <w:ind w:right="120"/>
              <w:spacing w:after="0" w:line="117" w:lineRule="exact"/>
              <w:rPr>
                <w:sz w:val="20"/>
                <w:szCs w:val="20"/>
                <w:color w:val="auto"/>
              </w:rPr>
            </w:pPr>
            <w:r>
              <w:rPr>
                <w:rFonts w:ascii="Arial" w:cs="Arial" w:eastAsia="Arial" w:hAnsi="Arial"/>
                <w:sz w:val="13"/>
                <w:szCs w:val="13"/>
                <w:color w:val="auto"/>
                <w:w w:val="86"/>
              </w:rPr>
              <w:t>January 2017 / June</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spacing w:after="0" w:line="117" w:lineRule="exact"/>
              <w:rPr>
                <w:sz w:val="20"/>
                <w:szCs w:val="20"/>
                <w:color w:val="auto"/>
              </w:rPr>
            </w:pPr>
            <w:r>
              <w:rPr>
                <w:rFonts w:ascii="Arial" w:cs="Arial" w:eastAsia="Arial" w:hAnsi="Arial"/>
                <w:sz w:val="13"/>
                <w:szCs w:val="13"/>
                <w:color w:val="auto"/>
                <w:w w:val="96"/>
              </w:rPr>
              <w:t>Available-for-sale investments</w:t>
            </w:r>
          </w:p>
        </w:tc>
        <w:tc>
          <w:tcPr>
            <w:tcW w:w="120" w:type="dxa"/>
            <w:vAlign w:val="bottom"/>
          </w:tcPr>
          <w:p>
            <w:pPr>
              <w:spacing w:after="0"/>
              <w:rPr>
                <w:sz w:val="10"/>
                <w:szCs w:val="10"/>
                <w:color w:val="auto"/>
              </w:rPr>
            </w:pPr>
          </w:p>
        </w:tc>
        <w:tc>
          <w:tcPr>
            <w:tcW w:w="1220" w:type="dxa"/>
            <w:vAlign w:val="bottom"/>
            <w:gridSpan w:val="2"/>
          </w:tcPr>
          <w:p>
            <w:pPr>
              <w:jc w:val="center"/>
              <w:ind w:right="80"/>
              <w:spacing w:after="0" w:line="117" w:lineRule="exact"/>
              <w:rPr>
                <w:sz w:val="20"/>
                <w:szCs w:val="20"/>
                <w:color w:val="auto"/>
              </w:rPr>
            </w:pPr>
            <w:r>
              <w:rPr>
                <w:rFonts w:ascii="Arial" w:cs="Arial" w:eastAsia="Arial" w:hAnsi="Arial"/>
                <w:sz w:val="13"/>
                <w:szCs w:val="13"/>
                <w:color w:val="auto"/>
                <w:w w:val="88"/>
              </w:rPr>
              <w:t>January 2016</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spacing w:after="0" w:line="117" w:lineRule="exact"/>
              <w:rPr>
                <w:sz w:val="20"/>
                <w:szCs w:val="20"/>
                <w:color w:val="auto"/>
              </w:rPr>
            </w:pPr>
            <w:r>
              <w:rPr>
                <w:rFonts w:ascii="Arial" w:cs="Arial" w:eastAsia="Arial" w:hAnsi="Arial"/>
                <w:sz w:val="13"/>
                <w:szCs w:val="13"/>
                <w:color w:val="auto"/>
                <w:w w:val="98"/>
              </w:rPr>
              <w:t>Available-for-sale investments</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9"/>
              </w:rPr>
              <w:t>2017</w:t>
            </w:r>
          </w:p>
        </w:tc>
        <w:tc>
          <w:tcPr>
            <w:tcW w:w="12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1,256,706</w:t>
            </w: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1,283,840</w:t>
            </w: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94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Natixis S.A.</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140"/>
              <w:spacing w:after="0" w:line="117" w:lineRule="exact"/>
              <w:rPr>
                <w:sz w:val="20"/>
                <w:szCs w:val="20"/>
                <w:color w:val="auto"/>
              </w:rPr>
            </w:pPr>
            <w:r>
              <w:rPr>
                <w:rFonts w:ascii="Arial" w:cs="Arial" w:eastAsia="Arial" w:hAnsi="Arial"/>
                <w:sz w:val="13"/>
                <w:szCs w:val="13"/>
                <w:color w:val="auto"/>
                <w:w w:val="85"/>
              </w:rPr>
              <w:t>Soles</w:t>
            </w:r>
          </w:p>
        </w:tc>
        <w:tc>
          <w:tcPr>
            <w:tcW w:w="1380" w:type="dxa"/>
            <w:vAlign w:val="bottom"/>
            <w:gridSpan w:val="2"/>
            <w:shd w:val="clear" w:color="auto" w:fill="CCEEFF"/>
          </w:tcPr>
          <w:p>
            <w:pPr>
              <w:jc w:val="center"/>
              <w:ind w:right="120"/>
              <w:spacing w:after="0" w:line="117" w:lineRule="exact"/>
              <w:rPr>
                <w:sz w:val="20"/>
                <w:szCs w:val="20"/>
                <w:color w:val="auto"/>
              </w:rPr>
            </w:pPr>
            <w:r>
              <w:rPr>
                <w:rFonts w:ascii="Arial" w:cs="Arial" w:eastAsia="Arial" w:hAnsi="Arial"/>
                <w:sz w:val="13"/>
                <w:szCs w:val="13"/>
                <w:color w:val="auto"/>
                <w:w w:val="91"/>
              </w:rPr>
              <w:t>August 2017 / August</w:t>
            </w: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6"/>
              </w:rPr>
              <w:t>Available-for-sale investments</w:t>
            </w: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center"/>
              <w:ind w:right="80"/>
              <w:spacing w:after="0" w:line="117" w:lineRule="exact"/>
              <w:rPr>
                <w:sz w:val="20"/>
                <w:szCs w:val="20"/>
                <w:color w:val="auto"/>
              </w:rPr>
            </w:pPr>
            <w:r>
              <w:rPr>
                <w:rFonts w:ascii="Arial" w:cs="Arial" w:eastAsia="Arial" w:hAnsi="Arial"/>
                <w:sz w:val="13"/>
                <w:szCs w:val="13"/>
                <w:color w:val="auto"/>
                <w:w w:val="91"/>
              </w:rPr>
              <w:t>August 2017 / August</w:t>
            </w:r>
          </w:p>
        </w:tc>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8"/>
              </w:rPr>
              <w:t>Available-for-sale investments</w:t>
            </w:r>
          </w:p>
        </w:tc>
        <w:tc>
          <w:tcPr>
            <w:tcW w:w="0" w:type="dxa"/>
            <w:vAlign w:val="bottom"/>
          </w:tcPr>
          <w:p>
            <w:pPr>
              <w:spacing w:after="0"/>
              <w:rPr>
                <w:sz w:val="1"/>
                <w:szCs w:val="1"/>
                <w:color w:val="auto"/>
              </w:rPr>
            </w:pPr>
          </w:p>
        </w:tc>
      </w:tr>
      <w:tr>
        <w:trPr>
          <w:trHeight w:val="133"/>
        </w:trPr>
        <w:tc>
          <w:tcPr>
            <w:tcW w:w="1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9"/>
              </w:rPr>
              <w:t>2020</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and Held-to-maturity</w:t>
            </w:r>
          </w:p>
        </w:tc>
        <w:tc>
          <w:tcPr>
            <w:tcW w:w="126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2020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and Held-to-maturity</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600,000</w:t>
            </w: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investments</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500,000</w:t>
            </w:r>
          </w:p>
        </w:tc>
        <w:tc>
          <w:tcPr>
            <w:tcW w:w="1720" w:type="dxa"/>
            <w:vAlign w:val="bottom"/>
            <w:shd w:val="clear" w:color="auto" w:fill="CCEEFF"/>
          </w:tcPr>
          <w:p>
            <w:pPr>
              <w:spacing w:after="0"/>
              <w:rPr>
                <w:sz w:val="20"/>
                <w:szCs w:val="20"/>
                <w:color w:val="auto"/>
              </w:rPr>
            </w:pPr>
            <w:r>
              <w:rPr>
                <w:rFonts w:ascii="Arial" w:cs="Arial" w:eastAsia="Arial" w:hAnsi="Arial"/>
                <w:sz w:val="13"/>
                <w:szCs w:val="13"/>
                <w:color w:val="auto"/>
              </w:rPr>
              <w:t>investments</w:t>
            </w:r>
          </w:p>
        </w:tc>
        <w:tc>
          <w:tcPr>
            <w:tcW w:w="0" w:type="dxa"/>
            <w:vAlign w:val="bottom"/>
          </w:tcPr>
          <w:p>
            <w:pPr>
              <w:spacing w:after="0"/>
              <w:rPr>
                <w:sz w:val="1"/>
                <w:szCs w:val="1"/>
                <w:color w:val="auto"/>
              </w:rPr>
            </w:pPr>
          </w:p>
        </w:tc>
      </w:tr>
      <w:tr>
        <w:trPr>
          <w:trHeight w:val="117"/>
        </w:trPr>
        <w:tc>
          <w:tcPr>
            <w:tcW w:w="1940" w:type="dxa"/>
            <w:vAlign w:val="bottom"/>
          </w:tcPr>
          <w:p>
            <w:pPr>
              <w:spacing w:after="0" w:line="117" w:lineRule="exact"/>
              <w:rPr>
                <w:sz w:val="20"/>
                <w:szCs w:val="20"/>
                <w:color w:val="auto"/>
              </w:rPr>
            </w:pPr>
            <w:r>
              <w:rPr>
                <w:rFonts w:ascii="Arial" w:cs="Arial" w:eastAsia="Arial" w:hAnsi="Arial"/>
                <w:sz w:val="13"/>
                <w:szCs w:val="13"/>
                <w:color w:val="auto"/>
              </w:rPr>
              <w:t>Nomura International PLC (*)</w:t>
            </w:r>
          </w:p>
        </w:tc>
        <w:tc>
          <w:tcPr>
            <w:tcW w:w="120" w:type="dxa"/>
            <w:vAlign w:val="bottom"/>
          </w:tcPr>
          <w:p>
            <w:pPr>
              <w:spacing w:after="0"/>
              <w:rPr>
                <w:sz w:val="10"/>
                <w:szCs w:val="10"/>
                <w:color w:val="auto"/>
              </w:rPr>
            </w:pPr>
          </w:p>
        </w:tc>
        <w:tc>
          <w:tcPr>
            <w:tcW w:w="940" w:type="dxa"/>
            <w:vAlign w:val="bottom"/>
            <w:gridSpan w:val="2"/>
          </w:tcPr>
          <w:p>
            <w:pPr>
              <w:jc w:val="center"/>
              <w:ind w:right="140"/>
              <w:spacing w:after="0" w:line="117" w:lineRule="exact"/>
              <w:rPr>
                <w:sz w:val="20"/>
                <w:szCs w:val="20"/>
                <w:color w:val="auto"/>
              </w:rPr>
            </w:pPr>
            <w:r>
              <w:rPr>
                <w:rFonts w:ascii="Arial" w:cs="Arial" w:eastAsia="Arial" w:hAnsi="Arial"/>
                <w:sz w:val="13"/>
                <w:szCs w:val="13"/>
                <w:color w:val="auto"/>
                <w:w w:val="92"/>
              </w:rPr>
              <w:t>U.S. dollar</w:t>
            </w:r>
          </w:p>
        </w:tc>
        <w:tc>
          <w:tcPr>
            <w:tcW w:w="1380" w:type="dxa"/>
            <w:vAlign w:val="bottom"/>
            <w:gridSpan w:val="2"/>
          </w:tcPr>
          <w:p>
            <w:pPr>
              <w:jc w:val="center"/>
              <w:ind w:right="120"/>
              <w:spacing w:after="0" w:line="117" w:lineRule="exact"/>
              <w:rPr>
                <w:sz w:val="20"/>
                <w:szCs w:val="20"/>
                <w:color w:val="auto"/>
              </w:rPr>
            </w:pPr>
            <w:r>
              <w:rPr>
                <w:rFonts w:ascii="Arial" w:cs="Arial" w:eastAsia="Arial" w:hAnsi="Arial"/>
                <w:sz w:val="13"/>
                <w:szCs w:val="13"/>
                <w:color w:val="auto"/>
                <w:w w:val="90"/>
              </w:rPr>
              <w:t>March 2019 / December</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spacing w:after="0" w:line="117" w:lineRule="exact"/>
              <w:rPr>
                <w:sz w:val="20"/>
                <w:szCs w:val="20"/>
                <w:color w:val="auto"/>
              </w:rPr>
            </w:pPr>
            <w:r>
              <w:rPr>
                <w:rFonts w:ascii="Arial" w:cs="Arial" w:eastAsia="Arial" w:hAnsi="Arial"/>
                <w:sz w:val="13"/>
                <w:szCs w:val="13"/>
                <w:color w:val="auto"/>
              </w:rPr>
              <w:t>Held-to-maturity investments</w:t>
            </w:r>
          </w:p>
        </w:tc>
        <w:tc>
          <w:tcPr>
            <w:tcW w:w="120" w:type="dxa"/>
            <w:vAlign w:val="bottom"/>
          </w:tcPr>
          <w:p>
            <w:pPr>
              <w:spacing w:after="0"/>
              <w:rPr>
                <w:sz w:val="10"/>
                <w:szCs w:val="10"/>
                <w:color w:val="auto"/>
              </w:rPr>
            </w:pPr>
          </w:p>
        </w:tc>
        <w:tc>
          <w:tcPr>
            <w:tcW w:w="1220" w:type="dxa"/>
            <w:vAlign w:val="bottom"/>
            <w:gridSpan w:val="2"/>
          </w:tcPr>
          <w:p>
            <w:pPr>
              <w:jc w:val="center"/>
              <w:ind w:right="80"/>
              <w:spacing w:after="0" w:line="117" w:lineRule="exact"/>
              <w:rPr>
                <w:sz w:val="20"/>
                <w:szCs w:val="20"/>
                <w:color w:val="auto"/>
              </w:rPr>
            </w:pPr>
            <w:r>
              <w:rPr>
                <w:rFonts w:ascii="Arial" w:cs="Arial" w:eastAsia="Arial" w:hAnsi="Arial"/>
                <w:sz w:val="13"/>
                <w:szCs w:val="13"/>
                <w:color w:val="auto"/>
                <w:w w:val="92"/>
              </w:rPr>
              <w:t>March 2019 /</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spacing w:after="0" w:line="117" w:lineRule="exact"/>
              <w:rPr>
                <w:sz w:val="20"/>
                <w:szCs w:val="20"/>
                <w:color w:val="auto"/>
              </w:rPr>
            </w:pPr>
            <w:r>
              <w:rPr>
                <w:rFonts w:ascii="Arial" w:cs="Arial" w:eastAsia="Arial" w:hAnsi="Arial"/>
                <w:sz w:val="13"/>
                <w:szCs w:val="13"/>
                <w:color w:val="auto"/>
              </w:rPr>
              <w:t>Held-to-maturity investments</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9"/>
              </w:rPr>
              <w:t>2019</w:t>
            </w:r>
          </w:p>
        </w:tc>
        <w:tc>
          <w:tcPr>
            <w:tcW w:w="12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503,400</w:t>
            </w:r>
          </w:p>
        </w:tc>
        <w:tc>
          <w:tcPr>
            <w:tcW w:w="1700" w:type="dxa"/>
            <w:vAlign w:val="bottom"/>
          </w:tcPr>
          <w:p>
            <w:pPr>
              <w:spacing w:after="0"/>
              <w:rPr>
                <w:sz w:val="20"/>
                <w:szCs w:val="20"/>
                <w:color w:val="auto"/>
              </w:rPr>
            </w:pPr>
            <w:r>
              <w:rPr>
                <w:rFonts w:ascii="Arial" w:cs="Arial" w:eastAsia="Arial" w:hAnsi="Arial"/>
                <w:sz w:val="13"/>
                <w:szCs w:val="13"/>
                <w:color w:val="auto"/>
              </w:rPr>
              <w:t>and cash</w:t>
            </w:r>
          </w:p>
        </w:tc>
        <w:tc>
          <w:tcPr>
            <w:tcW w:w="120" w:type="dxa"/>
            <w:vAlign w:val="bottom"/>
          </w:tcPr>
          <w:p>
            <w:pPr>
              <w:spacing w:after="0"/>
              <w:rPr>
                <w:sz w:val="12"/>
                <w:szCs w:val="12"/>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December 2019</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511,650</w:t>
            </w:r>
          </w:p>
        </w:tc>
        <w:tc>
          <w:tcPr>
            <w:tcW w:w="220" w:type="dxa"/>
            <w:vAlign w:val="bottom"/>
          </w:tcPr>
          <w:p>
            <w:pPr>
              <w:spacing w:after="0"/>
              <w:rPr>
                <w:sz w:val="12"/>
                <w:szCs w:val="12"/>
                <w:color w:val="auto"/>
              </w:rPr>
            </w:pPr>
          </w:p>
        </w:tc>
        <w:tc>
          <w:tcPr>
            <w:tcW w:w="1720" w:type="dxa"/>
            <w:vAlign w:val="bottom"/>
          </w:tcPr>
          <w:p>
            <w:pPr>
              <w:spacing w:after="0"/>
              <w:rPr>
                <w:sz w:val="20"/>
                <w:szCs w:val="20"/>
                <w:color w:val="auto"/>
              </w:rPr>
            </w:pPr>
            <w:r>
              <w:rPr>
                <w:rFonts w:ascii="Arial" w:cs="Arial" w:eastAsia="Arial" w:hAnsi="Arial"/>
                <w:sz w:val="13"/>
                <w:szCs w:val="13"/>
                <w:color w:val="auto"/>
              </w:rPr>
              <w:t>and cash</w:t>
            </w:r>
          </w:p>
        </w:tc>
        <w:tc>
          <w:tcPr>
            <w:tcW w:w="0" w:type="dxa"/>
            <w:vAlign w:val="bottom"/>
          </w:tcPr>
          <w:p>
            <w:pPr>
              <w:spacing w:after="0"/>
              <w:rPr>
                <w:sz w:val="1"/>
                <w:szCs w:val="1"/>
                <w:color w:val="auto"/>
              </w:rPr>
            </w:pPr>
          </w:p>
        </w:tc>
      </w:tr>
      <w:tr>
        <w:trPr>
          <w:trHeight w:val="117"/>
        </w:trPr>
        <w:tc>
          <w:tcPr>
            <w:tcW w:w="194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Credit Suisse Perú</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140"/>
              <w:spacing w:after="0" w:line="117" w:lineRule="exact"/>
              <w:rPr>
                <w:sz w:val="20"/>
                <w:szCs w:val="20"/>
                <w:color w:val="auto"/>
              </w:rPr>
            </w:pPr>
            <w:r>
              <w:rPr>
                <w:rFonts w:ascii="Arial" w:cs="Arial" w:eastAsia="Arial" w:hAnsi="Arial"/>
                <w:sz w:val="13"/>
                <w:szCs w:val="13"/>
                <w:color w:val="auto"/>
                <w:w w:val="85"/>
              </w:rPr>
              <w:t>Soles</w:t>
            </w:r>
          </w:p>
        </w:tc>
        <w:tc>
          <w:tcPr>
            <w:tcW w:w="1380" w:type="dxa"/>
            <w:vAlign w:val="bottom"/>
            <w:gridSpan w:val="2"/>
            <w:shd w:val="clear" w:color="auto" w:fill="CCEEFF"/>
          </w:tcPr>
          <w:p>
            <w:pPr>
              <w:jc w:val="center"/>
              <w:ind w:right="120"/>
              <w:spacing w:after="0" w:line="117" w:lineRule="exact"/>
              <w:rPr>
                <w:sz w:val="20"/>
                <w:szCs w:val="20"/>
                <w:color w:val="auto"/>
              </w:rPr>
            </w:pPr>
            <w:r>
              <w:rPr>
                <w:rFonts w:ascii="Arial" w:cs="Arial" w:eastAsia="Arial" w:hAnsi="Arial"/>
                <w:sz w:val="13"/>
                <w:szCs w:val="13"/>
                <w:color w:val="auto"/>
                <w:w w:val="90"/>
              </w:rPr>
              <w:t>August 2017</w:t>
            </w: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Held-to-maturity investments</w:t>
            </w: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center"/>
              <w:ind w:right="80"/>
              <w:spacing w:after="0" w:line="117" w:lineRule="exact"/>
              <w:rPr>
                <w:sz w:val="20"/>
                <w:szCs w:val="20"/>
                <w:color w:val="auto"/>
              </w:rPr>
            </w:pPr>
            <w:r>
              <w:rPr>
                <w:rFonts w:ascii="Arial" w:cs="Arial" w:eastAsia="Arial" w:hAnsi="Arial"/>
                <w:sz w:val="13"/>
                <w:szCs w:val="13"/>
                <w:color w:val="auto"/>
                <w:w w:val="90"/>
              </w:rPr>
              <w:t>August 2017</w:t>
            </w:r>
          </w:p>
        </w:tc>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Held-to-maturity investments</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300,000</w:t>
            </w: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and cash</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300,000</w:t>
            </w:r>
          </w:p>
        </w:tc>
        <w:tc>
          <w:tcPr>
            <w:tcW w:w="1720" w:type="dxa"/>
            <w:vAlign w:val="bottom"/>
            <w:shd w:val="clear" w:color="auto" w:fill="CCEEFF"/>
          </w:tcPr>
          <w:p>
            <w:pPr>
              <w:spacing w:after="0"/>
              <w:rPr>
                <w:sz w:val="20"/>
                <w:szCs w:val="20"/>
                <w:color w:val="auto"/>
              </w:rPr>
            </w:pPr>
            <w:r>
              <w:rPr>
                <w:rFonts w:ascii="Arial" w:cs="Arial" w:eastAsia="Arial" w:hAnsi="Arial"/>
                <w:sz w:val="13"/>
                <w:szCs w:val="13"/>
                <w:color w:val="auto"/>
              </w:rPr>
              <w:t>and cash</w:t>
            </w:r>
          </w:p>
        </w:tc>
        <w:tc>
          <w:tcPr>
            <w:tcW w:w="0" w:type="dxa"/>
            <w:vAlign w:val="bottom"/>
          </w:tcPr>
          <w:p>
            <w:pPr>
              <w:spacing w:after="0"/>
              <w:rPr>
                <w:sz w:val="1"/>
                <w:szCs w:val="1"/>
                <w:color w:val="auto"/>
              </w:rPr>
            </w:pPr>
          </w:p>
        </w:tc>
      </w:tr>
      <w:tr>
        <w:trPr>
          <w:trHeight w:val="117"/>
        </w:trPr>
        <w:tc>
          <w:tcPr>
            <w:tcW w:w="1940" w:type="dxa"/>
            <w:vAlign w:val="bottom"/>
          </w:tcPr>
          <w:p>
            <w:pPr>
              <w:spacing w:after="0" w:line="117" w:lineRule="exact"/>
              <w:rPr>
                <w:sz w:val="20"/>
                <w:szCs w:val="20"/>
                <w:color w:val="auto"/>
              </w:rPr>
            </w:pPr>
            <w:r>
              <w:rPr>
                <w:rFonts w:ascii="Arial" w:cs="Arial" w:eastAsia="Arial" w:hAnsi="Arial"/>
                <w:sz w:val="13"/>
                <w:szCs w:val="13"/>
                <w:color w:val="auto"/>
              </w:rPr>
              <w:t>Nomura International PLC (**)</w:t>
            </w:r>
          </w:p>
        </w:tc>
        <w:tc>
          <w:tcPr>
            <w:tcW w:w="120" w:type="dxa"/>
            <w:vAlign w:val="bottom"/>
          </w:tcPr>
          <w:p>
            <w:pPr>
              <w:spacing w:after="0"/>
              <w:rPr>
                <w:sz w:val="10"/>
                <w:szCs w:val="10"/>
                <w:color w:val="auto"/>
              </w:rPr>
            </w:pPr>
          </w:p>
        </w:tc>
        <w:tc>
          <w:tcPr>
            <w:tcW w:w="940" w:type="dxa"/>
            <w:vAlign w:val="bottom"/>
            <w:gridSpan w:val="2"/>
          </w:tcPr>
          <w:p>
            <w:pPr>
              <w:jc w:val="center"/>
              <w:ind w:right="140"/>
              <w:spacing w:after="0" w:line="117" w:lineRule="exact"/>
              <w:rPr>
                <w:sz w:val="20"/>
                <w:szCs w:val="20"/>
                <w:color w:val="auto"/>
              </w:rPr>
            </w:pPr>
            <w:r>
              <w:rPr>
                <w:rFonts w:ascii="Arial" w:cs="Arial" w:eastAsia="Arial" w:hAnsi="Arial"/>
                <w:sz w:val="13"/>
                <w:szCs w:val="13"/>
                <w:color w:val="auto"/>
                <w:w w:val="92"/>
              </w:rPr>
              <w:t>U.S. dollar</w:t>
            </w:r>
          </w:p>
        </w:tc>
        <w:tc>
          <w:tcPr>
            <w:tcW w:w="1380" w:type="dxa"/>
            <w:vAlign w:val="bottom"/>
            <w:gridSpan w:val="2"/>
          </w:tcPr>
          <w:p>
            <w:pPr>
              <w:jc w:val="center"/>
              <w:ind w:right="120"/>
              <w:spacing w:after="0" w:line="117" w:lineRule="exact"/>
              <w:rPr>
                <w:sz w:val="20"/>
                <w:szCs w:val="20"/>
                <w:color w:val="auto"/>
              </w:rPr>
            </w:pPr>
            <w:r>
              <w:rPr>
                <w:rFonts w:ascii="Arial" w:cs="Arial" w:eastAsia="Arial" w:hAnsi="Arial"/>
                <w:sz w:val="13"/>
                <w:szCs w:val="13"/>
                <w:color w:val="auto"/>
                <w:w w:val="90"/>
              </w:rPr>
              <w:t>August 2020</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spacing w:after="0" w:line="117" w:lineRule="exact"/>
              <w:rPr>
                <w:sz w:val="20"/>
                <w:szCs w:val="20"/>
                <w:color w:val="auto"/>
              </w:rPr>
            </w:pPr>
            <w:r>
              <w:rPr>
                <w:rFonts w:ascii="Arial" w:cs="Arial" w:eastAsia="Arial" w:hAnsi="Arial"/>
                <w:sz w:val="13"/>
                <w:szCs w:val="13"/>
                <w:color w:val="auto"/>
              </w:rPr>
              <w:t>Held-to-maturity investments</w:t>
            </w:r>
          </w:p>
        </w:tc>
        <w:tc>
          <w:tcPr>
            <w:tcW w:w="120" w:type="dxa"/>
            <w:vAlign w:val="bottom"/>
          </w:tcPr>
          <w:p>
            <w:pPr>
              <w:spacing w:after="0"/>
              <w:rPr>
                <w:sz w:val="10"/>
                <w:szCs w:val="10"/>
                <w:color w:val="auto"/>
              </w:rPr>
            </w:pPr>
          </w:p>
        </w:tc>
        <w:tc>
          <w:tcPr>
            <w:tcW w:w="1220" w:type="dxa"/>
            <w:vAlign w:val="bottom"/>
            <w:gridSpan w:val="2"/>
          </w:tcPr>
          <w:p>
            <w:pPr>
              <w:jc w:val="center"/>
              <w:ind w:right="80"/>
              <w:spacing w:after="0" w:line="117" w:lineRule="exact"/>
              <w:rPr>
                <w:sz w:val="20"/>
                <w:szCs w:val="20"/>
                <w:color w:val="auto"/>
              </w:rPr>
            </w:pPr>
            <w:r>
              <w:rPr>
                <w:rFonts w:ascii="Arial" w:cs="Arial" w:eastAsia="Arial" w:hAnsi="Arial"/>
                <w:sz w:val="13"/>
                <w:szCs w:val="13"/>
                <w:color w:val="auto"/>
                <w:w w:val="90"/>
              </w:rPr>
              <w:t>August 2020</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spacing w:after="0" w:line="117" w:lineRule="exact"/>
              <w:rPr>
                <w:sz w:val="20"/>
                <w:szCs w:val="20"/>
                <w:color w:val="auto"/>
              </w:rPr>
            </w:pPr>
            <w:r>
              <w:rPr>
                <w:rFonts w:ascii="Arial" w:cs="Arial" w:eastAsia="Arial" w:hAnsi="Arial"/>
                <w:sz w:val="13"/>
                <w:szCs w:val="13"/>
                <w:color w:val="auto"/>
              </w:rPr>
              <w:t>Held-to-maturity investments</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268,480</w:t>
            </w:r>
          </w:p>
        </w:tc>
        <w:tc>
          <w:tcPr>
            <w:tcW w:w="1700" w:type="dxa"/>
            <w:vAlign w:val="bottom"/>
          </w:tcPr>
          <w:p>
            <w:pPr>
              <w:spacing w:after="0"/>
              <w:rPr>
                <w:sz w:val="20"/>
                <w:szCs w:val="20"/>
                <w:color w:val="auto"/>
              </w:rPr>
            </w:pPr>
            <w:r>
              <w:rPr>
                <w:rFonts w:ascii="Arial" w:cs="Arial" w:eastAsia="Arial" w:hAnsi="Arial"/>
                <w:sz w:val="13"/>
                <w:szCs w:val="13"/>
                <w:color w:val="auto"/>
              </w:rPr>
              <w:t>and cash</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3"/>
                <w:szCs w:val="13"/>
                <w:color w:val="auto"/>
              </w:rPr>
              <w:t>272,880</w:t>
            </w:r>
          </w:p>
        </w:tc>
        <w:tc>
          <w:tcPr>
            <w:tcW w:w="1720" w:type="dxa"/>
            <w:vAlign w:val="bottom"/>
          </w:tcPr>
          <w:p>
            <w:pPr>
              <w:spacing w:after="0"/>
              <w:rPr>
                <w:sz w:val="20"/>
                <w:szCs w:val="20"/>
                <w:color w:val="auto"/>
              </w:rPr>
            </w:pPr>
            <w:r>
              <w:rPr>
                <w:rFonts w:ascii="Arial" w:cs="Arial" w:eastAsia="Arial" w:hAnsi="Arial"/>
                <w:sz w:val="13"/>
                <w:szCs w:val="13"/>
                <w:color w:val="auto"/>
              </w:rPr>
              <w:t>and cash</w:t>
            </w:r>
          </w:p>
        </w:tc>
        <w:tc>
          <w:tcPr>
            <w:tcW w:w="0" w:type="dxa"/>
            <w:vAlign w:val="bottom"/>
          </w:tcPr>
          <w:p>
            <w:pPr>
              <w:spacing w:after="0"/>
              <w:rPr>
                <w:sz w:val="1"/>
                <w:szCs w:val="1"/>
                <w:color w:val="auto"/>
              </w:rPr>
            </w:pPr>
          </w:p>
        </w:tc>
      </w:tr>
      <w:tr>
        <w:trPr>
          <w:trHeight w:val="117"/>
        </w:trPr>
        <w:tc>
          <w:tcPr>
            <w:tcW w:w="194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Nomura International PLC (***)</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140"/>
              <w:spacing w:after="0" w:line="117" w:lineRule="exact"/>
              <w:rPr>
                <w:sz w:val="20"/>
                <w:szCs w:val="20"/>
                <w:color w:val="auto"/>
              </w:rPr>
            </w:pPr>
            <w:r>
              <w:rPr>
                <w:rFonts w:ascii="Arial" w:cs="Arial" w:eastAsia="Arial" w:hAnsi="Arial"/>
                <w:sz w:val="13"/>
                <w:szCs w:val="13"/>
                <w:color w:val="auto"/>
                <w:w w:val="92"/>
              </w:rPr>
              <w:t>U.S. dollar</w:t>
            </w:r>
          </w:p>
        </w:tc>
        <w:tc>
          <w:tcPr>
            <w:tcW w:w="1380" w:type="dxa"/>
            <w:vAlign w:val="bottom"/>
            <w:gridSpan w:val="2"/>
            <w:shd w:val="clear" w:color="auto" w:fill="CCEEFF"/>
          </w:tcPr>
          <w:p>
            <w:pPr>
              <w:jc w:val="center"/>
              <w:ind w:right="120"/>
              <w:spacing w:after="0" w:line="117" w:lineRule="exact"/>
              <w:rPr>
                <w:sz w:val="20"/>
                <w:szCs w:val="20"/>
                <w:color w:val="auto"/>
              </w:rPr>
            </w:pPr>
            <w:r>
              <w:rPr>
                <w:rFonts w:ascii="Arial" w:cs="Arial" w:eastAsia="Arial" w:hAnsi="Arial"/>
                <w:sz w:val="13"/>
                <w:szCs w:val="13"/>
                <w:color w:val="auto"/>
                <w:w w:val="90"/>
              </w:rPr>
              <w:t>August 2020</w:t>
            </w: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Held-to-maturity investments</w:t>
            </w: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center"/>
              <w:ind w:right="80"/>
              <w:spacing w:after="0" w:line="117" w:lineRule="exact"/>
              <w:rPr>
                <w:sz w:val="20"/>
                <w:szCs w:val="20"/>
                <w:color w:val="auto"/>
              </w:rPr>
            </w:pPr>
            <w:r>
              <w:rPr>
                <w:rFonts w:ascii="Arial" w:cs="Arial" w:eastAsia="Arial" w:hAnsi="Arial"/>
                <w:sz w:val="13"/>
                <w:szCs w:val="13"/>
                <w:color w:val="auto"/>
                <w:w w:val="90"/>
              </w:rPr>
              <w:t>August 2020</w:t>
            </w:r>
          </w:p>
        </w:tc>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Held-to-maturity investments</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234,920</w:t>
            </w: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and cash</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238,770</w:t>
            </w:r>
          </w:p>
        </w:tc>
        <w:tc>
          <w:tcPr>
            <w:tcW w:w="1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940" w:type="dxa"/>
            <w:vAlign w:val="bottom"/>
          </w:tcPr>
          <w:p>
            <w:pPr>
              <w:spacing w:after="0" w:line="117" w:lineRule="exact"/>
              <w:rPr>
                <w:sz w:val="20"/>
                <w:szCs w:val="20"/>
                <w:color w:val="auto"/>
              </w:rPr>
            </w:pPr>
            <w:r>
              <w:rPr>
                <w:rFonts w:ascii="Arial" w:cs="Arial" w:eastAsia="Arial" w:hAnsi="Arial"/>
                <w:sz w:val="13"/>
                <w:szCs w:val="13"/>
                <w:color w:val="auto"/>
              </w:rPr>
              <w:t>Citigroup Global Markets Limited</w:t>
            </w:r>
          </w:p>
        </w:tc>
        <w:tc>
          <w:tcPr>
            <w:tcW w:w="120" w:type="dxa"/>
            <w:vAlign w:val="bottom"/>
          </w:tcPr>
          <w:p>
            <w:pPr>
              <w:spacing w:after="0"/>
              <w:rPr>
                <w:sz w:val="10"/>
                <w:szCs w:val="10"/>
                <w:color w:val="auto"/>
              </w:rPr>
            </w:pPr>
          </w:p>
        </w:tc>
        <w:tc>
          <w:tcPr>
            <w:tcW w:w="940" w:type="dxa"/>
            <w:vAlign w:val="bottom"/>
            <w:gridSpan w:val="2"/>
          </w:tcPr>
          <w:p>
            <w:pPr>
              <w:jc w:val="center"/>
              <w:ind w:right="140"/>
              <w:spacing w:after="0" w:line="117" w:lineRule="exact"/>
              <w:rPr>
                <w:sz w:val="20"/>
                <w:szCs w:val="20"/>
                <w:color w:val="auto"/>
              </w:rPr>
            </w:pPr>
            <w:r>
              <w:rPr>
                <w:rFonts w:ascii="Arial" w:cs="Arial" w:eastAsia="Arial" w:hAnsi="Arial"/>
                <w:sz w:val="13"/>
                <w:szCs w:val="13"/>
                <w:color w:val="auto"/>
                <w:w w:val="92"/>
              </w:rPr>
              <w:t>U.S. dollar</w:t>
            </w:r>
          </w:p>
        </w:tc>
        <w:tc>
          <w:tcPr>
            <w:tcW w:w="1380" w:type="dxa"/>
            <w:vAlign w:val="bottom"/>
            <w:gridSpan w:val="2"/>
          </w:tcPr>
          <w:p>
            <w:pPr>
              <w:jc w:val="center"/>
              <w:ind w:right="120"/>
              <w:spacing w:after="0" w:line="117" w:lineRule="exact"/>
              <w:rPr>
                <w:sz w:val="20"/>
                <w:szCs w:val="20"/>
                <w:color w:val="auto"/>
              </w:rPr>
            </w:pPr>
            <w:r>
              <w:rPr>
                <w:rFonts w:ascii="Arial" w:cs="Arial" w:eastAsia="Arial" w:hAnsi="Arial"/>
                <w:sz w:val="13"/>
                <w:szCs w:val="13"/>
                <w:color w:val="auto"/>
                <w:w w:val="90"/>
              </w:rPr>
              <w:t>August 2026</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spacing w:after="0" w:line="117" w:lineRule="exact"/>
              <w:rPr>
                <w:sz w:val="20"/>
                <w:szCs w:val="20"/>
                <w:color w:val="auto"/>
              </w:rPr>
            </w:pPr>
            <w:r>
              <w:rPr>
                <w:rFonts w:ascii="Arial" w:cs="Arial" w:eastAsia="Arial" w:hAnsi="Arial"/>
                <w:sz w:val="13"/>
                <w:szCs w:val="13"/>
                <w:color w:val="auto"/>
              </w:rPr>
              <w:t>Held-to-maturity investments</w:t>
            </w:r>
          </w:p>
        </w:tc>
        <w:tc>
          <w:tcPr>
            <w:tcW w:w="1260" w:type="dxa"/>
            <w:vAlign w:val="bottom"/>
            <w:gridSpan w:val="2"/>
          </w:tcPr>
          <w:p>
            <w:pPr>
              <w:jc w:val="center"/>
              <w:ind w:left="36"/>
              <w:spacing w:after="0" w:line="117"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spacing w:after="0" w:line="11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151,020</w:t>
            </w:r>
          </w:p>
        </w:tc>
        <w:tc>
          <w:tcPr>
            <w:tcW w:w="1700" w:type="dxa"/>
            <w:vAlign w:val="bottom"/>
          </w:tcPr>
          <w:p>
            <w:pPr>
              <w:spacing w:after="0"/>
              <w:rPr>
                <w:sz w:val="20"/>
                <w:szCs w:val="20"/>
                <w:color w:val="auto"/>
              </w:rPr>
            </w:pPr>
            <w:r>
              <w:rPr>
                <w:rFonts w:ascii="Arial" w:cs="Arial" w:eastAsia="Arial" w:hAnsi="Arial"/>
                <w:sz w:val="13"/>
                <w:szCs w:val="13"/>
                <w:color w:val="auto"/>
              </w:rPr>
              <w:t>and cash</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94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Citigroup Global Markets Limited</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140"/>
              <w:spacing w:after="0" w:line="117" w:lineRule="exact"/>
              <w:rPr>
                <w:sz w:val="20"/>
                <w:szCs w:val="20"/>
                <w:color w:val="auto"/>
              </w:rPr>
            </w:pPr>
            <w:r>
              <w:rPr>
                <w:rFonts w:ascii="Arial" w:cs="Arial" w:eastAsia="Arial" w:hAnsi="Arial"/>
                <w:sz w:val="13"/>
                <w:szCs w:val="13"/>
                <w:color w:val="auto"/>
                <w:w w:val="85"/>
              </w:rPr>
              <w:t>Soles</w:t>
            </w:r>
          </w:p>
        </w:tc>
        <w:tc>
          <w:tcPr>
            <w:tcW w:w="1380" w:type="dxa"/>
            <w:vAlign w:val="bottom"/>
            <w:gridSpan w:val="2"/>
            <w:shd w:val="clear" w:color="auto" w:fill="CCEEFF"/>
          </w:tcPr>
          <w:p>
            <w:pPr>
              <w:jc w:val="center"/>
              <w:ind w:right="120"/>
              <w:spacing w:after="0" w:line="117" w:lineRule="exact"/>
              <w:rPr>
                <w:sz w:val="20"/>
                <w:szCs w:val="20"/>
                <w:color w:val="auto"/>
              </w:rPr>
            </w:pPr>
            <w:r>
              <w:rPr>
                <w:rFonts w:ascii="Arial" w:cs="Arial" w:eastAsia="Arial" w:hAnsi="Arial"/>
                <w:sz w:val="13"/>
                <w:szCs w:val="13"/>
                <w:color w:val="auto"/>
                <w:w w:val="90"/>
              </w:rPr>
              <w:t>August 2020</w:t>
            </w: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Held-to-maturity investments</w:t>
            </w: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center"/>
              <w:ind w:right="80"/>
              <w:spacing w:after="0" w:line="117" w:lineRule="exact"/>
              <w:rPr>
                <w:sz w:val="20"/>
                <w:szCs w:val="20"/>
                <w:color w:val="auto"/>
              </w:rPr>
            </w:pPr>
            <w:r>
              <w:rPr>
                <w:rFonts w:ascii="Arial" w:cs="Arial" w:eastAsia="Arial" w:hAnsi="Arial"/>
                <w:sz w:val="13"/>
                <w:szCs w:val="13"/>
                <w:color w:val="auto"/>
                <w:w w:val="90"/>
              </w:rPr>
              <w:t>August 2020</w:t>
            </w:r>
          </w:p>
        </w:tc>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Held-to-maturity investments</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100,000</w:t>
            </w: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100,000</w:t>
            </w:r>
          </w:p>
        </w:tc>
        <w:tc>
          <w:tcPr>
            <w:tcW w:w="1720" w:type="dxa"/>
            <w:vAlign w:val="bottom"/>
            <w:shd w:val="clear" w:color="auto" w:fill="CCEEFF"/>
          </w:tcPr>
          <w:p>
            <w:pPr>
              <w:spacing w:after="0"/>
              <w:rPr>
                <w:sz w:val="20"/>
                <w:szCs w:val="20"/>
                <w:color w:val="auto"/>
              </w:rPr>
            </w:pPr>
            <w:r>
              <w:rPr>
                <w:rFonts w:ascii="Arial" w:cs="Arial" w:eastAsia="Arial" w:hAnsi="Arial"/>
                <w:sz w:val="13"/>
                <w:szCs w:val="13"/>
                <w:color w:val="auto"/>
              </w:rPr>
              <w:t>and cash</w:t>
            </w:r>
          </w:p>
        </w:tc>
        <w:tc>
          <w:tcPr>
            <w:tcW w:w="0" w:type="dxa"/>
            <w:vAlign w:val="bottom"/>
          </w:tcPr>
          <w:p>
            <w:pPr>
              <w:spacing w:after="0"/>
              <w:rPr>
                <w:sz w:val="1"/>
                <w:szCs w:val="1"/>
                <w:color w:val="auto"/>
              </w:rPr>
            </w:pPr>
          </w:p>
        </w:tc>
      </w:tr>
      <w:tr>
        <w:trPr>
          <w:trHeight w:val="133"/>
        </w:trPr>
        <w:tc>
          <w:tcPr>
            <w:tcW w:w="1940" w:type="dxa"/>
            <w:vAlign w:val="bottom"/>
          </w:tcPr>
          <w:p>
            <w:pPr>
              <w:spacing w:after="0" w:line="133" w:lineRule="exact"/>
              <w:rPr>
                <w:sz w:val="20"/>
                <w:szCs w:val="20"/>
                <w:color w:val="auto"/>
              </w:rPr>
            </w:pPr>
            <w:r>
              <w:rPr>
                <w:rFonts w:ascii="Arial" w:cs="Arial" w:eastAsia="Arial" w:hAnsi="Arial"/>
                <w:sz w:val="13"/>
                <w:szCs w:val="13"/>
                <w:color w:val="auto"/>
              </w:rPr>
              <w:t>Natixis S.A. (*****)</w:t>
            </w:r>
          </w:p>
        </w:tc>
        <w:tc>
          <w:tcPr>
            <w:tcW w:w="120" w:type="dxa"/>
            <w:vAlign w:val="bottom"/>
          </w:tcPr>
          <w:p>
            <w:pPr>
              <w:spacing w:after="0"/>
              <w:rPr>
                <w:sz w:val="11"/>
                <w:szCs w:val="11"/>
                <w:color w:val="auto"/>
              </w:rPr>
            </w:pP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3"/>
                <w:szCs w:val="13"/>
                <w:color w:val="auto"/>
                <w:w w:val="92"/>
              </w:rPr>
              <w:t>U.S. dollar</w:t>
            </w:r>
          </w:p>
        </w:tc>
        <w:tc>
          <w:tcPr>
            <w:tcW w:w="1380" w:type="dxa"/>
            <w:vAlign w:val="bottom"/>
            <w:gridSpan w:val="2"/>
          </w:tcPr>
          <w:p>
            <w:pPr>
              <w:jc w:val="center"/>
              <w:ind w:right="120"/>
              <w:spacing w:after="0" w:line="133" w:lineRule="exact"/>
              <w:rPr>
                <w:sz w:val="20"/>
                <w:szCs w:val="20"/>
                <w:color w:val="auto"/>
              </w:rPr>
            </w:pPr>
            <w:r>
              <w:rPr>
                <w:rFonts w:ascii="Arial" w:cs="Arial" w:eastAsia="Arial" w:hAnsi="Arial"/>
                <w:sz w:val="13"/>
                <w:szCs w:val="13"/>
                <w:color w:val="auto"/>
                <w:w w:val="90"/>
              </w:rPr>
              <w:t>August 2026</w:t>
            </w:r>
          </w:p>
        </w:tc>
        <w:tc>
          <w:tcPr>
            <w:tcW w:w="11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83,900</w:t>
            </w:r>
          </w:p>
        </w:tc>
        <w:tc>
          <w:tcPr>
            <w:tcW w:w="1700" w:type="dxa"/>
            <w:vAlign w:val="bottom"/>
          </w:tcPr>
          <w:p>
            <w:pPr>
              <w:spacing w:after="0" w:line="133" w:lineRule="exact"/>
              <w:rPr>
                <w:sz w:val="20"/>
                <w:szCs w:val="20"/>
                <w:color w:val="auto"/>
              </w:rPr>
            </w:pPr>
            <w:r>
              <w:rPr>
                <w:rFonts w:ascii="Arial" w:cs="Arial" w:eastAsia="Arial" w:hAnsi="Arial"/>
                <w:sz w:val="13"/>
                <w:szCs w:val="13"/>
                <w:color w:val="auto"/>
                <w:w w:val="96"/>
              </w:rPr>
              <w:t>Available-for-sale investments</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92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720" w:type="dxa"/>
            <w:vAlign w:val="bottom"/>
          </w:tcPr>
          <w:p>
            <w:pPr>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19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UBS</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140"/>
              <w:spacing w:after="0" w:line="133" w:lineRule="exact"/>
              <w:rPr>
                <w:sz w:val="20"/>
                <w:szCs w:val="20"/>
                <w:color w:val="auto"/>
              </w:rPr>
            </w:pPr>
            <w:r>
              <w:rPr>
                <w:rFonts w:ascii="Arial" w:cs="Arial" w:eastAsia="Arial" w:hAnsi="Arial"/>
                <w:sz w:val="13"/>
                <w:szCs w:val="13"/>
                <w:color w:val="auto"/>
                <w:w w:val="92"/>
              </w:rPr>
              <w:t>U.S. dollar</w:t>
            </w:r>
          </w:p>
        </w:tc>
        <w:tc>
          <w:tcPr>
            <w:tcW w:w="1380" w:type="dxa"/>
            <w:vAlign w:val="bottom"/>
            <w:gridSpan w:val="2"/>
            <w:shd w:val="clear" w:color="auto" w:fill="CCEEFF"/>
          </w:tcPr>
          <w:p>
            <w:pPr>
              <w:jc w:val="center"/>
              <w:ind w:right="120"/>
              <w:spacing w:after="0" w:line="133" w:lineRule="exact"/>
              <w:rPr>
                <w:sz w:val="20"/>
                <w:szCs w:val="20"/>
                <w:color w:val="auto"/>
              </w:rPr>
            </w:pPr>
            <w:r>
              <w:rPr>
                <w:rFonts w:ascii="Arial" w:cs="Arial" w:eastAsia="Arial" w:hAnsi="Arial"/>
                <w:sz w:val="13"/>
                <w:szCs w:val="13"/>
                <w:color w:val="auto"/>
                <w:w w:val="88"/>
              </w:rPr>
              <w:t>January 2017</w:t>
            </w:r>
          </w:p>
        </w:tc>
        <w:tc>
          <w:tcPr>
            <w:tcW w:w="11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68,808</w:t>
            </w:r>
          </w:p>
        </w:tc>
        <w:tc>
          <w:tcPr>
            <w:tcW w:w="17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Held-to-maturity-investments</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940" w:type="dxa"/>
            <w:vAlign w:val="bottom"/>
          </w:tcPr>
          <w:p>
            <w:pPr>
              <w:spacing w:after="0" w:line="117" w:lineRule="exact"/>
              <w:rPr>
                <w:sz w:val="20"/>
                <w:szCs w:val="20"/>
                <w:color w:val="auto"/>
              </w:rPr>
            </w:pPr>
            <w:r>
              <w:rPr>
                <w:rFonts w:ascii="Arial" w:cs="Arial" w:eastAsia="Arial" w:hAnsi="Arial"/>
                <w:sz w:val="13"/>
                <w:szCs w:val="13"/>
                <w:color w:val="auto"/>
              </w:rPr>
              <w:t>Pershing</w:t>
            </w:r>
          </w:p>
        </w:tc>
        <w:tc>
          <w:tcPr>
            <w:tcW w:w="120" w:type="dxa"/>
            <w:vAlign w:val="bottom"/>
          </w:tcPr>
          <w:p>
            <w:pPr>
              <w:spacing w:after="0"/>
              <w:rPr>
                <w:sz w:val="10"/>
                <w:szCs w:val="10"/>
                <w:color w:val="auto"/>
              </w:rPr>
            </w:pPr>
          </w:p>
        </w:tc>
        <w:tc>
          <w:tcPr>
            <w:tcW w:w="940" w:type="dxa"/>
            <w:vAlign w:val="bottom"/>
            <w:gridSpan w:val="2"/>
          </w:tcPr>
          <w:p>
            <w:pPr>
              <w:jc w:val="center"/>
              <w:ind w:right="140"/>
              <w:spacing w:after="0" w:line="117" w:lineRule="exact"/>
              <w:rPr>
                <w:sz w:val="20"/>
                <w:szCs w:val="20"/>
                <w:color w:val="auto"/>
              </w:rPr>
            </w:pPr>
            <w:r>
              <w:rPr>
                <w:rFonts w:ascii="Arial" w:cs="Arial" w:eastAsia="Arial" w:hAnsi="Arial"/>
                <w:sz w:val="13"/>
                <w:szCs w:val="13"/>
                <w:color w:val="auto"/>
                <w:w w:val="92"/>
              </w:rPr>
              <w:t>U.S. dollar</w:t>
            </w:r>
          </w:p>
        </w:tc>
        <w:tc>
          <w:tcPr>
            <w:tcW w:w="1260" w:type="dxa"/>
            <w:vAlign w:val="bottom"/>
          </w:tcPr>
          <w:p>
            <w:pPr>
              <w:jc w:val="center"/>
              <w:spacing w:after="0" w:line="11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spacing w:after="0" w:line="117" w:lineRule="exact"/>
              <w:rPr>
                <w:sz w:val="20"/>
                <w:szCs w:val="20"/>
                <w:color w:val="auto"/>
              </w:rPr>
            </w:pPr>
            <w:r>
              <w:rPr>
                <w:rFonts w:ascii="Arial" w:cs="Arial" w:eastAsia="Arial" w:hAnsi="Arial"/>
                <w:sz w:val="13"/>
                <w:szCs w:val="13"/>
                <w:color w:val="auto"/>
                <w:w w:val="96"/>
              </w:rPr>
              <w:t>Available-for-sale investments</w:t>
            </w:r>
          </w:p>
        </w:tc>
        <w:tc>
          <w:tcPr>
            <w:tcW w:w="120" w:type="dxa"/>
            <w:vAlign w:val="bottom"/>
          </w:tcPr>
          <w:p>
            <w:pPr>
              <w:spacing w:after="0"/>
              <w:rPr>
                <w:sz w:val="10"/>
                <w:szCs w:val="10"/>
                <w:color w:val="auto"/>
              </w:rPr>
            </w:pPr>
          </w:p>
        </w:tc>
        <w:tc>
          <w:tcPr>
            <w:tcW w:w="1220" w:type="dxa"/>
            <w:vAlign w:val="bottom"/>
            <w:gridSpan w:val="2"/>
          </w:tcPr>
          <w:p>
            <w:pPr>
              <w:jc w:val="center"/>
              <w:ind w:right="80"/>
              <w:spacing w:after="0" w:line="117" w:lineRule="exact"/>
              <w:rPr>
                <w:sz w:val="20"/>
                <w:szCs w:val="20"/>
                <w:color w:val="auto"/>
              </w:rPr>
            </w:pPr>
            <w:r>
              <w:rPr>
                <w:rFonts w:ascii="Arial" w:cs="Arial" w:eastAsia="Arial" w:hAnsi="Arial"/>
                <w:sz w:val="13"/>
                <w:szCs w:val="13"/>
                <w:color w:val="auto"/>
                <w:w w:val="88"/>
              </w:rPr>
              <w:t>January 2016</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spacing w:after="0" w:line="117" w:lineRule="exact"/>
              <w:rPr>
                <w:sz w:val="20"/>
                <w:szCs w:val="20"/>
                <w:color w:val="auto"/>
              </w:rPr>
            </w:pPr>
            <w:r>
              <w:rPr>
                <w:rFonts w:ascii="Arial" w:cs="Arial" w:eastAsia="Arial" w:hAnsi="Arial"/>
                <w:sz w:val="13"/>
                <w:szCs w:val="13"/>
                <w:color w:val="auto"/>
                <w:w w:val="98"/>
              </w:rPr>
              <w:t>Available-for-sale investments</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700" w:type="dxa"/>
            <w:vAlign w:val="bottom"/>
          </w:tcPr>
          <w:p>
            <w:pPr>
              <w:spacing w:after="0"/>
              <w:rPr>
                <w:sz w:val="20"/>
                <w:szCs w:val="20"/>
                <w:color w:val="auto"/>
              </w:rPr>
            </w:pPr>
            <w:r>
              <w:rPr>
                <w:rFonts w:ascii="Arial" w:cs="Arial" w:eastAsia="Arial" w:hAnsi="Arial"/>
                <w:sz w:val="13"/>
                <w:szCs w:val="13"/>
                <w:color w:val="auto"/>
              </w:rPr>
              <w:t>and cash</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3"/>
                <w:szCs w:val="13"/>
                <w:color w:val="auto"/>
              </w:rPr>
              <w:t>47,922</w:t>
            </w:r>
          </w:p>
        </w:tc>
        <w:tc>
          <w:tcPr>
            <w:tcW w:w="1720" w:type="dxa"/>
            <w:vAlign w:val="bottom"/>
          </w:tcPr>
          <w:p>
            <w:pPr>
              <w:spacing w:after="0"/>
              <w:rPr>
                <w:sz w:val="20"/>
                <w:szCs w:val="20"/>
                <w:color w:val="auto"/>
              </w:rPr>
            </w:pPr>
            <w:r>
              <w:rPr>
                <w:rFonts w:ascii="Arial" w:cs="Arial" w:eastAsia="Arial" w:hAnsi="Arial"/>
                <w:sz w:val="13"/>
                <w:szCs w:val="13"/>
                <w:color w:val="auto"/>
              </w:rPr>
              <w:t>and cash</w:t>
            </w:r>
          </w:p>
        </w:tc>
        <w:tc>
          <w:tcPr>
            <w:tcW w:w="0" w:type="dxa"/>
            <w:vAlign w:val="bottom"/>
          </w:tcPr>
          <w:p>
            <w:pPr>
              <w:spacing w:after="0"/>
              <w:rPr>
                <w:sz w:val="1"/>
                <w:szCs w:val="1"/>
                <w:color w:val="auto"/>
              </w:rPr>
            </w:pPr>
          </w:p>
        </w:tc>
      </w:tr>
      <w:tr>
        <w:trPr>
          <w:trHeight w:val="117"/>
        </w:trPr>
        <w:tc>
          <w:tcPr>
            <w:tcW w:w="194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Credit Suisse INTL</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140"/>
              <w:spacing w:after="0" w:line="117" w:lineRule="exact"/>
              <w:rPr>
                <w:sz w:val="20"/>
                <w:szCs w:val="20"/>
                <w:color w:val="auto"/>
              </w:rPr>
            </w:pPr>
            <w:r>
              <w:rPr>
                <w:rFonts w:ascii="Arial" w:cs="Arial" w:eastAsia="Arial" w:hAnsi="Arial"/>
                <w:sz w:val="13"/>
                <w:szCs w:val="13"/>
                <w:color w:val="auto"/>
                <w:w w:val="92"/>
              </w:rPr>
              <w:t>U.S. dollar</w:t>
            </w:r>
          </w:p>
        </w:tc>
        <w:tc>
          <w:tcPr>
            <w:tcW w:w="126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6"/>
              </w:rPr>
              <w:t>Available-for-sale investments</w:t>
            </w: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center"/>
              <w:ind w:right="100"/>
              <w:spacing w:after="0" w:line="117" w:lineRule="exact"/>
              <w:rPr>
                <w:sz w:val="20"/>
                <w:szCs w:val="20"/>
                <w:color w:val="auto"/>
              </w:rPr>
            </w:pPr>
            <w:r>
              <w:rPr>
                <w:rFonts w:ascii="Arial" w:cs="Arial" w:eastAsia="Arial" w:hAnsi="Arial"/>
                <w:sz w:val="13"/>
                <w:szCs w:val="13"/>
                <w:color w:val="auto"/>
                <w:w w:val="89"/>
              </w:rPr>
              <w:t>February 2016</w:t>
            </w:r>
          </w:p>
        </w:tc>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8"/>
              </w:rPr>
              <w:t>Available-for-sale investments</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and cash</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156,418</w:t>
            </w:r>
          </w:p>
        </w:tc>
        <w:tc>
          <w:tcPr>
            <w:tcW w:w="1720" w:type="dxa"/>
            <w:vAlign w:val="bottom"/>
            <w:shd w:val="clear" w:color="auto" w:fill="CCEEFF"/>
          </w:tcPr>
          <w:p>
            <w:pPr>
              <w:spacing w:after="0"/>
              <w:rPr>
                <w:sz w:val="20"/>
                <w:szCs w:val="20"/>
                <w:color w:val="auto"/>
              </w:rPr>
            </w:pPr>
            <w:r>
              <w:rPr>
                <w:rFonts w:ascii="Arial" w:cs="Arial" w:eastAsia="Arial" w:hAnsi="Arial"/>
                <w:sz w:val="13"/>
                <w:szCs w:val="13"/>
                <w:color w:val="auto"/>
              </w:rPr>
              <w:t>and cash</w:t>
            </w:r>
          </w:p>
        </w:tc>
        <w:tc>
          <w:tcPr>
            <w:tcW w:w="0" w:type="dxa"/>
            <w:vAlign w:val="bottom"/>
          </w:tcPr>
          <w:p>
            <w:pPr>
              <w:spacing w:after="0"/>
              <w:rPr>
                <w:sz w:val="1"/>
                <w:szCs w:val="1"/>
                <w:color w:val="auto"/>
              </w:rPr>
            </w:pPr>
          </w:p>
        </w:tc>
      </w:tr>
      <w:tr>
        <w:trPr>
          <w:trHeight w:val="117"/>
        </w:trPr>
        <w:tc>
          <w:tcPr>
            <w:tcW w:w="1940" w:type="dxa"/>
            <w:vAlign w:val="bottom"/>
          </w:tcPr>
          <w:p>
            <w:pPr>
              <w:spacing w:after="0" w:line="117" w:lineRule="exact"/>
              <w:rPr>
                <w:sz w:val="20"/>
                <w:szCs w:val="20"/>
                <w:color w:val="auto"/>
              </w:rPr>
            </w:pPr>
            <w:r>
              <w:rPr>
                <w:rFonts w:ascii="Arial" w:cs="Arial" w:eastAsia="Arial" w:hAnsi="Arial"/>
                <w:sz w:val="13"/>
                <w:szCs w:val="13"/>
                <w:color w:val="auto"/>
              </w:rPr>
              <w:t>Brarclays PLC</w:t>
            </w:r>
          </w:p>
        </w:tc>
        <w:tc>
          <w:tcPr>
            <w:tcW w:w="120" w:type="dxa"/>
            <w:vAlign w:val="bottom"/>
          </w:tcPr>
          <w:p>
            <w:pPr>
              <w:spacing w:after="0"/>
              <w:rPr>
                <w:sz w:val="10"/>
                <w:szCs w:val="10"/>
                <w:color w:val="auto"/>
              </w:rPr>
            </w:pPr>
          </w:p>
        </w:tc>
        <w:tc>
          <w:tcPr>
            <w:tcW w:w="940" w:type="dxa"/>
            <w:vAlign w:val="bottom"/>
            <w:gridSpan w:val="2"/>
          </w:tcPr>
          <w:p>
            <w:pPr>
              <w:jc w:val="center"/>
              <w:ind w:right="140"/>
              <w:spacing w:after="0" w:line="117" w:lineRule="exact"/>
              <w:rPr>
                <w:sz w:val="20"/>
                <w:szCs w:val="20"/>
                <w:color w:val="auto"/>
              </w:rPr>
            </w:pPr>
            <w:r>
              <w:rPr>
                <w:rFonts w:ascii="Arial" w:cs="Arial" w:eastAsia="Arial" w:hAnsi="Arial"/>
                <w:sz w:val="13"/>
                <w:szCs w:val="13"/>
                <w:color w:val="auto"/>
                <w:w w:val="92"/>
              </w:rPr>
              <w:t>U.S. dollar</w:t>
            </w:r>
          </w:p>
        </w:tc>
        <w:tc>
          <w:tcPr>
            <w:tcW w:w="1260" w:type="dxa"/>
            <w:vAlign w:val="bottom"/>
          </w:tcPr>
          <w:p>
            <w:pPr>
              <w:jc w:val="center"/>
              <w:spacing w:after="0" w:line="11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spacing w:after="0" w:line="117" w:lineRule="exact"/>
              <w:rPr>
                <w:sz w:val="20"/>
                <w:szCs w:val="20"/>
                <w:color w:val="auto"/>
              </w:rPr>
            </w:pPr>
            <w:r>
              <w:rPr>
                <w:rFonts w:ascii="Arial" w:cs="Arial" w:eastAsia="Arial" w:hAnsi="Arial"/>
                <w:sz w:val="13"/>
                <w:szCs w:val="13"/>
                <w:color w:val="auto"/>
                <w:w w:val="96"/>
              </w:rPr>
              <w:t>Available-for-sale investments</w:t>
            </w:r>
          </w:p>
        </w:tc>
        <w:tc>
          <w:tcPr>
            <w:tcW w:w="120" w:type="dxa"/>
            <w:vAlign w:val="bottom"/>
          </w:tcPr>
          <w:p>
            <w:pPr>
              <w:spacing w:after="0"/>
              <w:rPr>
                <w:sz w:val="10"/>
                <w:szCs w:val="10"/>
                <w:color w:val="auto"/>
              </w:rPr>
            </w:pPr>
          </w:p>
        </w:tc>
        <w:tc>
          <w:tcPr>
            <w:tcW w:w="1220" w:type="dxa"/>
            <w:vAlign w:val="bottom"/>
            <w:gridSpan w:val="2"/>
          </w:tcPr>
          <w:p>
            <w:pPr>
              <w:jc w:val="center"/>
              <w:ind w:right="100"/>
              <w:spacing w:after="0" w:line="117" w:lineRule="exact"/>
              <w:rPr>
                <w:sz w:val="20"/>
                <w:szCs w:val="20"/>
                <w:color w:val="auto"/>
              </w:rPr>
            </w:pPr>
            <w:r>
              <w:rPr>
                <w:rFonts w:ascii="Arial" w:cs="Arial" w:eastAsia="Arial" w:hAnsi="Arial"/>
                <w:sz w:val="13"/>
                <w:szCs w:val="13"/>
                <w:color w:val="auto"/>
                <w:w w:val="85"/>
              </w:rPr>
              <w:t>June 2016</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spacing w:after="0" w:line="117" w:lineRule="exact"/>
              <w:rPr>
                <w:sz w:val="20"/>
                <w:szCs w:val="20"/>
                <w:color w:val="auto"/>
              </w:rPr>
            </w:pPr>
            <w:r>
              <w:rPr>
                <w:rFonts w:ascii="Arial" w:cs="Arial" w:eastAsia="Arial" w:hAnsi="Arial"/>
                <w:sz w:val="13"/>
                <w:szCs w:val="13"/>
                <w:color w:val="auto"/>
                <w:w w:val="98"/>
              </w:rPr>
              <w:t>Available-for-sale investments</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700" w:type="dxa"/>
            <w:vAlign w:val="bottom"/>
          </w:tcPr>
          <w:p>
            <w:pPr>
              <w:spacing w:after="0"/>
              <w:rPr>
                <w:sz w:val="20"/>
                <w:szCs w:val="20"/>
                <w:color w:val="auto"/>
              </w:rPr>
            </w:pPr>
            <w:r>
              <w:rPr>
                <w:rFonts w:ascii="Arial" w:cs="Arial" w:eastAsia="Arial" w:hAnsi="Arial"/>
                <w:sz w:val="13"/>
                <w:szCs w:val="13"/>
                <w:color w:val="auto"/>
              </w:rPr>
              <w:t>and cash</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3"/>
                <w:szCs w:val="13"/>
                <w:color w:val="auto"/>
              </w:rPr>
              <w:t>275,707</w:t>
            </w:r>
          </w:p>
        </w:tc>
        <w:tc>
          <w:tcPr>
            <w:tcW w:w="1720" w:type="dxa"/>
            <w:vAlign w:val="bottom"/>
          </w:tcPr>
          <w:p>
            <w:pPr>
              <w:spacing w:after="0"/>
              <w:rPr>
                <w:sz w:val="20"/>
                <w:szCs w:val="20"/>
                <w:color w:val="auto"/>
              </w:rPr>
            </w:pPr>
            <w:r>
              <w:rPr>
                <w:rFonts w:ascii="Arial" w:cs="Arial" w:eastAsia="Arial" w:hAnsi="Arial"/>
                <w:sz w:val="13"/>
                <w:szCs w:val="13"/>
                <w:color w:val="auto"/>
              </w:rPr>
              <w:t>and cash</w:t>
            </w: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Yields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259,566</w:t>
            </w: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160,606</w:t>
            </w:r>
          </w:p>
        </w:tc>
        <w:tc>
          <w:tcPr>
            <w:tcW w:w="1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13,835,500</w:t>
            </w:r>
          </w:p>
        </w:tc>
        <w:tc>
          <w:tcPr>
            <w:tcW w:w="2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13,176,793</w:t>
            </w:r>
          </w:p>
        </w:tc>
        <w:tc>
          <w:tcPr>
            <w:tcW w:w="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8" w:right="219" w:bottom="1440" w:gutter="0" w:footer="0" w:header="0"/>
        </w:sectPr>
      </w:pPr>
    </w:p>
    <w:bookmarkStart w:id="59" w:name="page60"/>
    <w:bookmarkEnd w:id="59"/>
    <w:p>
      <w:pPr>
        <w:jc w:val="both"/>
        <w:ind w:right="80"/>
        <w:spacing w:after="0" w:line="266" w:lineRule="auto"/>
        <w:rPr>
          <w:sz w:val="20"/>
          <w:szCs w:val="20"/>
          <w:color w:val="auto"/>
        </w:rPr>
      </w:pPr>
      <w:r>
        <w:rPr>
          <w:rFonts w:ascii="Arial" w:cs="Arial" w:eastAsia="Arial" w:hAnsi="Arial"/>
          <w:sz w:val="16"/>
          <w:szCs w:val="16"/>
          <w:color w:val="auto"/>
        </w:rPr>
        <w:t>At December 31, 2016, said operations accrue interest at fixed and variable rates between 0.95 percent and 7.20 percent and between Libor L3M + 0.35 percent and Libor 6M + 1.90 percent, respectively, (between 3.00 percent and 7.20 percent and between Libor 3M + 0.35 percent and Libor 3M + 0.85 percent, respectively, at December 31, 2015).</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Certain repurchase agreements were hedged using interest rate swaps (IRS) and cross-currency swaps (CCS), as detailed below:</w:t>
      </w:r>
    </w:p>
    <w:p>
      <w:pPr>
        <w:spacing w:after="0" w:line="203" w:lineRule="exact"/>
        <w:rPr>
          <w:sz w:val="20"/>
          <w:szCs w:val="20"/>
          <w:color w:val="auto"/>
        </w:rPr>
      </w:pPr>
    </w:p>
    <w:p>
      <w:pPr>
        <w:ind w:left="560" w:right="80" w:hanging="553"/>
        <w:spacing w:after="0" w:line="266" w:lineRule="auto"/>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At December 31, 2016, the Group holds IRS which were designated as cash flow hedges of certain repurchase agreements at variable rate for a nominal amount of US$150.0 million, equivalent to S/503.4 million (US$150.0 million, equivalent to S/511.7 million, at December 31, 2015). By using these IRS, those repurchase agreements were economically converted to fixed interest rate, see note 12(b).</w:t>
      </w:r>
    </w:p>
    <w:p>
      <w:pPr>
        <w:spacing w:after="0" w:line="162" w:lineRule="exact"/>
        <w:rPr>
          <w:sz w:val="20"/>
          <w:szCs w:val="20"/>
          <w:color w:val="auto"/>
        </w:rPr>
      </w:pPr>
    </w:p>
    <w:p>
      <w:pPr>
        <w:ind w:left="560" w:right="120" w:hanging="553"/>
        <w:spacing w:after="0" w:line="321" w:lineRule="auto"/>
        <w:tabs>
          <w:tab w:leader="none" w:pos="5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At December 31, 2016, the Group maintains an IRS and a CCS, which were together designated as a cash flow hedge of a repurchase agreement in U.S. dollars at variable interest rate for a nominal amount of US$80.0 million, equivalent to S/268.5 million (approximately US$80.0 million, equivalent to S/272.9 million, at December 31, 2015). By means of the IRS and the CCS, said repurchase agreement was economically converted to soles at a fixed interest rate, see note 12(b).</w:t>
      </w:r>
    </w:p>
    <w:p>
      <w:pPr>
        <w:spacing w:after="0" w:line="128" w:lineRule="exact"/>
        <w:rPr>
          <w:sz w:val="20"/>
          <w:szCs w:val="20"/>
          <w:color w:val="auto"/>
        </w:rPr>
      </w:pPr>
    </w:p>
    <w:p>
      <w:pPr>
        <w:ind w:left="560" w:hanging="553"/>
        <w:spacing w:after="0" w:line="266" w:lineRule="auto"/>
        <w:tabs>
          <w:tab w:leader="none" w:pos="5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At December 31, 2016, </w:t>
      </w:r>
      <w:r>
        <w:rPr>
          <w:rFonts w:ascii="Arial" w:cs="Arial" w:eastAsia="Arial" w:hAnsi="Arial"/>
          <w:sz w:val="16"/>
          <w:szCs w:val="16"/>
          <w:color w:val="222222"/>
        </w:rPr>
        <w:t>the Group maintains a CCS which was designated as a cash flow hedge for a repurchase agreement in U.S. dollars at variable rate for a</w:t>
      </w:r>
      <w:r>
        <w:rPr>
          <w:rFonts w:ascii="Arial" w:cs="Arial" w:eastAsia="Arial" w:hAnsi="Arial"/>
          <w:sz w:val="16"/>
          <w:szCs w:val="16"/>
          <w:color w:val="auto"/>
        </w:rPr>
        <w:t xml:space="preserve"> </w:t>
      </w:r>
      <w:r>
        <w:rPr>
          <w:rFonts w:ascii="Arial" w:cs="Arial" w:eastAsia="Arial" w:hAnsi="Arial"/>
          <w:sz w:val="16"/>
          <w:szCs w:val="16"/>
          <w:color w:val="222222"/>
        </w:rPr>
        <w:t xml:space="preserve">nominal amount of </w:t>
      </w:r>
      <w:r>
        <w:rPr>
          <w:rFonts w:ascii="Arial" w:cs="Arial" w:eastAsia="Arial" w:hAnsi="Arial"/>
          <w:sz w:val="16"/>
          <w:szCs w:val="16"/>
          <w:color w:val="000000"/>
        </w:rPr>
        <w:t>US$70 million, equivalent to S/234.9 million (approximately US$70.0 million, equivalent to S/238.8 million, at December 31, 2015).</w:t>
      </w:r>
      <w:r>
        <w:rPr>
          <w:rFonts w:ascii="Arial" w:cs="Arial" w:eastAsia="Arial" w:hAnsi="Arial"/>
          <w:sz w:val="16"/>
          <w:szCs w:val="16"/>
          <w:color w:val="222222"/>
        </w:rPr>
        <w:t xml:space="preserve"> By means of the CCS, this repurchase agreement was economically converted to a fixed interest rate in soles see note 12(b).</w:t>
      </w:r>
    </w:p>
    <w:p>
      <w:pPr>
        <w:spacing w:after="0" w:line="162" w:lineRule="exact"/>
        <w:rPr>
          <w:sz w:val="20"/>
          <w:szCs w:val="20"/>
          <w:color w:val="auto"/>
        </w:rPr>
      </w:pPr>
    </w:p>
    <w:p>
      <w:pPr>
        <w:ind w:left="560" w:right="180" w:hanging="559"/>
        <w:spacing w:after="0" w:line="266" w:lineRule="auto"/>
        <w:tabs>
          <w:tab w:leader="none" w:pos="540" w:val="left"/>
        </w:tabs>
        <w:rPr>
          <w:sz w:val="20"/>
          <w:szCs w:val="20"/>
          <w:color w:val="auto"/>
        </w:rPr>
      </w:pPr>
      <w:r>
        <w:rPr>
          <w:rFonts w:ascii="Arial" w:cs="Arial" w:eastAsia="Arial" w:hAnsi="Arial"/>
          <w:sz w:val="16"/>
          <w:szCs w:val="16"/>
          <w:color w:val="auto"/>
        </w:rPr>
        <w:t>(****)</w:t>
        <w:tab/>
        <w:t>December 31, 2016, the Group maintains a CCS which was designated as a cash flow hedge of two repurchase agreements in U.S. dollars at variable rate for a nominal amount of US$45.0 million, equivalent to S/151.0 million. By means of the CCS, said repurchase agreements were economically converted to soles, see note 12(b).</w:t>
      </w:r>
    </w:p>
    <w:p>
      <w:pPr>
        <w:spacing w:after="0" w:line="162" w:lineRule="exact"/>
        <w:rPr>
          <w:sz w:val="20"/>
          <w:szCs w:val="20"/>
          <w:color w:val="auto"/>
        </w:rPr>
      </w:pPr>
    </w:p>
    <w:p>
      <w:pPr>
        <w:ind w:left="560" w:right="60" w:hanging="555"/>
        <w:spacing w:after="0" w:line="266" w:lineRule="auto"/>
        <w:rPr>
          <w:sz w:val="20"/>
          <w:szCs w:val="20"/>
          <w:color w:val="auto"/>
        </w:rPr>
      </w:pPr>
      <w:r>
        <w:rPr>
          <w:rFonts w:ascii="Arial" w:cs="Arial" w:eastAsia="Arial" w:hAnsi="Arial"/>
          <w:sz w:val="16"/>
          <w:szCs w:val="16"/>
          <w:color w:val="auto"/>
        </w:rPr>
        <w:t>(*****) At December 31, 2016, the Group maintains a CCS which was designated as a cash flow hedge of a repurchase agreement in U.S. dollars at variable rate for a nominal amount of US$25.0 million, equivalent to S/83.9 million. By means of the CCS, said repurchase agreement was economically converted to soles, see note 12(b).</w:t>
      </w:r>
    </w:p>
    <w:p>
      <w:pPr>
        <w:spacing w:after="0" w:line="35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13970</wp:posOffset>
            </wp:positionV>
            <wp:extent cx="7261225" cy="762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20"/>
          </w:cols>
          <w:pgMar w:left="520" w:top="828" w:right="259" w:bottom="1440" w:gutter="0" w:footer="0" w:header="0"/>
        </w:sectPr>
      </w:pPr>
    </w:p>
    <w:bookmarkStart w:id="60" w:name="page61"/>
    <w:bookmarkEnd w:id="60"/>
    <w:p>
      <w:pPr>
        <w:ind w:left="583" w:hanging="583"/>
        <w:spacing w:after="0"/>
        <w:tabs>
          <w:tab w:leader="none" w:pos="583"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INVESTMENTS</w:t>
      </w:r>
    </w:p>
    <w:p>
      <w:pPr>
        <w:spacing w:after="0" w:line="207" w:lineRule="exact"/>
        <w:rPr>
          <w:sz w:val="20"/>
          <w:szCs w:val="20"/>
          <w:color w:val="auto"/>
        </w:rPr>
      </w:pPr>
    </w:p>
    <w:p>
      <w:pPr>
        <w:ind w:left="283" w:hanging="283"/>
        <w:spacing w:after="0"/>
        <w:tabs>
          <w:tab w:leader="none" w:pos="283"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Investment at fair value through profit or loss and available-for-sale investments consist of the following:</w:t>
      </w:r>
    </w:p>
    <w:p>
      <w:pPr>
        <w:sectPr>
          <w:pgSz w:w="11900" w:h="16838" w:orient="portrait"/>
          <w:cols w:equalWidth="0" w:num="1">
            <w:col w:w="11263"/>
          </w:cols>
          <w:pgMar w:left="237" w:top="82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83"/>
        <w:spacing w:after="0" w:line="224" w:lineRule="auto"/>
        <w:rPr>
          <w:sz w:val="20"/>
          <w:szCs w:val="20"/>
          <w:color w:val="auto"/>
        </w:rPr>
      </w:pPr>
      <w:r>
        <w:rPr>
          <w:rFonts w:ascii="Arial" w:cs="Arial" w:eastAsia="Arial" w:hAnsi="Arial"/>
          <w:sz w:val="13"/>
          <w:szCs w:val="13"/>
          <w:b w:val="1"/>
          <w:bCs w:val="1"/>
          <w:color w:val="auto"/>
        </w:rPr>
        <w:t>Investments at fair value through profit or loss (trading) (i)</w:t>
      </w:r>
    </w:p>
    <w:p>
      <w:pPr>
        <w:spacing w:after="0" w:line="1" w:lineRule="exact"/>
        <w:rPr>
          <w:sz w:val="20"/>
          <w:szCs w:val="20"/>
          <w:color w:val="auto"/>
        </w:rPr>
      </w:pPr>
    </w:p>
    <w:p>
      <w:pPr>
        <w:ind w:left="283"/>
        <w:spacing w:after="0"/>
        <w:rPr>
          <w:sz w:val="20"/>
          <w:szCs w:val="20"/>
          <w:color w:val="auto"/>
        </w:rPr>
      </w:pPr>
      <w:r>
        <w:rPr>
          <w:rFonts w:ascii="Arial" w:cs="Arial" w:eastAsia="Arial" w:hAnsi="Arial"/>
          <w:sz w:val="13"/>
          <w:szCs w:val="13"/>
          <w:color w:val="auto"/>
        </w:rPr>
        <w:t>Interests accrued</w:t>
      </w:r>
    </w:p>
    <w:p>
      <w:pPr>
        <w:spacing w:after="0" w:line="3" w:lineRule="exact"/>
        <w:rPr>
          <w:sz w:val="20"/>
          <w:szCs w:val="20"/>
          <w:color w:val="auto"/>
        </w:rPr>
      </w:pPr>
    </w:p>
    <w:p>
      <w:pPr>
        <w:ind w:left="283"/>
        <w:spacing w:after="0"/>
        <w:rPr>
          <w:sz w:val="20"/>
          <w:szCs w:val="20"/>
          <w:color w:val="auto"/>
        </w:rPr>
      </w:pPr>
      <w:r>
        <w:rPr>
          <w:rFonts w:ascii="Arial" w:cs="Arial" w:eastAsia="Arial" w:hAnsi="Arial"/>
          <w:sz w:val="13"/>
          <w:szCs w:val="13"/>
          <w:b w:val="1"/>
          <w:bCs w:val="1"/>
          <w:color w:val="auto"/>
        </w:rPr>
        <w:t>Total</w:t>
      </w:r>
    </w:p>
    <w:p>
      <w:pPr>
        <w:spacing w:after="0" w:line="107" w:lineRule="exact"/>
        <w:rPr>
          <w:sz w:val="20"/>
          <w:szCs w:val="20"/>
          <w:color w:val="auto"/>
        </w:rPr>
      </w:pPr>
    </w:p>
    <w:p>
      <w:pPr>
        <w:ind w:left="283"/>
        <w:spacing w:after="0"/>
        <w:rPr>
          <w:sz w:val="20"/>
          <w:szCs w:val="20"/>
          <w:color w:val="auto"/>
        </w:rPr>
      </w:pPr>
      <w:r>
        <w:rPr>
          <w:rFonts w:ascii="Arial" w:cs="Arial" w:eastAsia="Arial" w:hAnsi="Arial"/>
          <w:sz w:val="13"/>
          <w:szCs w:val="13"/>
          <w:b w:val="1"/>
          <w:bCs w:val="1"/>
          <w:color w:val="auto"/>
        </w:rPr>
        <w:t>Available-for-sale investments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663190" cy="762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663190" cy="762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Unrealized gross amount</w:t>
      </w:r>
    </w:p>
    <w:tbl>
      <w:tblPr>
        <w:tblLayout w:type="fixed"/>
        <w:tblInd w:w="0" w:type="dxa"/>
        <w:tblCellMar>
          <w:top w:w="0" w:type="dxa"/>
          <w:left w:w="0" w:type="dxa"/>
          <w:bottom w:w="0" w:type="dxa"/>
          <w:right w:w="0" w:type="dxa"/>
        </w:tblCellMar>
      </w:tblPr>
      <w:tr>
        <w:trPr>
          <w:trHeight w:val="104"/>
        </w:trPr>
        <w:tc>
          <w:tcPr>
            <w:tcW w:w="1140" w:type="dxa"/>
            <w:vAlign w:val="bottom"/>
            <w:tcBorders>
              <w:top w:val="single" w:sz="8" w:color="auto"/>
            </w:tcBorders>
            <w:gridSpan w:val="2"/>
          </w:tcPr>
          <w:p>
            <w:pPr>
              <w:spacing w:after="0" w:line="104" w:lineRule="exact"/>
              <w:rPr>
                <w:sz w:val="20"/>
                <w:szCs w:val="20"/>
                <w:color w:val="auto"/>
              </w:rPr>
            </w:pPr>
            <w:r>
              <w:rPr>
                <w:rFonts w:ascii="Arial" w:cs="Arial" w:eastAsia="Arial" w:hAnsi="Arial"/>
                <w:sz w:val="12"/>
                <w:szCs w:val="12"/>
                <w:b w:val="1"/>
                <w:bCs w:val="1"/>
                <w:color w:val="auto"/>
              </w:rPr>
              <w:t>Amortized</w:t>
            </w:r>
          </w:p>
        </w:tc>
        <w:tc>
          <w:tcPr>
            <w:tcW w:w="11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Profits</w:t>
            </w:r>
          </w:p>
        </w:tc>
        <w:tc>
          <w:tcPr>
            <w:tcW w:w="11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Losses</w:t>
            </w:r>
          </w:p>
        </w:tc>
        <w:tc>
          <w:tcPr>
            <w:tcW w:w="860" w:type="dxa"/>
            <w:vAlign w:val="bottom"/>
            <w:tcBorders>
              <w:top w:val="single" w:sz="8" w:color="auto"/>
            </w:tcBorders>
          </w:tcPr>
          <w:p>
            <w:pPr>
              <w:spacing w:after="0" w:line="104" w:lineRule="exact"/>
              <w:rPr>
                <w:sz w:val="20"/>
                <w:szCs w:val="20"/>
                <w:color w:val="auto"/>
              </w:rPr>
            </w:pPr>
            <w:r>
              <w:rPr>
                <w:rFonts w:ascii="Arial" w:cs="Arial" w:eastAsia="Arial" w:hAnsi="Arial"/>
                <w:sz w:val="12"/>
                <w:szCs w:val="12"/>
                <w:b w:val="1"/>
                <w:bCs w:val="1"/>
                <w:color w:val="auto"/>
              </w:rPr>
              <w:t>Estimated</w:t>
            </w: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rPr>
                <w:sz w:val="20"/>
                <w:szCs w:val="20"/>
                <w:color w:val="auto"/>
              </w:rPr>
            </w:pPr>
            <w:r>
              <w:rPr>
                <w:rFonts w:ascii="Arial" w:cs="Arial" w:eastAsia="Arial" w:hAnsi="Arial"/>
                <w:sz w:val="13"/>
                <w:szCs w:val="13"/>
                <w:b w:val="1"/>
                <w:bCs w:val="1"/>
                <w:color w:val="auto"/>
              </w:rPr>
              <w:t>cost</w:t>
            </w:r>
          </w:p>
        </w:tc>
        <w:tc>
          <w:tcPr>
            <w:tcW w:w="110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59"/>
        </w:trPr>
        <w:tc>
          <w:tcPr>
            <w:tcW w:w="9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40" w:type="dxa"/>
            <w:vAlign w:val="bottom"/>
          </w:tcPr>
          <w:p>
            <w:pPr>
              <w:spacing w:after="0"/>
              <w:rPr>
                <w:sz w:val="13"/>
                <w:szCs w:val="13"/>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-1468120</wp:posOffset>
            </wp:positionH>
            <wp:positionV relativeFrom="paragraph">
              <wp:posOffset>62865</wp:posOffset>
            </wp:positionV>
            <wp:extent cx="6969125" cy="16891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6969125" cy="16891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4,012,184</w:t>
            </w:r>
          </w:p>
        </w:tc>
      </w:tr>
      <w:tr>
        <w:trPr>
          <w:trHeight w:val="149"/>
        </w:trPr>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2,835</w:t>
            </w:r>
          </w:p>
        </w:tc>
      </w:tr>
      <w:tr>
        <w:trPr>
          <w:trHeight w:val="155"/>
        </w:trPr>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4,015,019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-1468120</wp:posOffset>
            </wp:positionH>
            <wp:positionV relativeFrom="paragraph">
              <wp:posOffset>-110490</wp:posOffset>
            </wp:positionV>
            <wp:extent cx="6969125" cy="9207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969125" cy="92075"/>
                    </a:xfrm>
                    <a:prstGeom prst="rect">
                      <a:avLst/>
                    </a:prstGeom>
                    <a:noFill/>
                  </pic:spPr>
                </pic:pic>
              </a:graphicData>
            </a:graphic>
          </wp:anchor>
        </w:drawing>
        <w:drawing>
          <wp:anchor simplePos="0" relativeHeight="251657728" behindDoc="1" locked="0" layoutInCell="0" allowOverlap="1">
            <wp:simplePos x="0" y="0"/>
            <wp:positionH relativeFrom="column">
              <wp:posOffset>-1468120</wp:posOffset>
            </wp:positionH>
            <wp:positionV relativeFrom="paragraph">
              <wp:posOffset>65405</wp:posOffset>
            </wp:positionV>
            <wp:extent cx="6969125" cy="844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6969125" cy="84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2625090" cy="762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625090" cy="762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Unrealized gross amount</w:t>
      </w:r>
    </w:p>
    <w:tbl>
      <w:tblPr>
        <w:tblLayout w:type="fixed"/>
        <w:tblInd w:w="0" w:type="dxa"/>
        <w:tblCellMar>
          <w:top w:w="0" w:type="dxa"/>
          <w:left w:w="0" w:type="dxa"/>
          <w:bottom w:w="0" w:type="dxa"/>
          <w:right w:w="0" w:type="dxa"/>
        </w:tblCellMar>
      </w:tblPr>
      <w:tr>
        <w:trPr>
          <w:trHeight w:val="104"/>
        </w:trPr>
        <w:tc>
          <w:tcPr>
            <w:tcW w:w="860" w:type="dxa"/>
            <w:vAlign w:val="bottom"/>
            <w:tcBorders>
              <w:top w:val="single" w:sz="8" w:color="auto"/>
            </w:tcBorders>
            <w:gridSpan w:val="2"/>
          </w:tcPr>
          <w:p>
            <w:pPr>
              <w:spacing w:after="0" w:line="104" w:lineRule="exact"/>
              <w:rPr>
                <w:sz w:val="20"/>
                <w:szCs w:val="20"/>
                <w:color w:val="auto"/>
              </w:rPr>
            </w:pPr>
            <w:r>
              <w:rPr>
                <w:rFonts w:ascii="Arial" w:cs="Arial" w:eastAsia="Arial" w:hAnsi="Arial"/>
                <w:sz w:val="12"/>
                <w:szCs w:val="12"/>
                <w:b w:val="1"/>
                <w:bCs w:val="1"/>
                <w:color w:val="auto"/>
              </w:rPr>
              <w:t>Amortized</w:t>
            </w:r>
          </w:p>
        </w:tc>
        <w:tc>
          <w:tcPr>
            <w:tcW w:w="1320" w:type="dxa"/>
            <w:vAlign w:val="bottom"/>
            <w:tcBorders>
              <w:top w:val="single" w:sz="8" w:color="auto"/>
            </w:tcBorders>
            <w:gridSpan w:val="3"/>
            <w:vMerge w:val="restart"/>
          </w:tcPr>
          <w:p>
            <w:pPr>
              <w:ind w:left="220"/>
              <w:spacing w:after="0"/>
              <w:rPr>
                <w:sz w:val="20"/>
                <w:szCs w:val="20"/>
                <w:color w:val="auto"/>
              </w:rPr>
            </w:pPr>
            <w:r>
              <w:rPr>
                <w:rFonts w:ascii="Arial" w:cs="Arial" w:eastAsia="Arial" w:hAnsi="Arial"/>
                <w:sz w:val="13"/>
                <w:szCs w:val="13"/>
                <w:b w:val="1"/>
                <w:bCs w:val="1"/>
                <w:color w:val="auto"/>
              </w:rPr>
              <w:t>Profits</w:t>
            </w:r>
          </w:p>
        </w:tc>
        <w:tc>
          <w:tcPr>
            <w:tcW w:w="10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Losses</w:t>
            </w:r>
          </w:p>
        </w:tc>
        <w:tc>
          <w:tcPr>
            <w:tcW w:w="880" w:type="dxa"/>
            <w:vAlign w:val="bottom"/>
            <w:tcBorders>
              <w:top w:val="single" w:sz="8" w:color="auto"/>
            </w:tcBorders>
          </w:tcPr>
          <w:p>
            <w:pPr>
              <w:spacing w:after="0" w:line="104" w:lineRule="exact"/>
              <w:rPr>
                <w:sz w:val="20"/>
                <w:szCs w:val="20"/>
                <w:color w:val="auto"/>
              </w:rPr>
            </w:pPr>
            <w:r>
              <w:rPr>
                <w:rFonts w:ascii="Arial" w:cs="Arial" w:eastAsia="Arial" w:hAnsi="Arial"/>
                <w:sz w:val="12"/>
                <w:szCs w:val="12"/>
                <w:b w:val="1"/>
                <w:bCs w:val="1"/>
                <w:color w:val="auto"/>
              </w:rPr>
              <w:t>Estimated</w:t>
            </w:r>
          </w:p>
        </w:tc>
        <w:tc>
          <w:tcPr>
            <w:tcW w:w="0" w:type="dxa"/>
            <w:vAlign w:val="bottom"/>
          </w:tcPr>
          <w:p>
            <w:pPr>
              <w:spacing w:after="0"/>
              <w:rPr>
                <w:sz w:val="1"/>
                <w:szCs w:val="1"/>
                <w:color w:val="auto"/>
              </w:rPr>
            </w:pPr>
          </w:p>
        </w:tc>
      </w:tr>
      <w:tr>
        <w:trPr>
          <w:trHeight w:val="153"/>
        </w:trPr>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cost</w:t>
            </w:r>
          </w:p>
        </w:tc>
        <w:tc>
          <w:tcPr>
            <w:tcW w:w="1320" w:type="dxa"/>
            <w:vAlign w:val="bottom"/>
            <w:gridSpan w:val="3"/>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2,320,492</w:t>
            </w:r>
          </w:p>
        </w:tc>
      </w:tr>
      <w:tr>
        <w:trPr>
          <w:trHeight w:val="149"/>
        </w:trPr>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2,604</w:t>
            </w:r>
          </w:p>
        </w:tc>
      </w:tr>
      <w:tr>
        <w:trPr>
          <w:trHeight w:val="155"/>
        </w:trPr>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2,323,096</w:t>
            </w:r>
          </w:p>
        </w:tc>
      </w:tr>
    </w:tbl>
    <w:p>
      <w:pPr>
        <w:spacing w:after="0" w:line="336" w:lineRule="exact"/>
        <w:rPr>
          <w:sz w:val="20"/>
          <w:szCs w:val="20"/>
          <w:color w:val="auto"/>
        </w:rPr>
      </w:pPr>
    </w:p>
    <w:p>
      <w:pPr>
        <w:sectPr>
          <w:pgSz w:w="11900" w:h="16838" w:orient="portrait"/>
          <w:cols w:equalWidth="0" w:num="3">
            <w:col w:w="2463" w:space="140"/>
            <w:col w:w="4200" w:space="220"/>
            <w:col w:w="4240"/>
          </w:cols>
          <w:pgMar w:left="237" w:top="824" w:right="399" w:bottom="1440" w:gutter="0" w:footer="0" w:header="0"/>
          <w:type w:val="continuous"/>
        </w:sectPr>
      </w:pPr>
    </w:p>
    <w:tbl>
      <w:tblPr>
        <w:tblLayout w:type="fixed"/>
        <w:tblInd w:w="283" w:type="dxa"/>
        <w:tblCellMar>
          <w:top w:w="0" w:type="dxa"/>
          <w:left w:w="0" w:type="dxa"/>
          <w:bottom w:w="0" w:type="dxa"/>
          <w:right w:w="0" w:type="dxa"/>
        </w:tblCellMar>
      </w:tblPr>
      <w:tr>
        <w:trPr>
          <w:trHeight w:val="149"/>
        </w:trPr>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w w:val="92"/>
              </w:rPr>
              <w:t>Corporate, leasing and subordinated bonds</w:t>
            </w: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49"/>
        </w:trPr>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(ii)</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7,902,688</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268,421</w:t>
            </w:r>
          </w:p>
        </w:tc>
        <w:tc>
          <w:tcPr>
            <w:tcW w:w="110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(121,748)</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8,049,361</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7,718,213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207,182</w:t>
            </w:r>
          </w:p>
        </w:tc>
        <w:tc>
          <w:tcPr>
            <w:tcW w:w="108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(294,504)</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7,630,891</w:t>
            </w:r>
          </w:p>
        </w:tc>
        <w:tc>
          <w:tcPr>
            <w:tcW w:w="80" w:type="dxa"/>
            <w:vAlign w:val="bottom"/>
            <w:shd w:val="clear" w:color="auto" w:fill="CCEEFF"/>
          </w:tcPr>
          <w:p>
            <w:pPr>
              <w:spacing w:after="0"/>
              <w:rPr>
                <w:sz w:val="12"/>
                <w:szCs w:val="12"/>
                <w:color w:val="auto"/>
              </w:rPr>
            </w:pPr>
          </w:p>
        </w:tc>
      </w:tr>
      <w:tr>
        <w:trPr>
          <w:trHeight w:val="133"/>
        </w:trPr>
        <w:tc>
          <w:tcPr>
            <w:tcW w:w="2320" w:type="dxa"/>
            <w:vAlign w:val="bottom"/>
          </w:tcPr>
          <w:p>
            <w:pPr>
              <w:spacing w:after="0" w:line="133" w:lineRule="exact"/>
              <w:rPr>
                <w:sz w:val="20"/>
                <w:szCs w:val="20"/>
                <w:color w:val="auto"/>
              </w:rPr>
            </w:pPr>
            <w:r>
              <w:rPr>
                <w:rFonts w:ascii="Arial" w:cs="Arial" w:eastAsia="Arial" w:hAnsi="Arial"/>
                <w:sz w:val="13"/>
                <w:szCs w:val="13"/>
                <w:color w:val="auto"/>
              </w:rPr>
              <w:t>Certificates of deposit BCRP (iii)</w:t>
            </w:r>
          </w:p>
        </w:tc>
        <w:tc>
          <w:tcPr>
            <w:tcW w:w="900" w:type="dxa"/>
            <w:vAlign w:val="bottom"/>
          </w:tcPr>
          <w:p>
            <w:pPr>
              <w:jc w:val="right"/>
              <w:spacing w:after="0" w:line="133" w:lineRule="exact"/>
              <w:rPr>
                <w:sz w:val="20"/>
                <w:szCs w:val="20"/>
                <w:color w:val="auto"/>
              </w:rPr>
            </w:pPr>
            <w:r>
              <w:rPr>
                <w:rFonts w:ascii="Arial" w:cs="Arial" w:eastAsia="Arial" w:hAnsi="Arial"/>
                <w:sz w:val="13"/>
                <w:szCs w:val="13"/>
                <w:color w:val="auto"/>
              </w:rPr>
              <w:t>4,796,142</w:t>
            </w:r>
          </w:p>
        </w:tc>
        <w:tc>
          <w:tcPr>
            <w:tcW w:w="240" w:type="dxa"/>
            <w:vAlign w:val="bottom"/>
          </w:tcPr>
          <w:p>
            <w:pPr>
              <w:spacing w:after="0"/>
              <w:rPr>
                <w:sz w:val="11"/>
                <w:szCs w:val="11"/>
                <w:color w:val="auto"/>
              </w:rPr>
            </w:pPr>
          </w:p>
        </w:tc>
        <w:tc>
          <w:tcPr>
            <w:tcW w:w="11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6,466</w:t>
            </w:r>
          </w:p>
        </w:tc>
        <w:tc>
          <w:tcPr>
            <w:tcW w:w="1100" w:type="dxa"/>
            <w:vAlign w:val="bottom"/>
            <w:gridSpan w:val="2"/>
          </w:tcPr>
          <w:p>
            <w:pPr>
              <w:jc w:val="right"/>
              <w:ind w:right="182"/>
              <w:spacing w:after="0" w:line="133"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3" w:lineRule="exact"/>
              <w:rPr>
                <w:sz w:val="20"/>
                <w:szCs w:val="20"/>
                <w:color w:val="auto"/>
              </w:rPr>
            </w:pPr>
            <w:r>
              <w:rPr>
                <w:rFonts w:ascii="Arial" w:cs="Arial" w:eastAsia="Arial" w:hAnsi="Arial"/>
                <w:sz w:val="13"/>
                <w:szCs w:val="13"/>
                <w:color w:val="auto"/>
              </w:rPr>
              <w:t>4,802,608</w:t>
            </w:r>
          </w:p>
        </w:tc>
        <w:tc>
          <w:tcPr>
            <w:tcW w:w="220" w:type="dxa"/>
            <w:vAlign w:val="bottom"/>
          </w:tcPr>
          <w:p>
            <w:pPr>
              <w:spacing w:after="0"/>
              <w:rPr>
                <w:sz w:val="11"/>
                <w:szCs w:val="11"/>
                <w:color w:val="auto"/>
              </w:rPr>
            </w:pPr>
          </w:p>
        </w:tc>
        <w:tc>
          <w:tcPr>
            <w:tcW w:w="10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4,601,110</w:t>
            </w:r>
          </w:p>
        </w:tc>
        <w:tc>
          <w:tcPr>
            <w:tcW w:w="11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727</w:t>
            </w:r>
          </w:p>
        </w:tc>
        <w:tc>
          <w:tcPr>
            <w:tcW w:w="108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(8,252)</w:t>
            </w:r>
          </w:p>
        </w:tc>
        <w:tc>
          <w:tcPr>
            <w:tcW w:w="90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4,593,585</w:t>
            </w:r>
          </w:p>
        </w:tc>
        <w:tc>
          <w:tcPr>
            <w:tcW w:w="80" w:type="dxa"/>
            <w:vAlign w:val="bottom"/>
          </w:tcPr>
          <w:p>
            <w:pPr>
              <w:spacing w:after="0"/>
              <w:rPr>
                <w:sz w:val="11"/>
                <w:szCs w:val="11"/>
                <w:color w:val="auto"/>
              </w:rPr>
            </w:pPr>
          </w:p>
        </w:tc>
      </w:tr>
      <w:tr>
        <w:trPr>
          <w:trHeight w:val="133"/>
        </w:trPr>
        <w:tc>
          <w:tcPr>
            <w:tcW w:w="23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Government Treasury Bonds (iv)</w:t>
            </w:r>
          </w:p>
        </w:tc>
        <w:tc>
          <w:tcPr>
            <w:tcW w:w="114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3"/>
                <w:szCs w:val="13"/>
                <w:color w:val="auto"/>
              </w:rPr>
              <w:t>2,071,110</w:t>
            </w:r>
          </w:p>
        </w:tc>
        <w:tc>
          <w:tcPr>
            <w:tcW w:w="11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174,567</w:t>
            </w:r>
          </w:p>
        </w:tc>
        <w:tc>
          <w:tcPr>
            <w:tcW w:w="110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(40,315)</w:t>
            </w: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2,205,362</w:t>
            </w:r>
          </w:p>
        </w:tc>
        <w:tc>
          <w:tcPr>
            <w:tcW w:w="2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2,698,445</w:t>
            </w:r>
          </w:p>
        </w:tc>
        <w:tc>
          <w:tcPr>
            <w:tcW w:w="11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131,055</w:t>
            </w:r>
          </w:p>
        </w:tc>
        <w:tc>
          <w:tcPr>
            <w:tcW w:w="108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(89,426)</w:t>
            </w:r>
          </w:p>
        </w:tc>
        <w:tc>
          <w:tcPr>
            <w:tcW w:w="90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2,740,074</w:t>
            </w:r>
          </w:p>
        </w:tc>
        <w:tc>
          <w:tcPr>
            <w:tcW w:w="80" w:type="dxa"/>
            <w:vAlign w:val="bottom"/>
            <w:shd w:val="clear" w:color="auto" w:fill="CCEEFF"/>
          </w:tcPr>
          <w:p>
            <w:pPr>
              <w:spacing w:after="0"/>
              <w:rPr>
                <w:sz w:val="11"/>
                <w:szCs w:val="11"/>
                <w:color w:val="auto"/>
              </w:rPr>
            </w:pPr>
          </w:p>
        </w:tc>
      </w:tr>
      <w:tr>
        <w:trPr>
          <w:trHeight w:val="133"/>
        </w:trPr>
        <w:tc>
          <w:tcPr>
            <w:tcW w:w="2320" w:type="dxa"/>
            <w:vAlign w:val="bottom"/>
          </w:tcPr>
          <w:p>
            <w:pPr>
              <w:spacing w:after="0" w:line="133" w:lineRule="exact"/>
              <w:rPr>
                <w:sz w:val="20"/>
                <w:szCs w:val="20"/>
                <w:color w:val="auto"/>
              </w:rPr>
            </w:pPr>
            <w:r>
              <w:rPr>
                <w:rFonts w:ascii="Arial" w:cs="Arial" w:eastAsia="Arial" w:hAnsi="Arial"/>
                <w:sz w:val="13"/>
                <w:szCs w:val="13"/>
                <w:color w:val="auto"/>
              </w:rPr>
              <w:t>Participation in RAL Fund (v)</w:t>
            </w:r>
          </w:p>
        </w:tc>
        <w:tc>
          <w:tcPr>
            <w:tcW w:w="1140" w:type="dxa"/>
            <w:vAlign w:val="bottom"/>
            <w:gridSpan w:val="2"/>
          </w:tcPr>
          <w:p>
            <w:pPr>
              <w:jc w:val="right"/>
              <w:ind w:right="240"/>
              <w:spacing w:after="0" w:line="133" w:lineRule="exact"/>
              <w:rPr>
                <w:sz w:val="20"/>
                <w:szCs w:val="20"/>
                <w:color w:val="auto"/>
              </w:rPr>
            </w:pPr>
            <w:r>
              <w:rPr>
                <w:rFonts w:ascii="Arial" w:cs="Arial" w:eastAsia="Arial" w:hAnsi="Arial"/>
                <w:sz w:val="13"/>
                <w:szCs w:val="13"/>
                <w:color w:val="auto"/>
              </w:rPr>
              <w:t>650,803</w:t>
            </w:r>
          </w:p>
        </w:tc>
        <w:tc>
          <w:tcPr>
            <w:tcW w:w="11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2"/>
              <w:spacing w:after="0" w:line="133"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650,803</w:t>
            </w:r>
          </w:p>
        </w:tc>
        <w:tc>
          <w:tcPr>
            <w:tcW w:w="10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695,234</w:t>
            </w:r>
          </w:p>
        </w:tc>
        <w:tc>
          <w:tcPr>
            <w:tcW w:w="11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695,234</w:t>
            </w:r>
          </w:p>
        </w:tc>
        <w:tc>
          <w:tcPr>
            <w:tcW w:w="80" w:type="dxa"/>
            <w:vAlign w:val="bottom"/>
          </w:tcPr>
          <w:p>
            <w:pPr>
              <w:spacing w:after="0"/>
              <w:rPr>
                <w:sz w:val="11"/>
                <w:szCs w:val="11"/>
                <w:color w:val="auto"/>
              </w:rPr>
            </w:pPr>
          </w:p>
        </w:tc>
      </w:tr>
      <w:tr>
        <w:trPr>
          <w:trHeight w:val="133"/>
        </w:trPr>
        <w:tc>
          <w:tcPr>
            <w:tcW w:w="23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Securitization instruments (vi)</w:t>
            </w:r>
          </w:p>
        </w:tc>
        <w:tc>
          <w:tcPr>
            <w:tcW w:w="114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3"/>
                <w:szCs w:val="13"/>
                <w:color w:val="auto"/>
              </w:rPr>
              <w:t>523,135</w:t>
            </w:r>
          </w:p>
        </w:tc>
        <w:tc>
          <w:tcPr>
            <w:tcW w:w="11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19,136</w:t>
            </w:r>
          </w:p>
        </w:tc>
        <w:tc>
          <w:tcPr>
            <w:tcW w:w="110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(6,785)</w:t>
            </w:r>
          </w:p>
        </w:tc>
        <w:tc>
          <w:tcPr>
            <w:tcW w:w="10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535,486</w:t>
            </w:r>
          </w:p>
        </w:tc>
        <w:tc>
          <w:tcPr>
            <w:tcW w:w="10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334,265</w:t>
            </w:r>
          </w:p>
        </w:tc>
        <w:tc>
          <w:tcPr>
            <w:tcW w:w="11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946</w:t>
            </w:r>
          </w:p>
        </w:tc>
        <w:tc>
          <w:tcPr>
            <w:tcW w:w="108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(10,797)</w:t>
            </w:r>
          </w:p>
        </w:tc>
        <w:tc>
          <w:tcPr>
            <w:tcW w:w="90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324,414</w:t>
            </w:r>
          </w:p>
        </w:tc>
        <w:tc>
          <w:tcPr>
            <w:tcW w:w="80" w:type="dxa"/>
            <w:vAlign w:val="bottom"/>
            <w:shd w:val="clear" w:color="auto" w:fill="CCEEFF"/>
          </w:tcPr>
          <w:p>
            <w:pPr>
              <w:spacing w:after="0"/>
              <w:rPr>
                <w:sz w:val="11"/>
                <w:szCs w:val="11"/>
                <w:color w:val="auto"/>
              </w:rPr>
            </w:pPr>
          </w:p>
        </w:tc>
      </w:tr>
      <w:tr>
        <w:trPr>
          <w:trHeight w:val="133"/>
        </w:trPr>
        <w:tc>
          <w:tcPr>
            <w:tcW w:w="2320" w:type="dxa"/>
            <w:vAlign w:val="bottom"/>
          </w:tcPr>
          <w:p>
            <w:pPr>
              <w:spacing w:after="0" w:line="133" w:lineRule="exact"/>
              <w:rPr>
                <w:sz w:val="20"/>
                <w:szCs w:val="20"/>
                <w:color w:val="auto"/>
              </w:rPr>
            </w:pPr>
            <w:r>
              <w:rPr>
                <w:rFonts w:ascii="Arial" w:cs="Arial" w:eastAsia="Arial" w:hAnsi="Arial"/>
                <w:sz w:val="13"/>
                <w:szCs w:val="13"/>
                <w:color w:val="auto"/>
              </w:rPr>
              <w:t>Restricted mutual funds (vii)</w:t>
            </w:r>
          </w:p>
        </w:tc>
        <w:tc>
          <w:tcPr>
            <w:tcW w:w="1140" w:type="dxa"/>
            <w:vAlign w:val="bottom"/>
            <w:gridSpan w:val="2"/>
          </w:tcPr>
          <w:p>
            <w:pPr>
              <w:jc w:val="right"/>
              <w:ind w:right="240"/>
              <w:spacing w:after="0" w:line="133" w:lineRule="exact"/>
              <w:rPr>
                <w:sz w:val="20"/>
                <w:szCs w:val="20"/>
                <w:color w:val="auto"/>
              </w:rPr>
            </w:pPr>
            <w:r>
              <w:rPr>
                <w:rFonts w:ascii="Arial" w:cs="Arial" w:eastAsia="Arial" w:hAnsi="Arial"/>
                <w:sz w:val="13"/>
                <w:szCs w:val="13"/>
                <w:color w:val="auto"/>
              </w:rPr>
              <w:t>335,763</w:t>
            </w:r>
          </w:p>
        </w:tc>
        <w:tc>
          <w:tcPr>
            <w:tcW w:w="11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32,655</w:t>
            </w:r>
          </w:p>
        </w:tc>
        <w:tc>
          <w:tcPr>
            <w:tcW w:w="1100" w:type="dxa"/>
            <w:vAlign w:val="bottom"/>
            <w:gridSpan w:val="2"/>
          </w:tcPr>
          <w:p>
            <w:pPr>
              <w:jc w:val="right"/>
              <w:ind w:right="182"/>
              <w:spacing w:after="0" w:line="133"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368,418</w:t>
            </w:r>
          </w:p>
        </w:tc>
        <w:tc>
          <w:tcPr>
            <w:tcW w:w="10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301,948</w:t>
            </w:r>
          </w:p>
        </w:tc>
        <w:tc>
          <w:tcPr>
            <w:tcW w:w="11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33,816</w:t>
            </w:r>
          </w:p>
        </w:tc>
        <w:tc>
          <w:tcPr>
            <w:tcW w:w="86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335,764</w:t>
            </w:r>
          </w:p>
        </w:tc>
        <w:tc>
          <w:tcPr>
            <w:tcW w:w="80" w:type="dxa"/>
            <w:vAlign w:val="bottom"/>
          </w:tcPr>
          <w:p>
            <w:pPr>
              <w:spacing w:after="0"/>
              <w:rPr>
                <w:sz w:val="11"/>
                <w:szCs w:val="11"/>
                <w:color w:val="auto"/>
              </w:rPr>
            </w:pPr>
          </w:p>
        </w:tc>
      </w:tr>
      <w:tr>
        <w:trPr>
          <w:trHeight w:val="133"/>
        </w:trPr>
        <w:tc>
          <w:tcPr>
            <w:tcW w:w="23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Participation in mutual funds</w:t>
            </w:r>
          </w:p>
        </w:tc>
        <w:tc>
          <w:tcPr>
            <w:tcW w:w="114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3"/>
                <w:szCs w:val="13"/>
                <w:color w:val="auto"/>
              </w:rPr>
              <w:t>286,534</w:t>
            </w:r>
          </w:p>
        </w:tc>
        <w:tc>
          <w:tcPr>
            <w:tcW w:w="11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10,060</w:t>
            </w:r>
          </w:p>
        </w:tc>
        <w:tc>
          <w:tcPr>
            <w:tcW w:w="110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(4,256)</w:t>
            </w:r>
          </w:p>
        </w:tc>
        <w:tc>
          <w:tcPr>
            <w:tcW w:w="10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292,338</w:t>
            </w:r>
          </w:p>
        </w:tc>
        <w:tc>
          <w:tcPr>
            <w:tcW w:w="10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164,897</w:t>
            </w:r>
          </w:p>
        </w:tc>
        <w:tc>
          <w:tcPr>
            <w:tcW w:w="11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3,641</w:t>
            </w:r>
          </w:p>
        </w:tc>
        <w:tc>
          <w:tcPr>
            <w:tcW w:w="108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(7,691)</w:t>
            </w:r>
          </w:p>
        </w:tc>
        <w:tc>
          <w:tcPr>
            <w:tcW w:w="90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160,847</w:t>
            </w:r>
          </w:p>
        </w:tc>
        <w:tc>
          <w:tcPr>
            <w:tcW w:w="80" w:type="dxa"/>
            <w:vAlign w:val="bottom"/>
            <w:shd w:val="clear" w:color="auto" w:fill="CCEEFF"/>
          </w:tcPr>
          <w:p>
            <w:pPr>
              <w:spacing w:after="0"/>
              <w:rPr>
                <w:sz w:val="11"/>
                <w:szCs w:val="11"/>
                <w:color w:val="auto"/>
              </w:rPr>
            </w:pPr>
          </w:p>
        </w:tc>
      </w:tr>
      <w:tr>
        <w:trPr>
          <w:trHeight w:val="133"/>
        </w:trPr>
        <w:tc>
          <w:tcPr>
            <w:tcW w:w="2320" w:type="dxa"/>
            <w:vAlign w:val="bottom"/>
          </w:tcPr>
          <w:p>
            <w:pPr>
              <w:spacing w:after="0" w:line="133" w:lineRule="exact"/>
              <w:rPr>
                <w:sz w:val="20"/>
                <w:szCs w:val="20"/>
                <w:color w:val="auto"/>
              </w:rPr>
            </w:pPr>
            <w:r>
              <w:rPr>
                <w:rFonts w:ascii="Arial" w:cs="Arial" w:eastAsia="Arial" w:hAnsi="Arial"/>
                <w:sz w:val="13"/>
                <w:szCs w:val="13"/>
                <w:color w:val="auto"/>
              </w:rPr>
              <w:t>Multilateral organization bonds</w:t>
            </w:r>
          </w:p>
        </w:tc>
        <w:tc>
          <w:tcPr>
            <w:tcW w:w="1140" w:type="dxa"/>
            <w:vAlign w:val="bottom"/>
            <w:gridSpan w:val="2"/>
          </w:tcPr>
          <w:p>
            <w:pPr>
              <w:jc w:val="right"/>
              <w:ind w:right="240"/>
              <w:spacing w:after="0" w:line="133" w:lineRule="exact"/>
              <w:rPr>
                <w:sz w:val="20"/>
                <w:szCs w:val="20"/>
                <w:color w:val="auto"/>
              </w:rPr>
            </w:pPr>
            <w:r>
              <w:rPr>
                <w:rFonts w:ascii="Arial" w:cs="Arial" w:eastAsia="Arial" w:hAnsi="Arial"/>
                <w:sz w:val="13"/>
                <w:szCs w:val="13"/>
                <w:color w:val="auto"/>
              </w:rPr>
              <w:t>194,906</w:t>
            </w:r>
          </w:p>
        </w:tc>
        <w:tc>
          <w:tcPr>
            <w:tcW w:w="11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3,847</w:t>
            </w:r>
          </w:p>
        </w:tc>
        <w:tc>
          <w:tcPr>
            <w:tcW w:w="110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(2,157)</w:t>
            </w:r>
          </w:p>
        </w:tc>
        <w:tc>
          <w:tcPr>
            <w:tcW w:w="10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196,596</w:t>
            </w:r>
          </w:p>
        </w:tc>
        <w:tc>
          <w:tcPr>
            <w:tcW w:w="10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187,500</w:t>
            </w:r>
          </w:p>
        </w:tc>
        <w:tc>
          <w:tcPr>
            <w:tcW w:w="11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5,770</w:t>
            </w:r>
          </w:p>
        </w:tc>
        <w:tc>
          <w:tcPr>
            <w:tcW w:w="108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(2,493)</w:t>
            </w:r>
          </w:p>
        </w:tc>
        <w:tc>
          <w:tcPr>
            <w:tcW w:w="90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190,777</w:t>
            </w:r>
          </w:p>
        </w:tc>
        <w:tc>
          <w:tcPr>
            <w:tcW w:w="80" w:type="dxa"/>
            <w:vAlign w:val="bottom"/>
          </w:tcPr>
          <w:p>
            <w:pPr>
              <w:spacing w:after="0"/>
              <w:rPr>
                <w:sz w:val="11"/>
                <w:szCs w:val="11"/>
                <w:color w:val="auto"/>
              </w:rPr>
            </w:pPr>
          </w:p>
        </w:tc>
      </w:tr>
      <w:tr>
        <w:trPr>
          <w:trHeight w:val="133"/>
        </w:trPr>
        <w:tc>
          <w:tcPr>
            <w:tcW w:w="23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Trading certificates of deposits</w:t>
            </w:r>
          </w:p>
        </w:tc>
        <w:tc>
          <w:tcPr>
            <w:tcW w:w="114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3"/>
                <w:szCs w:val="13"/>
                <w:color w:val="auto"/>
              </w:rPr>
              <w:t>57,523</w:t>
            </w:r>
          </w:p>
        </w:tc>
        <w:tc>
          <w:tcPr>
            <w:tcW w:w="11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2,889</w:t>
            </w:r>
          </w:p>
        </w:tc>
        <w:tc>
          <w:tcPr>
            <w:tcW w:w="110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(8)</w:t>
            </w:r>
          </w:p>
        </w:tc>
        <w:tc>
          <w:tcPr>
            <w:tcW w:w="10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60,404</w:t>
            </w:r>
          </w:p>
        </w:tc>
        <w:tc>
          <w:tcPr>
            <w:tcW w:w="10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123,069</w:t>
            </w:r>
          </w:p>
        </w:tc>
        <w:tc>
          <w:tcPr>
            <w:tcW w:w="11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3,310</w:t>
            </w:r>
          </w:p>
        </w:tc>
        <w:tc>
          <w:tcPr>
            <w:tcW w:w="108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(79)</w:t>
            </w:r>
          </w:p>
        </w:tc>
        <w:tc>
          <w:tcPr>
            <w:tcW w:w="90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126,300</w:t>
            </w:r>
          </w:p>
        </w:tc>
        <w:tc>
          <w:tcPr>
            <w:tcW w:w="80" w:type="dxa"/>
            <w:vAlign w:val="bottom"/>
            <w:shd w:val="clear" w:color="auto" w:fill="CCEEFF"/>
          </w:tcPr>
          <w:p>
            <w:pPr>
              <w:spacing w:after="0"/>
              <w:rPr>
                <w:sz w:val="11"/>
                <w:szCs w:val="11"/>
                <w:color w:val="auto"/>
              </w:rPr>
            </w:pPr>
          </w:p>
        </w:tc>
      </w:tr>
      <w:tr>
        <w:trPr>
          <w:trHeight w:val="133"/>
        </w:trPr>
        <w:tc>
          <w:tcPr>
            <w:tcW w:w="2320" w:type="dxa"/>
            <w:vAlign w:val="bottom"/>
          </w:tcPr>
          <w:p>
            <w:pPr>
              <w:spacing w:after="0" w:line="133" w:lineRule="exact"/>
              <w:rPr>
                <w:sz w:val="20"/>
                <w:szCs w:val="20"/>
                <w:color w:val="auto"/>
              </w:rPr>
            </w:pPr>
            <w:r>
              <w:rPr>
                <w:rFonts w:ascii="Arial" w:cs="Arial" w:eastAsia="Arial" w:hAnsi="Arial"/>
                <w:sz w:val="13"/>
                <w:szCs w:val="13"/>
                <w:color w:val="auto"/>
              </w:rPr>
              <w:t>Mortgage-backed securities (CMO) (viii)</w:t>
            </w:r>
          </w:p>
        </w:tc>
        <w:tc>
          <w:tcPr>
            <w:tcW w:w="1140" w:type="dxa"/>
            <w:vAlign w:val="bottom"/>
            <w:gridSpan w:val="2"/>
          </w:tcPr>
          <w:p>
            <w:pPr>
              <w:jc w:val="right"/>
              <w:ind w:right="240"/>
              <w:spacing w:after="0" w:line="133" w:lineRule="exact"/>
              <w:rPr>
                <w:sz w:val="20"/>
                <w:szCs w:val="20"/>
                <w:color w:val="auto"/>
              </w:rPr>
            </w:pPr>
            <w:r>
              <w:rPr>
                <w:rFonts w:ascii="Arial" w:cs="Arial" w:eastAsia="Arial" w:hAnsi="Arial"/>
                <w:sz w:val="13"/>
                <w:szCs w:val="13"/>
                <w:color w:val="auto"/>
              </w:rPr>
              <w:t>21,628</w:t>
            </w:r>
          </w:p>
        </w:tc>
        <w:tc>
          <w:tcPr>
            <w:tcW w:w="11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7,618</w:t>
            </w:r>
          </w:p>
        </w:tc>
        <w:tc>
          <w:tcPr>
            <w:tcW w:w="1100" w:type="dxa"/>
            <w:vAlign w:val="bottom"/>
            <w:gridSpan w:val="2"/>
          </w:tcPr>
          <w:p>
            <w:pPr>
              <w:jc w:val="right"/>
              <w:ind w:right="182"/>
              <w:spacing w:after="0" w:line="133"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29,246</w:t>
            </w:r>
          </w:p>
        </w:tc>
        <w:tc>
          <w:tcPr>
            <w:tcW w:w="10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30,909</w:t>
            </w:r>
          </w:p>
        </w:tc>
        <w:tc>
          <w:tcPr>
            <w:tcW w:w="11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8,275</w:t>
            </w:r>
          </w:p>
        </w:tc>
        <w:tc>
          <w:tcPr>
            <w:tcW w:w="108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(4)</w:t>
            </w:r>
          </w:p>
        </w:tc>
        <w:tc>
          <w:tcPr>
            <w:tcW w:w="90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39,180</w:t>
            </w:r>
          </w:p>
        </w:tc>
        <w:tc>
          <w:tcPr>
            <w:tcW w:w="80" w:type="dxa"/>
            <w:vAlign w:val="bottom"/>
          </w:tcPr>
          <w:p>
            <w:pPr>
              <w:spacing w:after="0"/>
              <w:rPr>
                <w:sz w:val="11"/>
                <w:szCs w:val="11"/>
                <w:color w:val="auto"/>
              </w:rPr>
            </w:pPr>
          </w:p>
        </w:tc>
      </w:tr>
      <w:tr>
        <w:trPr>
          <w:trHeight w:val="117"/>
        </w:trPr>
        <w:tc>
          <w:tcPr>
            <w:tcW w:w="232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Certificates of Banco Central de Bolivia</w:t>
            </w: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(ix)</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14,643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82"/>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14,643</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152,778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519</w:t>
            </w:r>
          </w:p>
        </w:tc>
        <w:tc>
          <w:tcPr>
            <w:tcW w:w="108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(4)</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153,293</w:t>
            </w:r>
          </w:p>
        </w:tc>
        <w:tc>
          <w:tcPr>
            <w:tcW w:w="80" w:type="dxa"/>
            <w:vAlign w:val="bottom"/>
            <w:shd w:val="clear" w:color="auto" w:fill="CCEEFF"/>
          </w:tcPr>
          <w:p>
            <w:pPr>
              <w:spacing w:after="0"/>
              <w:rPr>
                <w:sz w:val="12"/>
                <w:szCs w:val="12"/>
                <w:color w:val="auto"/>
              </w:rPr>
            </w:pPr>
          </w:p>
        </w:tc>
      </w:tr>
      <w:tr>
        <w:trPr>
          <w:trHeight w:val="133"/>
        </w:trPr>
        <w:tc>
          <w:tcPr>
            <w:tcW w:w="2320" w:type="dxa"/>
            <w:vAlign w:val="bottom"/>
          </w:tcPr>
          <w:p>
            <w:pPr>
              <w:spacing w:after="0" w:line="133" w:lineRule="exact"/>
              <w:rPr>
                <w:sz w:val="20"/>
                <w:szCs w:val="20"/>
                <w:color w:val="auto"/>
              </w:rPr>
            </w:pPr>
            <w:r>
              <w:rPr>
                <w:rFonts w:ascii="Arial" w:cs="Arial" w:eastAsia="Arial" w:hAnsi="Arial"/>
                <w:sz w:val="13"/>
                <w:szCs w:val="13"/>
                <w:color w:val="auto"/>
              </w:rPr>
              <w:t>Real state funds</w:t>
            </w:r>
          </w:p>
        </w:tc>
        <w:tc>
          <w:tcPr>
            <w:tcW w:w="1140" w:type="dxa"/>
            <w:vAlign w:val="bottom"/>
            <w:gridSpan w:val="2"/>
          </w:tcPr>
          <w:p>
            <w:pPr>
              <w:jc w:val="right"/>
              <w:ind w:right="240"/>
              <w:spacing w:after="0" w:line="133" w:lineRule="exact"/>
              <w:rPr>
                <w:sz w:val="20"/>
                <w:szCs w:val="20"/>
                <w:color w:val="auto"/>
              </w:rPr>
            </w:pPr>
            <w:r>
              <w:rPr>
                <w:rFonts w:ascii="Arial" w:cs="Arial" w:eastAsia="Arial" w:hAnsi="Arial"/>
                <w:sz w:val="13"/>
                <w:szCs w:val="13"/>
                <w:color w:val="auto"/>
              </w:rPr>
              <w:t>7,333</w:t>
            </w:r>
          </w:p>
        </w:tc>
        <w:tc>
          <w:tcPr>
            <w:tcW w:w="11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2"/>
              <w:spacing w:after="0" w:line="133"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7,333</w:t>
            </w:r>
          </w:p>
        </w:tc>
        <w:tc>
          <w:tcPr>
            <w:tcW w:w="10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319</w:t>
            </w:r>
          </w:p>
        </w:tc>
        <w:tc>
          <w:tcPr>
            <w:tcW w:w="11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319</w:t>
            </w:r>
          </w:p>
        </w:tc>
        <w:tc>
          <w:tcPr>
            <w:tcW w:w="80" w:type="dxa"/>
            <w:vAlign w:val="bottom"/>
          </w:tcPr>
          <w:p>
            <w:pPr>
              <w:spacing w:after="0"/>
              <w:rPr>
                <w:sz w:val="11"/>
                <w:szCs w:val="11"/>
                <w:color w:val="auto"/>
              </w:rPr>
            </w:pPr>
          </w:p>
        </w:tc>
      </w:tr>
      <w:tr>
        <w:trPr>
          <w:trHeight w:val="133"/>
        </w:trPr>
        <w:tc>
          <w:tcPr>
            <w:tcW w:w="23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Commercial paper in foreign entities</w:t>
            </w:r>
          </w:p>
        </w:tc>
        <w:tc>
          <w:tcPr>
            <w:tcW w:w="114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3"/>
                <w:szCs w:val="13"/>
                <w:color w:val="auto"/>
              </w:rPr>
              <w:t>3,347</w:t>
            </w:r>
          </w:p>
        </w:tc>
        <w:tc>
          <w:tcPr>
            <w:tcW w:w="11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(30)</w:t>
            </w:r>
          </w:p>
        </w:tc>
        <w:tc>
          <w:tcPr>
            <w:tcW w:w="10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3,317</w:t>
            </w:r>
          </w:p>
        </w:tc>
        <w:tc>
          <w:tcPr>
            <w:tcW w:w="10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17,260</w:t>
            </w:r>
          </w:p>
        </w:tc>
        <w:tc>
          <w:tcPr>
            <w:tcW w:w="11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(9)</w:t>
            </w:r>
          </w:p>
        </w:tc>
        <w:tc>
          <w:tcPr>
            <w:tcW w:w="90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17,251</w:t>
            </w:r>
          </w:p>
        </w:tc>
        <w:tc>
          <w:tcPr>
            <w:tcW w:w="80" w:type="dxa"/>
            <w:vAlign w:val="bottom"/>
            <w:shd w:val="clear" w:color="auto" w:fill="CCEEFF"/>
          </w:tcPr>
          <w:p>
            <w:pPr>
              <w:spacing w:after="0"/>
              <w:rPr>
                <w:sz w:val="11"/>
                <w:szCs w:val="11"/>
                <w:color w:val="auto"/>
              </w:rPr>
            </w:pPr>
          </w:p>
        </w:tc>
      </w:tr>
      <w:tr>
        <w:trPr>
          <w:trHeight w:val="133"/>
        </w:trPr>
        <w:tc>
          <w:tcPr>
            <w:tcW w:w="2320" w:type="dxa"/>
            <w:vAlign w:val="bottom"/>
          </w:tcPr>
          <w:p>
            <w:pPr>
              <w:spacing w:after="0" w:line="133" w:lineRule="exact"/>
              <w:rPr>
                <w:sz w:val="20"/>
                <w:szCs w:val="20"/>
                <w:color w:val="auto"/>
              </w:rPr>
            </w:pPr>
            <w:r>
              <w:rPr>
                <w:rFonts w:ascii="Arial" w:cs="Arial" w:eastAsia="Arial" w:hAnsi="Arial"/>
                <w:sz w:val="13"/>
                <w:szCs w:val="13"/>
                <w:color w:val="auto"/>
              </w:rPr>
              <w:t>Commercial paper in peruvian entities</w:t>
            </w:r>
          </w:p>
        </w:tc>
        <w:tc>
          <w:tcPr>
            <w:tcW w:w="1140" w:type="dxa"/>
            <w:vAlign w:val="bottom"/>
            <w:gridSpan w:val="2"/>
          </w:tcPr>
          <w:p>
            <w:pPr>
              <w:jc w:val="right"/>
              <w:ind w:right="240"/>
              <w:spacing w:after="0" w:line="133" w:lineRule="exact"/>
              <w:rPr>
                <w:sz w:val="20"/>
                <w:szCs w:val="20"/>
                <w:color w:val="auto"/>
              </w:rPr>
            </w:pPr>
            <w:r>
              <w:rPr>
                <w:rFonts w:ascii="Arial" w:cs="Arial" w:eastAsia="Arial" w:hAnsi="Arial"/>
                <w:sz w:val="13"/>
                <w:szCs w:val="13"/>
                <w:color w:val="auto"/>
              </w:rPr>
              <w:t>2,229</w:t>
            </w:r>
          </w:p>
        </w:tc>
        <w:tc>
          <w:tcPr>
            <w:tcW w:w="11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6</w:t>
            </w:r>
          </w:p>
        </w:tc>
        <w:tc>
          <w:tcPr>
            <w:tcW w:w="1100" w:type="dxa"/>
            <w:vAlign w:val="bottom"/>
            <w:gridSpan w:val="2"/>
          </w:tcPr>
          <w:p>
            <w:pPr>
              <w:jc w:val="right"/>
              <w:ind w:right="182"/>
              <w:spacing w:after="0" w:line="133"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2,235</w:t>
            </w:r>
          </w:p>
        </w:tc>
        <w:tc>
          <w:tcPr>
            <w:tcW w:w="10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4,857</w:t>
            </w:r>
          </w:p>
        </w:tc>
        <w:tc>
          <w:tcPr>
            <w:tcW w:w="11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4,857</w:t>
            </w:r>
          </w:p>
        </w:tc>
        <w:tc>
          <w:tcPr>
            <w:tcW w:w="80" w:type="dxa"/>
            <w:vAlign w:val="bottom"/>
          </w:tcPr>
          <w:p>
            <w:pPr>
              <w:spacing w:after="0"/>
              <w:rPr>
                <w:sz w:val="11"/>
                <w:szCs w:val="11"/>
                <w:color w:val="auto"/>
              </w:rPr>
            </w:pPr>
          </w:p>
        </w:tc>
      </w:tr>
      <w:tr>
        <w:trPr>
          <w:trHeight w:val="133"/>
        </w:trPr>
        <w:tc>
          <w:tcPr>
            <w:tcW w:w="23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U.S. Federal agency bonds</w:t>
            </w:r>
          </w:p>
        </w:tc>
        <w:tc>
          <w:tcPr>
            <w:tcW w:w="114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3"/>
                <w:szCs w:val="13"/>
                <w:color w:val="auto"/>
              </w:rPr>
              <w:t>1,036</w:t>
            </w:r>
          </w:p>
        </w:tc>
        <w:tc>
          <w:tcPr>
            <w:tcW w:w="11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131</w:t>
            </w:r>
          </w:p>
        </w:tc>
        <w:tc>
          <w:tcPr>
            <w:tcW w:w="1100" w:type="dxa"/>
            <w:vAlign w:val="bottom"/>
            <w:gridSpan w:val="2"/>
            <w:shd w:val="clear" w:color="auto" w:fill="CCEEFF"/>
          </w:tcPr>
          <w:p>
            <w:pPr>
              <w:jc w:val="right"/>
              <w:ind w:right="182"/>
              <w:spacing w:after="0" w:line="133"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1,167</w:t>
            </w:r>
          </w:p>
        </w:tc>
        <w:tc>
          <w:tcPr>
            <w:tcW w:w="10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1,276</w:t>
            </w:r>
          </w:p>
        </w:tc>
        <w:tc>
          <w:tcPr>
            <w:tcW w:w="11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157</w:t>
            </w: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1,433</w:t>
            </w:r>
          </w:p>
        </w:tc>
        <w:tc>
          <w:tcPr>
            <w:tcW w:w="80" w:type="dxa"/>
            <w:vAlign w:val="bottom"/>
            <w:shd w:val="clear" w:color="auto" w:fill="CCEEFF"/>
          </w:tcPr>
          <w:p>
            <w:pPr>
              <w:spacing w:after="0"/>
              <w:rPr>
                <w:sz w:val="11"/>
                <w:szCs w:val="11"/>
                <w:color w:val="auto"/>
              </w:rPr>
            </w:pPr>
          </w:p>
        </w:tc>
      </w:tr>
      <w:tr>
        <w:trPr>
          <w:trHeight w:val="145"/>
        </w:trPr>
        <w:tc>
          <w:tcPr>
            <w:tcW w:w="2320" w:type="dxa"/>
            <w:vAlign w:val="bottom"/>
          </w:tcPr>
          <w:p>
            <w:pPr>
              <w:spacing w:after="0" w:line="145" w:lineRule="exact"/>
              <w:rPr>
                <w:sz w:val="20"/>
                <w:szCs w:val="20"/>
                <w:color w:val="auto"/>
              </w:rPr>
            </w:pPr>
            <w:r>
              <w:rPr>
                <w:rFonts w:ascii="Arial" w:cs="Arial" w:eastAsia="Arial" w:hAnsi="Arial"/>
                <w:sz w:val="13"/>
                <w:szCs w:val="13"/>
                <w:color w:val="auto"/>
              </w:rPr>
              <w:t>Hedge funds</w:t>
            </w:r>
          </w:p>
        </w:tc>
        <w:tc>
          <w:tcPr>
            <w:tcW w:w="900" w:type="dxa"/>
            <w:vAlign w:val="bottom"/>
          </w:tcPr>
          <w:p>
            <w:pPr>
              <w:jc w:val="right"/>
              <w:spacing w:after="0" w:line="145" w:lineRule="exact"/>
              <w:rPr>
                <w:sz w:val="20"/>
                <w:szCs w:val="20"/>
                <w:color w:val="auto"/>
              </w:rPr>
            </w:pPr>
            <w:r>
              <w:rPr>
                <w:rFonts w:ascii="Arial" w:cs="Arial" w:eastAsia="Arial" w:hAnsi="Arial"/>
                <w:sz w:val="13"/>
                <w:szCs w:val="13"/>
                <w:color w:val="auto"/>
              </w:rPr>
              <w:t>87</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1,008</w:t>
            </w:r>
          </w:p>
        </w:tc>
        <w:tc>
          <w:tcPr>
            <w:tcW w:w="11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1,095</w:t>
            </w:r>
          </w:p>
        </w:tc>
        <w:tc>
          <w:tcPr>
            <w:tcW w:w="10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134,631</w:t>
            </w: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3,559</w:t>
            </w:r>
          </w:p>
        </w:tc>
        <w:tc>
          <w:tcPr>
            <w:tcW w:w="108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(4,996)</w:t>
            </w:r>
          </w:p>
        </w:tc>
        <w:tc>
          <w:tcPr>
            <w:tcW w:w="90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133,194</w:t>
            </w:r>
          </w:p>
        </w:tc>
        <w:tc>
          <w:tcPr>
            <w:tcW w:w="80" w:type="dxa"/>
            <w:vAlign w:val="bottom"/>
          </w:tcPr>
          <w:p>
            <w:pPr>
              <w:spacing w:after="0"/>
              <w:rPr>
                <w:sz w:val="12"/>
                <w:szCs w:val="12"/>
                <w:color w:val="auto"/>
              </w:rPr>
            </w:pPr>
          </w:p>
        </w:tc>
      </w:tr>
      <w:tr>
        <w:trPr>
          <w:trHeight w:val="125"/>
        </w:trPr>
        <w:tc>
          <w:tcPr>
            <w:tcW w:w="23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33"/>
        </w:trPr>
        <w:tc>
          <w:tcPr>
            <w:tcW w:w="232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Arial" w:cs="Arial" w:eastAsia="Arial" w:hAnsi="Arial"/>
                <w:sz w:val="13"/>
                <w:szCs w:val="13"/>
                <w:color w:val="auto"/>
              </w:rPr>
              <w:t>16,868,907</w:t>
            </w:r>
          </w:p>
        </w:tc>
        <w:tc>
          <w:tcPr>
            <w:tcW w:w="240" w:type="dxa"/>
            <w:vAlign w:val="bottom"/>
          </w:tcPr>
          <w:p>
            <w:pPr>
              <w:spacing w:after="0"/>
              <w:rPr>
                <w:sz w:val="11"/>
                <w:szCs w:val="11"/>
                <w:color w:val="auto"/>
              </w:rPr>
            </w:pPr>
          </w:p>
        </w:tc>
        <w:tc>
          <w:tcPr>
            <w:tcW w:w="11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526,804</w:t>
            </w:r>
          </w:p>
        </w:tc>
        <w:tc>
          <w:tcPr>
            <w:tcW w:w="110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(175,299)</w:t>
            </w:r>
          </w:p>
        </w:tc>
        <w:tc>
          <w:tcPr>
            <w:tcW w:w="860" w:type="dxa"/>
            <w:vAlign w:val="bottom"/>
          </w:tcPr>
          <w:p>
            <w:pPr>
              <w:jc w:val="right"/>
              <w:spacing w:after="0" w:line="133" w:lineRule="exact"/>
              <w:rPr>
                <w:sz w:val="20"/>
                <w:szCs w:val="20"/>
                <w:color w:val="auto"/>
              </w:rPr>
            </w:pPr>
            <w:r>
              <w:rPr>
                <w:rFonts w:ascii="Arial" w:cs="Arial" w:eastAsia="Arial" w:hAnsi="Arial"/>
                <w:sz w:val="13"/>
                <w:szCs w:val="13"/>
                <w:color w:val="auto"/>
              </w:rPr>
              <w:t>17,220,412</w:t>
            </w:r>
          </w:p>
        </w:tc>
        <w:tc>
          <w:tcPr>
            <w:tcW w:w="220" w:type="dxa"/>
            <w:vAlign w:val="bottom"/>
          </w:tcPr>
          <w:p>
            <w:pPr>
              <w:spacing w:after="0"/>
              <w:rPr>
                <w:sz w:val="11"/>
                <w:szCs w:val="11"/>
                <w:color w:val="auto"/>
              </w:rPr>
            </w:pPr>
          </w:p>
        </w:tc>
        <w:tc>
          <w:tcPr>
            <w:tcW w:w="10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17,166,711</w:t>
            </w:r>
          </w:p>
        </w:tc>
        <w:tc>
          <w:tcPr>
            <w:tcW w:w="11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398,957</w:t>
            </w:r>
          </w:p>
        </w:tc>
        <w:tc>
          <w:tcPr>
            <w:tcW w:w="108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(418,255)</w:t>
            </w:r>
          </w:p>
        </w:tc>
        <w:tc>
          <w:tcPr>
            <w:tcW w:w="90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17,147,413</w:t>
            </w:r>
          </w:p>
        </w:tc>
        <w:tc>
          <w:tcPr>
            <w:tcW w:w="80" w:type="dxa"/>
            <w:vAlign w:val="bottom"/>
          </w:tcPr>
          <w:p>
            <w:pPr>
              <w:spacing w:after="0"/>
              <w:rPr>
                <w:sz w:val="11"/>
                <w:szCs w:val="11"/>
                <w:color w:val="auto"/>
              </w:rPr>
            </w:pPr>
          </w:p>
        </w:tc>
      </w:tr>
      <w:tr>
        <w:trPr>
          <w:trHeight w:val="133"/>
        </w:trPr>
        <w:tc>
          <w:tcPr>
            <w:tcW w:w="2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2320" w:type="dxa"/>
            <w:vAlign w:val="bottom"/>
          </w:tcPr>
          <w:p>
            <w:pPr>
              <w:spacing w:after="0" w:line="133" w:lineRule="exact"/>
              <w:rPr>
                <w:sz w:val="20"/>
                <w:szCs w:val="20"/>
                <w:color w:val="auto"/>
              </w:rPr>
            </w:pPr>
            <w:r>
              <w:rPr>
                <w:rFonts w:ascii="Arial" w:cs="Arial" w:eastAsia="Arial" w:hAnsi="Arial"/>
                <w:sz w:val="13"/>
                <w:szCs w:val="13"/>
                <w:b w:val="1"/>
                <w:bCs w:val="1"/>
                <w:color w:val="auto"/>
              </w:rPr>
              <w:t>Shares -</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23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Listed (x)</w:t>
            </w:r>
          </w:p>
        </w:tc>
        <w:tc>
          <w:tcPr>
            <w:tcW w:w="114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3"/>
                <w:szCs w:val="13"/>
                <w:color w:val="auto"/>
              </w:rPr>
              <w:t>568,930</w:t>
            </w:r>
          </w:p>
        </w:tc>
        <w:tc>
          <w:tcPr>
            <w:tcW w:w="11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734,936</w:t>
            </w:r>
          </w:p>
        </w:tc>
        <w:tc>
          <w:tcPr>
            <w:tcW w:w="110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(3,101)</w:t>
            </w: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1,300,765</w:t>
            </w:r>
          </w:p>
        </w:tc>
        <w:tc>
          <w:tcPr>
            <w:tcW w:w="2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809,494</w:t>
            </w:r>
          </w:p>
        </w:tc>
        <w:tc>
          <w:tcPr>
            <w:tcW w:w="11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669,263</w:t>
            </w:r>
          </w:p>
        </w:tc>
        <w:tc>
          <w:tcPr>
            <w:tcW w:w="108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(32,209)</w:t>
            </w:r>
          </w:p>
        </w:tc>
        <w:tc>
          <w:tcPr>
            <w:tcW w:w="90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1,446,548</w:t>
            </w:r>
          </w:p>
        </w:tc>
        <w:tc>
          <w:tcPr>
            <w:tcW w:w="80" w:type="dxa"/>
            <w:vAlign w:val="bottom"/>
            <w:shd w:val="clear" w:color="auto" w:fill="CCEEFF"/>
          </w:tcPr>
          <w:p>
            <w:pPr>
              <w:spacing w:after="0"/>
              <w:rPr>
                <w:sz w:val="11"/>
                <w:szCs w:val="11"/>
                <w:color w:val="auto"/>
              </w:rPr>
            </w:pPr>
          </w:p>
        </w:tc>
      </w:tr>
      <w:tr>
        <w:trPr>
          <w:trHeight w:val="145"/>
        </w:trPr>
        <w:tc>
          <w:tcPr>
            <w:tcW w:w="2320" w:type="dxa"/>
            <w:vAlign w:val="bottom"/>
          </w:tcPr>
          <w:p>
            <w:pPr>
              <w:spacing w:after="0" w:line="145" w:lineRule="exact"/>
              <w:rPr>
                <w:sz w:val="20"/>
                <w:szCs w:val="20"/>
                <w:color w:val="auto"/>
              </w:rPr>
            </w:pPr>
            <w:r>
              <w:rPr>
                <w:rFonts w:ascii="Arial" w:cs="Arial" w:eastAsia="Arial" w:hAnsi="Arial"/>
                <w:sz w:val="13"/>
                <w:szCs w:val="13"/>
                <w:color w:val="auto"/>
              </w:rPr>
              <w:t>Non-listed</w:t>
            </w:r>
          </w:p>
        </w:tc>
        <w:tc>
          <w:tcPr>
            <w:tcW w:w="11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6,098</w:t>
            </w: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637</w:t>
            </w:r>
          </w:p>
        </w:tc>
        <w:tc>
          <w:tcPr>
            <w:tcW w:w="11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6,735</w:t>
            </w:r>
          </w:p>
        </w:tc>
        <w:tc>
          <w:tcPr>
            <w:tcW w:w="10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6,098</w:t>
            </w: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1,849</w:t>
            </w:r>
          </w:p>
        </w:tc>
        <w:tc>
          <w:tcPr>
            <w:tcW w:w="86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7,947</w:t>
            </w:r>
          </w:p>
        </w:tc>
        <w:tc>
          <w:tcPr>
            <w:tcW w:w="80" w:type="dxa"/>
            <w:vAlign w:val="bottom"/>
          </w:tcPr>
          <w:p>
            <w:pPr>
              <w:spacing w:after="0"/>
              <w:rPr>
                <w:sz w:val="12"/>
                <w:szCs w:val="12"/>
                <w:color w:val="auto"/>
              </w:rPr>
            </w:pPr>
          </w:p>
        </w:tc>
      </w:tr>
      <w:tr>
        <w:trPr>
          <w:trHeight w:val="125"/>
        </w:trPr>
        <w:tc>
          <w:tcPr>
            <w:tcW w:w="23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575,028</w:t>
            </w:r>
          </w:p>
        </w:tc>
        <w:tc>
          <w:tcPr>
            <w:tcW w:w="2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735,573</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(3,101</w:t>
            </w:r>
          </w:p>
        </w:tc>
        <w:tc>
          <w:tcPr>
            <w:tcW w:w="220" w:type="dxa"/>
            <w:vAlign w:val="bottom"/>
            <w:tcBorders>
              <w:top w:val="single" w:sz="8" w:color="CCEEFF"/>
            </w:tcBorders>
            <w:shd w:val="clear" w:color="auto" w:fill="CCEEFF"/>
          </w:tcPr>
          <w:p>
            <w:pPr>
              <w:jc w:val="right"/>
              <w:ind w:right="142"/>
              <w:spacing w:after="0"/>
              <w:rPr>
                <w:sz w:val="20"/>
                <w:szCs w:val="20"/>
                <w:color w:val="auto"/>
              </w:rPr>
            </w:pPr>
            <w:r>
              <w:rPr>
                <w:rFonts w:ascii="Arial" w:cs="Arial" w:eastAsia="Arial" w:hAnsi="Arial"/>
                <w:sz w:val="8"/>
                <w:szCs w:val="8"/>
                <w:color w:val="auto"/>
                <w:w w:val="73"/>
              </w:rPr>
              <w:t>)</w:t>
            </w:r>
          </w:p>
        </w:tc>
        <w:tc>
          <w:tcPr>
            <w:tcW w:w="8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1,307,500</w:t>
            </w:r>
          </w:p>
        </w:tc>
        <w:tc>
          <w:tcPr>
            <w:tcW w:w="2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815,592</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671,112</w:t>
            </w:r>
          </w:p>
        </w:tc>
        <w:tc>
          <w:tcPr>
            <w:tcW w:w="2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(32,209</w:t>
            </w:r>
          </w:p>
        </w:tc>
        <w:tc>
          <w:tcPr>
            <w:tcW w:w="220" w:type="dxa"/>
            <w:vAlign w:val="bottom"/>
            <w:tcBorders>
              <w:top w:val="single" w:sz="8" w:color="CCEEFF"/>
            </w:tcBorders>
            <w:shd w:val="clear" w:color="auto" w:fill="CCEEFF"/>
          </w:tcPr>
          <w:p>
            <w:pPr>
              <w:jc w:val="right"/>
              <w:ind w:right="142"/>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1,454,495</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25"/>
        </w:trPr>
        <w:tc>
          <w:tcPr>
            <w:tcW w:w="2320" w:type="dxa"/>
            <w:vAlign w:val="bottom"/>
            <w:tcBorders>
              <w:bottom w:val="single" w:sz="8" w:color="CCEEFF"/>
            </w:tcBorders>
          </w:tcPr>
          <w:p>
            <w:pPr>
              <w:spacing w:after="0" w:line="125" w:lineRule="exact"/>
              <w:rPr>
                <w:sz w:val="20"/>
                <w:szCs w:val="20"/>
                <w:color w:val="auto"/>
              </w:rPr>
            </w:pPr>
            <w:r>
              <w:rPr>
                <w:rFonts w:ascii="Arial" w:cs="Arial" w:eastAsia="Arial" w:hAnsi="Arial"/>
                <w:sz w:val="13"/>
                <w:szCs w:val="13"/>
                <w:color w:val="auto"/>
              </w:rPr>
              <w:t>Balance before accrued interest</w:t>
            </w:r>
          </w:p>
        </w:tc>
        <w:tc>
          <w:tcPr>
            <w:tcW w:w="9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17,443,935</w:t>
            </w:r>
          </w:p>
        </w:tc>
        <w:tc>
          <w:tcPr>
            <w:tcW w:w="24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1,262,377</w:t>
            </w:r>
          </w:p>
        </w:tc>
        <w:tc>
          <w:tcPr>
            <w:tcW w:w="22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(178,400</w:t>
            </w:r>
          </w:p>
        </w:tc>
        <w:tc>
          <w:tcPr>
            <w:tcW w:w="220" w:type="dxa"/>
            <w:vAlign w:val="bottom"/>
            <w:tcBorders>
              <w:bottom w:val="single" w:sz="8" w:color="CCEEFF"/>
            </w:tcBorders>
          </w:tcPr>
          <w:p>
            <w:pPr>
              <w:jc w:val="right"/>
              <w:ind w:right="142"/>
              <w:spacing w:after="0"/>
              <w:rPr>
                <w:sz w:val="20"/>
                <w:szCs w:val="20"/>
                <w:color w:val="auto"/>
              </w:rPr>
            </w:pPr>
            <w:r>
              <w:rPr>
                <w:rFonts w:ascii="Arial" w:cs="Arial" w:eastAsia="Arial" w:hAnsi="Arial"/>
                <w:sz w:val="8"/>
                <w:szCs w:val="8"/>
                <w:color w:val="auto"/>
                <w:w w:val="73"/>
              </w:rPr>
              <w:t>)</w:t>
            </w:r>
          </w:p>
        </w:tc>
        <w:tc>
          <w:tcPr>
            <w:tcW w:w="8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18,527,912</w:t>
            </w:r>
          </w:p>
        </w:tc>
        <w:tc>
          <w:tcPr>
            <w:tcW w:w="22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17,982,303</w:t>
            </w:r>
          </w:p>
        </w:tc>
        <w:tc>
          <w:tcPr>
            <w:tcW w:w="22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1,070,069</w:t>
            </w:r>
          </w:p>
        </w:tc>
        <w:tc>
          <w:tcPr>
            <w:tcW w:w="22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(450,464</w:t>
            </w:r>
          </w:p>
        </w:tc>
        <w:tc>
          <w:tcPr>
            <w:tcW w:w="220" w:type="dxa"/>
            <w:vAlign w:val="bottom"/>
            <w:tcBorders>
              <w:bottom w:val="single" w:sz="8" w:color="CCEEFF"/>
            </w:tcBorders>
          </w:tcPr>
          <w:p>
            <w:pPr>
              <w:jc w:val="right"/>
              <w:ind w:right="142"/>
              <w:spacing w:after="0"/>
              <w:rPr>
                <w:sz w:val="20"/>
                <w:szCs w:val="20"/>
                <w:color w:val="auto"/>
              </w:rPr>
            </w:pPr>
            <w:r>
              <w:rPr>
                <w:rFonts w:ascii="Arial" w:cs="Arial" w:eastAsia="Arial" w:hAnsi="Arial"/>
                <w:sz w:val="8"/>
                <w:szCs w:val="8"/>
                <w:color w:val="auto"/>
                <w:w w:val="73"/>
              </w:rPr>
              <w:t>)</w:t>
            </w:r>
          </w:p>
        </w:tc>
        <w:tc>
          <w:tcPr>
            <w:tcW w:w="8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18,601,908</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r>
      <w:tr>
        <w:trPr>
          <w:trHeight w:val="137"/>
        </w:trPr>
        <w:tc>
          <w:tcPr>
            <w:tcW w:w="23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Interest accrued</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157,755</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167,013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5"/>
        </w:trPr>
        <w:tc>
          <w:tcPr>
            <w:tcW w:w="2320" w:type="dxa"/>
            <w:vAlign w:val="bottom"/>
          </w:tcPr>
          <w:p>
            <w:pPr>
              <w:spacing w:after="0" w:line="125" w:lineRule="exact"/>
              <w:rPr>
                <w:sz w:val="20"/>
                <w:szCs w:val="20"/>
                <w:color w:val="auto"/>
              </w:rPr>
            </w:pPr>
            <w:r>
              <w:rPr>
                <w:rFonts w:ascii="Arial" w:cs="Arial" w:eastAsia="Arial" w:hAnsi="Arial"/>
                <w:sz w:val="13"/>
                <w:szCs w:val="13"/>
                <w:b w:val="1"/>
                <w:bCs w:val="1"/>
                <w:color w:val="auto"/>
              </w:rPr>
              <w:t>Total</w:t>
            </w: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18,685,667</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18,768,921</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pacing w:after="0" w:line="374" w:lineRule="exact"/>
        <w:rPr>
          <w:sz w:val="20"/>
          <w:szCs w:val="20"/>
          <w:color w:val="auto"/>
        </w:rPr>
      </w:pPr>
    </w:p>
    <w:p>
      <w:pPr>
        <w:jc w:val="center"/>
        <w:ind w:right="-182"/>
        <w:spacing w:after="0"/>
        <w:rPr>
          <w:sz w:val="20"/>
          <w:szCs w:val="20"/>
          <w:color w:val="auto"/>
        </w:rPr>
      </w:pPr>
      <w:r>
        <w:rPr>
          <w:rFonts w:ascii="Arial" w:cs="Arial" w:eastAsia="Arial" w:hAnsi="Arial"/>
          <w:sz w:val="16"/>
          <w:szCs w:val="16"/>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63"/>
          </w:cols>
          <w:pgMar w:left="237" w:top="824" w:right="399" w:bottom="1440" w:gutter="0" w:footer="0" w:header="0"/>
          <w:type w:val="continuous"/>
        </w:sectPr>
      </w:pPr>
    </w:p>
    <w:bookmarkStart w:id="61" w:name="page62"/>
    <w:bookmarkEnd w:id="61"/>
    <w:p>
      <w:pPr>
        <w:ind w:right="40"/>
        <w:spacing w:after="0" w:line="280" w:lineRule="auto"/>
        <w:rPr>
          <w:sz w:val="20"/>
          <w:szCs w:val="20"/>
          <w:color w:val="auto"/>
        </w:rPr>
      </w:pPr>
      <w:r>
        <w:rPr>
          <w:rFonts w:ascii="Arial" w:cs="Arial" w:eastAsia="Arial" w:hAnsi="Arial"/>
          <w:sz w:val="15"/>
          <w:szCs w:val="15"/>
          <w:color w:val="auto"/>
        </w:rPr>
        <w:t>The Management of Credicorp has determined that the unrealized losses of available-for-sale investments at December 31, 2016 and 2015 are of a temporary nature, considering factors such as intended strategy in relation to the identified security or portfolio, its underlying collateral and credit rating of the issuers. During 2016 as a result of the impairment assessment of its available-for-sale investments, the Group recorded an impairment loss of S/14.5 million (S/43.8 million and S/7.8 million during 2015 and 2014 respectively), which is shown in “Impairment loss on available-for-sale investments” in the consolidated statement of income. Also, Management has decided and has the ability to hold each investment for a period of time sufficient to allow for an anticipated recovery in fair value, until the earlier of its anticipated recovery or maturity.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movement of available-for-sale investments reserves, net of deferred income tax and non-controlling interest, is shown in note 18(c).</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During 2016, the Group reclassified instruments from the portfolio available-for-sale investments to investments held to maturity, which at the time of the transfer maintained an unrealized profit amounting to S/6.0 million recorded in equity (unrealized loss amounting to S/12.9 million and unrealized profit amounting to S/14.9 million, corresponding to the transfers made during the years 2015 and 2014, respectively). During the years 2016, 2015 and 2014 S/1.6 million, S/1.9 million and S/2.5 million, respectively, were amortized from unrealized results which are recorded in equity, and were transferred to the account “Net gain on sale of securities” of the consolidated statement of income. At December 31, 2016, unrealized profit amounting to S/2.1 million is held in equity, corresponding to the investments which were reclassified in category (unrealized loss amounting to S/2.3 million at December 31, 2015).</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2016 and 2015, the maturities and annual market rates of available-for-sale investments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b w:val="1"/>
                <w:bCs w:val="1"/>
                <w:color w:val="auto"/>
              </w:rPr>
              <w:t>Maturities</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tcPr>
          <w:p>
            <w:pPr>
              <w:spacing w:after="0"/>
              <w:rPr>
                <w:sz w:val="20"/>
                <w:szCs w:val="20"/>
                <w:color w:val="auto"/>
              </w:rPr>
            </w:pPr>
            <w:r>
              <w:rPr>
                <w:rFonts w:ascii="Arial" w:cs="Arial" w:eastAsia="Arial" w:hAnsi="Arial"/>
                <w:sz w:val="13"/>
                <w:szCs w:val="13"/>
                <w:b w:val="1"/>
                <w:bCs w:val="1"/>
                <w:color w:val="auto"/>
              </w:rPr>
              <w:t>Annual effective interest rate</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2016</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596"/>
              <w:spacing w:after="0" w:line="138" w:lineRule="exact"/>
              <w:rPr>
                <w:sz w:val="20"/>
                <w:szCs w:val="20"/>
                <w:color w:val="auto"/>
              </w:rPr>
            </w:pPr>
            <w:r>
              <w:rPr>
                <w:rFonts w:ascii="Arial" w:cs="Arial" w:eastAsia="Arial" w:hAnsi="Arial"/>
                <w:sz w:val="13"/>
                <w:szCs w:val="13"/>
                <w:b w:val="1"/>
                <w:bCs w:val="1"/>
                <w:color w:val="auto"/>
                <w:w w:val="82"/>
              </w:rPr>
              <w:t>2015</w:t>
            </w:r>
          </w:p>
        </w:tc>
        <w:tc>
          <w:tcPr>
            <w:tcW w:w="120" w:type="dxa"/>
            <w:vAlign w:val="bottom"/>
          </w:tcPr>
          <w:p>
            <w:pPr>
              <w:spacing w:after="0"/>
              <w:rPr>
                <w:sz w:val="11"/>
                <w:szCs w:val="11"/>
                <w:color w:val="auto"/>
              </w:rPr>
            </w:pPr>
          </w:p>
        </w:tc>
        <w:tc>
          <w:tcPr>
            <w:tcW w:w="60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2016</w:t>
            </w:r>
          </w:p>
        </w:tc>
        <w:tc>
          <w:tcPr>
            <w:tcW w:w="5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120"/>
              <w:spacing w:after="0" w:line="138" w:lineRule="exact"/>
              <w:rPr>
                <w:sz w:val="20"/>
                <w:szCs w:val="20"/>
                <w:color w:val="auto"/>
              </w:rPr>
            </w:pPr>
            <w:r>
              <w:rPr>
                <w:rFonts w:ascii="Arial" w:cs="Arial" w:eastAsia="Arial" w:hAnsi="Arial"/>
                <w:sz w:val="13"/>
                <w:szCs w:val="13"/>
                <w:b w:val="1"/>
                <w:bCs w:val="1"/>
                <w:color w:val="auto"/>
              </w:rPr>
              <w:t>2015</w:t>
            </w: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w:t>
            </w: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restart"/>
          </w:tcPr>
          <w:p>
            <w:pPr>
              <w:spacing w:after="0"/>
              <w:rPr>
                <w:sz w:val="20"/>
                <w:szCs w:val="20"/>
                <w:color w:val="auto"/>
              </w:rPr>
            </w:pPr>
            <w:r>
              <w:rPr>
                <w:rFonts w:ascii="Arial" w:cs="Arial" w:eastAsia="Arial" w:hAnsi="Arial"/>
                <w:sz w:val="13"/>
                <w:szCs w:val="13"/>
                <w:b w:val="1"/>
                <w:bCs w:val="1"/>
                <w:color w:val="auto"/>
              </w:rPr>
              <w:t>US$</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ind w:left="120"/>
              <w:spacing w:after="0" w:line="105" w:lineRule="exact"/>
              <w:rPr>
                <w:sz w:val="20"/>
                <w:szCs w:val="20"/>
                <w:color w:val="auto"/>
              </w:rPr>
            </w:pPr>
            <w:r>
              <w:rPr>
                <w:rFonts w:ascii="Arial" w:cs="Arial" w:eastAsia="Arial" w:hAnsi="Arial"/>
                <w:sz w:val="12"/>
                <w:szCs w:val="12"/>
                <w:b w:val="1"/>
                <w:bCs w:val="1"/>
                <w:color w:val="auto"/>
              </w:rPr>
              <w:t>Other</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381"/>
              <w:spacing w:after="0"/>
              <w:rPr>
                <w:sz w:val="20"/>
                <w:szCs w:val="20"/>
                <w:color w:val="auto"/>
              </w:rPr>
            </w:pPr>
            <w:r>
              <w:rPr>
                <w:rFonts w:ascii="Arial" w:cs="Arial" w:eastAsia="Arial" w:hAnsi="Arial"/>
                <w:sz w:val="13"/>
                <w:szCs w:val="13"/>
                <w:b w:val="1"/>
                <w:bCs w:val="1"/>
                <w:color w:val="auto"/>
              </w:rPr>
              <w:t>S/</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US$</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line="105" w:lineRule="exact"/>
              <w:rPr>
                <w:sz w:val="20"/>
                <w:szCs w:val="20"/>
                <w:color w:val="auto"/>
              </w:rPr>
            </w:pPr>
            <w:r>
              <w:rPr>
                <w:rFonts w:ascii="Arial" w:cs="Arial" w:eastAsia="Arial" w:hAnsi="Arial"/>
                <w:sz w:val="12"/>
                <w:szCs w:val="12"/>
                <w:b w:val="1"/>
                <w:bCs w:val="1"/>
                <w:color w:val="auto"/>
              </w:rPr>
              <w:t>Other</w:t>
            </w: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Arial" w:cs="Arial" w:eastAsia="Arial" w:hAnsi="Arial"/>
                <w:sz w:val="13"/>
                <w:szCs w:val="13"/>
                <w:b w:val="1"/>
                <w:bCs w:val="1"/>
                <w:color w:val="auto"/>
                <w:w w:val="91"/>
              </w:rPr>
              <w:t>currencies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b w:val="1"/>
                <w:bCs w:val="1"/>
                <w:color w:val="auto"/>
                <w:w w:val="88"/>
              </w:rPr>
              <w:t>currencies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top w:val="single" w:sz="8" w:color="auto"/>
            </w:tcBorders>
          </w:tcPr>
          <w:p>
            <w:pPr>
              <w:spacing w:after="0" w:line="105" w:lineRule="exact"/>
              <w:rPr>
                <w:sz w:val="20"/>
                <w:szCs w:val="20"/>
                <w:color w:val="auto"/>
              </w:rPr>
            </w:pPr>
            <w:r>
              <w:rPr>
                <w:rFonts w:ascii="Arial" w:cs="Arial" w:eastAsia="Arial" w:hAnsi="Arial"/>
                <w:sz w:val="12"/>
                <w:szCs w:val="12"/>
                <w:b w:val="1"/>
                <w:bCs w:val="1"/>
                <w:color w:val="auto"/>
              </w:rPr>
              <w:t>Min</w:t>
            </w:r>
          </w:p>
        </w:tc>
        <w:tc>
          <w:tcPr>
            <w:tcW w:w="580" w:type="dxa"/>
            <w:vAlign w:val="bottom"/>
            <w:tcBorders>
              <w:top w:val="single" w:sz="8" w:color="auto"/>
            </w:tcBorders>
          </w:tcPr>
          <w:p>
            <w:pPr>
              <w:ind w:left="120"/>
              <w:spacing w:after="0" w:line="105" w:lineRule="exact"/>
              <w:rPr>
                <w:sz w:val="20"/>
                <w:szCs w:val="20"/>
                <w:color w:val="auto"/>
              </w:rPr>
            </w:pPr>
            <w:r>
              <w:rPr>
                <w:rFonts w:ascii="Arial" w:cs="Arial" w:eastAsia="Arial" w:hAnsi="Arial"/>
                <w:sz w:val="12"/>
                <w:szCs w:val="12"/>
                <w:b w:val="1"/>
                <w:bCs w:val="1"/>
                <w:color w:val="auto"/>
              </w:rPr>
              <w:t>Max</w:t>
            </w:r>
          </w:p>
        </w:tc>
        <w:tc>
          <w:tcPr>
            <w:tcW w:w="260" w:type="dxa"/>
            <w:vAlign w:val="bottom"/>
          </w:tcPr>
          <w:p>
            <w:pPr>
              <w:spacing w:after="0"/>
              <w:rPr>
                <w:sz w:val="9"/>
                <w:szCs w:val="9"/>
                <w:color w:val="auto"/>
              </w:rPr>
            </w:pPr>
          </w:p>
        </w:tc>
        <w:tc>
          <w:tcPr>
            <w:tcW w:w="580" w:type="dxa"/>
            <w:vAlign w:val="bottom"/>
            <w:tcBorders>
              <w:top w:val="single" w:sz="8" w:color="auto"/>
            </w:tcBorders>
          </w:tcPr>
          <w:p>
            <w:pPr>
              <w:spacing w:after="0" w:line="105" w:lineRule="exact"/>
              <w:rPr>
                <w:sz w:val="20"/>
                <w:szCs w:val="20"/>
                <w:color w:val="auto"/>
              </w:rPr>
            </w:pPr>
            <w:r>
              <w:rPr>
                <w:rFonts w:ascii="Arial" w:cs="Arial" w:eastAsia="Arial" w:hAnsi="Arial"/>
                <w:sz w:val="12"/>
                <w:szCs w:val="12"/>
                <w:b w:val="1"/>
                <w:bCs w:val="1"/>
                <w:color w:val="auto"/>
              </w:rPr>
              <w:t>Min</w:t>
            </w:r>
          </w:p>
        </w:tc>
        <w:tc>
          <w:tcPr>
            <w:tcW w:w="600" w:type="dxa"/>
            <w:vAlign w:val="bottom"/>
            <w:tcBorders>
              <w:top w:val="single" w:sz="8" w:color="auto"/>
            </w:tcBorders>
          </w:tcPr>
          <w:p>
            <w:pPr>
              <w:ind w:left="120"/>
              <w:spacing w:after="0" w:line="105" w:lineRule="exact"/>
              <w:rPr>
                <w:sz w:val="20"/>
                <w:szCs w:val="20"/>
                <w:color w:val="auto"/>
              </w:rPr>
            </w:pPr>
            <w:r>
              <w:rPr>
                <w:rFonts w:ascii="Arial" w:cs="Arial" w:eastAsia="Arial" w:hAnsi="Arial"/>
                <w:sz w:val="12"/>
                <w:szCs w:val="12"/>
                <w:b w:val="1"/>
                <w:bCs w:val="1"/>
                <w:color w:val="auto"/>
              </w:rPr>
              <w:t>Max</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line="105" w:lineRule="exact"/>
              <w:rPr>
                <w:sz w:val="20"/>
                <w:szCs w:val="20"/>
                <w:color w:val="auto"/>
              </w:rPr>
            </w:pPr>
            <w:r>
              <w:rPr>
                <w:rFonts w:ascii="Arial" w:cs="Arial" w:eastAsia="Arial" w:hAnsi="Arial"/>
                <w:sz w:val="12"/>
                <w:szCs w:val="12"/>
                <w:b w:val="1"/>
                <w:bCs w:val="1"/>
                <w:color w:val="auto"/>
              </w:rPr>
              <w:t>Min</w:t>
            </w:r>
          </w:p>
        </w:tc>
        <w:tc>
          <w:tcPr>
            <w:tcW w:w="520" w:type="dxa"/>
            <w:vAlign w:val="bottom"/>
            <w:tcBorders>
              <w:top w:val="single" w:sz="8" w:color="auto"/>
            </w:tcBorders>
          </w:tcPr>
          <w:p>
            <w:pPr>
              <w:ind w:left="60"/>
              <w:spacing w:after="0" w:line="105" w:lineRule="exact"/>
              <w:rPr>
                <w:sz w:val="20"/>
                <w:szCs w:val="20"/>
                <w:color w:val="auto"/>
              </w:rPr>
            </w:pPr>
            <w:r>
              <w:rPr>
                <w:rFonts w:ascii="Arial" w:cs="Arial" w:eastAsia="Arial" w:hAnsi="Arial"/>
                <w:sz w:val="12"/>
                <w:szCs w:val="12"/>
                <w:b w:val="1"/>
                <w:bCs w:val="1"/>
                <w:color w:val="auto"/>
              </w:rPr>
              <w:t>Max</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top w:val="single" w:sz="8" w:color="auto"/>
            </w:tcBorders>
          </w:tcPr>
          <w:p>
            <w:pPr>
              <w:jc w:val="right"/>
              <w:ind w:right="261"/>
              <w:spacing w:after="0" w:line="105" w:lineRule="exact"/>
              <w:rPr>
                <w:sz w:val="20"/>
                <w:szCs w:val="20"/>
                <w:color w:val="auto"/>
              </w:rPr>
            </w:pPr>
            <w:r>
              <w:rPr>
                <w:rFonts w:ascii="Arial" w:cs="Arial" w:eastAsia="Arial" w:hAnsi="Arial"/>
                <w:sz w:val="12"/>
                <w:szCs w:val="12"/>
                <w:b w:val="1"/>
                <w:bCs w:val="1"/>
                <w:color w:val="auto"/>
                <w:w w:val="96"/>
              </w:rPr>
              <w:t>Min</w:t>
            </w:r>
          </w:p>
        </w:tc>
        <w:tc>
          <w:tcPr>
            <w:tcW w:w="560" w:type="dxa"/>
            <w:vAlign w:val="bottom"/>
            <w:tcBorders>
              <w:top w:val="single" w:sz="8" w:color="auto"/>
            </w:tcBorders>
          </w:tcPr>
          <w:p>
            <w:pPr>
              <w:ind w:left="120"/>
              <w:spacing w:after="0" w:line="105" w:lineRule="exact"/>
              <w:rPr>
                <w:sz w:val="20"/>
                <w:szCs w:val="20"/>
                <w:color w:val="auto"/>
              </w:rPr>
            </w:pPr>
            <w:r>
              <w:rPr>
                <w:rFonts w:ascii="Arial" w:cs="Arial" w:eastAsia="Arial" w:hAnsi="Arial"/>
                <w:sz w:val="12"/>
                <w:szCs w:val="12"/>
                <w:b w:val="1"/>
                <w:bCs w:val="1"/>
                <w:color w:val="auto"/>
              </w:rPr>
              <w:t>Max</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line="105" w:lineRule="exact"/>
              <w:rPr>
                <w:sz w:val="20"/>
                <w:szCs w:val="20"/>
                <w:color w:val="auto"/>
              </w:rPr>
            </w:pPr>
            <w:r>
              <w:rPr>
                <w:rFonts w:ascii="Arial" w:cs="Arial" w:eastAsia="Arial" w:hAnsi="Arial"/>
                <w:sz w:val="12"/>
                <w:szCs w:val="12"/>
                <w:b w:val="1"/>
                <w:bCs w:val="1"/>
                <w:color w:val="auto"/>
              </w:rPr>
              <w:t>Min</w:t>
            </w:r>
          </w:p>
        </w:tc>
        <w:tc>
          <w:tcPr>
            <w:tcW w:w="560" w:type="dxa"/>
            <w:vAlign w:val="bottom"/>
            <w:tcBorders>
              <w:top w:val="single" w:sz="8" w:color="auto"/>
            </w:tcBorders>
          </w:tcPr>
          <w:p>
            <w:pPr>
              <w:ind w:left="100"/>
              <w:spacing w:after="0" w:line="105" w:lineRule="exact"/>
              <w:rPr>
                <w:sz w:val="20"/>
                <w:szCs w:val="20"/>
                <w:color w:val="auto"/>
              </w:rPr>
            </w:pPr>
            <w:r>
              <w:rPr>
                <w:rFonts w:ascii="Arial" w:cs="Arial" w:eastAsia="Arial" w:hAnsi="Arial"/>
                <w:sz w:val="12"/>
                <w:szCs w:val="12"/>
                <w:b w:val="1"/>
                <w:bCs w:val="1"/>
                <w:color w:val="auto"/>
              </w:rPr>
              <w:t>Max</w:t>
            </w:r>
          </w:p>
        </w:tc>
        <w:tc>
          <w:tcPr>
            <w:tcW w:w="220" w:type="dxa"/>
            <w:vAlign w:val="bottom"/>
          </w:tcPr>
          <w:p>
            <w:pPr>
              <w:spacing w:after="0"/>
              <w:rPr>
                <w:sz w:val="9"/>
                <w:szCs w:val="9"/>
                <w:color w:val="auto"/>
              </w:rPr>
            </w:pPr>
          </w:p>
        </w:tc>
        <w:tc>
          <w:tcPr>
            <w:tcW w:w="600" w:type="dxa"/>
            <w:vAlign w:val="bottom"/>
            <w:tcBorders>
              <w:top w:val="single" w:sz="8" w:color="auto"/>
            </w:tcBorders>
          </w:tcPr>
          <w:p>
            <w:pPr>
              <w:spacing w:after="0" w:line="105" w:lineRule="exact"/>
              <w:rPr>
                <w:sz w:val="20"/>
                <w:szCs w:val="20"/>
                <w:color w:val="auto"/>
              </w:rPr>
            </w:pPr>
            <w:r>
              <w:rPr>
                <w:rFonts w:ascii="Arial" w:cs="Arial" w:eastAsia="Arial" w:hAnsi="Arial"/>
                <w:sz w:val="12"/>
                <w:szCs w:val="12"/>
                <w:b w:val="1"/>
                <w:bCs w:val="1"/>
                <w:color w:val="auto"/>
              </w:rPr>
              <w:t>Min</w:t>
            </w:r>
          </w:p>
        </w:tc>
        <w:tc>
          <w:tcPr>
            <w:tcW w:w="500" w:type="dxa"/>
            <w:vAlign w:val="bottom"/>
            <w:tcBorders>
              <w:top w:val="single" w:sz="8" w:color="auto"/>
            </w:tcBorders>
          </w:tcPr>
          <w:p>
            <w:pPr>
              <w:ind w:left="60"/>
              <w:spacing w:after="0" w:line="105" w:lineRule="exact"/>
              <w:rPr>
                <w:sz w:val="20"/>
                <w:szCs w:val="20"/>
                <w:color w:val="auto"/>
              </w:rPr>
            </w:pPr>
            <w:r>
              <w:rPr>
                <w:rFonts w:ascii="Arial" w:cs="Arial" w:eastAsia="Arial" w:hAnsi="Arial"/>
                <w:sz w:val="12"/>
                <w:szCs w:val="12"/>
                <w:b w:val="1"/>
                <w:bCs w:val="1"/>
                <w:color w:val="auto"/>
              </w:rPr>
              <w:t>Max</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ind w:left="120"/>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2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ind w:left="12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ind w:left="10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1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Corporate, leasing</w:t>
            </w: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and</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right="120"/>
              <w:spacing w:after="0" w:line="133" w:lineRule="exact"/>
              <w:rPr>
                <w:sz w:val="20"/>
                <w:szCs w:val="20"/>
                <w:color w:val="auto"/>
              </w:rPr>
            </w:pPr>
            <w:r>
              <w:rPr>
                <w:rFonts w:ascii="Arial" w:cs="Arial" w:eastAsia="Arial" w:hAnsi="Arial"/>
                <w:sz w:val="13"/>
                <w:szCs w:val="13"/>
                <w:color w:val="auto"/>
                <w:w w:val="87"/>
              </w:rPr>
              <w:t>Jan-2017 / Feb-</w:t>
            </w:r>
          </w:p>
        </w:tc>
        <w:tc>
          <w:tcPr>
            <w:tcW w:w="92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7"/>
              </w:rPr>
              <w:t>Jan-2016 / Feb-</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w w:val="99"/>
              </w:rPr>
              <w:t>Subordinated bonds</w:t>
            </w:r>
          </w:p>
        </w:tc>
        <w:tc>
          <w:tcPr>
            <w:tcW w:w="98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w w:val="89"/>
              </w:rPr>
              <w:t>2065</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2065</w:t>
            </w:r>
          </w:p>
        </w:tc>
        <w:tc>
          <w:tcPr>
            <w:tcW w:w="720" w:type="dxa"/>
            <w:vAlign w:val="bottom"/>
            <w:gridSpan w:val="3"/>
            <w:shd w:val="clear" w:color="auto" w:fill="CCEEFF"/>
          </w:tcPr>
          <w:p>
            <w:pPr>
              <w:jc w:val="right"/>
              <w:ind w:right="61"/>
              <w:spacing w:after="0"/>
              <w:rPr>
                <w:sz w:val="20"/>
                <w:szCs w:val="20"/>
                <w:color w:val="auto"/>
              </w:rPr>
            </w:pPr>
            <w:r>
              <w:rPr>
                <w:rFonts w:ascii="Arial" w:cs="Arial" w:eastAsia="Arial" w:hAnsi="Arial"/>
                <w:sz w:val="13"/>
                <w:szCs w:val="13"/>
                <w:color w:val="auto"/>
              </w:rPr>
              <w:t>2.88</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10.21</w:t>
            </w:r>
          </w:p>
        </w:tc>
        <w:tc>
          <w:tcPr>
            <w:tcW w:w="5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0.16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13.46</w:t>
            </w:r>
          </w:p>
        </w:tc>
        <w:tc>
          <w:tcPr>
            <w:tcW w:w="74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0.14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9.06</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3.56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12.04</w:t>
            </w:r>
          </w:p>
        </w:tc>
        <w:tc>
          <w:tcPr>
            <w:tcW w:w="660" w:type="dxa"/>
            <w:vAlign w:val="bottom"/>
            <w:gridSpan w:val="2"/>
            <w:shd w:val="clear" w:color="auto" w:fill="CCEEFF"/>
          </w:tcPr>
          <w:p>
            <w:pPr>
              <w:jc w:val="right"/>
              <w:ind w:right="61"/>
              <w:spacing w:after="0"/>
              <w:rPr>
                <w:sz w:val="20"/>
                <w:szCs w:val="20"/>
                <w:color w:val="auto"/>
              </w:rPr>
            </w:pPr>
            <w:r>
              <w:rPr>
                <w:rFonts w:ascii="Arial" w:cs="Arial" w:eastAsia="Arial" w:hAnsi="Arial"/>
                <w:sz w:val="13"/>
                <w:szCs w:val="13"/>
                <w:color w:val="auto"/>
              </w:rPr>
              <w:t>0.09</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12.00</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1.05</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9.97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80" w:type="dxa"/>
            <w:vAlign w:val="bottom"/>
          </w:tcPr>
          <w:p>
            <w:pPr>
              <w:spacing w:after="0" w:line="117" w:lineRule="exact"/>
              <w:rPr>
                <w:sz w:val="20"/>
                <w:szCs w:val="20"/>
                <w:color w:val="auto"/>
              </w:rPr>
            </w:pPr>
            <w:r>
              <w:rPr>
                <w:rFonts w:ascii="Arial" w:cs="Arial" w:eastAsia="Arial" w:hAnsi="Arial"/>
                <w:sz w:val="13"/>
                <w:szCs w:val="13"/>
                <w:color w:val="auto"/>
                <w:w w:val="92"/>
              </w:rPr>
              <w:t>Certificates of deposit</w:t>
            </w:r>
          </w:p>
        </w:tc>
        <w:tc>
          <w:tcPr>
            <w:tcW w:w="60" w:type="dxa"/>
            <w:vAlign w:val="bottom"/>
          </w:tcPr>
          <w:p>
            <w:pPr>
              <w:spacing w:after="0"/>
              <w:rPr>
                <w:sz w:val="10"/>
                <w:szCs w:val="10"/>
                <w:color w:val="auto"/>
              </w:rPr>
            </w:pPr>
          </w:p>
        </w:tc>
        <w:tc>
          <w:tcPr>
            <w:tcW w:w="1040" w:type="dxa"/>
            <w:vAlign w:val="bottom"/>
            <w:gridSpan w:val="2"/>
          </w:tcPr>
          <w:p>
            <w:pPr>
              <w:jc w:val="center"/>
              <w:ind w:right="100"/>
              <w:spacing w:after="0" w:line="117" w:lineRule="exact"/>
              <w:rPr>
                <w:sz w:val="20"/>
                <w:szCs w:val="20"/>
                <w:color w:val="auto"/>
              </w:rPr>
            </w:pPr>
            <w:r>
              <w:rPr>
                <w:rFonts w:ascii="Arial" w:cs="Arial" w:eastAsia="Arial" w:hAnsi="Arial"/>
                <w:sz w:val="13"/>
                <w:szCs w:val="13"/>
                <w:color w:val="auto"/>
                <w:w w:val="91"/>
              </w:rPr>
              <w:t>Jan-2017 / May-</w:t>
            </w:r>
          </w:p>
        </w:tc>
        <w:tc>
          <w:tcPr>
            <w:tcW w:w="920" w:type="dxa"/>
            <w:vAlign w:val="bottom"/>
          </w:tcPr>
          <w:p>
            <w:pPr>
              <w:jc w:val="center"/>
              <w:spacing w:after="0" w:line="117" w:lineRule="exact"/>
              <w:rPr>
                <w:sz w:val="20"/>
                <w:szCs w:val="20"/>
                <w:color w:val="auto"/>
              </w:rPr>
            </w:pPr>
            <w:r>
              <w:rPr>
                <w:rFonts w:ascii="Arial" w:cs="Arial" w:eastAsia="Arial" w:hAnsi="Arial"/>
                <w:sz w:val="13"/>
                <w:szCs w:val="13"/>
                <w:color w:val="auto"/>
                <w:w w:val="88"/>
              </w:rPr>
              <w:t>Jan-2016 / Jun-</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2"/>
          </w:tcPr>
          <w:p>
            <w:pPr>
              <w:spacing w:after="0"/>
              <w:rPr>
                <w:sz w:val="20"/>
                <w:szCs w:val="20"/>
                <w:color w:val="auto"/>
              </w:rPr>
            </w:pPr>
            <w:r>
              <w:rPr>
                <w:rFonts w:ascii="Arial" w:cs="Arial" w:eastAsia="Arial" w:hAnsi="Arial"/>
                <w:sz w:val="13"/>
                <w:szCs w:val="13"/>
                <w:color w:val="auto"/>
              </w:rPr>
              <w:t>BCRP</w:t>
            </w:r>
          </w:p>
        </w:tc>
        <w:tc>
          <w:tcPr>
            <w:tcW w:w="980" w:type="dxa"/>
            <w:vAlign w:val="bottom"/>
            <w:gridSpan w:val="2"/>
          </w:tcPr>
          <w:p>
            <w:pPr>
              <w:jc w:val="center"/>
              <w:ind w:left="16"/>
              <w:spacing w:after="0"/>
              <w:rPr>
                <w:sz w:val="20"/>
                <w:szCs w:val="20"/>
                <w:color w:val="auto"/>
              </w:rPr>
            </w:pPr>
            <w:r>
              <w:rPr>
                <w:rFonts w:ascii="Arial" w:cs="Arial" w:eastAsia="Arial" w:hAnsi="Arial"/>
                <w:sz w:val="13"/>
                <w:szCs w:val="13"/>
                <w:color w:val="auto"/>
                <w:w w:val="89"/>
              </w:rPr>
              <w:t>2018</w:t>
            </w: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9"/>
              </w:rPr>
              <w:t>2017</w:t>
            </w:r>
          </w:p>
        </w:tc>
        <w:tc>
          <w:tcPr>
            <w:tcW w:w="720" w:type="dxa"/>
            <w:vAlign w:val="bottom"/>
            <w:gridSpan w:val="3"/>
          </w:tcPr>
          <w:p>
            <w:pPr>
              <w:jc w:val="right"/>
              <w:ind w:right="61"/>
              <w:spacing w:after="0"/>
              <w:rPr>
                <w:sz w:val="20"/>
                <w:szCs w:val="20"/>
                <w:color w:val="auto"/>
              </w:rPr>
            </w:pPr>
            <w:r>
              <w:rPr>
                <w:rFonts w:ascii="Arial" w:cs="Arial" w:eastAsia="Arial" w:hAnsi="Arial"/>
                <w:sz w:val="13"/>
                <w:szCs w:val="13"/>
                <w:color w:val="auto"/>
              </w:rPr>
              <w:t>4.27</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4.55</w:t>
            </w:r>
          </w:p>
        </w:tc>
        <w:tc>
          <w:tcPr>
            <w:tcW w:w="5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1"/>
              <w:spacing w:after="0"/>
              <w:rPr>
                <w:sz w:val="20"/>
                <w:szCs w:val="20"/>
                <w:color w:val="auto"/>
              </w:rPr>
            </w:pPr>
            <w:r>
              <w:rPr>
                <w:rFonts w:ascii="Arial" w:cs="Arial" w:eastAsia="Arial" w:hAnsi="Arial"/>
                <w:sz w:val="13"/>
                <w:szCs w:val="13"/>
                <w:color w:val="auto"/>
              </w:rPr>
              <w:t>3.14</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4.85</w:t>
            </w:r>
          </w:p>
        </w:tc>
        <w:tc>
          <w:tcPr>
            <w:tcW w:w="660" w:type="dxa"/>
            <w:vAlign w:val="bottom"/>
            <w:gridSpan w:val="2"/>
          </w:tcPr>
          <w:p>
            <w:pPr>
              <w:jc w:val="right"/>
              <w:ind w:right="61"/>
              <w:spacing w:after="0"/>
              <w:rPr>
                <w:sz w:val="20"/>
                <w:szCs w:val="20"/>
                <w:color w:val="auto"/>
              </w:rPr>
            </w:pPr>
            <w:r>
              <w:rPr>
                <w:rFonts w:ascii="Arial" w:cs="Arial" w:eastAsia="Arial" w:hAnsi="Arial"/>
                <w:sz w:val="13"/>
                <w:szCs w:val="13"/>
                <w:color w:val="auto"/>
              </w:rPr>
              <w:t>0.27</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0.32</w:t>
            </w: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1"/>
              </w:rPr>
              <w:t>Government Treasury</w:t>
            </w: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120"/>
              <w:spacing w:after="0" w:line="117" w:lineRule="exact"/>
              <w:rPr>
                <w:sz w:val="20"/>
                <w:szCs w:val="20"/>
                <w:color w:val="auto"/>
              </w:rPr>
            </w:pPr>
            <w:r>
              <w:rPr>
                <w:rFonts w:ascii="Arial" w:cs="Arial" w:eastAsia="Arial" w:hAnsi="Arial"/>
                <w:sz w:val="13"/>
                <w:szCs w:val="13"/>
                <w:color w:val="auto"/>
                <w:w w:val="87"/>
              </w:rPr>
              <w:t>Jan-2017 / Feb-</w:t>
            </w:r>
          </w:p>
        </w:tc>
        <w:tc>
          <w:tcPr>
            <w:tcW w:w="92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w w:val="87"/>
              </w:rPr>
              <w:t>Jan-2016 / Feb-</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bonds</w:t>
            </w:r>
          </w:p>
        </w:tc>
        <w:tc>
          <w:tcPr>
            <w:tcW w:w="98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w w:val="89"/>
              </w:rPr>
              <w:t>2055</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2055</w:t>
            </w:r>
          </w:p>
        </w:tc>
        <w:tc>
          <w:tcPr>
            <w:tcW w:w="720" w:type="dxa"/>
            <w:vAlign w:val="bottom"/>
            <w:gridSpan w:val="3"/>
            <w:shd w:val="clear" w:color="auto" w:fill="CCEEFF"/>
          </w:tcPr>
          <w:p>
            <w:pPr>
              <w:jc w:val="right"/>
              <w:ind w:right="61"/>
              <w:spacing w:after="0"/>
              <w:rPr>
                <w:sz w:val="20"/>
                <w:szCs w:val="20"/>
                <w:color w:val="auto"/>
              </w:rPr>
            </w:pPr>
            <w:r>
              <w:rPr>
                <w:rFonts w:ascii="Arial" w:cs="Arial" w:eastAsia="Arial" w:hAnsi="Arial"/>
                <w:sz w:val="13"/>
                <w:szCs w:val="13"/>
                <w:color w:val="auto"/>
              </w:rPr>
              <w:t>1.83</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7.13</w:t>
            </w:r>
          </w:p>
        </w:tc>
        <w:tc>
          <w:tcPr>
            <w:tcW w:w="5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0.33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7.10</w:t>
            </w:r>
          </w:p>
        </w:tc>
        <w:tc>
          <w:tcPr>
            <w:tcW w:w="74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1.61</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7.85</w:t>
            </w:r>
          </w:p>
        </w:tc>
        <w:tc>
          <w:tcPr>
            <w:tcW w:w="660" w:type="dxa"/>
            <w:vAlign w:val="bottom"/>
            <w:gridSpan w:val="2"/>
            <w:shd w:val="clear" w:color="auto" w:fill="CCEEFF"/>
          </w:tcPr>
          <w:p>
            <w:pPr>
              <w:jc w:val="right"/>
              <w:ind w:right="61"/>
              <w:spacing w:after="0"/>
              <w:rPr>
                <w:sz w:val="20"/>
                <w:szCs w:val="20"/>
                <w:color w:val="auto"/>
              </w:rPr>
            </w:pPr>
            <w:r>
              <w:rPr>
                <w:rFonts w:ascii="Arial" w:cs="Arial" w:eastAsia="Arial" w:hAnsi="Arial"/>
                <w:sz w:val="13"/>
                <w:szCs w:val="13"/>
                <w:color w:val="auto"/>
              </w:rPr>
              <w:t>0.12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7.61</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9.52</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10.11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tcPr>
          <w:p>
            <w:pPr>
              <w:jc w:val="center"/>
              <w:ind w:right="120"/>
              <w:spacing w:after="0" w:line="117" w:lineRule="exact"/>
              <w:rPr>
                <w:sz w:val="20"/>
                <w:szCs w:val="20"/>
                <w:color w:val="auto"/>
              </w:rPr>
            </w:pPr>
            <w:r>
              <w:rPr>
                <w:rFonts w:ascii="Arial" w:cs="Arial" w:eastAsia="Arial" w:hAnsi="Arial"/>
                <w:sz w:val="13"/>
                <w:szCs w:val="13"/>
                <w:color w:val="auto"/>
                <w:w w:val="86"/>
              </w:rPr>
              <w:t>Jan-2018 / Sep-</w:t>
            </w:r>
          </w:p>
        </w:tc>
        <w:tc>
          <w:tcPr>
            <w:tcW w:w="920" w:type="dxa"/>
            <w:vAlign w:val="bottom"/>
          </w:tcPr>
          <w:p>
            <w:pPr>
              <w:jc w:val="center"/>
              <w:spacing w:after="0" w:line="117" w:lineRule="exact"/>
              <w:rPr>
                <w:sz w:val="20"/>
                <w:szCs w:val="20"/>
                <w:color w:val="auto"/>
              </w:rPr>
            </w:pPr>
            <w:r>
              <w:rPr>
                <w:rFonts w:ascii="Arial" w:cs="Arial" w:eastAsia="Arial" w:hAnsi="Arial"/>
                <w:sz w:val="13"/>
                <w:szCs w:val="13"/>
                <w:color w:val="auto"/>
                <w:w w:val="88"/>
              </w:rPr>
              <w:t>Jun-2018 / Sep-</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2"/>
          </w:tcPr>
          <w:p>
            <w:pPr>
              <w:spacing w:after="0"/>
              <w:rPr>
                <w:sz w:val="20"/>
                <w:szCs w:val="20"/>
                <w:color w:val="auto"/>
              </w:rPr>
            </w:pPr>
            <w:r>
              <w:rPr>
                <w:rFonts w:ascii="Arial" w:cs="Arial" w:eastAsia="Arial" w:hAnsi="Arial"/>
                <w:sz w:val="13"/>
                <w:szCs w:val="13"/>
                <w:color w:val="auto"/>
              </w:rPr>
              <w:t>Securitization bonds</w:t>
            </w:r>
          </w:p>
        </w:tc>
        <w:tc>
          <w:tcPr>
            <w:tcW w:w="980" w:type="dxa"/>
            <w:vAlign w:val="bottom"/>
            <w:gridSpan w:val="2"/>
          </w:tcPr>
          <w:p>
            <w:pPr>
              <w:jc w:val="center"/>
              <w:ind w:left="16"/>
              <w:spacing w:after="0"/>
              <w:rPr>
                <w:sz w:val="20"/>
                <w:szCs w:val="20"/>
                <w:color w:val="auto"/>
              </w:rPr>
            </w:pPr>
            <w:r>
              <w:rPr>
                <w:rFonts w:ascii="Arial" w:cs="Arial" w:eastAsia="Arial" w:hAnsi="Arial"/>
                <w:sz w:val="13"/>
                <w:szCs w:val="13"/>
                <w:color w:val="auto"/>
                <w:w w:val="89"/>
              </w:rPr>
              <w:t>2045</w:t>
            </w: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9"/>
              </w:rPr>
              <w:t>2045</w:t>
            </w:r>
          </w:p>
        </w:tc>
        <w:tc>
          <w:tcPr>
            <w:tcW w:w="720" w:type="dxa"/>
            <w:vAlign w:val="bottom"/>
            <w:gridSpan w:val="3"/>
          </w:tcPr>
          <w:p>
            <w:pPr>
              <w:jc w:val="right"/>
              <w:ind w:right="61"/>
              <w:spacing w:after="0"/>
              <w:rPr>
                <w:sz w:val="20"/>
                <w:szCs w:val="20"/>
                <w:color w:val="auto"/>
              </w:rPr>
            </w:pPr>
            <w:r>
              <w:rPr>
                <w:rFonts w:ascii="Arial" w:cs="Arial" w:eastAsia="Arial" w:hAnsi="Arial"/>
                <w:sz w:val="13"/>
                <w:szCs w:val="13"/>
                <w:color w:val="auto"/>
              </w:rPr>
              <w:t>4.75</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9.30</w:t>
            </w:r>
          </w:p>
        </w:tc>
        <w:tc>
          <w:tcPr>
            <w:tcW w:w="580" w:type="dxa"/>
            <w:vAlign w:val="bottom"/>
          </w:tcPr>
          <w:p>
            <w:pPr>
              <w:jc w:val="right"/>
              <w:ind w:right="56"/>
              <w:spacing w:after="0"/>
              <w:rPr>
                <w:sz w:val="20"/>
                <w:szCs w:val="20"/>
                <w:color w:val="auto"/>
              </w:rPr>
            </w:pPr>
            <w:r>
              <w:rPr>
                <w:rFonts w:ascii="Arial" w:cs="Arial" w:eastAsia="Arial" w:hAnsi="Arial"/>
                <w:sz w:val="13"/>
                <w:szCs w:val="13"/>
                <w:color w:val="auto"/>
              </w:rPr>
              <w:t>3.27</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9.76</w:t>
            </w:r>
          </w:p>
        </w:tc>
        <w:tc>
          <w:tcPr>
            <w:tcW w:w="740" w:type="dxa"/>
            <w:vAlign w:val="bottom"/>
            <w:gridSpan w:val="2"/>
          </w:tcPr>
          <w:p>
            <w:pPr>
              <w:jc w:val="right"/>
              <w:ind w:right="101"/>
              <w:spacing w:after="0"/>
              <w:rPr>
                <w:sz w:val="20"/>
                <w:szCs w:val="20"/>
                <w:color w:val="auto"/>
              </w:rPr>
            </w:pPr>
            <w:r>
              <w:rPr>
                <w:rFonts w:ascii="Arial" w:cs="Arial" w:eastAsia="Arial" w:hAnsi="Arial"/>
                <w:sz w:val="13"/>
                <w:szCs w:val="13"/>
                <w:color w:val="auto"/>
              </w:rPr>
              <w:t>0.50</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8.44</w:t>
            </w:r>
          </w:p>
        </w:tc>
        <w:tc>
          <w:tcPr>
            <w:tcW w:w="660" w:type="dxa"/>
            <w:vAlign w:val="bottom"/>
            <w:gridSpan w:val="2"/>
          </w:tcPr>
          <w:p>
            <w:pPr>
              <w:jc w:val="right"/>
              <w:ind w:right="41"/>
              <w:spacing w:after="0"/>
              <w:rPr>
                <w:sz w:val="20"/>
                <w:szCs w:val="20"/>
                <w:color w:val="auto"/>
              </w:rPr>
            </w:pPr>
            <w:r>
              <w:rPr>
                <w:rFonts w:ascii="Arial" w:cs="Arial" w:eastAsia="Arial" w:hAnsi="Arial"/>
                <w:sz w:val="13"/>
                <w:szCs w:val="13"/>
                <w:color w:val="auto"/>
              </w:rPr>
              <w:t>5.75</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9.91</w:t>
            </w:r>
          </w:p>
        </w:tc>
        <w:tc>
          <w:tcPr>
            <w:tcW w:w="660" w:type="dxa"/>
            <w:vAlign w:val="bottom"/>
            <w:gridSpan w:val="2"/>
          </w:tcPr>
          <w:p>
            <w:pPr>
              <w:jc w:val="right"/>
              <w:ind w:right="61"/>
              <w:spacing w:after="0"/>
              <w:rPr>
                <w:sz w:val="20"/>
                <w:szCs w:val="20"/>
                <w:color w:val="auto"/>
              </w:rPr>
            </w:pPr>
            <w:r>
              <w:rPr>
                <w:rFonts w:ascii="Arial" w:cs="Arial" w:eastAsia="Arial" w:hAnsi="Arial"/>
                <w:sz w:val="13"/>
                <w:szCs w:val="13"/>
                <w:color w:val="auto"/>
              </w:rPr>
              <w:t>3.40</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10.29</w:t>
            </w: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3.00</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8.44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Certificates of</w:t>
            </w: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deposits Banco</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right="120"/>
              <w:spacing w:after="0" w:line="133" w:lineRule="exact"/>
              <w:rPr>
                <w:sz w:val="20"/>
                <w:szCs w:val="20"/>
                <w:color w:val="auto"/>
              </w:rPr>
            </w:pPr>
            <w:r>
              <w:rPr>
                <w:rFonts w:ascii="Arial" w:cs="Arial" w:eastAsia="Arial" w:hAnsi="Arial"/>
                <w:sz w:val="13"/>
                <w:szCs w:val="13"/>
                <w:color w:val="auto"/>
                <w:w w:val="91"/>
              </w:rPr>
              <w:t>Mar-2017 / Jun-</w:t>
            </w:r>
          </w:p>
        </w:tc>
        <w:tc>
          <w:tcPr>
            <w:tcW w:w="92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0"/>
              </w:rPr>
              <w:t>Jan-2016 / Aug-</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Central de Bolivia</w:t>
            </w:r>
          </w:p>
        </w:tc>
        <w:tc>
          <w:tcPr>
            <w:tcW w:w="98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w w:val="89"/>
              </w:rPr>
              <w:t>2017</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2016</w:t>
            </w:r>
          </w:p>
        </w:tc>
        <w:tc>
          <w:tcPr>
            <w:tcW w:w="720" w:type="dxa"/>
            <w:vAlign w:val="bottom"/>
            <w:gridSpan w:val="3"/>
            <w:shd w:val="clear" w:color="auto" w:fill="CCEEFF"/>
          </w:tcPr>
          <w:p>
            <w:pPr>
              <w:jc w:val="right"/>
              <w:ind w:right="61"/>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0.10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0.30</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1"/>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0.50</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80" w:type="dxa"/>
            <w:vAlign w:val="bottom"/>
          </w:tcPr>
          <w:p>
            <w:pPr>
              <w:spacing w:after="0" w:line="117" w:lineRule="exact"/>
              <w:rPr>
                <w:sz w:val="20"/>
                <w:szCs w:val="20"/>
                <w:color w:val="auto"/>
              </w:rPr>
            </w:pPr>
            <w:r>
              <w:rPr>
                <w:rFonts w:ascii="Arial" w:cs="Arial" w:eastAsia="Arial" w:hAnsi="Arial"/>
                <w:sz w:val="13"/>
                <w:szCs w:val="13"/>
                <w:color w:val="auto"/>
                <w:w w:val="93"/>
              </w:rPr>
              <w:t>Trading certificates of</w:t>
            </w:r>
          </w:p>
        </w:tc>
        <w:tc>
          <w:tcPr>
            <w:tcW w:w="60" w:type="dxa"/>
            <w:vAlign w:val="bottom"/>
          </w:tcPr>
          <w:p>
            <w:pPr>
              <w:spacing w:after="0"/>
              <w:rPr>
                <w:sz w:val="10"/>
                <w:szCs w:val="10"/>
                <w:color w:val="auto"/>
              </w:rPr>
            </w:pPr>
          </w:p>
        </w:tc>
        <w:tc>
          <w:tcPr>
            <w:tcW w:w="1040" w:type="dxa"/>
            <w:vAlign w:val="bottom"/>
            <w:gridSpan w:val="2"/>
          </w:tcPr>
          <w:p>
            <w:pPr>
              <w:jc w:val="center"/>
              <w:ind w:right="120"/>
              <w:spacing w:after="0" w:line="117" w:lineRule="exact"/>
              <w:rPr>
                <w:sz w:val="20"/>
                <w:szCs w:val="20"/>
                <w:color w:val="auto"/>
              </w:rPr>
            </w:pPr>
            <w:r>
              <w:rPr>
                <w:rFonts w:ascii="Arial" w:cs="Arial" w:eastAsia="Arial" w:hAnsi="Arial"/>
                <w:sz w:val="13"/>
                <w:szCs w:val="13"/>
                <w:color w:val="auto"/>
                <w:w w:val="87"/>
              </w:rPr>
              <w:t>Jan-2017 / Feb-</w:t>
            </w:r>
          </w:p>
        </w:tc>
        <w:tc>
          <w:tcPr>
            <w:tcW w:w="920" w:type="dxa"/>
            <w:vAlign w:val="bottom"/>
          </w:tcPr>
          <w:p>
            <w:pPr>
              <w:jc w:val="center"/>
              <w:spacing w:after="0" w:line="117" w:lineRule="exact"/>
              <w:rPr>
                <w:sz w:val="20"/>
                <w:szCs w:val="20"/>
                <w:color w:val="auto"/>
              </w:rPr>
            </w:pPr>
            <w:r>
              <w:rPr>
                <w:rFonts w:ascii="Arial" w:cs="Arial" w:eastAsia="Arial" w:hAnsi="Arial"/>
                <w:sz w:val="13"/>
                <w:szCs w:val="13"/>
                <w:color w:val="auto"/>
                <w:w w:val="87"/>
              </w:rPr>
              <w:t>Jan-2016 / Feb-</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2"/>
          </w:tcPr>
          <w:p>
            <w:pPr>
              <w:spacing w:after="0"/>
              <w:rPr>
                <w:sz w:val="20"/>
                <w:szCs w:val="20"/>
                <w:color w:val="auto"/>
              </w:rPr>
            </w:pPr>
            <w:r>
              <w:rPr>
                <w:rFonts w:ascii="Arial" w:cs="Arial" w:eastAsia="Arial" w:hAnsi="Arial"/>
                <w:sz w:val="13"/>
                <w:szCs w:val="13"/>
                <w:color w:val="auto"/>
              </w:rPr>
              <w:t>deposits</w:t>
            </w:r>
          </w:p>
        </w:tc>
        <w:tc>
          <w:tcPr>
            <w:tcW w:w="980" w:type="dxa"/>
            <w:vAlign w:val="bottom"/>
            <w:gridSpan w:val="2"/>
          </w:tcPr>
          <w:p>
            <w:pPr>
              <w:jc w:val="center"/>
              <w:ind w:left="16"/>
              <w:spacing w:after="0"/>
              <w:rPr>
                <w:sz w:val="20"/>
                <w:szCs w:val="20"/>
                <w:color w:val="auto"/>
              </w:rPr>
            </w:pPr>
            <w:r>
              <w:rPr>
                <w:rFonts w:ascii="Arial" w:cs="Arial" w:eastAsia="Arial" w:hAnsi="Arial"/>
                <w:sz w:val="13"/>
                <w:szCs w:val="13"/>
                <w:color w:val="auto"/>
                <w:w w:val="89"/>
              </w:rPr>
              <w:t>2026</w:t>
            </w: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9"/>
              </w:rPr>
              <w:t>2026</w:t>
            </w:r>
          </w:p>
        </w:tc>
        <w:tc>
          <w:tcPr>
            <w:tcW w:w="720" w:type="dxa"/>
            <w:vAlign w:val="bottom"/>
            <w:gridSpan w:val="3"/>
          </w:tcPr>
          <w:p>
            <w:pPr>
              <w:jc w:val="right"/>
              <w:ind w:right="61"/>
              <w:spacing w:after="0"/>
              <w:rPr>
                <w:sz w:val="20"/>
                <w:szCs w:val="20"/>
                <w:color w:val="auto"/>
              </w:rPr>
            </w:pPr>
            <w:r>
              <w:rPr>
                <w:rFonts w:ascii="Arial" w:cs="Arial" w:eastAsia="Arial" w:hAnsi="Arial"/>
                <w:sz w:val="13"/>
                <w:szCs w:val="13"/>
                <w:color w:val="auto"/>
              </w:rPr>
              <w:t>2.10</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6.54</w:t>
            </w:r>
          </w:p>
        </w:tc>
        <w:tc>
          <w:tcPr>
            <w:tcW w:w="580" w:type="dxa"/>
            <w:vAlign w:val="bottom"/>
          </w:tcPr>
          <w:p>
            <w:pPr>
              <w:jc w:val="right"/>
              <w:ind w:right="56"/>
              <w:spacing w:after="0"/>
              <w:rPr>
                <w:sz w:val="20"/>
                <w:szCs w:val="20"/>
                <w:color w:val="auto"/>
              </w:rPr>
            </w:pPr>
            <w:r>
              <w:rPr>
                <w:rFonts w:ascii="Arial" w:cs="Arial" w:eastAsia="Arial" w:hAnsi="Arial"/>
                <w:sz w:val="13"/>
                <w:szCs w:val="13"/>
                <w:color w:val="auto"/>
              </w:rPr>
              <w:t>0.95</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1.98</w:t>
            </w:r>
          </w:p>
        </w:tc>
        <w:tc>
          <w:tcPr>
            <w:tcW w:w="740" w:type="dxa"/>
            <w:vAlign w:val="bottom"/>
            <w:gridSpan w:val="2"/>
          </w:tcPr>
          <w:p>
            <w:pPr>
              <w:jc w:val="right"/>
              <w:ind w:right="101"/>
              <w:spacing w:after="0"/>
              <w:rPr>
                <w:sz w:val="20"/>
                <w:szCs w:val="20"/>
                <w:color w:val="auto"/>
              </w:rPr>
            </w:pPr>
            <w:r>
              <w:rPr>
                <w:rFonts w:ascii="Arial" w:cs="Arial" w:eastAsia="Arial" w:hAnsi="Arial"/>
                <w:sz w:val="13"/>
                <w:szCs w:val="13"/>
                <w:color w:val="auto"/>
              </w:rPr>
              <w:t>1.30</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6.25</w:t>
            </w:r>
          </w:p>
        </w:tc>
        <w:tc>
          <w:tcPr>
            <w:tcW w:w="660" w:type="dxa"/>
            <w:vAlign w:val="bottom"/>
            <w:gridSpan w:val="2"/>
          </w:tcPr>
          <w:p>
            <w:pPr>
              <w:jc w:val="right"/>
              <w:ind w:right="41"/>
              <w:spacing w:after="0"/>
              <w:rPr>
                <w:sz w:val="20"/>
                <w:szCs w:val="20"/>
                <w:color w:val="auto"/>
              </w:rPr>
            </w:pPr>
            <w:r>
              <w:rPr>
                <w:rFonts w:ascii="Arial" w:cs="Arial" w:eastAsia="Arial" w:hAnsi="Arial"/>
                <w:sz w:val="13"/>
                <w:szCs w:val="13"/>
                <w:color w:val="auto"/>
              </w:rPr>
              <w:t>1.06</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4.62</w:t>
            </w:r>
          </w:p>
        </w:tc>
        <w:tc>
          <w:tcPr>
            <w:tcW w:w="660" w:type="dxa"/>
            <w:vAlign w:val="bottom"/>
            <w:gridSpan w:val="2"/>
          </w:tcPr>
          <w:p>
            <w:pPr>
              <w:jc w:val="right"/>
              <w:ind w:right="61"/>
              <w:spacing w:after="0"/>
              <w:rPr>
                <w:sz w:val="20"/>
                <w:szCs w:val="20"/>
                <w:color w:val="auto"/>
              </w:rPr>
            </w:pPr>
            <w:r>
              <w:rPr>
                <w:rFonts w:ascii="Arial" w:cs="Arial" w:eastAsia="Arial" w:hAnsi="Arial"/>
                <w:sz w:val="13"/>
                <w:szCs w:val="13"/>
                <w:color w:val="auto"/>
              </w:rPr>
              <w:t>1.30</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1.62</w:t>
            </w: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0.20</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7.80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Multilateral</w:t>
            </w: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120"/>
              <w:spacing w:after="0" w:line="117" w:lineRule="exact"/>
              <w:rPr>
                <w:sz w:val="20"/>
                <w:szCs w:val="20"/>
                <w:color w:val="auto"/>
              </w:rPr>
            </w:pPr>
            <w:r>
              <w:rPr>
                <w:rFonts w:ascii="Arial" w:cs="Arial" w:eastAsia="Arial" w:hAnsi="Arial"/>
                <w:sz w:val="13"/>
                <w:szCs w:val="13"/>
                <w:color w:val="auto"/>
                <w:w w:val="87"/>
              </w:rPr>
              <w:t>Jan-2017 / Feb-</w:t>
            </w:r>
          </w:p>
        </w:tc>
        <w:tc>
          <w:tcPr>
            <w:tcW w:w="92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w w:val="89"/>
              </w:rPr>
              <w:t>Sep-2016 / Feb-</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organization bonds</w:t>
            </w:r>
          </w:p>
        </w:tc>
        <w:tc>
          <w:tcPr>
            <w:tcW w:w="98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w w:val="89"/>
              </w:rPr>
              <w:t>2044</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2044</w:t>
            </w:r>
          </w:p>
        </w:tc>
        <w:tc>
          <w:tcPr>
            <w:tcW w:w="720" w:type="dxa"/>
            <w:vAlign w:val="bottom"/>
            <w:gridSpan w:val="3"/>
            <w:shd w:val="clear" w:color="auto" w:fill="CCEEFF"/>
          </w:tcPr>
          <w:p>
            <w:pPr>
              <w:jc w:val="right"/>
              <w:ind w:right="61"/>
              <w:spacing w:after="0"/>
              <w:rPr>
                <w:sz w:val="20"/>
                <w:szCs w:val="20"/>
                <w:color w:val="auto"/>
              </w:rPr>
            </w:pPr>
            <w:r>
              <w:rPr>
                <w:rFonts w:ascii="Arial" w:cs="Arial" w:eastAsia="Arial" w:hAnsi="Arial"/>
                <w:sz w:val="13"/>
                <w:szCs w:val="13"/>
                <w:color w:val="auto"/>
              </w:rPr>
              <w:t>3.39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7.47</w:t>
            </w:r>
          </w:p>
        </w:tc>
        <w:tc>
          <w:tcPr>
            <w:tcW w:w="5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3.31</w:t>
            </w:r>
          </w:p>
        </w:tc>
        <w:tc>
          <w:tcPr>
            <w:tcW w:w="74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3.00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10.39</w:t>
            </w:r>
          </w:p>
        </w:tc>
        <w:tc>
          <w:tcPr>
            <w:tcW w:w="660" w:type="dxa"/>
            <w:vAlign w:val="bottom"/>
            <w:gridSpan w:val="2"/>
            <w:shd w:val="clear" w:color="auto" w:fill="CCEEFF"/>
          </w:tcPr>
          <w:p>
            <w:pPr>
              <w:jc w:val="right"/>
              <w:ind w:right="61"/>
              <w:spacing w:after="0"/>
              <w:rPr>
                <w:sz w:val="20"/>
                <w:szCs w:val="20"/>
                <w:color w:val="auto"/>
              </w:rPr>
            </w:pPr>
            <w:r>
              <w:rPr>
                <w:rFonts w:ascii="Arial" w:cs="Arial" w:eastAsia="Arial" w:hAnsi="Arial"/>
                <w:sz w:val="13"/>
                <w:szCs w:val="13"/>
                <w:color w:val="auto"/>
              </w:rPr>
              <w:t>1.62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2.79</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80" w:type="dxa"/>
            <w:vAlign w:val="bottom"/>
          </w:tcPr>
          <w:p>
            <w:pPr>
              <w:spacing w:after="0" w:line="117" w:lineRule="exact"/>
              <w:rPr>
                <w:sz w:val="20"/>
                <w:szCs w:val="20"/>
                <w:color w:val="auto"/>
              </w:rPr>
            </w:pPr>
            <w:r>
              <w:rPr>
                <w:rFonts w:ascii="Arial" w:cs="Arial" w:eastAsia="Arial" w:hAnsi="Arial"/>
                <w:sz w:val="13"/>
                <w:szCs w:val="13"/>
                <w:color w:val="auto"/>
              </w:rPr>
              <w:t>Collateralized</w:t>
            </w: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200" w:type="dxa"/>
            <w:vAlign w:val="bottom"/>
            <w:gridSpan w:val="2"/>
          </w:tcPr>
          <w:p>
            <w:pPr>
              <w:spacing w:after="0" w:line="133" w:lineRule="exact"/>
              <w:rPr>
                <w:sz w:val="20"/>
                <w:szCs w:val="20"/>
                <w:color w:val="auto"/>
              </w:rPr>
            </w:pPr>
            <w:r>
              <w:rPr>
                <w:rFonts w:ascii="Arial" w:cs="Arial" w:eastAsia="Arial" w:hAnsi="Arial"/>
                <w:sz w:val="13"/>
                <w:szCs w:val="13"/>
                <w:color w:val="auto"/>
                <w:w w:val="97"/>
              </w:rPr>
              <w:t>mortgage obligations</w:t>
            </w:r>
          </w:p>
        </w:tc>
        <w:tc>
          <w:tcPr>
            <w:tcW w:w="60" w:type="dxa"/>
            <w:vAlign w:val="bottom"/>
          </w:tcPr>
          <w:p>
            <w:pPr>
              <w:spacing w:after="0"/>
              <w:rPr>
                <w:sz w:val="11"/>
                <w:szCs w:val="11"/>
                <w:color w:val="auto"/>
              </w:rPr>
            </w:pPr>
          </w:p>
        </w:tc>
        <w:tc>
          <w:tcPr>
            <w:tcW w:w="1040" w:type="dxa"/>
            <w:vAlign w:val="bottom"/>
            <w:gridSpan w:val="2"/>
          </w:tcPr>
          <w:p>
            <w:pPr>
              <w:jc w:val="center"/>
              <w:ind w:right="120"/>
              <w:spacing w:after="0" w:line="133" w:lineRule="exact"/>
              <w:rPr>
                <w:sz w:val="20"/>
                <w:szCs w:val="20"/>
                <w:color w:val="auto"/>
              </w:rPr>
            </w:pPr>
            <w:r>
              <w:rPr>
                <w:rFonts w:ascii="Arial" w:cs="Arial" w:eastAsia="Arial" w:hAnsi="Arial"/>
                <w:sz w:val="13"/>
                <w:szCs w:val="13"/>
                <w:color w:val="auto"/>
                <w:w w:val="92"/>
              </w:rPr>
              <w:t>Aug-2020 / Dec-</w:t>
            </w:r>
          </w:p>
        </w:tc>
        <w:tc>
          <w:tcPr>
            <w:tcW w:w="920" w:type="dxa"/>
            <w:vAlign w:val="bottom"/>
          </w:tcPr>
          <w:p>
            <w:pPr>
              <w:jc w:val="center"/>
              <w:spacing w:after="0" w:line="133" w:lineRule="exact"/>
              <w:rPr>
                <w:sz w:val="20"/>
                <w:szCs w:val="20"/>
                <w:color w:val="auto"/>
              </w:rPr>
            </w:pPr>
            <w:r>
              <w:rPr>
                <w:rFonts w:ascii="Arial" w:cs="Arial" w:eastAsia="Arial" w:hAnsi="Arial"/>
                <w:sz w:val="13"/>
                <w:szCs w:val="13"/>
                <w:color w:val="auto"/>
                <w:w w:val="92"/>
              </w:rPr>
              <w:t>Aug-2020 / Dec-</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gridSpan w:val="2"/>
          </w:tcPr>
          <w:p>
            <w:pPr>
              <w:spacing w:after="0"/>
              <w:rPr>
                <w:sz w:val="20"/>
                <w:szCs w:val="20"/>
                <w:color w:val="auto"/>
              </w:rPr>
            </w:pPr>
            <w:r>
              <w:rPr>
                <w:rFonts w:ascii="Arial" w:cs="Arial" w:eastAsia="Arial" w:hAnsi="Arial"/>
                <w:sz w:val="13"/>
                <w:szCs w:val="13"/>
                <w:color w:val="auto"/>
              </w:rPr>
              <w:t>(CMO)</w:t>
            </w:r>
          </w:p>
        </w:tc>
        <w:tc>
          <w:tcPr>
            <w:tcW w:w="980" w:type="dxa"/>
            <w:vAlign w:val="bottom"/>
            <w:gridSpan w:val="2"/>
          </w:tcPr>
          <w:p>
            <w:pPr>
              <w:jc w:val="center"/>
              <w:ind w:left="16"/>
              <w:spacing w:after="0"/>
              <w:rPr>
                <w:sz w:val="20"/>
                <w:szCs w:val="20"/>
                <w:color w:val="auto"/>
              </w:rPr>
            </w:pPr>
            <w:r>
              <w:rPr>
                <w:rFonts w:ascii="Arial" w:cs="Arial" w:eastAsia="Arial" w:hAnsi="Arial"/>
                <w:sz w:val="13"/>
                <w:szCs w:val="13"/>
                <w:color w:val="auto"/>
                <w:w w:val="89"/>
              </w:rPr>
              <w:t>2036</w:t>
            </w: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9"/>
              </w:rPr>
              <w:t>2036</w:t>
            </w:r>
          </w:p>
        </w:tc>
        <w:tc>
          <w:tcPr>
            <w:tcW w:w="720" w:type="dxa"/>
            <w:vAlign w:val="bottom"/>
            <w:gridSpan w:val="3"/>
          </w:tcPr>
          <w:p>
            <w:pPr>
              <w:jc w:val="right"/>
              <w:ind w:right="61"/>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80" w:type="dxa"/>
            <w:vAlign w:val="bottom"/>
          </w:tcPr>
          <w:p>
            <w:pPr>
              <w:jc w:val="right"/>
              <w:ind w:right="56"/>
              <w:spacing w:after="0"/>
              <w:rPr>
                <w:sz w:val="20"/>
                <w:szCs w:val="20"/>
                <w:color w:val="auto"/>
              </w:rPr>
            </w:pPr>
            <w:r>
              <w:rPr>
                <w:rFonts w:ascii="Arial" w:cs="Arial" w:eastAsia="Arial" w:hAnsi="Arial"/>
                <w:sz w:val="13"/>
                <w:szCs w:val="13"/>
                <w:color w:val="auto"/>
              </w:rPr>
              <w:t>2.12</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9.79</w:t>
            </w:r>
          </w:p>
        </w:tc>
        <w:tc>
          <w:tcPr>
            <w:tcW w:w="74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1"/>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1"/>
              <w:spacing w:after="0"/>
              <w:rPr>
                <w:sz w:val="20"/>
                <w:szCs w:val="20"/>
                <w:color w:val="auto"/>
              </w:rPr>
            </w:pPr>
            <w:r>
              <w:rPr>
                <w:rFonts w:ascii="Arial" w:cs="Arial" w:eastAsia="Arial" w:hAnsi="Arial"/>
                <w:sz w:val="13"/>
                <w:szCs w:val="13"/>
                <w:color w:val="auto"/>
              </w:rPr>
              <w:t>2.24</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8.28</w:t>
            </w: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7"/>
              </w:rPr>
              <w:t>U.S. Federal agency</w:t>
            </w: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bonds</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Aug-2035</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Aug-2035</w:t>
            </w:r>
          </w:p>
        </w:tc>
        <w:tc>
          <w:tcPr>
            <w:tcW w:w="720" w:type="dxa"/>
            <w:vAlign w:val="bottom"/>
            <w:gridSpan w:val="3"/>
            <w:shd w:val="clear" w:color="auto" w:fill="CCEEFF"/>
          </w:tcPr>
          <w:p>
            <w:pPr>
              <w:jc w:val="right"/>
              <w:ind w:right="61"/>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1.47</w:t>
            </w:r>
          </w:p>
        </w:tc>
        <w:tc>
          <w:tcPr>
            <w:tcW w:w="74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1"/>
              <w:spacing w:after="0"/>
              <w:rPr>
                <w:sz w:val="20"/>
                <w:szCs w:val="20"/>
                <w:color w:val="auto"/>
              </w:rPr>
            </w:pPr>
            <w:r>
              <w:rPr>
                <w:rFonts w:ascii="Arial" w:cs="Arial" w:eastAsia="Arial" w:hAnsi="Arial"/>
                <w:sz w:val="13"/>
                <w:szCs w:val="13"/>
                <w:color w:val="auto"/>
              </w:rPr>
              <w:t>1.62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1.62</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80" w:type="dxa"/>
            <w:vAlign w:val="bottom"/>
          </w:tcPr>
          <w:p>
            <w:pPr>
              <w:spacing w:after="0" w:line="117" w:lineRule="exact"/>
              <w:rPr>
                <w:sz w:val="20"/>
                <w:szCs w:val="20"/>
                <w:color w:val="auto"/>
              </w:rPr>
            </w:pPr>
            <w:r>
              <w:rPr>
                <w:rFonts w:ascii="Arial" w:cs="Arial" w:eastAsia="Arial" w:hAnsi="Arial"/>
                <w:sz w:val="13"/>
                <w:szCs w:val="13"/>
                <w:color w:val="auto"/>
                <w:w w:val="91"/>
              </w:rPr>
              <w:t>Instruments issued by</w:t>
            </w: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200" w:type="dxa"/>
            <w:vAlign w:val="bottom"/>
            <w:gridSpan w:val="2"/>
          </w:tcPr>
          <w:p>
            <w:pPr>
              <w:spacing w:after="0" w:line="133" w:lineRule="exact"/>
              <w:rPr>
                <w:sz w:val="20"/>
                <w:szCs w:val="20"/>
                <w:color w:val="auto"/>
              </w:rPr>
            </w:pPr>
            <w:r>
              <w:rPr>
                <w:rFonts w:ascii="Arial" w:cs="Arial" w:eastAsia="Arial" w:hAnsi="Arial"/>
                <w:sz w:val="13"/>
                <w:szCs w:val="13"/>
                <w:color w:val="auto"/>
              </w:rPr>
              <w:t>Banco Central of</w:t>
            </w: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3"/>
                <w:szCs w:val="13"/>
                <w:color w:val="auto"/>
                <w:w w:val="90"/>
              </w:rPr>
              <w:t>Jul-2016 / Jul-</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200" w:type="dxa"/>
            <w:vAlign w:val="bottom"/>
            <w:gridSpan w:val="2"/>
          </w:tcPr>
          <w:p>
            <w:pPr>
              <w:spacing w:after="0"/>
              <w:rPr>
                <w:sz w:val="20"/>
                <w:szCs w:val="20"/>
                <w:color w:val="auto"/>
              </w:rPr>
            </w:pPr>
            <w:r>
              <w:rPr>
                <w:rFonts w:ascii="Arial" w:cs="Arial" w:eastAsia="Arial" w:hAnsi="Arial"/>
                <w:sz w:val="13"/>
                <w:szCs w:val="13"/>
                <w:color w:val="auto"/>
              </w:rPr>
              <w:t>other countries</w:t>
            </w:r>
          </w:p>
        </w:tc>
        <w:tc>
          <w:tcPr>
            <w:tcW w:w="980" w:type="dxa"/>
            <w:vAlign w:val="bottom"/>
            <w:gridSpan w:val="2"/>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9"/>
              </w:rPr>
              <w:t>2025</w:t>
            </w:r>
          </w:p>
        </w:tc>
        <w:tc>
          <w:tcPr>
            <w:tcW w:w="720" w:type="dxa"/>
            <w:vAlign w:val="bottom"/>
            <w:gridSpan w:val="3"/>
          </w:tcPr>
          <w:p>
            <w:pPr>
              <w:jc w:val="right"/>
              <w:ind w:right="61"/>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1"/>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1"/>
              <w:spacing w:after="0"/>
              <w:rPr>
                <w:sz w:val="20"/>
                <w:szCs w:val="20"/>
                <w:color w:val="auto"/>
              </w:rPr>
            </w:pPr>
            <w:r>
              <w:rPr>
                <w:rFonts w:ascii="Arial" w:cs="Arial" w:eastAsia="Arial" w:hAnsi="Arial"/>
                <w:sz w:val="13"/>
                <w:szCs w:val="13"/>
                <w:color w:val="auto"/>
              </w:rPr>
              <w:t>2.00</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4.78</w:t>
            </w: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828" w:right="219" w:bottom="1440" w:gutter="0" w:footer="0" w:header="0"/>
        </w:sectPr>
      </w:pPr>
    </w:p>
    <w:bookmarkStart w:id="62" w:name="page63"/>
    <w:bookmarkEnd w:id="62"/>
    <w:p>
      <w:pPr>
        <w:ind w:left="393" w:right="440" w:hanging="393"/>
        <w:spacing w:after="0" w:line="292" w:lineRule="auto"/>
        <w:tabs>
          <w:tab w:leader="none" w:pos="393" w:val="left"/>
        </w:tabs>
        <w:numPr>
          <w:ilvl w:val="0"/>
          <w:numId w:val="66"/>
        </w:numPr>
        <w:rPr>
          <w:rFonts w:ascii="Arial" w:cs="Arial" w:eastAsia="Arial" w:hAnsi="Arial"/>
          <w:sz w:val="15"/>
          <w:szCs w:val="15"/>
          <w:color w:val="auto"/>
        </w:rPr>
      </w:pPr>
      <w:r>
        <w:rPr>
          <w:rFonts w:ascii="Arial" w:cs="Arial" w:eastAsia="Arial" w:hAnsi="Arial"/>
          <w:sz w:val="15"/>
          <w:szCs w:val="15"/>
          <w:color w:val="auto"/>
        </w:rPr>
        <w:t>At December 31, 2016 the balance includes mainly 23,265 BCRP certificates of deposit (securities issued at discount through public auctions, negotiated in the Peruvian secondary market and settled in soles) amounting to S/2,259.9 million, government treasury bonds for an amount of S/526.5 million, and bonds of international financial organizations for S/243.2 million (S/1,412.5 million, S/562.4 million and S/55.3 million, respectively, at December 31, 2015).</w:t>
      </w:r>
    </w:p>
    <w:p>
      <w:pPr>
        <w:spacing w:after="0" w:line="144" w:lineRule="exact"/>
        <w:rPr>
          <w:rFonts w:ascii="Arial" w:cs="Arial" w:eastAsia="Arial" w:hAnsi="Arial"/>
          <w:sz w:val="15"/>
          <w:szCs w:val="15"/>
          <w:color w:val="auto"/>
        </w:rPr>
      </w:pPr>
    </w:p>
    <w:p>
      <w:pPr>
        <w:ind w:left="393" w:hanging="393"/>
        <w:spacing w:after="0"/>
        <w:tabs>
          <w:tab w:leader="none" w:pos="393" w:val="left"/>
        </w:tabs>
        <w:numPr>
          <w:ilvl w:val="0"/>
          <w:numId w:val="66"/>
        </w:numPr>
        <w:rPr>
          <w:rFonts w:ascii="Arial" w:cs="Arial" w:eastAsia="Arial" w:hAnsi="Arial"/>
          <w:sz w:val="15"/>
          <w:szCs w:val="15"/>
          <w:color w:val="auto"/>
        </w:rPr>
      </w:pPr>
      <w:r>
        <w:rPr>
          <w:rFonts w:ascii="Arial" w:cs="Arial" w:eastAsia="Arial" w:hAnsi="Arial"/>
          <w:sz w:val="15"/>
          <w:szCs w:val="15"/>
          <w:color w:val="auto"/>
        </w:rPr>
        <w:t>At December 31, 2016 the most significant individual unrealized losses amounted to approximately S/17.7 million (S/15.6 million, at December 31, 2015).</w:t>
      </w:r>
    </w:p>
    <w:p>
      <w:pPr>
        <w:spacing w:after="0" w:line="214" w:lineRule="exact"/>
        <w:rPr>
          <w:rFonts w:ascii="Arial" w:cs="Arial" w:eastAsia="Arial" w:hAnsi="Arial"/>
          <w:sz w:val="15"/>
          <w:szCs w:val="15"/>
          <w:color w:val="auto"/>
        </w:rPr>
      </w:pPr>
    </w:p>
    <w:p>
      <w:pPr>
        <w:ind w:left="393" w:hanging="393"/>
        <w:spacing w:after="0"/>
        <w:tabs>
          <w:tab w:leader="none" w:pos="393" w:val="left"/>
        </w:tabs>
        <w:numPr>
          <w:ilvl w:val="0"/>
          <w:numId w:val="66"/>
        </w:numPr>
        <w:rPr>
          <w:rFonts w:ascii="Arial" w:cs="Arial" w:eastAsia="Arial" w:hAnsi="Arial"/>
          <w:sz w:val="16"/>
          <w:szCs w:val="16"/>
          <w:color w:val="auto"/>
        </w:rPr>
      </w:pPr>
      <w:r>
        <w:rPr>
          <w:rFonts w:ascii="Arial" w:cs="Arial" w:eastAsia="Arial" w:hAnsi="Arial"/>
          <w:sz w:val="16"/>
          <w:szCs w:val="16"/>
          <w:color w:val="auto"/>
        </w:rPr>
        <w:t>At December 31, 2016 the Group maintains 49,504 BCRP certificates of deposits (40,294 at December 31, 2015).</w:t>
      </w:r>
    </w:p>
    <w:p>
      <w:pPr>
        <w:spacing w:after="0" w:line="202" w:lineRule="exact"/>
        <w:rPr>
          <w:rFonts w:ascii="Arial" w:cs="Arial" w:eastAsia="Arial" w:hAnsi="Arial"/>
          <w:sz w:val="16"/>
          <w:szCs w:val="16"/>
          <w:color w:val="auto"/>
        </w:rPr>
      </w:pPr>
    </w:p>
    <w:p>
      <w:pPr>
        <w:ind w:left="393" w:right="80" w:hanging="393"/>
        <w:spacing w:after="0" w:line="261" w:lineRule="auto"/>
        <w:tabs>
          <w:tab w:leader="none" w:pos="393" w:val="left"/>
        </w:tabs>
        <w:numPr>
          <w:ilvl w:val="0"/>
          <w:numId w:val="66"/>
        </w:numPr>
        <w:rPr>
          <w:rFonts w:ascii="Arial" w:cs="Arial" w:eastAsia="Arial" w:hAnsi="Arial"/>
          <w:sz w:val="16"/>
          <w:szCs w:val="16"/>
          <w:color w:val="auto"/>
        </w:rPr>
      </w:pPr>
      <w:r>
        <w:rPr>
          <w:rFonts w:ascii="Arial" w:cs="Arial" w:eastAsia="Arial" w:hAnsi="Arial"/>
          <w:sz w:val="16"/>
          <w:szCs w:val="16"/>
          <w:color w:val="auto"/>
        </w:rPr>
        <w:t>At December 31, 2016 includes mainly debt instruments issued by the Peruvian Government in Soles for a total of S/1,307.5 million and in U.S. dollars for a total of S/512.7 million, the U.S. Government in U.S Dollars for a total of S/26.9 million and the Colombian Government in U.S., dollars for a total of S/63.4 million (S/1,650.7 million, S/530.4 million, respectively, issued by the Peruvian Government, S/181.2 million issued by the U.S. Government, and S/246.7 million issued by the Colombian Government at December 31, 2015 ).</w:t>
      </w:r>
    </w:p>
    <w:p>
      <w:pPr>
        <w:spacing w:after="0" w:line="166" w:lineRule="exact"/>
        <w:rPr>
          <w:rFonts w:ascii="Arial" w:cs="Arial" w:eastAsia="Arial" w:hAnsi="Arial"/>
          <w:sz w:val="16"/>
          <w:szCs w:val="16"/>
          <w:color w:val="auto"/>
        </w:rPr>
      </w:pPr>
    </w:p>
    <w:p>
      <w:pPr>
        <w:ind w:left="393"/>
        <w:spacing w:after="0"/>
        <w:rPr>
          <w:rFonts w:ascii="Arial" w:cs="Arial" w:eastAsia="Arial" w:hAnsi="Arial"/>
          <w:sz w:val="16"/>
          <w:szCs w:val="16"/>
          <w:color w:val="auto"/>
        </w:rPr>
      </w:pPr>
      <w:r>
        <w:rPr>
          <w:rFonts w:ascii="Arial" w:cs="Arial" w:eastAsia="Arial" w:hAnsi="Arial"/>
          <w:sz w:val="16"/>
          <w:szCs w:val="16"/>
          <w:color w:val="auto"/>
        </w:rPr>
        <w:t>Certain treasury bonds were hedged through cross currency swaps (CCS) and interest rate swaps (IRS), as detailed bellow:</w:t>
      </w:r>
    </w:p>
    <w:p>
      <w:pPr>
        <w:spacing w:after="0" w:line="202" w:lineRule="exact"/>
        <w:rPr>
          <w:rFonts w:ascii="Arial" w:cs="Arial" w:eastAsia="Arial" w:hAnsi="Arial"/>
          <w:sz w:val="16"/>
          <w:szCs w:val="16"/>
          <w:color w:val="auto"/>
        </w:rPr>
      </w:pPr>
    </w:p>
    <w:p>
      <w:pPr>
        <w:jc w:val="both"/>
        <w:ind w:left="673" w:right="40" w:hanging="286"/>
        <w:spacing w:after="0" w:line="261" w:lineRule="auto"/>
        <w:tabs>
          <w:tab w:leader="none" w:pos="673" w:val="left"/>
        </w:tabs>
        <w:numPr>
          <w:ilvl w:val="1"/>
          <w:numId w:val="66"/>
        </w:numPr>
        <w:rPr>
          <w:rFonts w:ascii="Arial" w:cs="Arial" w:eastAsia="Arial" w:hAnsi="Arial"/>
          <w:sz w:val="16"/>
          <w:szCs w:val="16"/>
          <w:color w:val="auto"/>
        </w:rPr>
      </w:pPr>
      <w:r>
        <w:rPr>
          <w:rFonts w:ascii="Arial" w:cs="Arial" w:eastAsia="Arial" w:hAnsi="Arial"/>
          <w:sz w:val="16"/>
          <w:szCs w:val="16"/>
          <w:color w:val="auto"/>
        </w:rPr>
        <w:t>At December 31, 2016, the Group maintains currency swaps (“Cross Currency Swap” or CCS) which were designated as hedges of certain corporate bonds for a nominal amount of S/236.3 million and certain foreign government bonds for S/167.8 million for a nominal amount with a similar principal at maturity, see note 12(b); by means of this CCS, these bonds were economically converted to Soles at fixed rate (S/235.1 million and S/170.6 million, respectively, at December 31, 2015).</w:t>
      </w:r>
    </w:p>
    <w:p>
      <w:pPr>
        <w:spacing w:after="0" w:line="166" w:lineRule="exact"/>
        <w:rPr>
          <w:rFonts w:ascii="Arial" w:cs="Arial" w:eastAsia="Arial" w:hAnsi="Arial"/>
          <w:sz w:val="16"/>
          <w:szCs w:val="16"/>
          <w:color w:val="auto"/>
        </w:rPr>
      </w:pPr>
    </w:p>
    <w:p>
      <w:pPr>
        <w:ind w:left="673" w:right="40" w:hanging="286"/>
        <w:spacing w:after="0" w:line="292" w:lineRule="auto"/>
        <w:tabs>
          <w:tab w:leader="none" w:pos="673" w:val="left"/>
        </w:tabs>
        <w:numPr>
          <w:ilvl w:val="1"/>
          <w:numId w:val="66"/>
        </w:numPr>
        <w:rPr>
          <w:rFonts w:ascii="Arial" w:cs="Arial" w:eastAsia="Arial" w:hAnsi="Arial"/>
          <w:sz w:val="15"/>
          <w:szCs w:val="15"/>
          <w:color w:val="auto"/>
        </w:rPr>
      </w:pPr>
      <w:r>
        <w:rPr>
          <w:rFonts w:ascii="Arial" w:cs="Arial" w:eastAsia="Arial" w:hAnsi="Arial"/>
          <w:sz w:val="15"/>
          <w:szCs w:val="15"/>
          <w:color w:val="auto"/>
        </w:rPr>
        <w:t>At December 31, 2016, the Group maintains interest rate swaps, which have been designated as fair value hedges of certain Peruvian Government, corporate and international financial entity bonds denominated in U.S Dollars at fixed interest rate for a nominal amount of S/760.3 million (S/819.7 million at December 31, 2015), see note 12(b); through the IRS these bonds were economically converted to variable interest rates.</w:t>
      </w:r>
    </w:p>
    <w:p>
      <w:pPr>
        <w:spacing w:after="0" w:line="144" w:lineRule="exact"/>
        <w:rPr>
          <w:rFonts w:ascii="Arial" w:cs="Arial" w:eastAsia="Arial" w:hAnsi="Arial"/>
          <w:sz w:val="15"/>
          <w:szCs w:val="15"/>
          <w:color w:val="auto"/>
        </w:rPr>
      </w:pPr>
    </w:p>
    <w:p>
      <w:pPr>
        <w:ind w:left="393" w:right="40" w:hanging="393"/>
        <w:spacing w:after="0" w:line="266" w:lineRule="auto"/>
        <w:tabs>
          <w:tab w:leader="none" w:pos="393"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These funds total approximately 168.4 million in bolivianos and 482.4 million in U.S. dollars (159.8 million in bolivianos and 535.4 million U.S. dollars respectively at December 31, 2015) and comprise investments made by the Group in the Central Bank of Bolivia as collateral for deposits received from the public. These funds have restrictions for their use and are required from all banks in Bolivia.</w:t>
      </w:r>
    </w:p>
    <w:p>
      <w:pPr>
        <w:spacing w:after="0" w:line="161" w:lineRule="exact"/>
        <w:rPr>
          <w:rFonts w:ascii="Arial" w:cs="Arial" w:eastAsia="Arial" w:hAnsi="Arial"/>
          <w:sz w:val="16"/>
          <w:szCs w:val="16"/>
          <w:color w:val="auto"/>
        </w:rPr>
      </w:pPr>
    </w:p>
    <w:p>
      <w:pPr>
        <w:ind w:left="393" w:hanging="393"/>
        <w:spacing w:after="0" w:line="280" w:lineRule="auto"/>
        <w:tabs>
          <w:tab w:leader="none" w:pos="393" w:val="left"/>
        </w:tabs>
        <w:numPr>
          <w:ilvl w:val="0"/>
          <w:numId w:val="66"/>
        </w:numPr>
        <w:rPr>
          <w:rFonts w:ascii="Arial" w:cs="Arial" w:eastAsia="Arial" w:hAnsi="Arial"/>
          <w:sz w:val="15"/>
          <w:szCs w:val="15"/>
          <w:color w:val="auto"/>
        </w:rPr>
      </w:pPr>
      <w:r>
        <w:rPr>
          <w:rFonts w:ascii="Arial" w:cs="Arial" w:eastAsia="Arial" w:hAnsi="Arial"/>
          <w:sz w:val="15"/>
          <w:szCs w:val="15"/>
          <w:color w:val="auto"/>
        </w:rPr>
        <w:t>Asset-backed securities are secured by a specified pool of underlying assets and are mainly traded in the Peruvian over-the-counter market. Pools of underlying assets are made up of Accounts receivables with predictable future payments. As of December 31, 2016 and 2015, the balance includes S/175.3 million and S/39.8 million, respectively, of financial instruments issued by Hunt Oil Company (the originator). Additionally, at December 31, 2016 the balance includes S/81.6 million of asset-backed securities issued by Abengoa Transmisión Norte and S/94.5.million issued by Inmuebles Panamericana S.A. The underlying assets are future Accounts receivable from the sale of hydrocarbons extracted in Peru. At said dates, the bonds have semiannual payments until 2025.</w:t>
      </w:r>
    </w:p>
    <w:p>
      <w:pPr>
        <w:spacing w:after="0" w:line="347" w:lineRule="exact"/>
        <w:rPr>
          <w:rFonts w:ascii="Arial" w:cs="Arial" w:eastAsia="Arial" w:hAnsi="Arial"/>
          <w:sz w:val="15"/>
          <w:szCs w:val="15"/>
          <w:color w:val="auto"/>
        </w:rPr>
      </w:pPr>
    </w:p>
    <w:p>
      <w:pPr>
        <w:ind w:left="5353" w:hanging="94"/>
        <w:spacing w:after="0"/>
        <w:tabs>
          <w:tab w:leader="none" w:pos="5353" w:val="left"/>
        </w:tabs>
        <w:numPr>
          <w:ilvl w:val="2"/>
          <w:numId w:val="66"/>
        </w:numPr>
        <w:rPr>
          <w:rFonts w:ascii="Arial" w:cs="Arial" w:eastAsia="Arial" w:hAnsi="Arial"/>
          <w:sz w:val="16"/>
          <w:szCs w:val="16"/>
          <w:color w:val="auto"/>
        </w:rPr>
      </w:pPr>
      <w:r>
        <w:rPr>
          <w:rFonts w:ascii="Arial" w:cs="Arial" w:eastAsia="Arial" w:hAnsi="Arial"/>
          <w:sz w:val="16"/>
          <w:szCs w:val="16"/>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13970</wp:posOffset>
            </wp:positionV>
            <wp:extent cx="7261225" cy="762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093"/>
          </w:cols>
          <w:pgMar w:left="527" w:top="1046" w:right="279" w:bottom="1440" w:gutter="0" w:footer="0" w:header="0"/>
        </w:sectPr>
      </w:pPr>
    </w:p>
    <w:bookmarkStart w:id="63" w:name="page64"/>
    <w:bookmarkEnd w:id="63"/>
    <w:p>
      <w:pPr>
        <w:ind w:left="683" w:right="280" w:hanging="393"/>
        <w:spacing w:after="0" w:line="315" w:lineRule="auto"/>
        <w:tabs>
          <w:tab w:leader="none" w:pos="683" w:val="left"/>
        </w:tabs>
        <w:numPr>
          <w:ilvl w:val="1"/>
          <w:numId w:val="67"/>
        </w:numPr>
        <w:rPr>
          <w:rFonts w:ascii="Arial" w:cs="Arial" w:eastAsia="Arial" w:hAnsi="Arial"/>
          <w:sz w:val="15"/>
          <w:szCs w:val="15"/>
          <w:color w:val="auto"/>
        </w:rPr>
      </w:pPr>
      <w:r>
        <w:rPr>
          <w:rFonts w:ascii="Arial" w:cs="Arial" w:eastAsia="Arial" w:hAnsi="Arial"/>
          <w:sz w:val="15"/>
          <w:szCs w:val="15"/>
          <w:color w:val="auto"/>
        </w:rPr>
        <w:t>The restricted mutual funds comprise the participation quotas in the private pension funds managed by the Group, and are maintained in compliance with the legal regulations in Peru. Their availability is restricted and the yield received is the same as that received by the private pension funds managed.</w:t>
      </w:r>
    </w:p>
    <w:p>
      <w:pPr>
        <w:spacing w:after="0" w:line="127" w:lineRule="exact"/>
        <w:rPr>
          <w:rFonts w:ascii="Arial" w:cs="Arial" w:eastAsia="Arial" w:hAnsi="Arial"/>
          <w:sz w:val="15"/>
          <w:szCs w:val="15"/>
          <w:color w:val="auto"/>
        </w:rPr>
      </w:pPr>
    </w:p>
    <w:p>
      <w:pPr>
        <w:ind w:left="683" w:hanging="393"/>
        <w:spacing w:after="0"/>
        <w:tabs>
          <w:tab w:leader="none" w:pos="683" w:val="left"/>
        </w:tabs>
        <w:numPr>
          <w:ilvl w:val="1"/>
          <w:numId w:val="67"/>
        </w:numPr>
        <w:rPr>
          <w:rFonts w:ascii="Arial" w:cs="Arial" w:eastAsia="Arial" w:hAnsi="Arial"/>
          <w:sz w:val="16"/>
          <w:szCs w:val="16"/>
          <w:color w:val="auto"/>
        </w:rPr>
      </w:pPr>
      <w:r>
        <w:rPr>
          <w:rFonts w:ascii="Arial" w:cs="Arial" w:eastAsia="Arial" w:hAnsi="Arial"/>
          <w:sz w:val="16"/>
          <w:szCs w:val="16"/>
          <w:color w:val="auto"/>
        </w:rPr>
        <w:t>Collateralized mortgage obligations correspond to senior tranches (“Senior Tranches”).</w:t>
      </w:r>
    </w:p>
    <w:p>
      <w:pPr>
        <w:spacing w:after="0" w:line="202" w:lineRule="exact"/>
        <w:rPr>
          <w:rFonts w:ascii="Arial" w:cs="Arial" w:eastAsia="Arial" w:hAnsi="Arial"/>
          <w:sz w:val="16"/>
          <w:szCs w:val="16"/>
          <w:color w:val="auto"/>
        </w:rPr>
      </w:pPr>
    </w:p>
    <w:p>
      <w:pPr>
        <w:ind w:left="683" w:hanging="393"/>
        <w:spacing w:after="0"/>
        <w:tabs>
          <w:tab w:leader="none" w:pos="683" w:val="left"/>
        </w:tabs>
        <w:numPr>
          <w:ilvl w:val="1"/>
          <w:numId w:val="67"/>
        </w:numPr>
        <w:rPr>
          <w:rFonts w:ascii="Arial" w:cs="Arial" w:eastAsia="Arial" w:hAnsi="Arial"/>
          <w:sz w:val="16"/>
          <w:szCs w:val="16"/>
          <w:color w:val="auto"/>
        </w:rPr>
      </w:pPr>
      <w:r>
        <w:rPr>
          <w:rFonts w:ascii="Arial" w:cs="Arial" w:eastAsia="Arial" w:hAnsi="Arial"/>
          <w:sz w:val="16"/>
          <w:szCs w:val="16"/>
          <w:color w:val="auto"/>
        </w:rPr>
        <w:t>At December 31, 2016 and 2015, certificates of deposit issued by the Central Bank of Bolivia are mainly denominated in Bolivianos.</w:t>
      </w:r>
    </w:p>
    <w:p>
      <w:pPr>
        <w:spacing w:after="0" w:line="202" w:lineRule="exact"/>
        <w:rPr>
          <w:rFonts w:ascii="Arial" w:cs="Arial" w:eastAsia="Arial" w:hAnsi="Arial"/>
          <w:sz w:val="16"/>
          <w:szCs w:val="16"/>
          <w:color w:val="auto"/>
        </w:rPr>
      </w:pPr>
    </w:p>
    <w:p>
      <w:pPr>
        <w:ind w:left="683" w:hanging="393"/>
        <w:spacing w:after="0" w:line="280" w:lineRule="auto"/>
        <w:tabs>
          <w:tab w:leader="none" w:pos="683" w:val="left"/>
        </w:tabs>
        <w:numPr>
          <w:ilvl w:val="1"/>
          <w:numId w:val="67"/>
        </w:numPr>
        <w:rPr>
          <w:rFonts w:ascii="Arial" w:cs="Arial" w:eastAsia="Arial" w:hAnsi="Arial"/>
          <w:sz w:val="16"/>
          <w:szCs w:val="16"/>
          <w:color w:val="auto"/>
        </w:rPr>
      </w:pPr>
      <w:r>
        <w:rPr>
          <w:rFonts w:ascii="Arial" w:cs="Arial" w:eastAsia="Arial" w:hAnsi="Arial"/>
          <w:sz w:val="16"/>
          <w:szCs w:val="16"/>
          <w:color w:val="auto"/>
        </w:rPr>
        <w:t>On March 7, 2016, Credicorp signed a Memorandum of Understanding (MOU) with Banco de Crédito e Inversiones de Chile (hereinafter “BCI Chile”), in which, as a minority shareholder with a 4.06 percent participation in BCI Chile, it stated its intention to sell up to 50.0 percent of said shares.</w:t>
      </w:r>
    </w:p>
    <w:p>
      <w:pPr>
        <w:spacing w:after="0" w:line="150" w:lineRule="exact"/>
        <w:rPr>
          <w:rFonts w:ascii="Arial" w:cs="Arial" w:eastAsia="Arial" w:hAnsi="Arial"/>
          <w:sz w:val="16"/>
          <w:szCs w:val="16"/>
          <w:color w:val="auto"/>
        </w:rPr>
      </w:pPr>
    </w:p>
    <w:p>
      <w:pPr>
        <w:ind w:left="683" w:right="440"/>
        <w:spacing w:after="0" w:line="315" w:lineRule="auto"/>
        <w:rPr>
          <w:rFonts w:ascii="Arial" w:cs="Arial" w:eastAsia="Arial" w:hAnsi="Arial"/>
          <w:sz w:val="16"/>
          <w:szCs w:val="16"/>
          <w:color w:val="auto"/>
        </w:rPr>
      </w:pPr>
      <w:r>
        <w:rPr>
          <w:rFonts w:ascii="Arial" w:cs="Arial" w:eastAsia="Arial" w:hAnsi="Arial"/>
          <w:sz w:val="15"/>
          <w:szCs w:val="15"/>
          <w:color w:val="auto"/>
        </w:rPr>
        <w:t>Credicorp undertook not to sell the remaining 50.0 percent of its shares in BCI Chile during the period of 180 calendar days subsequent to the expiry date of the preferred option of BCI Chile which forms part of the applicable regulations in Chile. The preferred subscription period began on March 21, 2016.</w:t>
      </w:r>
    </w:p>
    <w:p>
      <w:pPr>
        <w:spacing w:after="0" w:line="127" w:lineRule="exact"/>
        <w:rPr>
          <w:rFonts w:ascii="Arial" w:cs="Arial" w:eastAsia="Arial" w:hAnsi="Arial"/>
          <w:sz w:val="16"/>
          <w:szCs w:val="16"/>
          <w:color w:val="auto"/>
        </w:rPr>
      </w:pPr>
    </w:p>
    <w:p>
      <w:pPr>
        <w:ind w:left="683" w:right="120"/>
        <w:spacing w:after="0" w:line="266" w:lineRule="auto"/>
        <w:rPr>
          <w:rFonts w:ascii="Arial" w:cs="Arial" w:eastAsia="Arial" w:hAnsi="Arial"/>
          <w:sz w:val="16"/>
          <w:szCs w:val="16"/>
          <w:color w:val="auto"/>
        </w:rPr>
      </w:pPr>
      <w:r>
        <w:rPr>
          <w:rFonts w:ascii="Arial" w:cs="Arial" w:eastAsia="Arial" w:hAnsi="Arial"/>
          <w:sz w:val="16"/>
          <w:szCs w:val="16"/>
          <w:color w:val="auto"/>
        </w:rPr>
        <w:t>Accordingly, on April 22, 2016, Credicorp sold 50.0 percent of the shares which it held in BCI Chile (2,248,593 shares) through Credicorp Capital Corredores de Bolsa, at a price of CLP 27,500 (US$41.6) per share, generating cash for approximately US$94.0 million, equivalent to S/302 million. Said sale generated a profit of approximately S/124.7 million.</w:t>
      </w:r>
    </w:p>
    <w:p>
      <w:pPr>
        <w:spacing w:after="0" w:line="161" w:lineRule="exact"/>
        <w:rPr>
          <w:rFonts w:ascii="Arial" w:cs="Arial" w:eastAsia="Arial" w:hAnsi="Arial"/>
          <w:sz w:val="16"/>
          <w:szCs w:val="16"/>
          <w:color w:val="auto"/>
        </w:rPr>
      </w:pPr>
    </w:p>
    <w:p>
      <w:pPr>
        <w:ind w:left="683" w:right="160"/>
        <w:spacing w:after="0" w:line="266" w:lineRule="auto"/>
        <w:rPr>
          <w:rFonts w:ascii="Arial" w:cs="Arial" w:eastAsia="Arial" w:hAnsi="Arial"/>
          <w:sz w:val="16"/>
          <w:szCs w:val="16"/>
          <w:color w:val="auto"/>
        </w:rPr>
      </w:pPr>
      <w:r>
        <w:rPr>
          <w:rFonts w:ascii="Arial" w:cs="Arial" w:eastAsia="Arial" w:hAnsi="Arial"/>
          <w:sz w:val="16"/>
          <w:szCs w:val="16"/>
          <w:color w:val="auto"/>
        </w:rPr>
        <w:t>At December 31, 2016 the net unrealized gain on listed securities arises mainly from shares in Edelnor S.A.A., Alicorp S.A.A., Banco de Crédito e Inversiones de Chile (BCI Chile), and Inversiones Centenario S.A.A. and totaled S/141.6 million, S/109.4 million, S/81.2 million and S/166.5 million, respectively (S/93.0 million, S/70.6 million, S/236.1 million and S/285.1 million, respectively, at December 31, 2015).</w:t>
      </w:r>
    </w:p>
    <w:p>
      <w:pPr>
        <w:spacing w:after="0" w:line="161" w:lineRule="exact"/>
        <w:rPr>
          <w:rFonts w:ascii="Arial" w:cs="Arial" w:eastAsia="Arial" w:hAnsi="Arial"/>
          <w:sz w:val="16"/>
          <w:szCs w:val="16"/>
          <w:color w:val="auto"/>
        </w:rPr>
      </w:pPr>
    </w:p>
    <w:p>
      <w:pPr>
        <w:ind w:left="283" w:hanging="283"/>
        <w:spacing w:after="0"/>
        <w:tabs>
          <w:tab w:leader="none" w:pos="283" w:val="left"/>
        </w:tabs>
        <w:numPr>
          <w:ilvl w:val="0"/>
          <w:numId w:val="68"/>
        </w:numPr>
        <w:rPr>
          <w:rFonts w:ascii="Arial" w:cs="Arial" w:eastAsia="Arial" w:hAnsi="Arial"/>
          <w:sz w:val="16"/>
          <w:szCs w:val="16"/>
          <w:color w:val="auto"/>
        </w:rPr>
      </w:pPr>
      <w:r>
        <w:rPr>
          <w:rFonts w:ascii="Arial" w:cs="Arial" w:eastAsia="Arial" w:hAnsi="Arial"/>
          <w:sz w:val="16"/>
          <w:szCs w:val="16"/>
          <w:color w:val="auto"/>
        </w:rPr>
        <w:t>Held-to-maturity Investments consist of the following:</w:t>
      </w:r>
    </w:p>
    <w:p>
      <w:pPr>
        <w:spacing w:after="0" w:line="211" w:lineRule="exact"/>
        <w:rPr>
          <w:sz w:val="20"/>
          <w:szCs w:val="20"/>
          <w:color w:val="auto"/>
        </w:rPr>
      </w:pPr>
    </w:p>
    <w:tbl>
      <w:tblPr>
        <w:tblLayout w:type="fixed"/>
        <w:tblInd w:w="283"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9"/>
        </w:trPr>
        <w:tc>
          <w:tcPr>
            <w:tcW w:w="5400" w:type="dxa"/>
            <w:vAlign w:val="bottom"/>
          </w:tcPr>
          <w:p>
            <w:pPr>
              <w:spacing w:after="0"/>
              <w:rPr>
                <w:sz w:val="14"/>
                <w:szCs w:val="14"/>
                <w:color w:val="auto"/>
              </w:rPr>
            </w:pPr>
          </w:p>
        </w:tc>
        <w:tc>
          <w:tcPr>
            <w:tcW w:w="134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spacing w:after="0" w:line="169" w:lineRule="exact"/>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54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1520" w:type="dxa"/>
            <w:vAlign w:val="bottom"/>
            <w:gridSpan w:val="3"/>
          </w:tcPr>
          <w:p>
            <w:pPr>
              <w:ind w:left="100"/>
              <w:spacing w:after="0"/>
              <w:rPr>
                <w:sz w:val="20"/>
                <w:szCs w:val="20"/>
                <w:color w:val="auto"/>
              </w:rPr>
            </w:pPr>
            <w:r>
              <w:rPr>
                <w:rFonts w:ascii="Arial" w:cs="Arial" w:eastAsia="Arial" w:hAnsi="Arial"/>
                <w:sz w:val="16"/>
                <w:szCs w:val="16"/>
                <w:b w:val="1"/>
                <w:bCs w:val="1"/>
                <w:color w:val="auto"/>
              </w:rPr>
              <w:t>Fair value</w:t>
            </w:r>
          </w:p>
        </w:tc>
        <w:tc>
          <w:tcPr>
            <w:tcW w:w="1420" w:type="dxa"/>
            <w:vAlign w:val="bottom"/>
            <w:gridSpan w:val="3"/>
          </w:tcPr>
          <w:p>
            <w:pPr>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4"/>
          </w:tcPr>
          <w:p>
            <w:pPr>
              <w:spacing w:after="0"/>
              <w:rPr>
                <w:sz w:val="20"/>
                <w:szCs w:val="20"/>
                <w:color w:val="auto"/>
              </w:rPr>
            </w:pPr>
            <w:r>
              <w:rPr>
                <w:rFonts w:ascii="Arial" w:cs="Arial" w:eastAsia="Arial" w:hAnsi="Arial"/>
                <w:sz w:val="16"/>
                <w:szCs w:val="16"/>
                <w:b w:val="1"/>
                <w:bCs w:val="1"/>
                <w:color w:val="auto"/>
              </w:rPr>
              <w:t>Fair value</w:t>
            </w:r>
          </w:p>
        </w:tc>
      </w:tr>
      <w:tr>
        <w:trPr>
          <w:trHeight w:val="202"/>
        </w:trPr>
        <w:tc>
          <w:tcPr>
            <w:tcW w:w="540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gridSpan w:val="2"/>
          </w:tcPr>
          <w:p>
            <w:pPr>
              <w:spacing w:after="0"/>
              <w:rPr>
                <w:sz w:val="17"/>
                <w:szCs w:val="17"/>
                <w:color w:val="auto"/>
              </w:rPr>
            </w:pPr>
          </w:p>
        </w:tc>
      </w:tr>
      <w:tr>
        <w:trPr>
          <w:trHeight w:val="177"/>
        </w:trPr>
        <w:tc>
          <w:tcPr>
            <w:tcW w:w="5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Peruvian sovereign bonds</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4,016,340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4,099,001</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2,293,048</w:t>
            </w:r>
          </w:p>
        </w:tc>
        <w:tc>
          <w:tcPr>
            <w:tcW w:w="2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2,163,815</w:t>
            </w:r>
          </w:p>
        </w:tc>
        <w:tc>
          <w:tcPr>
            <w:tcW w:w="80" w:type="dxa"/>
            <w:vAlign w:val="bottom"/>
            <w:shd w:val="clear" w:color="auto" w:fill="CCEEFF"/>
          </w:tcPr>
          <w:p>
            <w:pPr>
              <w:spacing w:after="0"/>
              <w:rPr>
                <w:sz w:val="16"/>
                <w:szCs w:val="16"/>
                <w:color w:val="auto"/>
              </w:rPr>
            </w:pPr>
          </w:p>
        </w:tc>
      </w:tr>
      <w:tr>
        <w:trPr>
          <w:trHeight w:val="193"/>
        </w:trPr>
        <w:tc>
          <w:tcPr>
            <w:tcW w:w="5400" w:type="dxa"/>
            <w:vAlign w:val="bottom"/>
          </w:tcPr>
          <w:p>
            <w:pPr>
              <w:spacing w:after="0"/>
              <w:rPr>
                <w:sz w:val="20"/>
                <w:szCs w:val="20"/>
                <w:color w:val="auto"/>
              </w:rPr>
            </w:pPr>
            <w:r>
              <w:rPr>
                <w:rFonts w:ascii="Arial" w:cs="Arial" w:eastAsia="Arial" w:hAnsi="Arial"/>
                <w:sz w:val="16"/>
                <w:szCs w:val="16"/>
                <w:color w:val="auto"/>
              </w:rPr>
              <w:t>Bonds of foreign governements</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333,133</w:t>
            </w:r>
          </w:p>
        </w:tc>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336,397</w:t>
            </w:r>
          </w:p>
        </w:tc>
        <w:tc>
          <w:tcPr>
            <w:tcW w:w="1420" w:type="dxa"/>
            <w:vAlign w:val="bottom"/>
            <w:gridSpan w:val="3"/>
          </w:tcPr>
          <w:p>
            <w:pPr>
              <w:jc w:val="right"/>
              <w:ind w:right="220"/>
              <w:spacing w:after="0"/>
              <w:rPr>
                <w:sz w:val="20"/>
                <w:szCs w:val="20"/>
                <w:color w:val="auto"/>
              </w:rPr>
            </w:pPr>
            <w:r>
              <w:rPr>
                <w:rFonts w:ascii="Arial" w:cs="Arial" w:eastAsia="Arial" w:hAnsi="Arial"/>
                <w:sz w:val="16"/>
                <w:szCs w:val="16"/>
                <w:color w:val="auto"/>
              </w:rPr>
              <w:t>314,247</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293,892</w:t>
            </w:r>
          </w:p>
        </w:tc>
        <w:tc>
          <w:tcPr>
            <w:tcW w:w="80" w:type="dxa"/>
            <w:vAlign w:val="bottom"/>
          </w:tcPr>
          <w:p>
            <w:pPr>
              <w:spacing w:after="0"/>
              <w:rPr>
                <w:sz w:val="16"/>
                <w:szCs w:val="16"/>
                <w:color w:val="auto"/>
              </w:rPr>
            </w:pPr>
          </w:p>
        </w:tc>
      </w:tr>
      <w:tr>
        <w:trPr>
          <w:trHeight w:val="193"/>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Peruvian treasury bonds</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234,884</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240,166</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759,737</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730,035</w:t>
            </w:r>
          </w:p>
        </w:tc>
        <w:tc>
          <w:tcPr>
            <w:tcW w:w="80" w:type="dxa"/>
            <w:vAlign w:val="bottom"/>
            <w:shd w:val="clear" w:color="auto" w:fill="CCEEFF"/>
          </w:tcPr>
          <w:p>
            <w:pPr>
              <w:spacing w:after="0"/>
              <w:rPr>
                <w:sz w:val="16"/>
                <w:szCs w:val="16"/>
                <w:color w:val="auto"/>
              </w:rPr>
            </w:pPr>
          </w:p>
        </w:tc>
      </w:tr>
      <w:tr>
        <w:trPr>
          <w:trHeight w:val="193"/>
        </w:trPr>
        <w:tc>
          <w:tcPr>
            <w:tcW w:w="5400" w:type="dxa"/>
            <w:vAlign w:val="bottom"/>
          </w:tcPr>
          <w:p>
            <w:pPr>
              <w:spacing w:after="0"/>
              <w:rPr>
                <w:sz w:val="20"/>
                <w:szCs w:val="20"/>
                <w:color w:val="auto"/>
              </w:rPr>
            </w:pPr>
            <w:r>
              <w:rPr>
                <w:rFonts w:ascii="Arial" w:cs="Arial" w:eastAsia="Arial" w:hAnsi="Arial"/>
                <w:sz w:val="16"/>
                <w:szCs w:val="16"/>
                <w:color w:val="auto"/>
              </w:rPr>
              <w:t>Corporate bonds</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277,998</w:t>
            </w:r>
          </w:p>
        </w:tc>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284,028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205"/>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w w:val="96"/>
              </w:rPr>
              <w:t>Certificates of payment on work progress (CRPAO for its Spanish acronym) (*)</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154,449</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154,496</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135,550</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132,955</w:t>
            </w:r>
          </w:p>
        </w:tc>
        <w:tc>
          <w:tcPr>
            <w:tcW w:w="80" w:type="dxa"/>
            <w:vAlign w:val="bottom"/>
            <w:shd w:val="clear" w:color="auto" w:fill="CCEEFF"/>
          </w:tcPr>
          <w:p>
            <w:pPr>
              <w:spacing w:after="0"/>
              <w:rPr>
                <w:sz w:val="17"/>
                <w:szCs w:val="17"/>
                <w:color w:val="auto"/>
              </w:rPr>
            </w:pPr>
          </w:p>
        </w:tc>
      </w:tr>
      <w:tr>
        <w:trPr>
          <w:trHeight w:val="185"/>
        </w:trPr>
        <w:tc>
          <w:tcPr>
            <w:tcW w:w="540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5,016,804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5,114,088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3,502,582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3,320,697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101,616</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101,616</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79,547</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79,547</w:t>
            </w:r>
          </w:p>
        </w:tc>
        <w:tc>
          <w:tcPr>
            <w:tcW w:w="80" w:type="dxa"/>
            <w:vAlign w:val="bottom"/>
            <w:shd w:val="clear" w:color="auto" w:fill="CCEEFF"/>
          </w:tcPr>
          <w:p>
            <w:pPr>
              <w:spacing w:after="0"/>
              <w:rPr>
                <w:sz w:val="17"/>
                <w:szCs w:val="17"/>
                <w:color w:val="auto"/>
              </w:rPr>
            </w:pPr>
          </w:p>
        </w:tc>
      </w:tr>
      <w:tr>
        <w:trPr>
          <w:trHeight w:val="198"/>
        </w:trPr>
        <w:tc>
          <w:tcPr>
            <w:tcW w:w="54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5,118,420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5,215,704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3,582,129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3,400,244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81" w:lineRule="exact"/>
        <w:rPr>
          <w:sz w:val="20"/>
          <w:szCs w:val="20"/>
          <w:color w:val="auto"/>
        </w:rPr>
      </w:pPr>
    </w:p>
    <w:p>
      <w:pPr>
        <w:ind w:left="283" w:right="80"/>
        <w:spacing w:after="0" w:line="261" w:lineRule="auto"/>
        <w:rPr>
          <w:sz w:val="20"/>
          <w:szCs w:val="20"/>
          <w:color w:val="auto"/>
        </w:rPr>
      </w:pPr>
      <w:r>
        <w:rPr>
          <w:rFonts w:ascii="Arial" w:cs="Arial" w:eastAsia="Arial" w:hAnsi="Arial"/>
          <w:sz w:val="16"/>
          <w:szCs w:val="16"/>
          <w:color w:val="auto"/>
        </w:rPr>
        <w:t>At December 31, 2016, these investments have maturities between August 2017 and February 2042, accruing interest at an annual effective interest rate between 1.87 percent and 7.12 percent on bonds denominated in soles and between 0.47 percent and 6.03 percent on bonds in U.S. dollar (at December 31, 2015 they show maturities between August 2017 and February 2042, bearing interest at an effective annual interest rate of 4.50 and 7.80 percent on bonds denominated in Peruvian soles and between 1.82 percent and 5.40 percent per year on bonds in U.S. dollars).</w:t>
      </w:r>
    </w:p>
    <w:p>
      <w:pPr>
        <w:spacing w:after="0" w:line="360"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8" w:right="239" w:bottom="1440" w:gutter="0" w:footer="0" w:header="0"/>
        </w:sectPr>
      </w:pPr>
    </w:p>
    <w:bookmarkStart w:id="64" w:name="page65"/>
    <w:bookmarkEnd w:id="64"/>
    <w:p>
      <w:pPr>
        <w:ind w:left="283" w:right="560"/>
        <w:spacing w:after="0" w:line="280" w:lineRule="auto"/>
        <w:rPr>
          <w:sz w:val="20"/>
          <w:szCs w:val="20"/>
          <w:color w:val="auto"/>
        </w:rPr>
      </w:pPr>
      <w:r>
        <w:rPr>
          <w:rFonts w:ascii="Arial" w:cs="Arial" w:eastAsia="Arial" w:hAnsi="Arial"/>
          <w:sz w:val="16"/>
          <w:szCs w:val="16"/>
          <w:color w:val="auto"/>
        </w:rPr>
        <w:t>At December 31, 2016 and 2015, Credicorp Management has determined that the difference between amortized cost and fair value of held-to-maturity investment is temporary in nature and Credicorp has the intention and ability to hold each of these investments until its maturity.</w:t>
      </w:r>
    </w:p>
    <w:p>
      <w:pPr>
        <w:spacing w:after="0" w:line="151" w:lineRule="exact"/>
        <w:rPr>
          <w:sz w:val="20"/>
          <w:szCs w:val="20"/>
          <w:color w:val="auto"/>
        </w:rPr>
      </w:pPr>
    </w:p>
    <w:p>
      <w:pPr>
        <w:ind w:left="283" w:right="260"/>
        <w:spacing w:after="0" w:line="292" w:lineRule="auto"/>
        <w:rPr>
          <w:sz w:val="20"/>
          <w:szCs w:val="20"/>
          <w:color w:val="auto"/>
        </w:rPr>
      </w:pPr>
      <w:r>
        <w:rPr>
          <w:rFonts w:ascii="Arial" w:cs="Arial" w:eastAsia="Arial" w:hAnsi="Arial"/>
          <w:sz w:val="15"/>
          <w:szCs w:val="15"/>
          <w:color w:val="auto"/>
        </w:rPr>
        <w:t>At December 31, 2016 the Group has entered into repurchase agreements transactions over corporate, multilateral development banks and foreign government bonds accounted for as available-for-sale investments for an estimated fair value of S/1,763.6 million (S/2,015.9 million at December 31, 2015), of which the related liability is presented in “Payables from repurchase agreements and security lending” of the consolidated statement of financial position, see note 5(c).</w:t>
      </w:r>
    </w:p>
    <w:p>
      <w:pPr>
        <w:spacing w:after="0" w:line="144" w:lineRule="exact"/>
        <w:rPr>
          <w:sz w:val="20"/>
          <w:szCs w:val="20"/>
          <w:color w:val="auto"/>
        </w:rPr>
      </w:pPr>
    </w:p>
    <w:p>
      <w:pPr>
        <w:ind w:left="283" w:right="320"/>
        <w:spacing w:after="0" w:line="266" w:lineRule="auto"/>
        <w:rPr>
          <w:sz w:val="20"/>
          <w:szCs w:val="20"/>
          <w:color w:val="auto"/>
        </w:rPr>
      </w:pPr>
      <w:r>
        <w:rPr>
          <w:rFonts w:ascii="Arial" w:cs="Arial" w:eastAsia="Arial" w:hAnsi="Arial"/>
          <w:sz w:val="16"/>
          <w:szCs w:val="16"/>
          <w:color w:val="auto"/>
        </w:rPr>
        <w:t>Also, at December 31, 2016, the Group maintains repurchase agreements transactions over held-to-maturity investments for an estimated fair value of S/2,061.6 million (S/1,989.8 million at December 31, 2015) as described in paragraph above. The related liability is presented in “Payables from repurchase agreements and security lendings” of the consolidated statement of financial position, see note 5(c).</w:t>
      </w:r>
    </w:p>
    <w:p>
      <w:pPr>
        <w:spacing w:after="0" w:line="162" w:lineRule="exact"/>
        <w:rPr>
          <w:sz w:val="20"/>
          <w:szCs w:val="20"/>
          <w:color w:val="auto"/>
        </w:rPr>
      </w:pPr>
    </w:p>
    <w:p>
      <w:pPr>
        <w:ind w:left="583" w:right="100" w:hanging="293"/>
        <w:spacing w:after="0" w:line="284" w:lineRule="auto"/>
        <w:tabs>
          <w:tab w:leader="none" w:pos="583" w:val="left"/>
        </w:tabs>
        <w:numPr>
          <w:ilvl w:val="1"/>
          <w:numId w:val="69"/>
        </w:numPr>
        <w:rPr>
          <w:rFonts w:ascii="Arial" w:cs="Arial" w:eastAsia="Arial" w:hAnsi="Arial"/>
          <w:sz w:val="15"/>
          <w:szCs w:val="15"/>
          <w:color w:val="auto"/>
        </w:rPr>
      </w:pPr>
      <w:r>
        <w:rPr>
          <w:rFonts w:ascii="Arial" w:cs="Arial" w:eastAsia="Arial" w:hAnsi="Arial"/>
          <w:sz w:val="15"/>
          <w:szCs w:val="15"/>
          <w:color w:val="auto"/>
        </w:rPr>
        <w:t>At December 31, 2016, 249 certificates of Annual Recognition of Payment for Work Progress (CRPAO from Spanish acronym) issued by the Government of Peru to finance projects and concessions, said issuance is a mechanism established in the concession agreement signed between the State and the concessionaire, which allows the latter to obtain financing to continue with the works undertaken. The investment in CRPAOs amounts to S/154.4 million with maturities between January 2017 and April 2026, accruing interest at an annual effective rate between 3.01 percent and 6.02 percent.</w:t>
      </w:r>
    </w:p>
    <w:p>
      <w:pPr>
        <w:spacing w:after="0" w:line="150" w:lineRule="exact"/>
        <w:rPr>
          <w:rFonts w:ascii="Arial" w:cs="Arial" w:eastAsia="Arial" w:hAnsi="Arial"/>
          <w:sz w:val="15"/>
          <w:szCs w:val="15"/>
          <w:color w:val="auto"/>
        </w:rPr>
      </w:pPr>
    </w:p>
    <w:p>
      <w:pPr>
        <w:ind w:left="283" w:hanging="283"/>
        <w:spacing w:after="0"/>
        <w:tabs>
          <w:tab w:leader="none" w:pos="283"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table below shows the balance of investments, by maturity groupings,before accrued interest:</w:t>
      </w:r>
    </w:p>
    <w:p>
      <w:pPr>
        <w:spacing w:after="0" w:line="211"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600" w:type="dxa"/>
            <w:vAlign w:val="bottom"/>
            <w:gridSpan w:val="2"/>
          </w:tcPr>
          <w:p>
            <w:pPr>
              <w:ind w:left="338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9"/>
        </w:trPr>
        <w:tc>
          <w:tcPr>
            <w:tcW w:w="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ind w:left="100"/>
              <w:spacing w:after="0" w:line="169" w:lineRule="exact"/>
              <w:rPr>
                <w:sz w:val="20"/>
                <w:szCs w:val="20"/>
                <w:color w:val="auto"/>
              </w:rPr>
            </w:pPr>
            <w:r>
              <w:rPr>
                <w:rFonts w:ascii="Arial" w:cs="Arial" w:eastAsia="Arial" w:hAnsi="Arial"/>
                <w:sz w:val="16"/>
                <w:szCs w:val="16"/>
                <w:b w:val="1"/>
                <w:bCs w:val="1"/>
                <w:color w:val="auto"/>
              </w:rPr>
              <w:t>Available for</w:t>
            </w:r>
          </w:p>
        </w:tc>
        <w:tc>
          <w:tcPr>
            <w:tcW w:w="120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Held to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720" w:type="dxa"/>
            <w:vAlign w:val="bottom"/>
            <w:gridSpan w:val="3"/>
          </w:tcPr>
          <w:p>
            <w:pPr>
              <w:jc w:val="right"/>
              <w:ind w:right="780"/>
              <w:spacing w:after="0"/>
              <w:rPr>
                <w:sz w:val="20"/>
                <w:szCs w:val="20"/>
                <w:color w:val="auto"/>
              </w:rPr>
            </w:pPr>
            <w:r>
              <w:rPr>
                <w:rFonts w:ascii="Arial" w:cs="Arial" w:eastAsia="Arial" w:hAnsi="Arial"/>
                <w:sz w:val="16"/>
                <w:szCs w:val="16"/>
                <w:b w:val="1"/>
                <w:bCs w:val="1"/>
                <w:color w:val="auto"/>
              </w:rPr>
              <w:t>Trading</w:t>
            </w:r>
          </w:p>
        </w:tc>
        <w:tc>
          <w:tcPr>
            <w:tcW w:w="1520" w:type="dxa"/>
            <w:vAlign w:val="bottom"/>
            <w:gridSpan w:val="3"/>
          </w:tcPr>
          <w:p>
            <w:pPr>
              <w:ind w:left="100"/>
              <w:spacing w:after="0"/>
              <w:rPr>
                <w:sz w:val="20"/>
                <w:szCs w:val="20"/>
                <w:color w:val="auto"/>
              </w:rPr>
            </w:pPr>
            <w:r>
              <w:rPr>
                <w:rFonts w:ascii="Arial" w:cs="Arial" w:eastAsia="Arial" w:hAnsi="Arial"/>
                <w:sz w:val="16"/>
                <w:szCs w:val="16"/>
                <w:b w:val="1"/>
                <w:bCs w:val="1"/>
                <w:color w:val="auto"/>
              </w:rPr>
              <w:t>sale</w:t>
            </w: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maturity</w:t>
            </w:r>
          </w:p>
        </w:tc>
        <w:tc>
          <w:tcPr>
            <w:tcW w:w="180" w:type="dxa"/>
            <w:vAlign w:val="bottom"/>
          </w:tcPr>
          <w:p>
            <w:pPr>
              <w:spacing w:after="0"/>
              <w:rPr>
                <w:sz w:val="18"/>
                <w:szCs w:val="18"/>
                <w:color w:val="auto"/>
              </w:rPr>
            </w:pPr>
          </w:p>
        </w:tc>
      </w:tr>
      <w:tr>
        <w:trPr>
          <w:trHeight w:val="202"/>
        </w:trPr>
        <w:tc>
          <w:tcPr>
            <w:tcW w:w="2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Until 3 months</w:t>
            </w:r>
          </w:p>
        </w:tc>
        <w:tc>
          <w:tcPr>
            <w:tcW w:w="4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341,995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1,260,163</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17,655</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From 3 months to 1 year</w:t>
            </w:r>
          </w:p>
        </w:tc>
        <w:tc>
          <w:tcPr>
            <w:tcW w:w="4600" w:type="dxa"/>
            <w:vAlign w:val="bottom"/>
            <w:gridSpan w:val="2"/>
          </w:tcPr>
          <w:p>
            <w:pPr>
              <w:jc w:val="right"/>
              <w:spacing w:after="0"/>
              <w:rPr>
                <w:sz w:val="20"/>
                <w:szCs w:val="20"/>
                <w:color w:val="auto"/>
              </w:rPr>
            </w:pPr>
            <w:r>
              <w:rPr>
                <w:rFonts w:ascii="Arial" w:cs="Arial" w:eastAsia="Arial" w:hAnsi="Arial"/>
                <w:sz w:val="16"/>
                <w:szCs w:val="16"/>
                <w:color w:val="auto"/>
              </w:rPr>
              <w:t>1,723,578</w:t>
            </w:r>
          </w:p>
        </w:tc>
        <w:tc>
          <w:tcPr>
            <w:tcW w:w="1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2,835,467</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807,319</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From 1 to 3 years</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1,166,274</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2,930,790</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956,812</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From 3 to 5 years</w:t>
            </w:r>
          </w:p>
        </w:tc>
        <w:tc>
          <w:tcPr>
            <w:tcW w:w="4720" w:type="dxa"/>
            <w:vAlign w:val="bottom"/>
            <w:gridSpan w:val="3"/>
          </w:tcPr>
          <w:p>
            <w:pPr>
              <w:jc w:val="right"/>
              <w:ind w:right="120"/>
              <w:spacing w:after="0"/>
              <w:rPr>
                <w:sz w:val="20"/>
                <w:szCs w:val="20"/>
                <w:color w:val="auto"/>
              </w:rPr>
            </w:pPr>
            <w:r>
              <w:rPr>
                <w:rFonts w:ascii="Arial" w:cs="Arial" w:eastAsia="Arial" w:hAnsi="Arial"/>
                <w:sz w:val="16"/>
                <w:szCs w:val="16"/>
                <w:color w:val="auto"/>
              </w:rPr>
              <w:t>329,590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1,361,623</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1,082,244</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Over 5 years</w:t>
            </w:r>
          </w:p>
        </w:tc>
        <w:tc>
          <w:tcPr>
            <w:tcW w:w="4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324,417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7,519,714</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2,152,774</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Without maturity</w:t>
            </w:r>
          </w:p>
        </w:tc>
        <w:tc>
          <w:tcPr>
            <w:tcW w:w="4720" w:type="dxa"/>
            <w:vAlign w:val="bottom"/>
            <w:gridSpan w:val="3"/>
          </w:tcPr>
          <w:p>
            <w:pPr>
              <w:jc w:val="right"/>
              <w:ind w:right="120"/>
              <w:spacing w:after="0"/>
              <w:rPr>
                <w:sz w:val="20"/>
                <w:szCs w:val="20"/>
                <w:color w:val="auto"/>
              </w:rPr>
            </w:pPr>
            <w:r>
              <w:rPr>
                <w:rFonts w:ascii="Arial" w:cs="Arial" w:eastAsia="Arial" w:hAnsi="Arial"/>
                <w:sz w:val="16"/>
                <w:szCs w:val="16"/>
                <w:color w:val="auto"/>
              </w:rPr>
              <w:t>126,330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2,620,155</w:t>
            </w:r>
          </w:p>
        </w:tc>
        <w:tc>
          <w:tcPr>
            <w:tcW w:w="220" w:type="dxa"/>
            <w:vAlign w:val="bottom"/>
          </w:tcPr>
          <w:p>
            <w:pPr>
              <w:spacing w:after="0"/>
              <w:rPr>
                <w:sz w:val="17"/>
                <w:szCs w:val="17"/>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r>
      <w:tr>
        <w:trPr>
          <w:trHeight w:val="198"/>
        </w:trPr>
        <w:tc>
          <w:tcPr>
            <w:tcW w:w="280" w:type="dxa"/>
            <w:vAlign w:val="bottom"/>
          </w:tcPr>
          <w:p>
            <w:pPr>
              <w:spacing w:after="0"/>
              <w:rPr>
                <w:sz w:val="17"/>
                <w:szCs w:val="17"/>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3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4,012,184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18,527,912</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5,016,804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391"/>
        </w:trPr>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600" w:type="dxa"/>
            <w:vAlign w:val="bottom"/>
            <w:gridSpan w:val="2"/>
          </w:tcPr>
          <w:p>
            <w:pPr>
              <w:ind w:left="338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9"/>
        </w:trPr>
        <w:tc>
          <w:tcPr>
            <w:tcW w:w="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ind w:left="100"/>
              <w:spacing w:after="0" w:line="169" w:lineRule="exact"/>
              <w:rPr>
                <w:sz w:val="20"/>
                <w:szCs w:val="20"/>
                <w:color w:val="auto"/>
              </w:rPr>
            </w:pPr>
            <w:r>
              <w:rPr>
                <w:rFonts w:ascii="Arial" w:cs="Arial" w:eastAsia="Arial" w:hAnsi="Arial"/>
                <w:sz w:val="16"/>
                <w:szCs w:val="16"/>
                <w:b w:val="1"/>
                <w:bCs w:val="1"/>
                <w:color w:val="auto"/>
              </w:rPr>
              <w:t>Available for</w:t>
            </w:r>
          </w:p>
        </w:tc>
        <w:tc>
          <w:tcPr>
            <w:tcW w:w="120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Held to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720" w:type="dxa"/>
            <w:vAlign w:val="bottom"/>
            <w:gridSpan w:val="3"/>
          </w:tcPr>
          <w:p>
            <w:pPr>
              <w:jc w:val="right"/>
              <w:ind w:right="780"/>
              <w:spacing w:after="0"/>
              <w:rPr>
                <w:sz w:val="20"/>
                <w:szCs w:val="20"/>
                <w:color w:val="auto"/>
              </w:rPr>
            </w:pPr>
            <w:r>
              <w:rPr>
                <w:rFonts w:ascii="Arial" w:cs="Arial" w:eastAsia="Arial" w:hAnsi="Arial"/>
                <w:sz w:val="16"/>
                <w:szCs w:val="16"/>
                <w:b w:val="1"/>
                <w:bCs w:val="1"/>
                <w:color w:val="auto"/>
              </w:rPr>
              <w:t>Trading</w:t>
            </w:r>
          </w:p>
        </w:tc>
        <w:tc>
          <w:tcPr>
            <w:tcW w:w="1520" w:type="dxa"/>
            <w:vAlign w:val="bottom"/>
            <w:gridSpan w:val="3"/>
          </w:tcPr>
          <w:p>
            <w:pPr>
              <w:ind w:left="100"/>
              <w:spacing w:after="0"/>
              <w:rPr>
                <w:sz w:val="20"/>
                <w:szCs w:val="20"/>
                <w:color w:val="auto"/>
              </w:rPr>
            </w:pPr>
            <w:r>
              <w:rPr>
                <w:rFonts w:ascii="Arial" w:cs="Arial" w:eastAsia="Arial" w:hAnsi="Arial"/>
                <w:sz w:val="16"/>
                <w:szCs w:val="16"/>
                <w:b w:val="1"/>
                <w:bCs w:val="1"/>
                <w:color w:val="auto"/>
              </w:rPr>
              <w:t>sale</w:t>
            </w: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maturity</w:t>
            </w:r>
          </w:p>
        </w:tc>
        <w:tc>
          <w:tcPr>
            <w:tcW w:w="180" w:type="dxa"/>
            <w:vAlign w:val="bottom"/>
          </w:tcPr>
          <w:p>
            <w:pPr>
              <w:spacing w:after="0"/>
              <w:rPr>
                <w:sz w:val="18"/>
                <w:szCs w:val="18"/>
                <w:color w:val="auto"/>
              </w:rPr>
            </w:pPr>
          </w:p>
        </w:tc>
      </w:tr>
      <w:tr>
        <w:trPr>
          <w:trHeight w:val="202"/>
        </w:trPr>
        <w:tc>
          <w:tcPr>
            <w:tcW w:w="2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4720" w:type="dxa"/>
            <w:vAlign w:val="bottom"/>
            <w:gridSpan w:val="3"/>
          </w:tcPr>
          <w:p>
            <w:pPr>
              <w:spacing w:after="0"/>
              <w:rPr>
                <w:sz w:val="15"/>
                <w:szCs w:val="15"/>
                <w:color w:val="auto"/>
              </w:rPr>
            </w:pPr>
          </w:p>
        </w:tc>
        <w:tc>
          <w:tcPr>
            <w:tcW w:w="13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Up to 3 months</w:t>
            </w:r>
          </w:p>
        </w:tc>
        <w:tc>
          <w:tcPr>
            <w:tcW w:w="4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929,653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2,743,417</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4,926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From 3 months to 1 year</w:t>
            </w:r>
          </w:p>
        </w:tc>
        <w:tc>
          <w:tcPr>
            <w:tcW w:w="4720" w:type="dxa"/>
            <w:vAlign w:val="bottom"/>
            <w:gridSpan w:val="3"/>
          </w:tcPr>
          <w:p>
            <w:pPr>
              <w:jc w:val="right"/>
              <w:ind w:right="120"/>
              <w:spacing w:after="0"/>
              <w:rPr>
                <w:sz w:val="20"/>
                <w:szCs w:val="20"/>
                <w:color w:val="auto"/>
              </w:rPr>
            </w:pPr>
            <w:r>
              <w:rPr>
                <w:rFonts w:ascii="Arial" w:cs="Arial" w:eastAsia="Arial" w:hAnsi="Arial"/>
                <w:sz w:val="16"/>
                <w:szCs w:val="16"/>
                <w:color w:val="auto"/>
              </w:rPr>
              <w:t>495,297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2,250,354</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14,548</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From 1 to 3 years</w:t>
            </w:r>
          </w:p>
        </w:tc>
        <w:tc>
          <w:tcPr>
            <w:tcW w:w="4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322,577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2,673,775</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803,179</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From 3 to 5 years</w:t>
            </w:r>
          </w:p>
        </w:tc>
        <w:tc>
          <w:tcPr>
            <w:tcW w:w="4720" w:type="dxa"/>
            <w:vAlign w:val="bottom"/>
            <w:gridSpan w:val="3"/>
          </w:tcPr>
          <w:p>
            <w:pPr>
              <w:jc w:val="right"/>
              <w:ind w:right="120"/>
              <w:spacing w:after="0"/>
              <w:rPr>
                <w:sz w:val="20"/>
                <w:szCs w:val="20"/>
                <w:color w:val="auto"/>
              </w:rPr>
            </w:pPr>
            <w:r>
              <w:rPr>
                <w:rFonts w:ascii="Arial" w:cs="Arial" w:eastAsia="Arial" w:hAnsi="Arial"/>
                <w:sz w:val="16"/>
                <w:szCs w:val="16"/>
                <w:color w:val="auto"/>
              </w:rPr>
              <w:t>210,752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1,422,860</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1,570,776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Over 5 years</w:t>
            </w:r>
          </w:p>
        </w:tc>
        <w:tc>
          <w:tcPr>
            <w:tcW w:w="4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257,753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6,731,968</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1,109,153</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Without maturity</w:t>
            </w:r>
          </w:p>
        </w:tc>
        <w:tc>
          <w:tcPr>
            <w:tcW w:w="4720" w:type="dxa"/>
            <w:vAlign w:val="bottom"/>
            <w:gridSpan w:val="3"/>
          </w:tcPr>
          <w:p>
            <w:pPr>
              <w:jc w:val="right"/>
              <w:ind w:right="120"/>
              <w:spacing w:after="0"/>
              <w:rPr>
                <w:sz w:val="20"/>
                <w:szCs w:val="20"/>
                <w:color w:val="auto"/>
              </w:rPr>
            </w:pPr>
            <w:r>
              <w:rPr>
                <w:rFonts w:ascii="Arial" w:cs="Arial" w:eastAsia="Arial" w:hAnsi="Arial"/>
                <w:sz w:val="16"/>
                <w:szCs w:val="16"/>
                <w:color w:val="auto"/>
              </w:rPr>
              <w:t>104,460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2,779,534</w:t>
            </w:r>
          </w:p>
        </w:tc>
        <w:tc>
          <w:tcPr>
            <w:tcW w:w="220" w:type="dxa"/>
            <w:vAlign w:val="bottom"/>
          </w:tcPr>
          <w:p>
            <w:pPr>
              <w:spacing w:after="0"/>
              <w:rPr>
                <w:sz w:val="17"/>
                <w:szCs w:val="17"/>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3440" w:type="dxa"/>
            <w:vAlign w:val="bottom"/>
            <w:tcBorders>
              <w:top w:val="single" w:sz="8" w:color="CCEEFF"/>
            </w:tcBorders>
            <w:shd w:val="clear" w:color="auto" w:fill="CCEEFF"/>
          </w:tcPr>
          <w:p>
            <w:pPr>
              <w:spacing w:after="0"/>
              <w:rPr>
                <w:sz w:val="16"/>
                <w:szCs w:val="16"/>
                <w:color w:val="auto"/>
              </w:rPr>
            </w:pPr>
          </w:p>
        </w:tc>
        <w:tc>
          <w:tcPr>
            <w:tcW w:w="33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2,320,492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18,601,908</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3,502,582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572"/>
        </w:trPr>
        <w:tc>
          <w:tcPr>
            <w:tcW w:w="2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color w:val="auto"/>
              </w:rPr>
              <w:t>- 60 -</w:t>
            </w: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3"/>
          </w:cols>
          <w:pgMar w:left="237" w:top="828" w:right="219" w:bottom="1440" w:gutter="0" w:footer="0" w:header="0"/>
        </w:sectPr>
      </w:pPr>
    </w:p>
    <w:bookmarkStart w:id="65" w:name="page66"/>
    <w:bookmarkEnd w:id="65"/>
    <w:p>
      <w:pPr>
        <w:ind w:left="583" w:hanging="583"/>
        <w:spacing w:after="0"/>
        <w:tabs>
          <w:tab w:leader="none" w:pos="583"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LOANS, NET</w:t>
      </w:r>
    </w:p>
    <w:p>
      <w:pPr>
        <w:spacing w:after="0" w:line="207" w:lineRule="exact"/>
        <w:rPr>
          <w:sz w:val="20"/>
          <w:szCs w:val="20"/>
          <w:color w:val="auto"/>
        </w:rPr>
      </w:pPr>
    </w:p>
    <w:tbl>
      <w:tblPr>
        <w:tblLayout w:type="fixed"/>
        <w:tblInd w:w="3" w:type="dxa"/>
        <w:tblCellMar>
          <w:top w:w="0" w:type="dxa"/>
          <w:left w:w="0" w:type="dxa"/>
          <w:bottom w:w="0" w:type="dxa"/>
          <w:right w:w="0" w:type="dxa"/>
        </w:tblCellMar>
      </w:tblPr>
      <w:tr>
        <w:trPr>
          <w:trHeight w:val="206"/>
        </w:trPr>
        <w:tc>
          <w:tcPr>
            <w:tcW w:w="280" w:type="dxa"/>
            <w:vAlign w:val="bottom"/>
          </w:tcPr>
          <w:p>
            <w:pPr>
              <w:spacing w:after="0"/>
              <w:rPr>
                <w:sz w:val="20"/>
                <w:szCs w:val="20"/>
                <w:color w:val="auto"/>
              </w:rPr>
            </w:pPr>
            <w:r>
              <w:rPr>
                <w:rFonts w:ascii="Arial" w:cs="Arial" w:eastAsia="Arial" w:hAnsi="Arial"/>
                <w:sz w:val="16"/>
                <w:szCs w:val="16"/>
                <w:color w:val="auto"/>
              </w:rPr>
              <w:t>a)</w:t>
            </w:r>
          </w:p>
        </w:tc>
        <w:tc>
          <w:tcPr>
            <w:tcW w:w="8260" w:type="dxa"/>
            <w:vAlign w:val="bottom"/>
          </w:tcPr>
          <w:p>
            <w:pPr>
              <w:spacing w:after="0"/>
              <w:rPr>
                <w:sz w:val="20"/>
                <w:szCs w:val="20"/>
                <w:color w:val="auto"/>
              </w:rPr>
            </w:pPr>
            <w:r>
              <w:rPr>
                <w:rFonts w:ascii="Arial" w:cs="Arial" w:eastAsia="Arial" w:hAnsi="Arial"/>
                <w:sz w:val="16"/>
                <w:szCs w:val="16"/>
                <w:color w:val="auto"/>
              </w:rPr>
              <w:t>This item consists of the following:</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9"/>
        </w:trPr>
        <w:tc>
          <w:tcPr>
            <w:tcW w:w="2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4"/>
                <w:szCs w:val="2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4"/>
                <w:szCs w:val="24"/>
                <w:color w:val="auto"/>
              </w:rPr>
            </w:pPr>
          </w:p>
        </w:tc>
      </w:tr>
      <w:tr>
        <w:trPr>
          <w:trHeight w:val="202"/>
        </w:trPr>
        <w:tc>
          <w:tcPr>
            <w:tcW w:w="28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Direct loans</w:t>
            </w: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Arial" w:cs="Arial" w:eastAsia="Arial" w:hAnsi="Arial"/>
                <w:sz w:val="16"/>
                <w:szCs w:val="16"/>
                <w:color w:val="auto"/>
              </w:rPr>
              <w:t>Loans</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71,792,562</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67,034,751</w:t>
            </w: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Leasing receivables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8,302,898</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9,574,964</w:t>
            </w: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Arial" w:cs="Arial" w:eastAsia="Arial" w:hAnsi="Arial"/>
                <w:sz w:val="16"/>
                <w:szCs w:val="16"/>
                <w:color w:val="auto"/>
              </w:rPr>
              <w:t>Credit card</w:t>
            </w:r>
          </w:p>
        </w:tc>
        <w:tc>
          <w:tcPr>
            <w:tcW w:w="1200" w:type="dxa"/>
            <w:vAlign w:val="bottom"/>
          </w:tcPr>
          <w:p>
            <w:pPr>
              <w:jc w:val="right"/>
              <w:spacing w:after="0"/>
              <w:rPr>
                <w:sz w:val="20"/>
                <w:szCs w:val="20"/>
                <w:color w:val="auto"/>
              </w:rPr>
            </w:pPr>
            <w:r>
              <w:rPr>
                <w:rFonts w:ascii="Arial" w:cs="Arial" w:eastAsia="Arial" w:hAnsi="Arial"/>
                <w:sz w:val="16"/>
                <w:szCs w:val="16"/>
                <w:color w:val="auto"/>
              </w:rPr>
              <w:t>7,036,975</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6,954,298</w:t>
            </w: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Discounted notes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1,921,403</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1,794,928</w:t>
            </w: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Arial" w:cs="Arial" w:eastAsia="Arial" w:hAnsi="Arial"/>
                <w:sz w:val="16"/>
                <w:szCs w:val="16"/>
                <w:color w:val="auto"/>
              </w:rPr>
              <w:t>Factoring receivables</w:t>
            </w:r>
          </w:p>
        </w:tc>
        <w:tc>
          <w:tcPr>
            <w:tcW w:w="1200" w:type="dxa"/>
            <w:vAlign w:val="bottom"/>
          </w:tcPr>
          <w:p>
            <w:pPr>
              <w:jc w:val="right"/>
              <w:spacing w:after="0"/>
              <w:rPr>
                <w:sz w:val="20"/>
                <w:szCs w:val="20"/>
                <w:color w:val="auto"/>
              </w:rPr>
            </w:pPr>
            <w:r>
              <w:rPr>
                <w:rFonts w:ascii="Arial" w:cs="Arial" w:eastAsia="Arial" w:hAnsi="Arial"/>
                <w:sz w:val="16"/>
                <w:szCs w:val="16"/>
                <w:color w:val="auto"/>
              </w:rPr>
              <w:t>1,428,571</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1,261,516</w:t>
            </w: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Advances and overdrafts in current account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151,613</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75,220</w:t>
            </w: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Arial" w:cs="Arial" w:eastAsia="Arial" w:hAnsi="Arial"/>
                <w:sz w:val="16"/>
                <w:szCs w:val="16"/>
                <w:color w:val="auto"/>
              </w:rPr>
              <w:t>Refinanced loans</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844,830</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769,309</w:t>
            </w:r>
          </w:p>
        </w:tc>
      </w:tr>
      <w:tr>
        <w:trPr>
          <w:trHeight w:val="205"/>
        </w:trPr>
        <w:tc>
          <w:tcPr>
            <w:tcW w:w="280" w:type="dxa"/>
            <w:vAlign w:val="bottom"/>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Restructured loans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5"/>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Arial" w:cs="Arial" w:eastAsia="Arial" w:hAnsi="Arial"/>
                <w:sz w:val="16"/>
                <w:szCs w:val="16"/>
                <w:b w:val="1"/>
                <w:bCs w:val="1"/>
                <w:color w:val="auto"/>
              </w:rPr>
              <w:t>Total direct loans</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91,478,978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87,464,986</w:t>
            </w:r>
          </w:p>
        </w:tc>
        <w:tc>
          <w:tcPr>
            <w:tcW w:w="10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Arial" w:cs="Arial" w:eastAsia="Arial" w:hAnsi="Arial"/>
                <w:sz w:val="16"/>
                <w:szCs w:val="16"/>
                <w:color w:val="auto"/>
              </w:rPr>
              <w:t>Internal overdue loans and under legal collection loans</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2,620,411</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2,311,242</w:t>
            </w:r>
          </w:p>
        </w:tc>
      </w:tr>
      <w:tr>
        <w:trPr>
          <w:trHeight w:val="185"/>
        </w:trPr>
        <w:tc>
          <w:tcPr>
            <w:tcW w:w="280" w:type="dxa"/>
            <w:vAlign w:val="bottom"/>
          </w:tcPr>
          <w:p>
            <w:pPr>
              <w:spacing w:after="0"/>
              <w:rPr>
                <w:sz w:val="16"/>
                <w:szCs w:val="16"/>
                <w:color w:val="auto"/>
              </w:rPr>
            </w:pPr>
          </w:p>
        </w:tc>
        <w:tc>
          <w:tcPr>
            <w:tcW w:w="82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94,099,389</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89,776,228</w:t>
            </w:r>
          </w:p>
        </w:tc>
        <w:tc>
          <w:tcPr>
            <w:tcW w:w="100" w:type="dxa"/>
            <w:vAlign w:val="bottom"/>
            <w:tcBorders>
              <w:top w:val="single" w:sz="8" w:color="CCEEFF"/>
            </w:tcBorders>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Arial" w:cs="Arial" w:eastAsia="Arial" w:hAnsi="Arial"/>
                <w:sz w:val="16"/>
                <w:szCs w:val="16"/>
                <w:b w:val="1"/>
                <w:bCs w:val="1"/>
                <w:color w:val="auto"/>
              </w:rPr>
              <w:t>Add (less) -</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784,391</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744,652</w:t>
            </w:r>
          </w:p>
        </w:tc>
      </w:tr>
      <w:tr>
        <w:trPr>
          <w:trHeight w:val="205"/>
        </w:trPr>
        <w:tc>
          <w:tcPr>
            <w:tcW w:w="28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Arial" w:cs="Arial" w:eastAsia="Arial" w:hAnsi="Arial"/>
                <w:sz w:val="16"/>
                <w:szCs w:val="16"/>
                <w:color w:val="auto"/>
              </w:rPr>
              <w:t>Unearned interests</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(114,879)</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(192,381)</w:t>
            </w:r>
          </w:p>
        </w:tc>
      </w:tr>
      <w:tr>
        <w:trPr>
          <w:trHeight w:val="185"/>
        </w:trPr>
        <w:tc>
          <w:tcPr>
            <w:tcW w:w="280" w:type="dxa"/>
            <w:vAlign w:val="bottom"/>
          </w:tcPr>
          <w:p>
            <w:pPr>
              <w:spacing w:after="0"/>
              <w:rPr>
                <w:sz w:val="16"/>
                <w:szCs w:val="16"/>
                <w:color w:val="auto"/>
              </w:rPr>
            </w:pPr>
          </w:p>
        </w:tc>
        <w:tc>
          <w:tcPr>
            <w:tcW w:w="8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direct loans</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94,768,901</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90,328,499</w:t>
            </w:r>
          </w:p>
        </w:tc>
        <w:tc>
          <w:tcPr>
            <w:tcW w:w="100" w:type="dxa"/>
            <w:vAlign w:val="bottom"/>
            <w:tcBorders>
              <w:top w:val="single" w:sz="8" w:color="CCEEFF"/>
            </w:tcBorders>
            <w:shd w:val="clear" w:color="auto" w:fill="CCEEFF"/>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Arial" w:cs="Arial" w:eastAsia="Arial" w:hAnsi="Arial"/>
                <w:sz w:val="16"/>
                <w:szCs w:val="16"/>
                <w:color w:val="auto"/>
              </w:rPr>
              <w:t>Allowance for loan losses (d)</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(4,207,133)</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(3,840,337)</w:t>
            </w:r>
          </w:p>
        </w:tc>
      </w:tr>
      <w:tr>
        <w:trPr>
          <w:trHeight w:val="185"/>
        </w:trPr>
        <w:tc>
          <w:tcPr>
            <w:tcW w:w="280" w:type="dxa"/>
            <w:vAlign w:val="bottom"/>
          </w:tcPr>
          <w:p>
            <w:pPr>
              <w:spacing w:after="0"/>
              <w:rPr>
                <w:sz w:val="16"/>
                <w:szCs w:val="16"/>
                <w:color w:val="auto"/>
              </w:rPr>
            </w:pPr>
          </w:p>
        </w:tc>
        <w:tc>
          <w:tcPr>
            <w:tcW w:w="8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direct loans, net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90,561,768</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86,488,162</w:t>
            </w:r>
          </w:p>
        </w:tc>
        <w:tc>
          <w:tcPr>
            <w:tcW w:w="100" w:type="dxa"/>
            <w:vAlign w:val="bottom"/>
            <w:tcBorders>
              <w:top w:val="single" w:sz="8" w:color="CCEEFF"/>
            </w:tcBorders>
            <w:shd w:val="clear" w:color="auto" w:fill="CCEEFF"/>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Indirect loans, note 21(a)</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19,831,985</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19,004,680</w:t>
            </w:r>
          </w:p>
        </w:tc>
      </w:tr>
      <w:tr>
        <w:trPr>
          <w:trHeight w:val="379"/>
        </w:trPr>
        <w:tc>
          <w:tcPr>
            <w:tcW w:w="280" w:type="dxa"/>
            <w:vAlign w:val="bottom"/>
          </w:tcPr>
          <w:p>
            <w:pPr>
              <w:spacing w:after="0"/>
              <w:rPr>
                <w:sz w:val="20"/>
                <w:szCs w:val="20"/>
                <w:color w:val="auto"/>
              </w:rPr>
            </w:pPr>
            <w:r>
              <w:rPr>
                <w:rFonts w:ascii="Arial" w:cs="Arial" w:eastAsia="Arial" w:hAnsi="Arial"/>
                <w:sz w:val="16"/>
                <w:szCs w:val="16"/>
                <w:color w:val="auto"/>
              </w:rPr>
              <w:t>b)</w:t>
            </w:r>
          </w:p>
        </w:tc>
        <w:tc>
          <w:tcPr>
            <w:tcW w:w="8260" w:type="dxa"/>
            <w:vAlign w:val="bottom"/>
          </w:tcPr>
          <w:p>
            <w:pPr>
              <w:spacing w:after="0"/>
              <w:rPr>
                <w:sz w:val="20"/>
                <w:szCs w:val="20"/>
                <w:color w:val="auto"/>
              </w:rPr>
            </w:pPr>
            <w:r>
              <w:rPr>
                <w:rFonts w:ascii="Arial" w:cs="Arial" w:eastAsia="Arial" w:hAnsi="Arial"/>
                <w:sz w:val="16"/>
                <w:szCs w:val="16"/>
                <w:color w:val="auto"/>
              </w:rPr>
              <w:t>Direct loans by class are as follows:</w:t>
            </w: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99"/>
        </w:trPr>
        <w:tc>
          <w:tcPr>
            <w:tcW w:w="2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4"/>
                <w:szCs w:val="2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4"/>
                <w:szCs w:val="24"/>
                <w:color w:val="auto"/>
              </w:rPr>
            </w:pPr>
          </w:p>
        </w:tc>
      </w:tr>
      <w:tr>
        <w:trPr>
          <w:trHeight w:val="202"/>
        </w:trPr>
        <w:tc>
          <w:tcPr>
            <w:tcW w:w="28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420" w:type="dxa"/>
            <w:vAlign w:val="bottom"/>
            <w:gridSpan w:val="2"/>
          </w:tcPr>
          <w:p>
            <w:pPr>
              <w:spacing w:after="0"/>
              <w:rPr>
                <w:sz w:val="15"/>
                <w:szCs w:val="15"/>
                <w:color w:val="auto"/>
              </w:rPr>
            </w:pPr>
          </w:p>
        </w:tc>
        <w:tc>
          <w:tcPr>
            <w:tcW w:w="1300" w:type="dxa"/>
            <w:vAlign w:val="bottom"/>
            <w:gridSpan w:val="3"/>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Commercial loans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54,133,871</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53,852,207</w:t>
            </w: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Arial" w:cs="Arial" w:eastAsia="Arial" w:hAnsi="Arial"/>
                <w:sz w:val="16"/>
                <w:szCs w:val="16"/>
                <w:color w:val="auto"/>
              </w:rPr>
              <w:t>Residential mortgage loans</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14,495,454</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13,258,992</w:t>
            </w: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Consumer loans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12,518,436</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13,878,711</w:t>
            </w:r>
          </w:p>
        </w:tc>
      </w:tr>
      <w:tr>
        <w:trPr>
          <w:trHeight w:val="205"/>
        </w:trPr>
        <w:tc>
          <w:tcPr>
            <w:tcW w:w="28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Arial" w:cs="Arial" w:eastAsia="Arial" w:hAnsi="Arial"/>
                <w:sz w:val="16"/>
                <w:szCs w:val="16"/>
                <w:color w:val="auto"/>
              </w:rPr>
              <w:t>Micro-business loans</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12,951,628</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8,786,318</w:t>
            </w:r>
          </w:p>
        </w:tc>
      </w:tr>
      <w:tr>
        <w:trPr>
          <w:trHeight w:val="185"/>
        </w:trPr>
        <w:tc>
          <w:tcPr>
            <w:tcW w:w="280" w:type="dxa"/>
            <w:vAlign w:val="bottom"/>
          </w:tcPr>
          <w:p>
            <w:pPr>
              <w:spacing w:after="0"/>
              <w:rPr>
                <w:sz w:val="16"/>
                <w:szCs w:val="16"/>
                <w:color w:val="auto"/>
              </w:rPr>
            </w:pPr>
          </w:p>
        </w:tc>
        <w:tc>
          <w:tcPr>
            <w:tcW w:w="8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94,099,389</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89,776,228</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1" w:lineRule="exact"/>
        <w:rPr>
          <w:sz w:val="20"/>
          <w:szCs w:val="20"/>
          <w:color w:val="auto"/>
        </w:rPr>
      </w:pPr>
    </w:p>
    <w:p>
      <w:pPr>
        <w:ind w:left="283" w:hanging="283"/>
        <w:spacing w:after="0"/>
        <w:tabs>
          <w:tab w:leader="none" w:pos="283"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Interest rates on loans are set considering the rates prevailing in the markets where the Group’s subsidiaries operate.</w:t>
      </w:r>
    </w:p>
    <w:p>
      <w:pPr>
        <w:spacing w:after="0" w:line="396" w:lineRule="exact"/>
        <w:rPr>
          <w:rFonts w:ascii="Arial" w:cs="Arial" w:eastAsia="Arial" w:hAnsi="Arial"/>
          <w:sz w:val="16"/>
          <w:szCs w:val="16"/>
          <w:color w:val="auto"/>
        </w:rPr>
      </w:pPr>
    </w:p>
    <w:p>
      <w:pPr>
        <w:ind w:left="5643" w:hanging="94"/>
        <w:spacing w:after="0"/>
        <w:tabs>
          <w:tab w:leader="none" w:pos="5643" w:val="left"/>
        </w:tabs>
        <w:numPr>
          <w:ilvl w:val="1"/>
          <w:numId w:val="71"/>
        </w:numPr>
        <w:rPr>
          <w:rFonts w:ascii="Arial" w:cs="Arial" w:eastAsia="Arial" w:hAnsi="Arial"/>
          <w:sz w:val="16"/>
          <w:szCs w:val="16"/>
          <w:color w:val="auto"/>
        </w:rPr>
      </w:pPr>
      <w:r>
        <w:rPr>
          <w:rFonts w:ascii="Arial" w:cs="Arial" w:eastAsia="Arial" w:hAnsi="Arial"/>
          <w:sz w:val="16"/>
          <w:szCs w:val="16"/>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63"/>
          </w:cols>
          <w:pgMar w:left="237" w:top="824" w:right="399" w:bottom="1440" w:gutter="0" w:footer="0" w:header="0"/>
        </w:sectPr>
      </w:pPr>
    </w:p>
    <w:bookmarkStart w:id="66" w:name="page67"/>
    <w:bookmarkEnd w:id="66"/>
    <w:p>
      <w:pPr>
        <w:spacing w:after="0"/>
        <w:tabs>
          <w:tab w:leader="none" w:pos="26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4"/>
          <w:szCs w:val="14"/>
          <w:color w:val="auto"/>
        </w:rPr>
        <w:t>The movement in the allowance for loan losses (direct and indirect loans) is shown below:</w:t>
      </w:r>
    </w:p>
    <w:p>
      <w:pPr>
        <w:spacing w:after="0" w:line="211"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1900" w:type="dxa"/>
            <w:vAlign w:val="bottom"/>
            <w:gridSpan w:val="2"/>
          </w:tcPr>
          <w:p>
            <w:pPr>
              <w:ind w:left="660"/>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9"/>
        </w:trPr>
        <w:tc>
          <w:tcPr>
            <w:tcW w:w="3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Residential</w:t>
            </w:r>
          </w:p>
        </w:tc>
        <w:tc>
          <w:tcPr>
            <w:tcW w:w="1420" w:type="dxa"/>
            <w:vAlign w:val="bottom"/>
            <w:tcBorders>
              <w:top w:val="single" w:sz="8" w:color="auto"/>
            </w:tcBorders>
            <w:gridSpan w:val="3"/>
          </w:tcPr>
          <w:p>
            <w:pPr>
              <w:ind w:left="80"/>
              <w:spacing w:after="0" w:line="169" w:lineRule="exact"/>
              <w:rPr>
                <w:sz w:val="20"/>
                <w:szCs w:val="20"/>
                <w:color w:val="auto"/>
              </w:rPr>
            </w:pPr>
            <w:r>
              <w:rPr>
                <w:rFonts w:ascii="Arial" w:cs="Arial" w:eastAsia="Arial" w:hAnsi="Arial"/>
                <w:sz w:val="16"/>
                <w:szCs w:val="16"/>
                <w:b w:val="1"/>
                <w:bCs w:val="1"/>
                <w:color w:val="auto"/>
              </w:rPr>
              <w:t>Micro-business</w:t>
            </w: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3320" w:type="dxa"/>
            <w:vAlign w:val="bottom"/>
          </w:tcPr>
          <w:p>
            <w:pPr>
              <w:spacing w:after="0"/>
              <w:rPr>
                <w:sz w:val="18"/>
                <w:szCs w:val="18"/>
                <w:color w:val="auto"/>
              </w:rPr>
            </w:pPr>
          </w:p>
        </w:tc>
        <w:tc>
          <w:tcPr>
            <w:tcW w:w="2120" w:type="dxa"/>
            <w:vAlign w:val="bottom"/>
            <w:gridSpan w:val="3"/>
          </w:tcPr>
          <w:p>
            <w:pPr>
              <w:ind w:left="660"/>
              <w:spacing w:after="0"/>
              <w:rPr>
                <w:sz w:val="20"/>
                <w:szCs w:val="20"/>
                <w:color w:val="auto"/>
              </w:rPr>
            </w:pPr>
            <w:r>
              <w:rPr>
                <w:rFonts w:ascii="Arial" w:cs="Arial" w:eastAsia="Arial" w:hAnsi="Arial"/>
                <w:sz w:val="16"/>
                <w:szCs w:val="16"/>
                <w:b w:val="1"/>
                <w:bCs w:val="1"/>
                <w:color w:val="auto"/>
              </w:rPr>
              <w:t>Commercial loans</w:t>
            </w: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mortgage loans</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loans</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Consumer loans</w:t>
            </w:r>
          </w:p>
        </w:tc>
        <w:tc>
          <w:tcPr>
            <w:tcW w:w="1300" w:type="dxa"/>
            <w:vAlign w:val="bottom"/>
            <w:gridSpan w:val="4"/>
          </w:tcPr>
          <w:p>
            <w:pPr>
              <w:spacing w:after="0"/>
              <w:rPr>
                <w:sz w:val="20"/>
                <w:szCs w:val="20"/>
                <w:color w:val="auto"/>
              </w:rPr>
            </w:pPr>
            <w:r>
              <w:rPr>
                <w:rFonts w:ascii="Arial" w:cs="Arial" w:eastAsia="Arial" w:hAnsi="Arial"/>
                <w:sz w:val="16"/>
                <w:szCs w:val="16"/>
                <w:b w:val="1"/>
                <w:bCs w:val="1"/>
                <w:color w:val="auto"/>
              </w:rPr>
              <w:t>Total</w:t>
            </w:r>
          </w:p>
        </w:tc>
      </w:tr>
      <w:tr>
        <w:trPr>
          <w:trHeight w:val="202"/>
        </w:trPr>
        <w:tc>
          <w:tcPr>
            <w:tcW w:w="3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7"/>
        </w:trPr>
        <w:tc>
          <w:tcPr>
            <w:tcW w:w="3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3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the beginning of the period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1,197,713</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173,879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1,372,099</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1,288,528</w:t>
            </w:r>
          </w:p>
        </w:tc>
        <w:tc>
          <w:tcPr>
            <w:tcW w:w="2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4,032,219</w:t>
            </w:r>
          </w:p>
        </w:tc>
        <w:tc>
          <w:tcPr>
            <w:tcW w:w="80" w:type="dxa"/>
            <w:vAlign w:val="bottom"/>
            <w:shd w:val="clear" w:color="auto" w:fill="CCEEFF"/>
          </w:tcPr>
          <w:p>
            <w:pPr>
              <w:spacing w:after="0"/>
              <w:rPr>
                <w:sz w:val="16"/>
                <w:szCs w:val="16"/>
                <w:color w:val="auto"/>
              </w:rPr>
            </w:pPr>
          </w:p>
        </w:tc>
      </w:tr>
      <w:tr>
        <w:trPr>
          <w:trHeight w:val="193"/>
        </w:trPr>
        <w:tc>
          <w:tcPr>
            <w:tcW w:w="3320" w:type="dxa"/>
            <w:vAlign w:val="bottom"/>
          </w:tcPr>
          <w:p>
            <w:pPr>
              <w:spacing w:after="0"/>
              <w:rPr>
                <w:sz w:val="20"/>
                <w:szCs w:val="20"/>
                <w:color w:val="auto"/>
              </w:rPr>
            </w:pPr>
            <w:r>
              <w:rPr>
                <w:rFonts w:ascii="Arial" w:cs="Arial" w:eastAsia="Arial" w:hAnsi="Arial"/>
                <w:sz w:val="16"/>
                <w:szCs w:val="16"/>
                <w:color w:val="auto"/>
              </w:rPr>
              <w:t>Provision, net of recoveries</w:t>
            </w:r>
          </w:p>
        </w:tc>
        <w:tc>
          <w:tcPr>
            <w:tcW w:w="2120" w:type="dxa"/>
            <w:vAlign w:val="bottom"/>
            <w:gridSpan w:val="3"/>
          </w:tcPr>
          <w:p>
            <w:pPr>
              <w:jc w:val="right"/>
              <w:ind w:right="220"/>
              <w:spacing w:after="0"/>
              <w:rPr>
                <w:sz w:val="20"/>
                <w:szCs w:val="20"/>
                <w:color w:val="auto"/>
              </w:rPr>
            </w:pPr>
            <w:r>
              <w:rPr>
                <w:rFonts w:ascii="Arial" w:cs="Arial" w:eastAsia="Arial" w:hAnsi="Arial"/>
                <w:sz w:val="16"/>
                <w:szCs w:val="16"/>
                <w:color w:val="auto"/>
              </w:rPr>
              <w:t>25,567</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26,845</w:t>
            </w: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538,233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1,194,850</w:t>
            </w:r>
          </w:p>
        </w:tc>
        <w:tc>
          <w:tcPr>
            <w:tcW w:w="220" w:type="dxa"/>
            <w:vAlign w:val="bottom"/>
          </w:tcPr>
          <w:p>
            <w:pPr>
              <w:spacing w:after="0"/>
              <w:rPr>
                <w:sz w:val="16"/>
                <w:szCs w:val="16"/>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1,785,495</w:t>
            </w:r>
          </w:p>
        </w:tc>
        <w:tc>
          <w:tcPr>
            <w:tcW w:w="80" w:type="dxa"/>
            <w:vAlign w:val="bottom"/>
          </w:tcPr>
          <w:p>
            <w:pPr>
              <w:spacing w:after="0"/>
              <w:rPr>
                <w:sz w:val="16"/>
                <w:szCs w:val="16"/>
                <w:color w:val="auto"/>
              </w:rPr>
            </w:pPr>
          </w:p>
        </w:tc>
      </w:tr>
      <w:tr>
        <w:trPr>
          <w:trHeight w:val="193"/>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Recovery of written-off loans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219,986</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814</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50,588</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6,326</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277,714</w:t>
            </w:r>
          </w:p>
        </w:tc>
        <w:tc>
          <w:tcPr>
            <w:tcW w:w="80" w:type="dxa"/>
            <w:vAlign w:val="bottom"/>
            <w:shd w:val="clear" w:color="auto" w:fill="CCEEFF"/>
          </w:tcPr>
          <w:p>
            <w:pPr>
              <w:spacing w:after="0"/>
              <w:rPr>
                <w:sz w:val="16"/>
                <w:szCs w:val="16"/>
                <w:color w:val="auto"/>
              </w:rPr>
            </w:pPr>
          </w:p>
        </w:tc>
      </w:tr>
      <w:tr>
        <w:trPr>
          <w:trHeight w:val="193"/>
        </w:trPr>
        <w:tc>
          <w:tcPr>
            <w:tcW w:w="3320" w:type="dxa"/>
            <w:vAlign w:val="bottom"/>
          </w:tcPr>
          <w:p>
            <w:pPr>
              <w:spacing w:after="0"/>
              <w:rPr>
                <w:sz w:val="20"/>
                <w:szCs w:val="20"/>
                <w:color w:val="auto"/>
              </w:rPr>
            </w:pPr>
            <w:r>
              <w:rPr>
                <w:rFonts w:ascii="Arial" w:cs="Arial" w:eastAsia="Arial" w:hAnsi="Arial"/>
                <w:sz w:val="16"/>
                <w:szCs w:val="16"/>
                <w:color w:val="auto"/>
              </w:rPr>
              <w:t>Loan portfolio written-off</w:t>
            </w:r>
          </w:p>
        </w:tc>
        <w:tc>
          <w:tcPr>
            <w:tcW w:w="2120" w:type="dxa"/>
            <w:vAlign w:val="bottom"/>
            <w:gridSpan w:val="3"/>
          </w:tcPr>
          <w:p>
            <w:pPr>
              <w:jc w:val="right"/>
              <w:ind w:right="160"/>
              <w:spacing w:after="0"/>
              <w:rPr>
                <w:sz w:val="20"/>
                <w:szCs w:val="20"/>
                <w:color w:val="auto"/>
              </w:rPr>
            </w:pPr>
            <w:r>
              <w:rPr>
                <w:rFonts w:ascii="Arial" w:cs="Arial" w:eastAsia="Arial" w:hAnsi="Arial"/>
                <w:sz w:val="16"/>
                <w:szCs w:val="16"/>
                <w:color w:val="auto"/>
              </w:rPr>
              <w:t>(143,871)</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(7,877)</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(606,546)</w:t>
            </w:r>
          </w:p>
        </w:tc>
        <w:tc>
          <w:tcPr>
            <w:tcW w:w="1500" w:type="dxa"/>
            <w:vAlign w:val="bottom"/>
            <w:gridSpan w:val="3"/>
          </w:tcPr>
          <w:p>
            <w:pPr>
              <w:jc w:val="right"/>
              <w:ind w:right="160"/>
              <w:spacing w:after="0"/>
              <w:rPr>
                <w:sz w:val="20"/>
                <w:szCs w:val="20"/>
                <w:color w:val="auto"/>
              </w:rPr>
            </w:pPr>
            <w:r>
              <w:rPr>
                <w:rFonts w:ascii="Arial" w:cs="Arial" w:eastAsia="Arial" w:hAnsi="Arial"/>
                <w:sz w:val="16"/>
                <w:szCs w:val="16"/>
                <w:color w:val="auto"/>
              </w:rPr>
              <w:t>(853,844)</w:t>
            </w: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(1,612,138)</w:t>
            </w: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Exchange difference and others</w:t>
            </w:r>
          </w:p>
        </w:tc>
        <w:tc>
          <w:tcPr>
            <w:tcW w:w="21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(63,425)</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(276)</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(1,206)</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(1,691)</w:t>
            </w: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(66,598)</w:t>
            </w:r>
          </w:p>
        </w:tc>
      </w:tr>
      <w:tr>
        <w:trPr>
          <w:trHeight w:val="198"/>
        </w:trPr>
        <w:tc>
          <w:tcPr>
            <w:tcW w:w="3320" w:type="dxa"/>
            <w:vAlign w:val="bottom"/>
          </w:tcPr>
          <w:p>
            <w:pPr>
              <w:spacing w:after="0"/>
              <w:rPr>
                <w:sz w:val="20"/>
                <w:szCs w:val="20"/>
                <w:color w:val="auto"/>
              </w:rPr>
            </w:pPr>
            <w:r>
              <w:rPr>
                <w:rFonts w:ascii="Arial" w:cs="Arial" w:eastAsia="Arial" w:hAnsi="Arial"/>
                <w:sz w:val="16"/>
                <w:szCs w:val="16"/>
                <w:b w:val="1"/>
                <w:bCs w:val="1"/>
                <w:color w:val="auto"/>
              </w:rPr>
              <w:t>Balances at the end of the period (*)</w:t>
            </w:r>
          </w:p>
        </w:tc>
        <w:tc>
          <w:tcPr>
            <w:tcW w:w="66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1,235,970</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193,385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1,353,168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1,634,169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4,416,692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1"/>
        </w:trPr>
        <w:tc>
          <w:tcPr>
            <w:tcW w:w="3320" w:type="dxa"/>
            <w:vAlign w:val="bottom"/>
          </w:tcPr>
          <w:p>
            <w:pPr>
              <w:spacing w:after="0"/>
              <w:rPr>
                <w:sz w:val="24"/>
                <w:szCs w:val="24"/>
                <w:color w:val="auto"/>
              </w:rPr>
            </w:pPr>
          </w:p>
        </w:tc>
        <w:tc>
          <w:tcPr>
            <w:tcW w:w="1900" w:type="dxa"/>
            <w:vAlign w:val="bottom"/>
            <w:gridSpan w:val="2"/>
          </w:tcPr>
          <w:p>
            <w:pPr>
              <w:ind w:left="660"/>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3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Residential</w:t>
            </w:r>
          </w:p>
        </w:tc>
        <w:tc>
          <w:tcPr>
            <w:tcW w:w="1420" w:type="dxa"/>
            <w:vAlign w:val="bottom"/>
            <w:tcBorders>
              <w:top w:val="single" w:sz="8" w:color="auto"/>
            </w:tcBorders>
            <w:gridSpan w:val="3"/>
          </w:tcPr>
          <w:p>
            <w:pPr>
              <w:ind w:left="80"/>
              <w:spacing w:after="0" w:line="169" w:lineRule="exact"/>
              <w:rPr>
                <w:sz w:val="20"/>
                <w:szCs w:val="20"/>
                <w:color w:val="auto"/>
              </w:rPr>
            </w:pPr>
            <w:r>
              <w:rPr>
                <w:rFonts w:ascii="Arial" w:cs="Arial" w:eastAsia="Arial" w:hAnsi="Arial"/>
                <w:sz w:val="16"/>
                <w:szCs w:val="16"/>
                <w:b w:val="1"/>
                <w:bCs w:val="1"/>
                <w:color w:val="auto"/>
              </w:rPr>
              <w:t>Micro-business</w:t>
            </w: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3320" w:type="dxa"/>
            <w:vAlign w:val="bottom"/>
          </w:tcPr>
          <w:p>
            <w:pPr>
              <w:spacing w:after="0"/>
              <w:rPr>
                <w:sz w:val="18"/>
                <w:szCs w:val="18"/>
                <w:color w:val="auto"/>
              </w:rPr>
            </w:pPr>
          </w:p>
        </w:tc>
        <w:tc>
          <w:tcPr>
            <w:tcW w:w="2120" w:type="dxa"/>
            <w:vAlign w:val="bottom"/>
            <w:gridSpan w:val="3"/>
          </w:tcPr>
          <w:p>
            <w:pPr>
              <w:ind w:left="660"/>
              <w:spacing w:after="0"/>
              <w:rPr>
                <w:sz w:val="20"/>
                <w:szCs w:val="20"/>
                <w:color w:val="auto"/>
              </w:rPr>
            </w:pPr>
            <w:r>
              <w:rPr>
                <w:rFonts w:ascii="Arial" w:cs="Arial" w:eastAsia="Arial" w:hAnsi="Arial"/>
                <w:sz w:val="16"/>
                <w:szCs w:val="16"/>
                <w:b w:val="1"/>
                <w:bCs w:val="1"/>
                <w:color w:val="auto"/>
              </w:rPr>
              <w:t>Commercial loans</w:t>
            </w: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mortgage loans</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loans</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Consumer loans</w:t>
            </w:r>
          </w:p>
        </w:tc>
        <w:tc>
          <w:tcPr>
            <w:tcW w:w="1300" w:type="dxa"/>
            <w:vAlign w:val="bottom"/>
            <w:gridSpan w:val="4"/>
          </w:tcPr>
          <w:p>
            <w:pPr>
              <w:spacing w:after="0"/>
              <w:rPr>
                <w:sz w:val="20"/>
                <w:szCs w:val="20"/>
                <w:color w:val="auto"/>
              </w:rPr>
            </w:pPr>
            <w:r>
              <w:rPr>
                <w:rFonts w:ascii="Arial" w:cs="Arial" w:eastAsia="Arial" w:hAnsi="Arial"/>
                <w:sz w:val="16"/>
                <w:szCs w:val="16"/>
                <w:b w:val="1"/>
                <w:bCs w:val="1"/>
                <w:color w:val="auto"/>
              </w:rPr>
              <w:t>Total</w:t>
            </w:r>
          </w:p>
        </w:tc>
      </w:tr>
      <w:tr>
        <w:trPr>
          <w:trHeight w:val="202"/>
        </w:trPr>
        <w:tc>
          <w:tcPr>
            <w:tcW w:w="3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7"/>
        </w:trPr>
        <w:tc>
          <w:tcPr>
            <w:tcW w:w="3320" w:type="dxa"/>
            <w:vAlign w:val="bottom"/>
          </w:tcPr>
          <w:p>
            <w:pPr>
              <w:spacing w:after="0"/>
              <w:rPr>
                <w:sz w:val="15"/>
                <w:szCs w:val="15"/>
                <w:color w:val="auto"/>
              </w:rPr>
            </w:pPr>
          </w:p>
        </w:tc>
        <w:tc>
          <w:tcPr>
            <w:tcW w:w="19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spacing w:after="0"/>
              <w:rPr>
                <w:sz w:val="15"/>
                <w:szCs w:val="15"/>
                <w:color w:val="auto"/>
              </w:rPr>
            </w:pPr>
          </w:p>
        </w:tc>
        <w:tc>
          <w:tcPr>
            <w:tcW w:w="12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3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the beginning of the period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556,270</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165,138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1,124,072</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1,256,616</w:t>
            </w:r>
          </w:p>
        </w:tc>
        <w:tc>
          <w:tcPr>
            <w:tcW w:w="2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3,102,096</w:t>
            </w:r>
          </w:p>
        </w:tc>
        <w:tc>
          <w:tcPr>
            <w:tcW w:w="80" w:type="dxa"/>
            <w:vAlign w:val="bottom"/>
            <w:shd w:val="clear" w:color="auto" w:fill="CCEEFF"/>
          </w:tcPr>
          <w:p>
            <w:pPr>
              <w:spacing w:after="0"/>
              <w:rPr>
                <w:sz w:val="16"/>
                <w:szCs w:val="16"/>
                <w:color w:val="auto"/>
              </w:rPr>
            </w:pPr>
          </w:p>
        </w:tc>
      </w:tr>
      <w:tr>
        <w:trPr>
          <w:trHeight w:val="193"/>
        </w:trPr>
        <w:tc>
          <w:tcPr>
            <w:tcW w:w="3320" w:type="dxa"/>
            <w:vAlign w:val="bottom"/>
          </w:tcPr>
          <w:p>
            <w:pPr>
              <w:spacing w:after="0"/>
              <w:rPr>
                <w:sz w:val="20"/>
                <w:szCs w:val="20"/>
                <w:color w:val="auto"/>
              </w:rPr>
            </w:pPr>
            <w:r>
              <w:rPr>
                <w:rFonts w:ascii="Arial" w:cs="Arial" w:eastAsia="Arial" w:hAnsi="Arial"/>
                <w:sz w:val="16"/>
                <w:szCs w:val="16"/>
                <w:color w:val="auto"/>
              </w:rPr>
              <w:t>Provision, net of recoveries</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732,834</w:t>
            </w:r>
          </w:p>
        </w:tc>
        <w:tc>
          <w:tcPr>
            <w:tcW w:w="220" w:type="dxa"/>
            <w:vAlign w:val="bottom"/>
          </w:tcPr>
          <w:p>
            <w:pPr>
              <w:spacing w:after="0"/>
              <w:rPr>
                <w:sz w:val="16"/>
                <w:szCs w:val="16"/>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(321)</w:t>
            </w: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512,052</w:t>
            </w:r>
          </w:p>
        </w:tc>
        <w:tc>
          <w:tcPr>
            <w:tcW w:w="1500" w:type="dxa"/>
            <w:vAlign w:val="bottom"/>
            <w:gridSpan w:val="3"/>
          </w:tcPr>
          <w:p>
            <w:pPr>
              <w:jc w:val="right"/>
              <w:ind w:right="220"/>
              <w:spacing w:after="0"/>
              <w:rPr>
                <w:sz w:val="20"/>
                <w:szCs w:val="20"/>
                <w:color w:val="auto"/>
              </w:rPr>
            </w:pPr>
            <w:r>
              <w:rPr>
                <w:rFonts w:ascii="Arial" w:cs="Arial" w:eastAsia="Arial" w:hAnsi="Arial"/>
                <w:sz w:val="16"/>
                <w:szCs w:val="16"/>
                <w:color w:val="auto"/>
              </w:rPr>
              <w:t>636,333</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1,880,898</w:t>
            </w:r>
          </w:p>
        </w:tc>
        <w:tc>
          <w:tcPr>
            <w:tcW w:w="80" w:type="dxa"/>
            <w:vAlign w:val="bottom"/>
          </w:tcPr>
          <w:p>
            <w:pPr>
              <w:spacing w:after="0"/>
              <w:rPr>
                <w:sz w:val="16"/>
                <w:szCs w:val="16"/>
                <w:color w:val="auto"/>
              </w:rPr>
            </w:pPr>
          </w:p>
        </w:tc>
      </w:tr>
      <w:tr>
        <w:trPr>
          <w:trHeight w:val="193"/>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Recovery of written-off loans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157,790</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362</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7,333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5,794</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171,279</w:t>
            </w:r>
          </w:p>
        </w:tc>
        <w:tc>
          <w:tcPr>
            <w:tcW w:w="80" w:type="dxa"/>
            <w:vAlign w:val="bottom"/>
            <w:shd w:val="clear" w:color="auto" w:fill="CCEEFF"/>
          </w:tcPr>
          <w:p>
            <w:pPr>
              <w:spacing w:after="0"/>
              <w:rPr>
                <w:sz w:val="16"/>
                <w:szCs w:val="16"/>
                <w:color w:val="auto"/>
              </w:rPr>
            </w:pPr>
          </w:p>
        </w:tc>
      </w:tr>
      <w:tr>
        <w:trPr>
          <w:trHeight w:val="193"/>
        </w:trPr>
        <w:tc>
          <w:tcPr>
            <w:tcW w:w="3320" w:type="dxa"/>
            <w:vAlign w:val="bottom"/>
          </w:tcPr>
          <w:p>
            <w:pPr>
              <w:spacing w:after="0"/>
              <w:rPr>
                <w:sz w:val="20"/>
                <w:szCs w:val="20"/>
                <w:color w:val="auto"/>
              </w:rPr>
            </w:pPr>
            <w:r>
              <w:rPr>
                <w:rFonts w:ascii="Arial" w:cs="Arial" w:eastAsia="Arial" w:hAnsi="Arial"/>
                <w:sz w:val="16"/>
                <w:szCs w:val="16"/>
                <w:color w:val="auto"/>
              </w:rPr>
              <w:t>Loan portfolio written-off</w:t>
            </w:r>
          </w:p>
        </w:tc>
        <w:tc>
          <w:tcPr>
            <w:tcW w:w="2120" w:type="dxa"/>
            <w:vAlign w:val="bottom"/>
            <w:gridSpan w:val="3"/>
          </w:tcPr>
          <w:p>
            <w:pPr>
              <w:jc w:val="right"/>
              <w:ind w:right="160"/>
              <w:spacing w:after="0"/>
              <w:rPr>
                <w:sz w:val="20"/>
                <w:szCs w:val="20"/>
                <w:color w:val="auto"/>
              </w:rPr>
            </w:pPr>
            <w:r>
              <w:rPr>
                <w:rFonts w:ascii="Arial" w:cs="Arial" w:eastAsia="Arial" w:hAnsi="Arial"/>
                <w:sz w:val="16"/>
                <w:szCs w:val="16"/>
                <w:color w:val="auto"/>
              </w:rPr>
              <w:t>(341,067)</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(4,936)</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(403,993)</w:t>
            </w:r>
          </w:p>
        </w:tc>
        <w:tc>
          <w:tcPr>
            <w:tcW w:w="1500" w:type="dxa"/>
            <w:vAlign w:val="bottom"/>
            <w:gridSpan w:val="3"/>
          </w:tcPr>
          <w:p>
            <w:pPr>
              <w:jc w:val="right"/>
              <w:ind w:right="160"/>
              <w:spacing w:after="0"/>
              <w:rPr>
                <w:sz w:val="20"/>
                <w:szCs w:val="20"/>
                <w:color w:val="auto"/>
              </w:rPr>
            </w:pPr>
            <w:r>
              <w:rPr>
                <w:rFonts w:ascii="Arial" w:cs="Arial" w:eastAsia="Arial" w:hAnsi="Arial"/>
                <w:sz w:val="16"/>
                <w:szCs w:val="16"/>
                <w:color w:val="auto"/>
              </w:rPr>
              <w:t>(721,326)</w:t>
            </w: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(1,471,322)</w:t>
            </w: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Exchange difference and others</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91,886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13,636</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132,635</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111,111</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349,268</w:t>
            </w:r>
          </w:p>
        </w:tc>
        <w:tc>
          <w:tcPr>
            <w:tcW w:w="80" w:type="dxa"/>
            <w:vAlign w:val="bottom"/>
            <w:shd w:val="clear" w:color="auto" w:fill="CCEEFF"/>
          </w:tcPr>
          <w:p>
            <w:pPr>
              <w:spacing w:after="0"/>
              <w:rPr>
                <w:sz w:val="17"/>
                <w:szCs w:val="17"/>
                <w:color w:val="auto"/>
              </w:rPr>
            </w:pPr>
          </w:p>
        </w:tc>
      </w:tr>
      <w:tr>
        <w:trPr>
          <w:trHeight w:val="185"/>
        </w:trPr>
        <w:tc>
          <w:tcPr>
            <w:tcW w:w="3320" w:type="dxa"/>
            <w:vAlign w:val="bottom"/>
          </w:tcPr>
          <w:p>
            <w:pPr>
              <w:spacing w:after="0"/>
              <w:rPr>
                <w:sz w:val="20"/>
                <w:szCs w:val="20"/>
                <w:color w:val="auto"/>
              </w:rPr>
            </w:pPr>
            <w:r>
              <w:rPr>
                <w:rFonts w:ascii="Arial" w:cs="Arial" w:eastAsia="Arial" w:hAnsi="Arial"/>
                <w:sz w:val="16"/>
                <w:szCs w:val="16"/>
                <w:b w:val="1"/>
                <w:bCs w:val="1"/>
                <w:color w:val="auto"/>
              </w:rPr>
              <w:t>Balances at the end of the period (*)</w:t>
            </w:r>
          </w:p>
        </w:tc>
        <w:tc>
          <w:tcPr>
            <w:tcW w:w="66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1,197,713</w:t>
            </w:r>
          </w:p>
        </w:tc>
        <w:tc>
          <w:tcPr>
            <w:tcW w:w="2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173,879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1,372,099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1,288,528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4,032,219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91"/>
        </w:trPr>
        <w:tc>
          <w:tcPr>
            <w:tcW w:w="3320" w:type="dxa"/>
            <w:vAlign w:val="bottom"/>
          </w:tcPr>
          <w:p>
            <w:pPr>
              <w:spacing w:after="0"/>
              <w:rPr>
                <w:sz w:val="24"/>
                <w:szCs w:val="24"/>
                <w:color w:val="auto"/>
              </w:rPr>
            </w:pPr>
          </w:p>
        </w:tc>
        <w:tc>
          <w:tcPr>
            <w:tcW w:w="1900" w:type="dxa"/>
            <w:vAlign w:val="bottom"/>
            <w:gridSpan w:val="2"/>
          </w:tcPr>
          <w:p>
            <w:pPr>
              <w:ind w:left="66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3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Residential</w:t>
            </w:r>
          </w:p>
        </w:tc>
        <w:tc>
          <w:tcPr>
            <w:tcW w:w="1420" w:type="dxa"/>
            <w:vAlign w:val="bottom"/>
            <w:tcBorders>
              <w:top w:val="single" w:sz="8" w:color="auto"/>
            </w:tcBorders>
            <w:gridSpan w:val="3"/>
          </w:tcPr>
          <w:p>
            <w:pPr>
              <w:ind w:left="80"/>
              <w:spacing w:after="0" w:line="169" w:lineRule="exact"/>
              <w:rPr>
                <w:sz w:val="20"/>
                <w:szCs w:val="20"/>
                <w:color w:val="auto"/>
              </w:rPr>
            </w:pPr>
            <w:r>
              <w:rPr>
                <w:rFonts w:ascii="Arial" w:cs="Arial" w:eastAsia="Arial" w:hAnsi="Arial"/>
                <w:sz w:val="16"/>
                <w:szCs w:val="16"/>
                <w:b w:val="1"/>
                <w:bCs w:val="1"/>
                <w:color w:val="auto"/>
              </w:rPr>
              <w:t>Micro-business</w:t>
            </w: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3320" w:type="dxa"/>
            <w:vAlign w:val="bottom"/>
          </w:tcPr>
          <w:p>
            <w:pPr>
              <w:spacing w:after="0"/>
              <w:rPr>
                <w:sz w:val="18"/>
                <w:szCs w:val="18"/>
                <w:color w:val="auto"/>
              </w:rPr>
            </w:pPr>
          </w:p>
        </w:tc>
        <w:tc>
          <w:tcPr>
            <w:tcW w:w="2120" w:type="dxa"/>
            <w:vAlign w:val="bottom"/>
            <w:gridSpan w:val="3"/>
          </w:tcPr>
          <w:p>
            <w:pPr>
              <w:ind w:left="660"/>
              <w:spacing w:after="0"/>
              <w:rPr>
                <w:sz w:val="20"/>
                <w:szCs w:val="20"/>
                <w:color w:val="auto"/>
              </w:rPr>
            </w:pPr>
            <w:r>
              <w:rPr>
                <w:rFonts w:ascii="Arial" w:cs="Arial" w:eastAsia="Arial" w:hAnsi="Arial"/>
                <w:sz w:val="16"/>
                <w:szCs w:val="16"/>
                <w:b w:val="1"/>
                <w:bCs w:val="1"/>
                <w:color w:val="auto"/>
              </w:rPr>
              <w:t>Commercial loans</w:t>
            </w: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mortgage loans</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loans</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Consumer loans</w:t>
            </w:r>
          </w:p>
        </w:tc>
        <w:tc>
          <w:tcPr>
            <w:tcW w:w="1300" w:type="dxa"/>
            <w:vAlign w:val="bottom"/>
            <w:gridSpan w:val="4"/>
          </w:tcPr>
          <w:p>
            <w:pPr>
              <w:spacing w:after="0"/>
              <w:rPr>
                <w:sz w:val="20"/>
                <w:szCs w:val="20"/>
                <w:color w:val="auto"/>
              </w:rPr>
            </w:pPr>
            <w:r>
              <w:rPr>
                <w:rFonts w:ascii="Arial" w:cs="Arial" w:eastAsia="Arial" w:hAnsi="Arial"/>
                <w:sz w:val="16"/>
                <w:szCs w:val="16"/>
                <w:b w:val="1"/>
                <w:bCs w:val="1"/>
                <w:color w:val="auto"/>
              </w:rPr>
              <w:t>Total</w:t>
            </w:r>
          </w:p>
        </w:tc>
      </w:tr>
      <w:tr>
        <w:trPr>
          <w:trHeight w:val="202"/>
        </w:trPr>
        <w:tc>
          <w:tcPr>
            <w:tcW w:w="3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gridSpan w:val="2"/>
          </w:tcPr>
          <w:p>
            <w:pPr>
              <w:spacing w:after="0"/>
              <w:rPr>
                <w:sz w:val="17"/>
                <w:szCs w:val="17"/>
                <w:color w:val="auto"/>
              </w:rPr>
            </w:pPr>
          </w:p>
        </w:tc>
      </w:tr>
      <w:tr>
        <w:trPr>
          <w:trHeight w:val="177"/>
        </w:trPr>
        <w:tc>
          <w:tcPr>
            <w:tcW w:w="3320" w:type="dxa"/>
            <w:vAlign w:val="bottom"/>
          </w:tcPr>
          <w:p>
            <w:pPr>
              <w:spacing w:after="0"/>
              <w:rPr>
                <w:sz w:val="15"/>
                <w:szCs w:val="15"/>
                <w:color w:val="auto"/>
              </w:rPr>
            </w:pPr>
          </w:p>
        </w:tc>
        <w:tc>
          <w:tcPr>
            <w:tcW w:w="19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spacing w:after="0"/>
              <w:rPr>
                <w:sz w:val="15"/>
                <w:szCs w:val="15"/>
                <w:color w:val="auto"/>
              </w:rPr>
            </w:pPr>
          </w:p>
        </w:tc>
        <w:tc>
          <w:tcPr>
            <w:tcW w:w="1420" w:type="dxa"/>
            <w:vAlign w:val="bottom"/>
            <w:gridSpan w:val="3"/>
          </w:tcPr>
          <w:p>
            <w:pPr>
              <w:spacing w:after="0"/>
              <w:rPr>
                <w:sz w:val="15"/>
                <w:szCs w:val="15"/>
                <w:color w:val="auto"/>
              </w:rPr>
            </w:pPr>
          </w:p>
        </w:tc>
        <w:tc>
          <w:tcPr>
            <w:tcW w:w="1500" w:type="dxa"/>
            <w:vAlign w:val="bottom"/>
            <w:gridSpan w:val="3"/>
          </w:tcPr>
          <w:p>
            <w:pPr>
              <w:spacing w:after="0"/>
              <w:rPr>
                <w:sz w:val="15"/>
                <w:szCs w:val="15"/>
                <w:color w:val="auto"/>
              </w:rPr>
            </w:pPr>
          </w:p>
        </w:tc>
        <w:tc>
          <w:tcPr>
            <w:tcW w:w="122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3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the beginning of the period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448,435</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144,571</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865,469</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927,483</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2,385,958</w:t>
            </w:r>
          </w:p>
        </w:tc>
        <w:tc>
          <w:tcPr>
            <w:tcW w:w="80" w:type="dxa"/>
            <w:vAlign w:val="bottom"/>
            <w:shd w:val="clear" w:color="auto" w:fill="CCEEFF"/>
          </w:tcPr>
          <w:p>
            <w:pPr>
              <w:spacing w:after="0"/>
              <w:rPr>
                <w:sz w:val="16"/>
                <w:szCs w:val="16"/>
                <w:color w:val="auto"/>
              </w:rPr>
            </w:pPr>
          </w:p>
        </w:tc>
      </w:tr>
      <w:tr>
        <w:trPr>
          <w:trHeight w:val="193"/>
        </w:trPr>
        <w:tc>
          <w:tcPr>
            <w:tcW w:w="3320" w:type="dxa"/>
            <w:vAlign w:val="bottom"/>
          </w:tcPr>
          <w:p>
            <w:pPr>
              <w:spacing w:after="0"/>
              <w:rPr>
                <w:sz w:val="20"/>
                <w:szCs w:val="20"/>
                <w:color w:val="auto"/>
              </w:rPr>
            </w:pPr>
            <w:r>
              <w:rPr>
                <w:rFonts w:ascii="Arial" w:cs="Arial" w:eastAsia="Arial" w:hAnsi="Arial"/>
                <w:sz w:val="16"/>
                <w:szCs w:val="16"/>
                <w:color w:val="auto"/>
              </w:rPr>
              <w:t>Provision, net of recoveries</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357,283</w:t>
            </w:r>
          </w:p>
        </w:tc>
        <w:tc>
          <w:tcPr>
            <w:tcW w:w="2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4,903</w:t>
            </w: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427,214</w:t>
            </w:r>
          </w:p>
        </w:tc>
        <w:tc>
          <w:tcPr>
            <w:tcW w:w="1500" w:type="dxa"/>
            <w:vAlign w:val="bottom"/>
            <w:gridSpan w:val="3"/>
          </w:tcPr>
          <w:p>
            <w:pPr>
              <w:jc w:val="right"/>
              <w:ind w:right="220"/>
              <w:spacing w:after="0"/>
              <w:rPr>
                <w:sz w:val="20"/>
                <w:szCs w:val="20"/>
                <w:color w:val="auto"/>
              </w:rPr>
            </w:pPr>
            <w:r>
              <w:rPr>
                <w:rFonts w:ascii="Arial" w:cs="Arial" w:eastAsia="Arial" w:hAnsi="Arial"/>
                <w:sz w:val="16"/>
                <w:szCs w:val="16"/>
                <w:color w:val="auto"/>
              </w:rPr>
              <w:t>926,409</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1,715,809</w:t>
            </w:r>
          </w:p>
        </w:tc>
        <w:tc>
          <w:tcPr>
            <w:tcW w:w="80" w:type="dxa"/>
            <w:vAlign w:val="bottom"/>
          </w:tcPr>
          <w:p>
            <w:pPr>
              <w:spacing w:after="0"/>
              <w:rPr>
                <w:sz w:val="16"/>
                <w:szCs w:val="16"/>
                <w:color w:val="auto"/>
              </w:rPr>
            </w:pPr>
          </w:p>
        </w:tc>
      </w:tr>
      <w:tr>
        <w:trPr>
          <w:trHeight w:val="193"/>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Recovery of written-off loans</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65,827</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13,029</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43,297</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76,180</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198,333</w:t>
            </w:r>
          </w:p>
        </w:tc>
        <w:tc>
          <w:tcPr>
            <w:tcW w:w="80" w:type="dxa"/>
            <w:vAlign w:val="bottom"/>
            <w:shd w:val="clear" w:color="auto" w:fill="CCEEFF"/>
          </w:tcPr>
          <w:p>
            <w:pPr>
              <w:spacing w:after="0"/>
              <w:rPr>
                <w:sz w:val="16"/>
                <w:szCs w:val="16"/>
                <w:color w:val="auto"/>
              </w:rPr>
            </w:pPr>
          </w:p>
        </w:tc>
      </w:tr>
      <w:tr>
        <w:trPr>
          <w:trHeight w:val="193"/>
        </w:trPr>
        <w:tc>
          <w:tcPr>
            <w:tcW w:w="3320" w:type="dxa"/>
            <w:vAlign w:val="bottom"/>
          </w:tcPr>
          <w:p>
            <w:pPr>
              <w:spacing w:after="0"/>
              <w:rPr>
                <w:sz w:val="20"/>
                <w:szCs w:val="20"/>
                <w:color w:val="auto"/>
              </w:rPr>
            </w:pPr>
            <w:r>
              <w:rPr>
                <w:rFonts w:ascii="Arial" w:cs="Arial" w:eastAsia="Arial" w:hAnsi="Arial"/>
                <w:sz w:val="16"/>
                <w:szCs w:val="16"/>
                <w:color w:val="auto"/>
              </w:rPr>
              <w:t>Loan portfolio written-off</w:t>
            </w:r>
          </w:p>
        </w:tc>
        <w:tc>
          <w:tcPr>
            <w:tcW w:w="2120" w:type="dxa"/>
            <w:vAlign w:val="bottom"/>
            <w:gridSpan w:val="3"/>
          </w:tcPr>
          <w:p>
            <w:pPr>
              <w:jc w:val="right"/>
              <w:ind w:right="160"/>
              <w:spacing w:after="0"/>
              <w:rPr>
                <w:sz w:val="20"/>
                <w:szCs w:val="20"/>
                <w:color w:val="auto"/>
              </w:rPr>
            </w:pPr>
            <w:r>
              <w:rPr>
                <w:rFonts w:ascii="Arial" w:cs="Arial" w:eastAsia="Arial" w:hAnsi="Arial"/>
                <w:sz w:val="16"/>
                <w:szCs w:val="16"/>
                <w:color w:val="auto"/>
              </w:rPr>
              <w:t>(334,571)</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(6,270)</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(220,072)</w:t>
            </w:r>
          </w:p>
        </w:tc>
        <w:tc>
          <w:tcPr>
            <w:tcW w:w="1500" w:type="dxa"/>
            <w:vAlign w:val="bottom"/>
            <w:gridSpan w:val="3"/>
          </w:tcPr>
          <w:p>
            <w:pPr>
              <w:jc w:val="right"/>
              <w:ind w:right="160"/>
              <w:spacing w:after="0"/>
              <w:rPr>
                <w:sz w:val="20"/>
                <w:szCs w:val="20"/>
                <w:color w:val="auto"/>
              </w:rPr>
            </w:pPr>
            <w:r>
              <w:rPr>
                <w:rFonts w:ascii="Arial" w:cs="Arial" w:eastAsia="Arial" w:hAnsi="Arial"/>
                <w:sz w:val="16"/>
                <w:szCs w:val="16"/>
                <w:color w:val="auto"/>
              </w:rPr>
              <w:t>(711,305)</w:t>
            </w: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(1,272,218)</w:t>
            </w: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Exchange difference and others</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19,296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8,905</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8,164</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37,849</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74,214</w:t>
            </w:r>
          </w:p>
        </w:tc>
        <w:tc>
          <w:tcPr>
            <w:tcW w:w="80" w:type="dxa"/>
            <w:vAlign w:val="bottom"/>
            <w:shd w:val="clear" w:color="auto" w:fill="CCEEFF"/>
          </w:tcPr>
          <w:p>
            <w:pPr>
              <w:spacing w:after="0"/>
              <w:rPr>
                <w:sz w:val="17"/>
                <w:szCs w:val="17"/>
                <w:color w:val="auto"/>
              </w:rPr>
            </w:pPr>
          </w:p>
        </w:tc>
      </w:tr>
      <w:tr>
        <w:trPr>
          <w:trHeight w:val="198"/>
        </w:trPr>
        <w:tc>
          <w:tcPr>
            <w:tcW w:w="3320" w:type="dxa"/>
            <w:vAlign w:val="bottom"/>
          </w:tcPr>
          <w:p>
            <w:pPr>
              <w:spacing w:after="0"/>
              <w:rPr>
                <w:sz w:val="20"/>
                <w:szCs w:val="20"/>
                <w:color w:val="auto"/>
              </w:rPr>
            </w:pPr>
            <w:r>
              <w:rPr>
                <w:rFonts w:ascii="Arial" w:cs="Arial" w:eastAsia="Arial" w:hAnsi="Arial"/>
                <w:sz w:val="16"/>
                <w:szCs w:val="16"/>
                <w:b w:val="1"/>
                <w:bCs w:val="1"/>
                <w:color w:val="auto"/>
              </w:rPr>
              <w:t>Balances at the end of the period (*)</w:t>
            </w:r>
          </w:p>
        </w:tc>
        <w:tc>
          <w:tcPr>
            <w:tcW w:w="66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556,270</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165,138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1,124,072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1,256,616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3,102,096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37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60"/>
          </w:cols>
          <w:pgMar w:left="240" w:top="828" w:right="399" w:bottom="1440" w:gutter="0" w:footer="0" w:header="0"/>
        </w:sectPr>
      </w:pPr>
    </w:p>
    <w:bookmarkStart w:id="67" w:name="page68"/>
    <w:bookmarkEnd w:id="67"/>
    <w:p>
      <w:pPr>
        <w:ind w:left="583" w:right="340" w:hanging="293"/>
        <w:spacing w:after="0" w:line="297" w:lineRule="auto"/>
        <w:tabs>
          <w:tab w:leader="none" w:pos="583" w:val="left"/>
        </w:tabs>
        <w:numPr>
          <w:ilvl w:val="1"/>
          <w:numId w:val="72"/>
        </w:numPr>
        <w:rPr>
          <w:rFonts w:ascii="Arial" w:cs="Arial" w:eastAsia="Arial" w:hAnsi="Arial"/>
          <w:sz w:val="14"/>
          <w:szCs w:val="14"/>
          <w:color w:val="auto"/>
        </w:rPr>
      </w:pPr>
      <w:r>
        <w:rPr>
          <w:rFonts w:ascii="Arial" w:cs="Arial" w:eastAsia="Arial" w:hAnsi="Arial"/>
          <w:sz w:val="14"/>
          <w:szCs w:val="14"/>
          <w:color w:val="auto"/>
        </w:rPr>
        <w:t>The movement in the allowance for loan losses includes the allowance for direct and indirect loans for approximately S/4,207.1 million and S/209.6 million, respectively, at December 31, 2016 (approximately S/3,840.3 million and S/191.9 million and S/2,986.9 million and S/115.2 million, respectively, at December 31,</w:t>
      </w:r>
    </w:p>
    <w:p>
      <w:pPr>
        <w:ind w:left="583"/>
        <w:spacing w:after="0" w:line="258" w:lineRule="auto"/>
        <w:rPr>
          <w:rFonts w:ascii="Arial" w:cs="Arial" w:eastAsia="Arial" w:hAnsi="Arial"/>
          <w:sz w:val="14"/>
          <w:szCs w:val="14"/>
          <w:color w:val="auto"/>
        </w:rPr>
      </w:pPr>
      <w:r>
        <w:rPr>
          <w:rFonts w:ascii="Arial" w:cs="Arial" w:eastAsia="Arial" w:hAnsi="Arial"/>
          <w:sz w:val="16"/>
          <w:szCs w:val="16"/>
          <w:color w:val="auto"/>
        </w:rPr>
        <w:t>2015 and 2014). The allowance for indirect loan losses is included in “Other liabilities” of the consolidated statement of financial position, note 12(a). In Management’s opinion, the allowance for loan losses recorded as of December 31, 2016, 2015 and 2014 has been established in accordance with IAS 39 and is sufficient to cover incurred losses on the loan portfolio.</w:t>
      </w:r>
    </w:p>
    <w:p>
      <w:pPr>
        <w:spacing w:after="0" w:line="168" w:lineRule="exact"/>
        <w:rPr>
          <w:rFonts w:ascii="Arial" w:cs="Arial" w:eastAsia="Arial" w:hAnsi="Arial"/>
          <w:sz w:val="14"/>
          <w:szCs w:val="14"/>
          <w:color w:val="auto"/>
        </w:rPr>
      </w:pPr>
    </w:p>
    <w:p>
      <w:pPr>
        <w:ind w:left="283" w:right="140" w:hanging="283"/>
        <w:spacing w:after="0" w:line="280" w:lineRule="auto"/>
        <w:tabs>
          <w:tab w:leader="none" w:pos="283" w:val="left"/>
        </w:tabs>
        <w:numPr>
          <w:ilvl w:val="0"/>
          <w:numId w:val="72"/>
        </w:numPr>
        <w:rPr>
          <w:rFonts w:ascii="Arial" w:cs="Arial" w:eastAsia="Arial" w:hAnsi="Arial"/>
          <w:sz w:val="16"/>
          <w:szCs w:val="16"/>
          <w:color w:val="auto"/>
        </w:rPr>
      </w:pPr>
      <w:r>
        <w:rPr>
          <w:rFonts w:ascii="Arial" w:cs="Arial" w:eastAsia="Arial" w:hAnsi="Arial"/>
          <w:sz w:val="16"/>
          <w:szCs w:val="16"/>
          <w:color w:val="auto"/>
        </w:rPr>
        <w:t>Part of the loan portfolio is collateralized with guarantees received from clients, which mainly consist of mortgages, trust assignments, financial instruments and industrial and mercantile pledges.</w:t>
      </w:r>
    </w:p>
    <w:p>
      <w:pPr>
        <w:spacing w:after="0" w:line="150" w:lineRule="exact"/>
        <w:rPr>
          <w:rFonts w:ascii="Arial" w:cs="Arial" w:eastAsia="Arial" w:hAnsi="Arial"/>
          <w:sz w:val="16"/>
          <w:szCs w:val="16"/>
          <w:color w:val="auto"/>
        </w:rPr>
      </w:pPr>
    </w:p>
    <w:p>
      <w:pPr>
        <w:ind w:left="283" w:hanging="283"/>
        <w:spacing w:after="0"/>
        <w:tabs>
          <w:tab w:leader="none" w:pos="283"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table below shows the direct gross loan portfolio at December 31, 2016 and 2015 by maturity based on the remaining period to repayment due date:</w:t>
      </w:r>
    </w:p>
    <w:p>
      <w:pPr>
        <w:spacing w:after="0" w:line="211" w:lineRule="exact"/>
        <w:rPr>
          <w:sz w:val="20"/>
          <w:szCs w:val="20"/>
          <w:color w:val="auto"/>
        </w:rPr>
      </w:pPr>
    </w:p>
    <w:tbl>
      <w:tblPr>
        <w:tblLayout w:type="fixed"/>
        <w:tblInd w:w="283"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r>
      <w:tr>
        <w:trPr>
          <w:trHeight w:val="186"/>
        </w:trPr>
        <w:tc>
          <w:tcPr>
            <w:tcW w:w="826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6"/>
                <w:szCs w:val="16"/>
                <w:color w:val="auto"/>
              </w:rPr>
            </w:pPr>
          </w:p>
        </w:tc>
      </w:tr>
      <w:tr>
        <w:trPr>
          <w:trHeight w:val="193"/>
        </w:trPr>
        <w:tc>
          <w:tcPr>
            <w:tcW w:w="8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loans -</w:t>
            </w: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8260" w:type="dxa"/>
            <w:vAlign w:val="bottom"/>
          </w:tcPr>
          <w:p>
            <w:pPr>
              <w:spacing w:after="0"/>
              <w:rPr>
                <w:sz w:val="20"/>
                <w:szCs w:val="20"/>
                <w:color w:val="auto"/>
              </w:rPr>
            </w:pPr>
            <w:r>
              <w:rPr>
                <w:rFonts w:ascii="Arial" w:cs="Arial" w:eastAsia="Arial" w:hAnsi="Arial"/>
                <w:sz w:val="16"/>
                <w:szCs w:val="16"/>
                <w:color w:val="auto"/>
              </w:rPr>
              <w:t>Up to 1 year</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35,455,309</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29,952,566</w:t>
            </w:r>
          </w:p>
        </w:tc>
      </w:tr>
      <w:tr>
        <w:trPr>
          <w:trHeight w:val="193"/>
        </w:trPr>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From 1 to 3 years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19,214,591</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18,575,278</w:t>
            </w:r>
          </w:p>
        </w:tc>
      </w:tr>
      <w:tr>
        <w:trPr>
          <w:trHeight w:val="193"/>
        </w:trPr>
        <w:tc>
          <w:tcPr>
            <w:tcW w:w="8260" w:type="dxa"/>
            <w:vAlign w:val="bottom"/>
          </w:tcPr>
          <w:p>
            <w:pPr>
              <w:spacing w:after="0"/>
              <w:rPr>
                <w:sz w:val="20"/>
                <w:szCs w:val="20"/>
                <w:color w:val="auto"/>
              </w:rPr>
            </w:pPr>
            <w:r>
              <w:rPr>
                <w:rFonts w:ascii="Arial" w:cs="Arial" w:eastAsia="Arial" w:hAnsi="Arial"/>
                <w:sz w:val="16"/>
                <w:szCs w:val="16"/>
                <w:color w:val="auto"/>
              </w:rPr>
              <w:t>From 3 to 5 years</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11,907,513</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9,045,440</w:t>
            </w:r>
          </w:p>
        </w:tc>
      </w:tr>
      <w:tr>
        <w:trPr>
          <w:trHeight w:val="205"/>
        </w:trPr>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Over 5 years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24,901,565</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29,891,702</w:t>
            </w:r>
          </w:p>
        </w:tc>
      </w:tr>
      <w:tr>
        <w:trPr>
          <w:trHeight w:val="185"/>
        </w:trPr>
        <w:tc>
          <w:tcPr>
            <w:tcW w:w="826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91,478,978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87,464,986</w:t>
            </w:r>
          </w:p>
        </w:tc>
        <w:tc>
          <w:tcPr>
            <w:tcW w:w="100" w:type="dxa"/>
            <w:vAlign w:val="bottom"/>
          </w:tcPr>
          <w:p>
            <w:pPr>
              <w:spacing w:after="0"/>
              <w:rPr>
                <w:sz w:val="16"/>
                <w:szCs w:val="16"/>
                <w:color w:val="auto"/>
              </w:rPr>
            </w:pPr>
          </w:p>
        </w:tc>
      </w:tr>
      <w:tr>
        <w:trPr>
          <w:trHeight w:val="193"/>
        </w:trPr>
        <w:tc>
          <w:tcPr>
            <w:tcW w:w="8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Internal overdue loans -</w:t>
            </w: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8260" w:type="dxa"/>
            <w:vAlign w:val="bottom"/>
          </w:tcPr>
          <w:p>
            <w:pPr>
              <w:spacing w:after="0"/>
              <w:rPr>
                <w:sz w:val="20"/>
                <w:szCs w:val="20"/>
                <w:color w:val="auto"/>
              </w:rPr>
            </w:pPr>
            <w:r>
              <w:rPr>
                <w:rFonts w:ascii="Arial" w:cs="Arial" w:eastAsia="Arial" w:hAnsi="Arial"/>
                <w:sz w:val="16"/>
                <w:szCs w:val="16"/>
                <w:color w:val="auto"/>
              </w:rPr>
              <w:t>Overdue 90 days</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539,947</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588,385</w:t>
            </w:r>
          </w:p>
        </w:tc>
      </w:tr>
      <w:tr>
        <w:trPr>
          <w:trHeight w:val="205"/>
        </w:trPr>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Overdue 90 days or more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2,080,464</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1,722,857</w:t>
            </w:r>
          </w:p>
        </w:tc>
      </w:tr>
      <w:tr>
        <w:trPr>
          <w:trHeight w:val="185"/>
        </w:trPr>
        <w:tc>
          <w:tcPr>
            <w:tcW w:w="826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2,620,411</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2,311,242</w:t>
            </w:r>
          </w:p>
        </w:tc>
        <w:tc>
          <w:tcPr>
            <w:tcW w:w="100" w:type="dxa"/>
            <w:vAlign w:val="bottom"/>
            <w:tcBorders>
              <w:bottom w:val="single" w:sz="8" w:color="CCEEFF"/>
            </w:tcBorders>
          </w:tcPr>
          <w:p>
            <w:pPr>
              <w:spacing w:after="0"/>
              <w:rPr>
                <w:sz w:val="16"/>
                <w:szCs w:val="16"/>
                <w:color w:val="auto"/>
              </w:rPr>
            </w:pPr>
          </w:p>
        </w:tc>
      </w:tr>
      <w:tr>
        <w:trPr>
          <w:trHeight w:val="185"/>
        </w:trPr>
        <w:tc>
          <w:tcPr>
            <w:tcW w:w="8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826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94,099,389</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89,776,228</w:t>
            </w:r>
          </w:p>
        </w:tc>
      </w:tr>
      <w:tr>
        <w:trPr>
          <w:trHeight w:val="379"/>
        </w:trPr>
        <w:tc>
          <w:tcPr>
            <w:tcW w:w="8260" w:type="dxa"/>
            <w:vAlign w:val="bottom"/>
          </w:tcPr>
          <w:p>
            <w:pPr>
              <w:spacing w:after="0"/>
              <w:rPr>
                <w:sz w:val="20"/>
                <w:szCs w:val="20"/>
                <w:color w:val="auto"/>
              </w:rPr>
            </w:pPr>
            <w:r>
              <w:rPr>
                <w:rFonts w:ascii="Arial" w:cs="Arial" w:eastAsia="Arial" w:hAnsi="Arial"/>
                <w:sz w:val="16"/>
                <w:szCs w:val="16"/>
                <w:color w:val="auto"/>
              </w:rPr>
              <w:t>See credit risk analysis in Note 34.1.</w:t>
            </w: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177" w:lineRule="exact"/>
        <w:rPr>
          <w:sz w:val="20"/>
          <w:szCs w:val="20"/>
          <w:color w:val="auto"/>
        </w:rPr>
      </w:pPr>
    </w:p>
    <w:p>
      <w:pPr>
        <w:ind w:left="583" w:hanging="583"/>
        <w:spacing w:after="0"/>
        <w:tabs>
          <w:tab w:leader="none" w:pos="583"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ASSETS DESIGNATED AT FAIR VALUE THROUGH PROFIT OR LOSS</w:t>
      </w:r>
    </w:p>
    <w:p>
      <w:pPr>
        <w:spacing w:after="0" w:line="207" w:lineRule="exact"/>
        <w:rPr>
          <w:sz w:val="20"/>
          <w:szCs w:val="20"/>
          <w:color w:val="auto"/>
        </w:rPr>
      </w:pPr>
    </w:p>
    <w:p>
      <w:pPr>
        <w:ind w:left="3" w:right="80"/>
        <w:spacing w:after="0" w:line="266" w:lineRule="auto"/>
        <w:rPr>
          <w:sz w:val="20"/>
          <w:szCs w:val="20"/>
          <w:color w:val="auto"/>
        </w:rPr>
      </w:pPr>
      <w:r>
        <w:rPr>
          <w:rFonts w:ascii="Arial" w:cs="Arial" w:eastAsia="Arial" w:hAnsi="Arial"/>
          <w:sz w:val="16"/>
          <w:szCs w:val="16"/>
          <w:color w:val="auto"/>
        </w:rPr>
        <w:t>The Group issues unit-linked life insurance contracts whereby the policyholder takes the investment risk on the assets held in the unit linked funds as the policy benefits are directly linked to the value of the assets in the fund. The Group’s exposure to market risk is limited to the extent that income arising from asset management charges is based on the value of assets in the fund.</w:t>
      </w:r>
    </w:p>
    <w:p>
      <w:pPr>
        <w:spacing w:after="0" w:line="162" w:lineRule="exact"/>
        <w:rPr>
          <w:sz w:val="20"/>
          <w:szCs w:val="20"/>
          <w:color w:val="auto"/>
        </w:rPr>
      </w:pPr>
    </w:p>
    <w:p>
      <w:pPr>
        <w:ind w:left="3" w:right="160"/>
        <w:spacing w:after="0" w:line="261" w:lineRule="auto"/>
        <w:rPr>
          <w:sz w:val="20"/>
          <w:szCs w:val="20"/>
          <w:color w:val="auto"/>
        </w:rPr>
      </w:pPr>
      <w:r>
        <w:rPr>
          <w:rFonts w:ascii="Arial" w:cs="Arial" w:eastAsia="Arial" w:hAnsi="Arial"/>
          <w:sz w:val="16"/>
          <w:szCs w:val="16"/>
          <w:color w:val="auto"/>
        </w:rPr>
        <w:t>For 2016, the profit resulting from the difference between cost and estimated fair value for these financial assets amounted to approximately S/51.7 million (loss of S/33.5 million and S/4.1 million, respectively, for 2015 and 2014) and is shown in “Net income on financial assets designated at fair value through profit or loss” of the consolidated statements of income (“net loss on financial assets designated at fair value through profit or loss”). The offsetting of this effect is included in gross premiums which are part of “Net premiums earned” of the consolidated statement of income, see note 24.</w:t>
      </w:r>
    </w:p>
    <w:p>
      <w:pPr>
        <w:spacing w:after="0" w:line="163" w:lineRule="exact"/>
        <w:rPr>
          <w:sz w:val="20"/>
          <w:szCs w:val="20"/>
          <w:color w:val="auto"/>
        </w:rPr>
      </w:pPr>
    </w:p>
    <w:p>
      <w:pPr>
        <w:ind w:left="583" w:hanging="583"/>
        <w:spacing w:after="0"/>
        <w:tabs>
          <w:tab w:leader="none" w:pos="583"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ACCOUNTS RECEIVABLE AND PAYABLE FROM INSURANCE CONTRACTS</w:t>
      </w:r>
    </w:p>
    <w:p>
      <w:pPr>
        <w:spacing w:after="0" w:line="207" w:lineRule="exact"/>
        <w:rPr>
          <w:sz w:val="20"/>
          <w:szCs w:val="20"/>
          <w:color w:val="auto"/>
        </w:rPr>
      </w:pPr>
    </w:p>
    <w:p>
      <w:pPr>
        <w:ind w:left="283" w:right="440" w:hanging="283"/>
        <w:spacing w:after="0" w:line="354" w:lineRule="auto"/>
        <w:tabs>
          <w:tab w:leader="none" w:pos="283" w:val="left"/>
        </w:tabs>
        <w:numPr>
          <w:ilvl w:val="0"/>
          <w:numId w:val="75"/>
        </w:numPr>
        <w:rPr>
          <w:rFonts w:ascii="Arial" w:cs="Arial" w:eastAsia="Arial" w:hAnsi="Arial"/>
          <w:sz w:val="14"/>
          <w:szCs w:val="14"/>
          <w:color w:val="auto"/>
        </w:rPr>
      </w:pPr>
      <w:r>
        <w:rPr>
          <w:rFonts w:ascii="Arial" w:cs="Arial" w:eastAsia="Arial" w:hAnsi="Arial"/>
          <w:sz w:val="14"/>
          <w:szCs w:val="14"/>
          <w:color w:val="auto"/>
        </w:rPr>
        <w:t>As of December 31, 2016 and 2015, “Premiums and other policies receivable” in the consolidated statement of financial position includes balances for approximately S/643.2 million and S/648.0 million, respectively, which are primarily of current maturity, have no specific collateral and present no material past due balances.</w:t>
      </w:r>
    </w:p>
    <w:p>
      <w:pPr>
        <w:spacing w:after="0" w:line="298" w:lineRule="exact"/>
        <w:rPr>
          <w:rFonts w:ascii="Arial" w:cs="Arial" w:eastAsia="Arial" w:hAnsi="Arial"/>
          <w:sz w:val="14"/>
          <w:szCs w:val="14"/>
          <w:color w:val="auto"/>
        </w:rPr>
      </w:pPr>
    </w:p>
    <w:p>
      <w:pPr>
        <w:ind w:left="5643" w:hanging="94"/>
        <w:spacing w:after="0"/>
        <w:tabs>
          <w:tab w:leader="none" w:pos="5643" w:val="left"/>
        </w:tabs>
        <w:numPr>
          <w:ilvl w:val="1"/>
          <w:numId w:val="75"/>
        </w:numPr>
        <w:rPr>
          <w:rFonts w:ascii="Arial" w:cs="Arial" w:eastAsia="Arial" w:hAnsi="Arial"/>
          <w:sz w:val="16"/>
          <w:szCs w:val="16"/>
          <w:color w:val="auto"/>
        </w:rPr>
      </w:pPr>
      <w:r>
        <w:rPr>
          <w:rFonts w:ascii="Arial" w:cs="Arial" w:eastAsia="Arial" w:hAnsi="Arial"/>
          <w:sz w:val="16"/>
          <w:szCs w:val="16"/>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8"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6"/>
        </w:trPr>
        <w:tc>
          <w:tcPr>
            <w:tcW w:w="7660" w:type="dxa"/>
            <w:vAlign w:val="bottom"/>
            <w:gridSpan w:val="3"/>
          </w:tcPr>
          <w:p>
            <w:pPr>
              <w:spacing w:after="0"/>
              <w:rPr>
                <w:sz w:val="20"/>
                <w:szCs w:val="20"/>
                <w:color w:val="auto"/>
              </w:rPr>
            </w:pPr>
            <w:r>
              <w:rPr>
                <w:rFonts w:ascii="Arial" w:cs="Arial" w:eastAsia="Arial" w:hAnsi="Arial"/>
                <w:sz w:val="16"/>
                <w:szCs w:val="16"/>
                <w:color w:val="auto"/>
                <w:w w:val="94"/>
              </w:rPr>
              <w:t>b)  The movements of the captions “Accounts receivable and payable to reinsurers and coinsurers” are as follows: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87"/>
        </w:trPr>
        <w:tc>
          <w:tcPr>
            <w:tcW w:w="28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Arial" w:cs="Arial" w:eastAsia="Arial" w:hAnsi="Arial"/>
                <w:sz w:val="16"/>
                <w:szCs w:val="16"/>
                <w:b w:val="1"/>
                <w:bCs w:val="1"/>
                <w:color w:val="auto"/>
              </w:rPr>
              <w:t>Accounts receivable:</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9"/>
        </w:trPr>
        <w:tc>
          <w:tcPr>
            <w:tcW w:w="7660" w:type="dxa"/>
            <w:vAlign w:val="bottom"/>
            <w:gridSpan w:val="3"/>
          </w:tcPr>
          <w:p>
            <w:pPr>
              <w:ind w:left="7100"/>
              <w:spacing w:after="0"/>
              <w:rPr>
                <w:sz w:val="20"/>
                <w:szCs w:val="20"/>
                <w:color w:val="auto"/>
              </w:rPr>
            </w:pPr>
            <w:r>
              <w:rPr>
                <w:rFonts w:ascii="Arial" w:cs="Arial" w:eastAsia="Arial" w:hAnsi="Arial"/>
                <w:sz w:val="16"/>
                <w:szCs w:val="16"/>
                <w:b w:val="1"/>
                <w:bCs w:val="1"/>
                <w:color w:val="auto"/>
              </w:rPr>
              <w:t>2016</w:t>
            </w:r>
          </w:p>
        </w:tc>
        <w:tc>
          <w:tcPr>
            <w:tcW w:w="1440" w:type="dxa"/>
            <w:vAlign w:val="bottom"/>
            <w:gridSpan w:val="3"/>
          </w:tcPr>
          <w:p>
            <w:pPr>
              <w:ind w:left="880"/>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2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gridSpan w:val="2"/>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the beginning of the period</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457,189</w:t>
            </w:r>
          </w:p>
        </w:tc>
        <w:tc>
          <w:tcPr>
            <w:tcW w:w="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468,137</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578,722</w:t>
            </w:r>
          </w:p>
        </w:tc>
        <w:tc>
          <w:tcPr>
            <w:tcW w:w="8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Reported claims of premiums ceded, note 25</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145,498</w:t>
            </w:r>
          </w:p>
        </w:tc>
        <w:tc>
          <w:tcPr>
            <w:tcW w:w="5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119,894</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96,872</w:t>
            </w:r>
          </w:p>
        </w:tc>
        <w:tc>
          <w:tcPr>
            <w:tcW w:w="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Premiums ceded unearned during the year, note 24 (a)(**)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(9,139)</w:t>
            </w:r>
          </w:p>
        </w:tc>
        <w:tc>
          <w:tcPr>
            <w:tcW w:w="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6,835</w:t>
            </w: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(35,351)</w:t>
            </w:r>
          </w:p>
        </w:tc>
      </w:tr>
      <w:tr>
        <w:trPr>
          <w:trHeight w:val="193"/>
        </w:trPr>
        <w:tc>
          <w:tcPr>
            <w:tcW w:w="280" w:type="dxa"/>
            <w:vAlign w:val="bottom"/>
          </w:tcPr>
          <w:p>
            <w:pPr>
              <w:spacing w:after="0"/>
              <w:rPr>
                <w:sz w:val="16"/>
                <w:szCs w:val="16"/>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Premiums assumed</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72,448</w:t>
            </w:r>
          </w:p>
        </w:tc>
        <w:tc>
          <w:tcPr>
            <w:tcW w:w="5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180,321</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30,607</w:t>
            </w:r>
          </w:p>
        </w:tc>
        <w:tc>
          <w:tcPr>
            <w:tcW w:w="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Settled claims of premiums ceded by facultative contracts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(90,550)</w:t>
            </w:r>
          </w:p>
        </w:tc>
        <w:tc>
          <w:tcPr>
            <w:tcW w:w="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(125,156)</w:t>
            </w: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(41,934)</w:t>
            </w:r>
          </w:p>
        </w:tc>
      </w:tr>
      <w:tr>
        <w:trPr>
          <w:trHeight w:val="193"/>
        </w:trPr>
        <w:tc>
          <w:tcPr>
            <w:tcW w:w="280" w:type="dxa"/>
            <w:vAlign w:val="bottom"/>
          </w:tcPr>
          <w:p>
            <w:pPr>
              <w:spacing w:after="0"/>
              <w:rPr>
                <w:sz w:val="16"/>
                <w:szCs w:val="16"/>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Collections and others, net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(121,259)</w:t>
            </w:r>
          </w:p>
        </w:tc>
        <w:tc>
          <w:tcPr>
            <w:tcW w:w="5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(192,842)</w:t>
            </w: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(160,535)</w:t>
            </w:r>
          </w:p>
        </w:tc>
      </w:tr>
      <w:tr>
        <w:trPr>
          <w:trHeight w:val="205"/>
        </w:trPr>
        <w:tc>
          <w:tcPr>
            <w:tcW w:w="28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Transfers to non-current assets classified as held for sale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(244)</w:t>
            </w:r>
          </w:p>
        </w:tc>
      </w:tr>
      <w:tr>
        <w:trPr>
          <w:trHeight w:val="198"/>
        </w:trPr>
        <w:tc>
          <w:tcPr>
            <w:tcW w:w="28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6"/>
                <w:szCs w:val="16"/>
                <w:b w:val="1"/>
                <w:bCs w:val="1"/>
                <w:color w:val="auto"/>
              </w:rPr>
              <w:t>Balances at the end of the period</w:t>
            </w:r>
          </w:p>
        </w:tc>
        <w:tc>
          <w:tcPr>
            <w:tcW w:w="5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454,187</w:t>
            </w:r>
          </w:p>
        </w:tc>
        <w:tc>
          <w:tcPr>
            <w:tcW w:w="22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457,189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468,137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81" w:lineRule="exact"/>
        <w:rPr>
          <w:sz w:val="20"/>
          <w:szCs w:val="20"/>
          <w:color w:val="auto"/>
        </w:rPr>
      </w:pPr>
    </w:p>
    <w:p>
      <w:pPr>
        <w:ind w:left="280" w:right="420"/>
        <w:spacing w:after="0" w:line="280" w:lineRule="auto"/>
        <w:rPr>
          <w:sz w:val="20"/>
          <w:szCs w:val="20"/>
          <w:color w:val="auto"/>
        </w:rPr>
      </w:pPr>
      <w:r>
        <w:rPr>
          <w:rFonts w:ascii="Arial" w:cs="Arial" w:eastAsia="Arial" w:hAnsi="Arial"/>
          <w:sz w:val="16"/>
          <w:szCs w:val="16"/>
          <w:color w:val="auto"/>
        </w:rPr>
        <w:t>Accounts receivable as of December 31, 2016 and 2015, include S/139.4 million and S/145.0 million, respectively, which correspond to the unearned portion of the premiums ceded to the reinsurers.</w:t>
      </w:r>
    </w:p>
    <w:p>
      <w:pPr>
        <w:spacing w:after="0" w:line="147"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7380" w:type="dxa"/>
            <w:vAlign w:val="bottom"/>
            <w:gridSpan w:val="2"/>
          </w:tcPr>
          <w:p>
            <w:pPr>
              <w:spacing w:after="0"/>
              <w:rPr>
                <w:sz w:val="20"/>
                <w:szCs w:val="20"/>
                <w:color w:val="auto"/>
              </w:rPr>
            </w:pPr>
            <w:r>
              <w:rPr>
                <w:rFonts w:ascii="Arial" w:cs="Arial" w:eastAsia="Arial" w:hAnsi="Arial"/>
                <w:sz w:val="16"/>
                <w:szCs w:val="16"/>
                <w:b w:val="1"/>
                <w:bCs w:val="1"/>
                <w:color w:val="auto"/>
              </w:rPr>
              <w:t>Payables: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9"/>
        </w:trPr>
        <w:tc>
          <w:tcPr>
            <w:tcW w:w="7380" w:type="dxa"/>
            <w:vAlign w:val="bottom"/>
            <w:gridSpan w:val="2"/>
          </w:tcPr>
          <w:p>
            <w:pPr>
              <w:ind w:left="6820"/>
              <w:spacing w:after="0"/>
              <w:rPr>
                <w:sz w:val="20"/>
                <w:szCs w:val="20"/>
                <w:color w:val="auto"/>
              </w:rPr>
            </w:pPr>
            <w:r>
              <w:rPr>
                <w:rFonts w:ascii="Arial" w:cs="Arial" w:eastAsia="Arial" w:hAnsi="Arial"/>
                <w:sz w:val="16"/>
                <w:szCs w:val="16"/>
                <w:b w:val="1"/>
                <w:bCs w:val="1"/>
                <w:color w:val="auto"/>
              </w:rPr>
              <w:t>2016</w:t>
            </w:r>
          </w:p>
        </w:tc>
        <w:tc>
          <w:tcPr>
            <w:tcW w:w="1440" w:type="dxa"/>
            <w:vAlign w:val="bottom"/>
            <w:gridSpan w:val="3"/>
          </w:tcPr>
          <w:p>
            <w:pPr>
              <w:ind w:left="880"/>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682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gridSpan w:val="2"/>
          </w:tcPr>
          <w:p>
            <w:pPr>
              <w:spacing w:after="0"/>
              <w:rPr>
                <w:sz w:val="17"/>
                <w:szCs w:val="17"/>
                <w:color w:val="auto"/>
              </w:rPr>
            </w:pPr>
          </w:p>
        </w:tc>
      </w:tr>
      <w:tr>
        <w:trPr>
          <w:trHeight w:val="177"/>
        </w:trPr>
        <w:tc>
          <w:tcPr>
            <w:tcW w:w="6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the beginning of the period</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241,847</w:t>
            </w:r>
          </w:p>
        </w:tc>
        <w:tc>
          <w:tcPr>
            <w:tcW w:w="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220,910</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232,497</w:t>
            </w:r>
          </w:p>
        </w:tc>
        <w:tc>
          <w:tcPr>
            <w:tcW w:w="80" w:type="dxa"/>
            <w:vAlign w:val="bottom"/>
            <w:shd w:val="clear" w:color="auto" w:fill="CCEEFF"/>
          </w:tcPr>
          <w:p>
            <w:pPr>
              <w:spacing w:after="0"/>
              <w:rPr>
                <w:sz w:val="16"/>
                <w:szCs w:val="16"/>
                <w:color w:val="auto"/>
              </w:rPr>
            </w:pPr>
          </w:p>
        </w:tc>
      </w:tr>
      <w:tr>
        <w:trPr>
          <w:trHeight w:val="193"/>
        </w:trPr>
        <w:tc>
          <w:tcPr>
            <w:tcW w:w="7380" w:type="dxa"/>
            <w:vAlign w:val="bottom"/>
            <w:gridSpan w:val="2"/>
          </w:tcPr>
          <w:p>
            <w:pPr>
              <w:spacing w:after="0"/>
              <w:rPr>
                <w:sz w:val="20"/>
                <w:szCs w:val="20"/>
                <w:color w:val="auto"/>
              </w:rPr>
            </w:pPr>
            <w:r>
              <w:rPr>
                <w:rFonts w:ascii="Arial" w:cs="Arial" w:eastAsia="Arial" w:hAnsi="Arial"/>
                <w:sz w:val="16"/>
                <w:szCs w:val="16"/>
                <w:color w:val="auto"/>
              </w:rPr>
              <w:t>Premiums ceded for automatic contracts (mainly excess of loss), note 24 (a)(**)</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201,892</w:t>
            </w:r>
          </w:p>
        </w:tc>
        <w:tc>
          <w:tcPr>
            <w:tcW w:w="5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145,618</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143,041</w:t>
            </w:r>
          </w:p>
        </w:tc>
        <w:tc>
          <w:tcPr>
            <w:tcW w:w="80" w:type="dxa"/>
            <w:vAlign w:val="bottom"/>
          </w:tcPr>
          <w:p>
            <w:pPr>
              <w:spacing w:after="0"/>
              <w:rPr>
                <w:sz w:val="16"/>
                <w:szCs w:val="16"/>
                <w:color w:val="auto"/>
              </w:rPr>
            </w:pPr>
          </w:p>
        </w:tc>
      </w:tr>
      <w:tr>
        <w:trPr>
          <w:trHeight w:val="193"/>
        </w:trPr>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Premiums ceded to reinsurers in facultative contracts, note 24 (a)(**)</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292,555</w:t>
            </w:r>
          </w:p>
        </w:tc>
        <w:tc>
          <w:tcPr>
            <w:tcW w:w="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331,329</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314,624</w:t>
            </w:r>
          </w:p>
        </w:tc>
        <w:tc>
          <w:tcPr>
            <w:tcW w:w="80" w:type="dxa"/>
            <w:vAlign w:val="bottom"/>
            <w:shd w:val="clear" w:color="auto" w:fill="CCEEFF"/>
          </w:tcPr>
          <w:p>
            <w:pPr>
              <w:spacing w:after="0"/>
              <w:rPr>
                <w:sz w:val="16"/>
                <w:szCs w:val="16"/>
                <w:color w:val="auto"/>
              </w:rPr>
            </w:pPr>
          </w:p>
        </w:tc>
      </w:tr>
      <w:tr>
        <w:trPr>
          <w:trHeight w:val="193"/>
        </w:trPr>
        <w:tc>
          <w:tcPr>
            <w:tcW w:w="7380" w:type="dxa"/>
            <w:vAlign w:val="bottom"/>
            <w:gridSpan w:val="2"/>
          </w:tcPr>
          <w:p>
            <w:pPr>
              <w:spacing w:after="0"/>
              <w:rPr>
                <w:sz w:val="20"/>
                <w:szCs w:val="20"/>
                <w:color w:val="auto"/>
              </w:rPr>
            </w:pPr>
            <w:r>
              <w:rPr>
                <w:rFonts w:ascii="Arial" w:cs="Arial" w:eastAsia="Arial" w:hAnsi="Arial"/>
                <w:sz w:val="16"/>
                <w:szCs w:val="16"/>
                <w:color w:val="auto"/>
              </w:rPr>
              <w:t>Coinsurance granted</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5,965</w:t>
            </w:r>
          </w:p>
        </w:tc>
        <w:tc>
          <w:tcPr>
            <w:tcW w:w="5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5,999</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32,866</w:t>
            </w:r>
          </w:p>
        </w:tc>
        <w:tc>
          <w:tcPr>
            <w:tcW w:w="80" w:type="dxa"/>
            <w:vAlign w:val="bottom"/>
          </w:tcPr>
          <w:p>
            <w:pPr>
              <w:spacing w:after="0"/>
              <w:rPr>
                <w:sz w:val="16"/>
                <w:szCs w:val="16"/>
                <w:color w:val="auto"/>
              </w:rPr>
            </w:pPr>
          </w:p>
        </w:tc>
      </w:tr>
      <w:tr>
        <w:trPr>
          <w:trHeight w:val="205"/>
        </w:trPr>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Payments and other, net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(508,367)</w:t>
            </w:r>
          </w:p>
        </w:tc>
        <w:tc>
          <w:tcPr>
            <w:tcW w:w="5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(462,009)</w:t>
            </w: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(502,118)</w:t>
            </w:r>
          </w:p>
        </w:tc>
      </w:tr>
      <w:tr>
        <w:trPr>
          <w:trHeight w:val="198"/>
        </w:trPr>
        <w:tc>
          <w:tcPr>
            <w:tcW w:w="6820" w:type="dxa"/>
            <w:vAlign w:val="bottom"/>
          </w:tcPr>
          <w:p>
            <w:pPr>
              <w:spacing w:after="0"/>
              <w:rPr>
                <w:sz w:val="20"/>
                <w:szCs w:val="20"/>
                <w:color w:val="auto"/>
              </w:rPr>
            </w:pPr>
            <w:r>
              <w:rPr>
                <w:rFonts w:ascii="Arial" w:cs="Arial" w:eastAsia="Arial" w:hAnsi="Arial"/>
                <w:sz w:val="16"/>
                <w:szCs w:val="16"/>
                <w:b w:val="1"/>
                <w:bCs w:val="1"/>
                <w:color w:val="auto"/>
              </w:rPr>
              <w:t>Balances at the end of the period</w:t>
            </w:r>
          </w:p>
        </w:tc>
        <w:tc>
          <w:tcPr>
            <w:tcW w:w="5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233,892</w:t>
            </w:r>
          </w:p>
        </w:tc>
        <w:tc>
          <w:tcPr>
            <w:tcW w:w="22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241,847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220,910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81" w:lineRule="exact"/>
        <w:rPr>
          <w:sz w:val="20"/>
          <w:szCs w:val="20"/>
          <w:color w:val="auto"/>
        </w:rPr>
      </w:pPr>
    </w:p>
    <w:p>
      <w:pPr>
        <w:ind w:left="280" w:right="180"/>
        <w:spacing w:after="0" w:line="266" w:lineRule="auto"/>
        <w:rPr>
          <w:sz w:val="20"/>
          <w:szCs w:val="20"/>
          <w:color w:val="auto"/>
        </w:rPr>
      </w:pPr>
      <w:r>
        <w:rPr>
          <w:rFonts w:ascii="Arial" w:cs="Arial" w:eastAsia="Arial" w:hAnsi="Arial"/>
          <w:sz w:val="16"/>
          <w:szCs w:val="16"/>
          <w:color w:val="auto"/>
        </w:rPr>
        <w:t>Accounts payable to reinsurers are primarily related to the proportional facultative contracts (on an individual basis) for ceded premiums, automatic non-proportional contracts (excess loss) and reinstallation premiums. For facultative contracts the Group transfers to the reinsurers a percentage or an amount of an insurance contract or individual risk, based on the premium and the covered period.</w:t>
      </w: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60"/>
          </w:cols>
          <w:pgMar w:left="240" w:top="828" w:right="399" w:bottom="1440" w:gutter="0" w:footer="0" w:header="0"/>
        </w:sectPr>
      </w:pPr>
    </w:p>
    <w:bookmarkStart w:id="69" w:name="page70"/>
    <w:bookmarkEnd w:id="69"/>
    <w:p>
      <w:pPr>
        <w:ind w:left="3"/>
        <w:spacing w:after="0"/>
        <w:tabs>
          <w:tab w:leader="none" w:pos="563"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6"/>
          <w:szCs w:val="16"/>
          <w:b w:val="1"/>
          <w:bCs w:val="1"/>
          <w:color w:val="auto"/>
        </w:rPr>
        <w:t>PROPERTY, FURNITURE AND EQUIPMENT, NET</w:t>
      </w:r>
    </w:p>
    <w:p>
      <w:pPr>
        <w:spacing w:after="0" w:line="207" w:lineRule="exact"/>
        <w:rPr>
          <w:sz w:val="20"/>
          <w:szCs w:val="20"/>
          <w:color w:val="auto"/>
        </w:rPr>
      </w:pPr>
    </w:p>
    <w:p>
      <w:pPr>
        <w:ind w:left="283" w:hanging="283"/>
        <w:spacing w:after="0"/>
        <w:tabs>
          <w:tab w:leader="none" w:pos="283"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movement of property, furniture and equipment and accumulated depreciation, for the years ended December 31, 2016, 2015, and 2014 was as follows:</w:t>
      </w:r>
    </w:p>
    <w:p>
      <w:pPr>
        <w:spacing w:after="0" w:line="179" w:lineRule="exact"/>
        <w:rPr>
          <w:sz w:val="20"/>
          <w:szCs w:val="20"/>
          <w:color w:val="auto"/>
        </w:rPr>
      </w:pPr>
    </w:p>
    <w:tbl>
      <w:tblPr>
        <w:tblLayout w:type="fixed"/>
        <w:tblInd w:w="2523"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w w:val="99"/>
              </w:rPr>
              <w:t>Buildings and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ind w:left="120"/>
              <w:spacing w:after="0"/>
              <w:rPr>
                <w:sz w:val="20"/>
                <w:szCs w:val="20"/>
                <w:color w:val="auto"/>
              </w:rPr>
            </w:pPr>
            <w:r>
              <w:rPr>
                <w:rFonts w:ascii="Arial" w:cs="Arial" w:eastAsia="Arial" w:hAnsi="Arial"/>
                <w:sz w:val="13"/>
                <w:szCs w:val="13"/>
                <w:b w:val="1"/>
                <w:bCs w:val="1"/>
                <w:color w:val="auto"/>
              </w:rPr>
              <w:t>Furniture</w:t>
            </w:r>
          </w:p>
        </w:tc>
        <w:tc>
          <w:tcPr>
            <w:tcW w:w="660" w:type="dxa"/>
            <w:vAlign w:val="bottom"/>
            <w:vMerge w:val="restart"/>
          </w:tcPr>
          <w:p>
            <w:pPr>
              <w:spacing w:after="0"/>
              <w:rPr>
                <w:sz w:val="20"/>
                <w:szCs w:val="20"/>
                <w:color w:val="auto"/>
              </w:rPr>
            </w:pPr>
            <w:r>
              <w:rPr>
                <w:rFonts w:ascii="Arial" w:cs="Arial" w:eastAsia="Arial" w:hAnsi="Arial"/>
                <w:sz w:val="13"/>
                <w:szCs w:val="13"/>
                <w:b w:val="1"/>
                <w:bCs w:val="1"/>
                <w:color w:val="auto"/>
              </w:rPr>
              <w:t>Computer</w:t>
            </w:r>
          </w:p>
        </w:tc>
        <w:tc>
          <w:tcPr>
            <w:tcW w:w="110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Vehicles and</w:t>
            </w:r>
          </w:p>
        </w:tc>
        <w:tc>
          <w:tcPr>
            <w:tcW w:w="660" w:type="dxa"/>
            <w:vAlign w:val="bottom"/>
            <w:vMerge w:val="restart"/>
          </w:tcPr>
          <w:p>
            <w:pPr>
              <w:spacing w:after="0"/>
              <w:rPr>
                <w:sz w:val="20"/>
                <w:szCs w:val="20"/>
                <w:color w:val="auto"/>
              </w:rPr>
            </w:pPr>
            <w:r>
              <w:rPr>
                <w:rFonts w:ascii="Arial" w:cs="Arial" w:eastAsia="Arial" w:hAnsi="Arial"/>
                <w:sz w:val="13"/>
                <w:szCs w:val="13"/>
                <w:b w:val="1"/>
                <w:bCs w:val="1"/>
                <w:color w:val="auto"/>
              </w:rPr>
              <w:t>Work in</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Lands</w:t>
            </w:r>
          </w:p>
        </w:tc>
        <w:tc>
          <w:tcPr>
            <w:tcW w:w="8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other</w:t>
            </w:r>
          </w:p>
        </w:tc>
        <w:tc>
          <w:tcPr>
            <w:tcW w:w="88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Installations</w:t>
            </w:r>
          </w:p>
        </w:tc>
        <w:tc>
          <w:tcPr>
            <w:tcW w:w="980" w:type="dxa"/>
            <w:vAlign w:val="bottom"/>
            <w:gridSpan w:val="3"/>
          </w:tcPr>
          <w:p>
            <w:pPr>
              <w:ind w:left="120"/>
              <w:spacing w:after="0" w:line="133" w:lineRule="exact"/>
              <w:rPr>
                <w:sz w:val="20"/>
                <w:szCs w:val="20"/>
                <w:color w:val="auto"/>
              </w:rPr>
            </w:pPr>
            <w:r>
              <w:rPr>
                <w:rFonts w:ascii="Arial" w:cs="Arial" w:eastAsia="Arial" w:hAnsi="Arial"/>
                <w:sz w:val="13"/>
                <w:szCs w:val="13"/>
                <w:b w:val="1"/>
                <w:bCs w:val="1"/>
                <w:color w:val="auto"/>
              </w:rPr>
              <w:t>and</w:t>
            </w:r>
          </w:p>
        </w:tc>
        <w:tc>
          <w:tcPr>
            <w:tcW w:w="660" w:type="dxa"/>
            <w:vAlign w:val="bottom"/>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2016</w:t>
            </w:r>
          </w:p>
        </w:tc>
        <w:tc>
          <w:tcPr>
            <w:tcW w:w="86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2015</w:t>
            </w:r>
          </w:p>
        </w:tc>
        <w:tc>
          <w:tcPr>
            <w:tcW w:w="22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3"/>
                <w:szCs w:val="13"/>
                <w:b w:val="1"/>
                <w:bCs w:val="1"/>
                <w:color w:val="auto"/>
              </w:rPr>
              <w:t>2014</w:t>
            </w:r>
          </w:p>
        </w:tc>
        <w:tc>
          <w:tcPr>
            <w:tcW w:w="0" w:type="dxa"/>
            <w:vAlign w:val="bottom"/>
          </w:tcPr>
          <w:p>
            <w:pPr>
              <w:spacing w:after="0"/>
              <w:rPr>
                <w:sz w:val="1"/>
                <w:szCs w:val="1"/>
                <w:color w:val="auto"/>
              </w:rPr>
            </w:pPr>
          </w:p>
        </w:tc>
      </w:tr>
      <w:tr>
        <w:trPr>
          <w:trHeight w:val="153"/>
        </w:trPr>
        <w:tc>
          <w:tcPr>
            <w:tcW w:w="860" w:type="dxa"/>
            <w:vAlign w:val="bottom"/>
            <w:gridSpan w:val="3"/>
            <w:vMerge w:val="continue"/>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w w:val="99"/>
              </w:rPr>
              <w:t>constructions</w:t>
            </w:r>
          </w:p>
        </w:tc>
        <w:tc>
          <w:tcPr>
            <w:tcW w:w="880" w:type="dxa"/>
            <w:vAlign w:val="bottom"/>
            <w:gridSpan w:val="3"/>
            <w:vMerge w:val="continue"/>
          </w:tcPr>
          <w:p>
            <w:pPr>
              <w:spacing w:after="0"/>
              <w:rPr>
                <w:sz w:val="13"/>
                <w:szCs w:val="13"/>
                <w:color w:val="auto"/>
              </w:rPr>
            </w:pPr>
          </w:p>
        </w:tc>
        <w:tc>
          <w:tcPr>
            <w:tcW w:w="980" w:type="dxa"/>
            <w:vAlign w:val="bottom"/>
            <w:gridSpan w:val="3"/>
          </w:tcPr>
          <w:p>
            <w:pPr>
              <w:ind w:left="120"/>
              <w:spacing w:after="0"/>
              <w:rPr>
                <w:sz w:val="20"/>
                <w:szCs w:val="20"/>
                <w:color w:val="auto"/>
              </w:rPr>
            </w:pPr>
            <w:r>
              <w:rPr>
                <w:rFonts w:ascii="Arial" w:cs="Arial" w:eastAsia="Arial" w:hAnsi="Arial"/>
                <w:sz w:val="13"/>
                <w:szCs w:val="13"/>
                <w:b w:val="1"/>
                <w:bCs w:val="1"/>
                <w:color w:val="auto"/>
              </w:rPr>
              <w:t>fixtures</w:t>
            </w:r>
          </w:p>
        </w:tc>
        <w:tc>
          <w:tcPr>
            <w:tcW w:w="660" w:type="dxa"/>
            <w:vAlign w:val="bottom"/>
          </w:tcPr>
          <w:p>
            <w:pPr>
              <w:spacing w:after="0"/>
              <w:rPr>
                <w:sz w:val="20"/>
                <w:szCs w:val="20"/>
                <w:color w:val="auto"/>
              </w:rPr>
            </w:pPr>
            <w:r>
              <w:rPr>
                <w:rFonts w:ascii="Arial" w:cs="Arial" w:eastAsia="Arial" w:hAnsi="Arial"/>
                <w:sz w:val="13"/>
                <w:szCs w:val="13"/>
                <w:b w:val="1"/>
                <w:bCs w:val="1"/>
                <w:color w:val="auto"/>
              </w:rPr>
              <w:t>hardware</w:t>
            </w:r>
          </w:p>
        </w:tc>
        <w:tc>
          <w:tcPr>
            <w:tcW w:w="1100" w:type="dxa"/>
            <w:vAlign w:val="bottom"/>
            <w:gridSpan w:val="3"/>
          </w:tcPr>
          <w:p>
            <w:pPr>
              <w:ind w:left="220"/>
              <w:spacing w:after="0"/>
              <w:rPr>
                <w:sz w:val="20"/>
                <w:szCs w:val="20"/>
                <w:color w:val="auto"/>
              </w:rPr>
            </w:pPr>
            <w:r>
              <w:rPr>
                <w:rFonts w:ascii="Arial" w:cs="Arial" w:eastAsia="Arial" w:hAnsi="Arial"/>
                <w:sz w:val="13"/>
                <w:szCs w:val="13"/>
                <w:b w:val="1"/>
                <w:bCs w:val="1"/>
                <w:color w:val="auto"/>
              </w:rPr>
              <w:t>equipment</w:t>
            </w:r>
          </w:p>
        </w:tc>
        <w:tc>
          <w:tcPr>
            <w:tcW w:w="660" w:type="dxa"/>
            <w:vAlign w:val="bottom"/>
          </w:tcPr>
          <w:p>
            <w:pPr>
              <w:spacing w:after="0"/>
              <w:rPr>
                <w:sz w:val="20"/>
                <w:szCs w:val="20"/>
                <w:color w:val="auto"/>
              </w:rPr>
            </w:pPr>
            <w:r>
              <w:rPr>
                <w:rFonts w:ascii="Arial" w:cs="Arial" w:eastAsia="Arial" w:hAnsi="Arial"/>
                <w:sz w:val="13"/>
                <w:szCs w:val="13"/>
                <w:b w:val="1"/>
                <w:bCs w:val="1"/>
                <w:color w:val="auto"/>
              </w:rPr>
              <w:t>progress</w:t>
            </w:r>
          </w:p>
        </w:tc>
        <w:tc>
          <w:tcPr>
            <w:tcW w:w="8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7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83" w:type="dxa"/>
        <w:tblCellMar>
          <w:top w:w="0" w:type="dxa"/>
          <w:left w:w="0" w:type="dxa"/>
          <w:bottom w:w="0" w:type="dxa"/>
          <w:right w:w="0" w:type="dxa"/>
        </w:tblCellMar>
      </w:tblPr>
      <w:tr>
        <w:trPr>
          <w:trHeight w:val="139"/>
        </w:trPr>
        <w:tc>
          <w:tcPr>
            <w:tcW w:w="224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Cost -</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3"/>
        </w:trPr>
        <w:tc>
          <w:tcPr>
            <w:tcW w:w="2240" w:type="dxa"/>
            <w:vAlign w:val="bottom"/>
          </w:tcPr>
          <w:p>
            <w:pPr>
              <w:spacing w:after="0" w:line="133" w:lineRule="exact"/>
              <w:rPr>
                <w:sz w:val="20"/>
                <w:szCs w:val="20"/>
                <w:color w:val="auto"/>
              </w:rPr>
            </w:pPr>
            <w:r>
              <w:rPr>
                <w:rFonts w:ascii="Arial" w:cs="Arial" w:eastAsia="Arial" w:hAnsi="Arial"/>
                <w:sz w:val="13"/>
                <w:szCs w:val="13"/>
                <w:b w:val="1"/>
                <w:bCs w:val="1"/>
                <w:color w:val="auto"/>
              </w:rPr>
              <w:t>Balance as of January 1</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397,995</w:t>
            </w:r>
          </w:p>
        </w:tc>
        <w:tc>
          <w:tcPr>
            <w:tcW w:w="760" w:type="dxa"/>
            <w:vAlign w:val="bottom"/>
          </w:tcPr>
          <w:p>
            <w:pPr>
              <w:jc w:val="right"/>
              <w:spacing w:after="0" w:line="133" w:lineRule="exact"/>
              <w:rPr>
                <w:sz w:val="20"/>
                <w:szCs w:val="20"/>
                <w:color w:val="auto"/>
              </w:rPr>
            </w:pPr>
            <w:r>
              <w:rPr>
                <w:rFonts w:ascii="Arial" w:cs="Arial" w:eastAsia="Arial" w:hAnsi="Arial"/>
                <w:sz w:val="13"/>
                <w:szCs w:val="13"/>
                <w:color w:val="auto"/>
              </w:rPr>
              <w:t>1,128,325</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509,230</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487,573</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587,748</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155,390</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189,181</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3,455,442</w:t>
            </w:r>
          </w:p>
        </w:tc>
        <w:tc>
          <w:tcPr>
            <w:tcW w:w="640" w:type="dxa"/>
            <w:vAlign w:val="bottom"/>
          </w:tcPr>
          <w:p>
            <w:pPr>
              <w:jc w:val="right"/>
              <w:spacing w:after="0" w:line="133" w:lineRule="exact"/>
              <w:rPr>
                <w:sz w:val="20"/>
                <w:szCs w:val="20"/>
                <w:color w:val="auto"/>
              </w:rPr>
            </w:pPr>
            <w:r>
              <w:rPr>
                <w:rFonts w:ascii="Arial" w:cs="Arial" w:eastAsia="Arial" w:hAnsi="Arial"/>
                <w:sz w:val="13"/>
                <w:szCs w:val="13"/>
                <w:color w:val="auto"/>
              </w:rPr>
              <w:t>3,447,017</w:t>
            </w:r>
          </w:p>
        </w:tc>
        <w:tc>
          <w:tcPr>
            <w:tcW w:w="220" w:type="dxa"/>
            <w:vAlign w:val="bottom"/>
          </w:tcPr>
          <w:p>
            <w:pPr>
              <w:spacing w:after="0"/>
              <w:rPr>
                <w:sz w:val="11"/>
                <w:szCs w:val="11"/>
                <w:color w:val="auto"/>
              </w:rPr>
            </w:pPr>
          </w:p>
        </w:tc>
        <w:tc>
          <w:tcPr>
            <w:tcW w:w="76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3,251,142</w:t>
            </w:r>
          </w:p>
        </w:tc>
      </w:tr>
      <w:tr>
        <w:trPr>
          <w:trHeight w:val="133"/>
        </w:trPr>
        <w:tc>
          <w:tcPr>
            <w:tcW w:w="22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Business combination, note 2(d)(i)</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144,523</w:t>
            </w:r>
          </w:p>
        </w:tc>
      </w:tr>
      <w:tr>
        <w:trPr>
          <w:trHeight w:val="133"/>
        </w:trPr>
        <w:tc>
          <w:tcPr>
            <w:tcW w:w="2240" w:type="dxa"/>
            <w:vAlign w:val="bottom"/>
          </w:tcPr>
          <w:p>
            <w:pPr>
              <w:spacing w:after="0" w:line="133" w:lineRule="exact"/>
              <w:rPr>
                <w:sz w:val="20"/>
                <w:szCs w:val="20"/>
                <w:color w:val="auto"/>
              </w:rPr>
            </w:pPr>
            <w:r>
              <w:rPr>
                <w:rFonts w:ascii="Arial" w:cs="Arial" w:eastAsia="Arial" w:hAnsi="Arial"/>
                <w:sz w:val="13"/>
                <w:szCs w:val="13"/>
                <w:color w:val="auto"/>
              </w:rPr>
              <w:t>Additions</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10,637</w:t>
            </w:r>
          </w:p>
        </w:tc>
        <w:tc>
          <w:tcPr>
            <w:tcW w:w="9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13,097</w:t>
            </w:r>
          </w:p>
        </w:tc>
        <w:tc>
          <w:tcPr>
            <w:tcW w:w="9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8,746</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20,382</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19,136</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5,632</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32,521</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110,151</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148,426</w:t>
            </w:r>
          </w:p>
        </w:tc>
        <w:tc>
          <w:tcPr>
            <w:tcW w:w="76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301,734</w:t>
            </w:r>
          </w:p>
        </w:tc>
      </w:tr>
      <w:tr>
        <w:trPr>
          <w:trHeight w:val="133"/>
        </w:trPr>
        <w:tc>
          <w:tcPr>
            <w:tcW w:w="22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Transfers</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2,956</w:t>
            </w:r>
          </w:p>
        </w:tc>
        <w:tc>
          <w:tcPr>
            <w:tcW w:w="9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4,798</w:t>
            </w: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85,575</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907</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9,249</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17,636</w:t>
            </w:r>
          </w:p>
        </w:tc>
        <w:tc>
          <w:tcPr>
            <w:tcW w:w="8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(121,121)</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w:t>
            </w:r>
          </w:p>
        </w:tc>
      </w:tr>
      <w:tr>
        <w:trPr>
          <w:trHeight w:val="145"/>
        </w:trPr>
        <w:tc>
          <w:tcPr>
            <w:tcW w:w="2240" w:type="dxa"/>
            <w:vAlign w:val="bottom"/>
          </w:tcPr>
          <w:p>
            <w:pPr>
              <w:spacing w:after="0" w:line="145" w:lineRule="exact"/>
              <w:rPr>
                <w:sz w:val="20"/>
                <w:szCs w:val="20"/>
                <w:color w:val="auto"/>
              </w:rPr>
            </w:pPr>
            <w:r>
              <w:rPr>
                <w:rFonts w:ascii="Arial" w:cs="Arial" w:eastAsia="Arial" w:hAnsi="Arial"/>
                <w:sz w:val="13"/>
                <w:szCs w:val="13"/>
                <w:color w:val="auto"/>
              </w:rPr>
              <w:t>Disposals and others</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(9,524)</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(30,684)</w:t>
            </w: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(22,704)</w:t>
            </w:r>
          </w:p>
        </w:tc>
        <w:tc>
          <w:tcPr>
            <w:tcW w:w="86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(12,505)</w:t>
            </w:r>
          </w:p>
        </w:tc>
        <w:tc>
          <w:tcPr>
            <w:tcW w:w="88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(57,231)</w:t>
            </w: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(11,627)</w:t>
            </w:r>
          </w:p>
        </w:tc>
        <w:tc>
          <w:tcPr>
            <w:tcW w:w="88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(11,949)</w:t>
            </w:r>
          </w:p>
        </w:tc>
        <w:tc>
          <w:tcPr>
            <w:tcW w:w="88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(156,224)</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(140,001)</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(250,382)</w:t>
            </w:r>
          </w:p>
        </w:tc>
      </w:tr>
      <w:tr>
        <w:trPr>
          <w:trHeight w:val="125"/>
        </w:trPr>
        <w:tc>
          <w:tcPr>
            <w:tcW w:w="224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3"/>
                <w:szCs w:val="13"/>
                <w:b w:val="1"/>
                <w:bCs w:val="1"/>
                <w:color w:val="auto"/>
              </w:rPr>
              <w:t>Balance as of December 31</w:t>
            </w: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402,064</w:t>
            </w:r>
          </w:p>
        </w:tc>
        <w:tc>
          <w:tcPr>
            <w:tcW w:w="2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1,115,536</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580,847</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496,357</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558,902</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167,031</w:t>
            </w: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88,632</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3,409,369</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3,455,442</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3,447,017</w:t>
            </w:r>
          </w:p>
        </w:tc>
        <w:tc>
          <w:tcPr>
            <w:tcW w:w="100" w:type="dxa"/>
            <w:vAlign w:val="bottom"/>
            <w:tcBorders>
              <w:top w:val="single" w:sz="8" w:color="CCEEFF"/>
            </w:tcBorders>
            <w:shd w:val="clear" w:color="auto" w:fill="CCEEFF"/>
          </w:tcPr>
          <w:p>
            <w:pPr>
              <w:spacing w:after="0"/>
              <w:rPr>
                <w:sz w:val="10"/>
                <w:szCs w:val="10"/>
                <w:color w:val="auto"/>
              </w:rPr>
            </w:pPr>
          </w:p>
        </w:tc>
      </w:tr>
      <w:tr>
        <w:trPr>
          <w:trHeight w:val="125"/>
        </w:trPr>
        <w:tc>
          <w:tcPr>
            <w:tcW w:w="2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3"/>
        </w:trPr>
        <w:tc>
          <w:tcPr>
            <w:tcW w:w="224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Accumulated depreciation -</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3"/>
        </w:trPr>
        <w:tc>
          <w:tcPr>
            <w:tcW w:w="2240" w:type="dxa"/>
            <w:vAlign w:val="bottom"/>
          </w:tcPr>
          <w:p>
            <w:pPr>
              <w:spacing w:after="0" w:line="133" w:lineRule="exact"/>
              <w:rPr>
                <w:sz w:val="20"/>
                <w:szCs w:val="20"/>
                <w:color w:val="auto"/>
              </w:rPr>
            </w:pPr>
            <w:r>
              <w:rPr>
                <w:rFonts w:ascii="Arial" w:cs="Arial" w:eastAsia="Arial" w:hAnsi="Arial"/>
                <w:sz w:val="13"/>
                <w:szCs w:val="13"/>
                <w:b w:val="1"/>
                <w:bCs w:val="1"/>
                <w:color w:val="auto"/>
              </w:rPr>
              <w:t>Balance as of January 1</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566,870</w:t>
            </w:r>
          </w:p>
        </w:tc>
        <w:tc>
          <w:tcPr>
            <w:tcW w:w="9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362,035</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291,178</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466,092</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97,826</w:t>
            </w:r>
          </w:p>
        </w:tc>
        <w:tc>
          <w:tcPr>
            <w:tcW w:w="66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1,784,001</w:t>
            </w:r>
          </w:p>
        </w:tc>
        <w:tc>
          <w:tcPr>
            <w:tcW w:w="640" w:type="dxa"/>
            <w:vAlign w:val="bottom"/>
          </w:tcPr>
          <w:p>
            <w:pPr>
              <w:jc w:val="right"/>
              <w:spacing w:after="0" w:line="133" w:lineRule="exact"/>
              <w:rPr>
                <w:sz w:val="20"/>
                <w:szCs w:val="20"/>
                <w:color w:val="auto"/>
              </w:rPr>
            </w:pPr>
            <w:r>
              <w:rPr>
                <w:rFonts w:ascii="Arial" w:cs="Arial" w:eastAsia="Arial" w:hAnsi="Arial"/>
                <w:sz w:val="13"/>
                <w:szCs w:val="13"/>
                <w:color w:val="auto"/>
              </w:rPr>
              <w:t>1,671,575</w:t>
            </w:r>
          </w:p>
        </w:tc>
        <w:tc>
          <w:tcPr>
            <w:tcW w:w="220" w:type="dxa"/>
            <w:vAlign w:val="bottom"/>
          </w:tcPr>
          <w:p>
            <w:pPr>
              <w:spacing w:after="0"/>
              <w:rPr>
                <w:sz w:val="11"/>
                <w:szCs w:val="11"/>
                <w:color w:val="auto"/>
              </w:rPr>
            </w:pPr>
          </w:p>
        </w:tc>
        <w:tc>
          <w:tcPr>
            <w:tcW w:w="76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1,545,071</w:t>
            </w:r>
          </w:p>
        </w:tc>
      </w:tr>
      <w:tr>
        <w:trPr>
          <w:trHeight w:val="133"/>
        </w:trPr>
        <w:tc>
          <w:tcPr>
            <w:tcW w:w="22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Depreciation for the year</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31,286</w:t>
            </w: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42,295</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33,177</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58,429</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17,658</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182,845</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177,623</w:t>
            </w:r>
          </w:p>
        </w:tc>
        <w:tc>
          <w:tcPr>
            <w:tcW w:w="7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178,870</w:t>
            </w:r>
          </w:p>
        </w:tc>
      </w:tr>
      <w:tr>
        <w:trPr>
          <w:trHeight w:val="145"/>
        </w:trPr>
        <w:tc>
          <w:tcPr>
            <w:tcW w:w="2240" w:type="dxa"/>
            <w:vAlign w:val="bottom"/>
          </w:tcPr>
          <w:p>
            <w:pPr>
              <w:spacing w:after="0" w:line="145" w:lineRule="exact"/>
              <w:rPr>
                <w:sz w:val="20"/>
                <w:szCs w:val="20"/>
                <w:color w:val="auto"/>
              </w:rPr>
            </w:pPr>
            <w:r>
              <w:rPr>
                <w:rFonts w:ascii="Arial" w:cs="Arial" w:eastAsia="Arial" w:hAnsi="Arial"/>
                <w:sz w:val="13"/>
                <w:szCs w:val="13"/>
                <w:color w:val="auto"/>
              </w:rPr>
              <w:t>Disposals and others</w:t>
            </w:r>
          </w:p>
        </w:tc>
        <w:tc>
          <w:tcPr>
            <w:tcW w:w="86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(20,698)</w:t>
            </w: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(6,845)</w:t>
            </w:r>
          </w:p>
        </w:tc>
        <w:tc>
          <w:tcPr>
            <w:tcW w:w="86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(12,999)</w:t>
            </w:r>
          </w:p>
        </w:tc>
        <w:tc>
          <w:tcPr>
            <w:tcW w:w="88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(58,921)</w:t>
            </w: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(9,717)</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(109,180)</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(65,197)</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(52,366)</w:t>
            </w:r>
          </w:p>
        </w:tc>
      </w:tr>
      <w:tr>
        <w:trPr>
          <w:trHeight w:val="125"/>
        </w:trPr>
        <w:tc>
          <w:tcPr>
            <w:tcW w:w="224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3"/>
                <w:szCs w:val="13"/>
                <w:b w:val="1"/>
                <w:bCs w:val="1"/>
                <w:color w:val="auto"/>
              </w:rPr>
              <w:t>Balance as of December 31</w:t>
            </w: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577,458</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397,485</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311,356</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465,600</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105,767</w:t>
            </w: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1,857,666</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1,784,001</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1,671,575</w:t>
            </w:r>
          </w:p>
        </w:tc>
        <w:tc>
          <w:tcPr>
            <w:tcW w:w="100" w:type="dxa"/>
            <w:vAlign w:val="bottom"/>
            <w:tcBorders>
              <w:top w:val="single" w:sz="8" w:color="CCEEFF"/>
            </w:tcBorders>
            <w:shd w:val="clear" w:color="auto" w:fill="CCEEFF"/>
          </w:tcPr>
          <w:p>
            <w:pPr>
              <w:spacing w:after="0"/>
              <w:rPr>
                <w:sz w:val="10"/>
                <w:szCs w:val="10"/>
                <w:color w:val="auto"/>
              </w:rPr>
            </w:pPr>
          </w:p>
        </w:tc>
      </w:tr>
      <w:tr>
        <w:trPr>
          <w:trHeight w:val="125"/>
        </w:trPr>
        <w:tc>
          <w:tcPr>
            <w:tcW w:w="2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5"/>
        </w:trPr>
        <w:tc>
          <w:tcPr>
            <w:tcW w:w="2240" w:type="dxa"/>
            <w:vAlign w:val="bottom"/>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Net carrying amount</w:t>
            </w:r>
          </w:p>
        </w:tc>
        <w:tc>
          <w:tcPr>
            <w:tcW w:w="8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402,064</w:t>
            </w:r>
          </w:p>
        </w:tc>
        <w:tc>
          <w:tcPr>
            <w:tcW w:w="9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538,078</w:t>
            </w:r>
          </w:p>
        </w:tc>
        <w:tc>
          <w:tcPr>
            <w:tcW w:w="9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183,362</w:t>
            </w:r>
          </w:p>
        </w:tc>
        <w:tc>
          <w:tcPr>
            <w:tcW w:w="8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185,001</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93,302</w:t>
            </w:r>
          </w:p>
        </w:tc>
        <w:tc>
          <w:tcPr>
            <w:tcW w:w="8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61,264</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88,632</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1,551,703</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1,671,441</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1,775,442</w:t>
            </w:r>
          </w:p>
        </w:tc>
      </w:tr>
      <w:tr>
        <w:trPr>
          <w:trHeight w:val="20"/>
        </w:trPr>
        <w:tc>
          <w:tcPr>
            <w:tcW w:w="2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left="283"/>
        <w:spacing w:after="0"/>
        <w:rPr>
          <w:sz w:val="20"/>
          <w:szCs w:val="20"/>
          <w:color w:val="auto"/>
        </w:rPr>
      </w:pPr>
      <w:r>
        <w:rPr>
          <w:rFonts w:ascii="Arial" w:cs="Arial" w:eastAsia="Arial" w:hAnsi="Arial"/>
          <w:sz w:val="16"/>
          <w:szCs w:val="16"/>
          <w:color w:val="auto"/>
        </w:rPr>
        <w:t>Banks, financial institutions and insurance entities operating in Peru are not allowed to pledge their fixed assets.</w:t>
      </w:r>
    </w:p>
    <w:p>
      <w:pPr>
        <w:spacing w:after="0" w:line="203" w:lineRule="exact"/>
        <w:rPr>
          <w:sz w:val="20"/>
          <w:szCs w:val="20"/>
          <w:color w:val="auto"/>
        </w:rPr>
      </w:pPr>
    </w:p>
    <w:p>
      <w:pPr>
        <w:jc w:val="both"/>
        <w:ind w:left="283" w:right="640"/>
        <w:spacing w:after="0" w:line="292" w:lineRule="auto"/>
        <w:rPr>
          <w:sz w:val="20"/>
          <w:szCs w:val="20"/>
          <w:color w:val="auto"/>
        </w:rPr>
      </w:pPr>
      <w:r>
        <w:rPr>
          <w:rFonts w:ascii="Arial" w:cs="Arial" w:eastAsia="Arial" w:hAnsi="Arial"/>
          <w:sz w:val="15"/>
          <w:szCs w:val="15"/>
          <w:color w:val="auto"/>
        </w:rPr>
        <w:t>During 2016 and 2015 Credicorp and its Subsidiaries, as part of its annual infrastructure investing, has made cash disbursements related mainly to the acquisition, construction and implementation of new agencies for its banking segment, and the refurbishment and conditioning of several agencies and administrative offices. Credicorp’s subsidiaries hold insurance contracts over its main assets in accordance with the policies established by Management.</w:t>
      </w:r>
    </w:p>
    <w:p>
      <w:pPr>
        <w:spacing w:after="0" w:line="144" w:lineRule="exact"/>
        <w:rPr>
          <w:sz w:val="20"/>
          <w:szCs w:val="20"/>
          <w:color w:val="auto"/>
        </w:rPr>
      </w:pPr>
    </w:p>
    <w:p>
      <w:pPr>
        <w:ind w:left="283"/>
        <w:spacing w:after="0" w:line="266" w:lineRule="auto"/>
        <w:rPr>
          <w:sz w:val="20"/>
          <w:szCs w:val="20"/>
          <w:color w:val="auto"/>
        </w:rPr>
      </w:pPr>
      <w:r>
        <w:rPr>
          <w:rFonts w:ascii="Arial" w:cs="Arial" w:eastAsia="Arial" w:hAnsi="Arial"/>
          <w:sz w:val="16"/>
          <w:szCs w:val="16"/>
          <w:color w:val="auto"/>
        </w:rPr>
        <w:t>Management periodically reviews the residual value, useful life and method of depreciation of the Group’s property, furniture and equipment to ensure that they are consistent with their actual economic benefits and life expectations. In Management’s opinion, as of December 31, 2016 and 2015 there is no evidence of impairment of the Group’s property, furniture and equipment.</w:t>
      </w:r>
    </w:p>
    <w:p>
      <w:pPr>
        <w:spacing w:after="0" w:line="355" w:lineRule="exact"/>
        <w:rPr>
          <w:sz w:val="20"/>
          <w:szCs w:val="20"/>
          <w:color w:val="auto"/>
        </w:rPr>
      </w:pPr>
    </w:p>
    <w:p>
      <w:pPr>
        <w:jc w:val="center"/>
        <w:ind w:right="-82"/>
        <w:spacing w:after="0"/>
        <w:rPr>
          <w:sz w:val="20"/>
          <w:szCs w:val="20"/>
          <w:color w:val="auto"/>
        </w:rPr>
      </w:pPr>
      <w:r>
        <w:rPr>
          <w:rFonts w:ascii="Arial" w:cs="Arial" w:eastAsia="Arial" w:hAnsi="Arial"/>
          <w:sz w:val="16"/>
          <w:szCs w:val="16"/>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63"/>
          </w:cols>
          <w:pgMar w:left="237" w:top="824" w:right="299" w:bottom="1440" w:gutter="0" w:footer="0" w:header="0"/>
        </w:sectPr>
      </w:pPr>
    </w:p>
    <w:bookmarkStart w:id="70" w:name="page71"/>
    <w:bookmarkEnd w:id="70"/>
    <w:p>
      <w:pPr>
        <w:ind w:left="3"/>
        <w:spacing w:after="0"/>
        <w:tabs>
          <w:tab w:leader="none" w:pos="563"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6"/>
          <w:szCs w:val="16"/>
          <w:b w:val="1"/>
          <w:bCs w:val="1"/>
          <w:color w:val="auto"/>
        </w:rPr>
        <w:t>INTANGIBLE ASSETS AND GOODWILL, NET</w:t>
      </w:r>
    </w:p>
    <w:p>
      <w:pPr>
        <w:spacing w:after="0" w:line="207" w:lineRule="exact"/>
        <w:rPr>
          <w:sz w:val="20"/>
          <w:szCs w:val="20"/>
          <w:color w:val="auto"/>
        </w:rPr>
      </w:pPr>
    </w:p>
    <w:p>
      <w:pPr>
        <w:ind w:left="283" w:hanging="283"/>
        <w:spacing w:after="0"/>
        <w:tabs>
          <w:tab w:leader="none" w:pos="283"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Intangible assets -</w:t>
      </w:r>
    </w:p>
    <w:p>
      <w:pPr>
        <w:spacing w:after="0" w:line="202"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The movement of intangible assets with limited useful life for the years ended December 31, 2016, 2015 and 2014 is as follows:</w:t>
      </w:r>
    </w:p>
    <w:p>
      <w:pPr>
        <w:spacing w:after="0" w:line="179" w:lineRule="exact"/>
        <w:rPr>
          <w:sz w:val="20"/>
          <w:szCs w:val="20"/>
          <w:color w:val="auto"/>
        </w:rPr>
      </w:pPr>
    </w:p>
    <w:tbl>
      <w:tblPr>
        <w:tblLayout w:type="fixed"/>
        <w:tblInd w:w="283"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Client</w:t>
            </w:r>
          </w:p>
        </w:tc>
        <w:tc>
          <w:tcPr>
            <w:tcW w:w="98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Rights of</w:t>
            </w:r>
          </w:p>
        </w:tc>
        <w:tc>
          <w:tcPr>
            <w:tcW w:w="660" w:type="dxa"/>
            <w:vAlign w:val="bottom"/>
            <w:vMerge w:val="restart"/>
          </w:tcPr>
          <w:p>
            <w:pPr>
              <w:spacing w:after="0"/>
              <w:rPr>
                <w:sz w:val="20"/>
                <w:szCs w:val="20"/>
                <w:color w:val="auto"/>
              </w:rPr>
            </w:pPr>
            <w:r>
              <w:rPr>
                <w:rFonts w:ascii="Arial" w:cs="Arial" w:eastAsia="Arial" w:hAnsi="Arial"/>
                <w:sz w:val="13"/>
                <w:szCs w:val="13"/>
                <w:b w:val="1"/>
                <w:bCs w:val="1"/>
                <w:color w:val="auto"/>
              </w:rPr>
              <w:t>Brand</w:t>
            </w:r>
          </w:p>
        </w:tc>
        <w:tc>
          <w:tcPr>
            <w:tcW w:w="1080" w:type="dxa"/>
            <w:vAlign w:val="bottom"/>
            <w:gridSpan w:val="3"/>
          </w:tcPr>
          <w:p>
            <w:pPr>
              <w:ind w:left="220"/>
              <w:spacing w:after="0"/>
              <w:rPr>
                <w:sz w:val="20"/>
                <w:szCs w:val="20"/>
                <w:color w:val="auto"/>
              </w:rPr>
            </w:pPr>
            <w:r>
              <w:rPr>
                <w:rFonts w:ascii="Arial" w:cs="Arial" w:eastAsia="Arial" w:hAnsi="Arial"/>
                <w:sz w:val="13"/>
                <w:szCs w:val="13"/>
                <w:b w:val="1"/>
                <w:bCs w:val="1"/>
                <w:color w:val="auto"/>
              </w:rPr>
              <w:t>Fund</w:t>
            </w:r>
          </w:p>
        </w:tc>
        <w:tc>
          <w:tcPr>
            <w:tcW w:w="660" w:type="dxa"/>
            <w:vAlign w:val="bottom"/>
          </w:tcPr>
          <w:p>
            <w:pPr>
              <w:spacing w:after="0"/>
              <w:rPr>
                <w:sz w:val="20"/>
                <w:szCs w:val="20"/>
                <w:color w:val="auto"/>
              </w:rPr>
            </w:pPr>
            <w:r>
              <w:rPr>
                <w:rFonts w:ascii="Arial" w:cs="Arial" w:eastAsia="Arial" w:hAnsi="Arial"/>
                <w:sz w:val="13"/>
                <w:szCs w:val="13"/>
                <w:b w:val="1"/>
                <w:bCs w:val="1"/>
                <w:color w:val="auto"/>
              </w:rPr>
              <w:t>Core</w:t>
            </w:r>
          </w:p>
        </w:tc>
        <w:tc>
          <w:tcPr>
            <w:tcW w:w="108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Software and</w:t>
            </w:r>
          </w:p>
        </w:tc>
        <w:tc>
          <w:tcPr>
            <w:tcW w:w="96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Intagible in</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6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920" w:type="dxa"/>
            <w:vAlign w:val="bottom"/>
            <w:gridSpan w:val="3"/>
            <w:vMerge w:val="continue"/>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080" w:type="dxa"/>
            <w:vAlign w:val="bottom"/>
            <w:gridSpan w:val="3"/>
          </w:tcPr>
          <w:p>
            <w:pPr>
              <w:ind w:left="220"/>
              <w:spacing w:after="0" w:line="133" w:lineRule="exact"/>
              <w:rPr>
                <w:sz w:val="20"/>
                <w:szCs w:val="20"/>
                <w:color w:val="auto"/>
              </w:rPr>
            </w:pPr>
            <w:r>
              <w:rPr>
                <w:rFonts w:ascii="Arial" w:cs="Arial" w:eastAsia="Arial" w:hAnsi="Arial"/>
                <w:sz w:val="13"/>
                <w:szCs w:val="13"/>
                <w:b w:val="1"/>
                <w:bCs w:val="1"/>
                <w:color w:val="auto"/>
              </w:rPr>
              <w:t>manager</w:t>
            </w:r>
          </w:p>
        </w:tc>
        <w:tc>
          <w:tcPr>
            <w:tcW w:w="660" w:type="dxa"/>
            <w:vAlign w:val="bottom"/>
          </w:tcPr>
          <w:p>
            <w:pPr>
              <w:spacing w:after="0" w:line="133" w:lineRule="exact"/>
              <w:rPr>
                <w:sz w:val="20"/>
                <w:szCs w:val="20"/>
                <w:color w:val="auto"/>
              </w:rPr>
            </w:pPr>
            <w:r>
              <w:rPr>
                <w:rFonts w:ascii="Arial" w:cs="Arial" w:eastAsia="Arial" w:hAnsi="Arial"/>
                <w:sz w:val="13"/>
                <w:szCs w:val="13"/>
                <w:b w:val="1"/>
                <w:bCs w:val="1"/>
                <w:color w:val="auto"/>
              </w:rPr>
              <w:t>deposits</w:t>
            </w:r>
          </w:p>
        </w:tc>
        <w:tc>
          <w:tcPr>
            <w:tcW w:w="1080" w:type="dxa"/>
            <w:vAlign w:val="bottom"/>
            <w:gridSpan w:val="3"/>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3"/>
                <w:szCs w:val="13"/>
                <w:b w:val="1"/>
                <w:bCs w:val="1"/>
                <w:color w:val="auto"/>
              </w:rPr>
              <w:t>Other</w:t>
            </w:r>
          </w:p>
        </w:tc>
        <w:tc>
          <w:tcPr>
            <w:tcW w:w="8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2016</w:t>
            </w:r>
          </w:p>
        </w:tc>
        <w:tc>
          <w:tcPr>
            <w:tcW w:w="86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2015</w:t>
            </w:r>
          </w:p>
        </w:tc>
        <w:tc>
          <w:tcPr>
            <w:tcW w:w="22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3"/>
                <w:szCs w:val="13"/>
                <w:b w:val="1"/>
                <w:bCs w:val="1"/>
                <w:color w:val="auto"/>
              </w:rPr>
              <w:t>2014</w:t>
            </w:r>
          </w:p>
        </w:tc>
        <w:tc>
          <w:tcPr>
            <w:tcW w:w="0" w:type="dxa"/>
            <w:vAlign w:val="bottom"/>
          </w:tcPr>
          <w:p>
            <w:pPr>
              <w:spacing w:after="0"/>
              <w:rPr>
                <w:sz w:val="1"/>
                <w:szCs w:val="1"/>
                <w:color w:val="auto"/>
              </w:rPr>
            </w:pPr>
          </w:p>
        </w:tc>
      </w:tr>
      <w:tr>
        <w:trPr>
          <w:trHeight w:val="153"/>
        </w:trPr>
        <w:tc>
          <w:tcPr>
            <w:tcW w:w="1260" w:type="dxa"/>
            <w:vAlign w:val="bottom"/>
            <w:vMerge w:val="continue"/>
          </w:tcPr>
          <w:p>
            <w:pPr>
              <w:spacing w:after="0"/>
              <w:rPr>
                <w:sz w:val="13"/>
                <w:szCs w:val="13"/>
                <w:color w:val="auto"/>
              </w:rPr>
            </w:pPr>
          </w:p>
        </w:tc>
        <w:tc>
          <w:tcPr>
            <w:tcW w:w="920" w:type="dxa"/>
            <w:vAlign w:val="bottom"/>
            <w:gridSpan w:val="3"/>
          </w:tcPr>
          <w:p>
            <w:pPr>
              <w:ind w:left="120"/>
              <w:spacing w:after="0"/>
              <w:rPr>
                <w:sz w:val="20"/>
                <w:szCs w:val="20"/>
                <w:color w:val="auto"/>
              </w:rPr>
            </w:pPr>
            <w:r>
              <w:rPr>
                <w:rFonts w:ascii="Arial" w:cs="Arial" w:eastAsia="Arial" w:hAnsi="Arial"/>
                <w:sz w:val="13"/>
                <w:szCs w:val="13"/>
                <w:b w:val="1"/>
                <w:bCs w:val="1"/>
                <w:color w:val="auto"/>
                <w:w w:val="96"/>
              </w:rPr>
              <w:t>relationships</w:t>
            </w:r>
          </w:p>
        </w:tc>
        <w:tc>
          <w:tcPr>
            <w:tcW w:w="980" w:type="dxa"/>
            <w:vAlign w:val="bottom"/>
            <w:gridSpan w:val="3"/>
          </w:tcPr>
          <w:p>
            <w:pPr>
              <w:ind w:left="120"/>
              <w:spacing w:after="0"/>
              <w:rPr>
                <w:sz w:val="20"/>
                <w:szCs w:val="20"/>
                <w:color w:val="auto"/>
              </w:rPr>
            </w:pPr>
            <w:r>
              <w:rPr>
                <w:rFonts w:ascii="Arial" w:cs="Arial" w:eastAsia="Arial" w:hAnsi="Arial"/>
                <w:sz w:val="13"/>
                <w:szCs w:val="13"/>
                <w:b w:val="1"/>
                <w:bCs w:val="1"/>
                <w:color w:val="auto"/>
              </w:rPr>
              <w:t>use</w:t>
            </w:r>
          </w:p>
        </w:tc>
        <w:tc>
          <w:tcPr>
            <w:tcW w:w="6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080" w:type="dxa"/>
            <w:vAlign w:val="bottom"/>
            <w:gridSpan w:val="3"/>
          </w:tcPr>
          <w:p>
            <w:pPr>
              <w:ind w:left="220"/>
              <w:spacing w:after="0"/>
              <w:rPr>
                <w:sz w:val="20"/>
                <w:szCs w:val="20"/>
                <w:color w:val="auto"/>
              </w:rPr>
            </w:pPr>
            <w:r>
              <w:rPr>
                <w:rFonts w:ascii="Arial" w:cs="Arial" w:eastAsia="Arial" w:hAnsi="Arial"/>
                <w:sz w:val="13"/>
                <w:szCs w:val="13"/>
                <w:b w:val="1"/>
                <w:bCs w:val="1"/>
                <w:color w:val="auto"/>
              </w:rPr>
              <w:t>contract</w:t>
            </w:r>
          </w:p>
        </w:tc>
        <w:tc>
          <w:tcPr>
            <w:tcW w:w="660" w:type="dxa"/>
            <w:vAlign w:val="bottom"/>
          </w:tcPr>
          <w:p>
            <w:pPr>
              <w:spacing w:after="0"/>
              <w:rPr>
                <w:sz w:val="20"/>
                <w:szCs w:val="20"/>
                <w:color w:val="auto"/>
              </w:rPr>
            </w:pPr>
            <w:r>
              <w:rPr>
                <w:rFonts w:ascii="Arial" w:cs="Arial" w:eastAsia="Arial" w:hAnsi="Arial"/>
                <w:sz w:val="13"/>
                <w:szCs w:val="13"/>
                <w:b w:val="1"/>
                <w:bCs w:val="1"/>
                <w:color w:val="auto"/>
              </w:rPr>
              <w:t>intangible</w:t>
            </w:r>
          </w:p>
        </w:tc>
        <w:tc>
          <w:tcPr>
            <w:tcW w:w="1080" w:type="dxa"/>
            <w:vAlign w:val="bottom"/>
            <w:gridSpan w:val="3"/>
          </w:tcPr>
          <w:p>
            <w:pPr>
              <w:ind w:left="220"/>
              <w:spacing w:after="0"/>
              <w:rPr>
                <w:sz w:val="20"/>
                <w:szCs w:val="20"/>
                <w:color w:val="auto"/>
              </w:rPr>
            </w:pPr>
            <w:r>
              <w:rPr>
                <w:rFonts w:ascii="Arial" w:cs="Arial" w:eastAsia="Arial" w:hAnsi="Arial"/>
                <w:sz w:val="13"/>
                <w:szCs w:val="13"/>
                <w:b w:val="1"/>
                <w:bCs w:val="1"/>
                <w:color w:val="auto"/>
                <w:w w:val="96"/>
              </w:rPr>
              <w:t>developments</w:t>
            </w:r>
          </w:p>
        </w:tc>
        <w:tc>
          <w:tcPr>
            <w:tcW w:w="960" w:type="dxa"/>
            <w:vAlign w:val="bottom"/>
            <w:gridSpan w:val="3"/>
          </w:tcPr>
          <w:p>
            <w:pPr>
              <w:ind w:left="100"/>
              <w:spacing w:after="0"/>
              <w:rPr>
                <w:sz w:val="20"/>
                <w:szCs w:val="20"/>
                <w:color w:val="auto"/>
              </w:rPr>
            </w:pPr>
            <w:r>
              <w:rPr>
                <w:rFonts w:ascii="Arial" w:cs="Arial" w:eastAsia="Arial" w:hAnsi="Arial"/>
                <w:sz w:val="13"/>
                <w:szCs w:val="13"/>
                <w:b w:val="1"/>
                <w:bCs w:val="1"/>
                <w:color w:val="auto"/>
              </w:rPr>
              <w:t>progress</w:t>
            </w:r>
          </w:p>
        </w:tc>
        <w:tc>
          <w:tcPr>
            <w:tcW w:w="6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bl>
    <w:p>
      <w:pPr>
        <w:spacing w:after="0" w:line="83" w:lineRule="exact"/>
        <w:rPr>
          <w:sz w:val="20"/>
          <w:szCs w:val="20"/>
          <w:color w:val="auto"/>
        </w:rPr>
      </w:pPr>
    </w:p>
    <w:tbl>
      <w:tblPr>
        <w:tblLayout w:type="fixed"/>
        <w:tblInd w:w="283" w:type="dxa"/>
        <w:tblCellMar>
          <w:top w:w="0" w:type="dxa"/>
          <w:left w:w="0" w:type="dxa"/>
          <w:bottom w:w="0" w:type="dxa"/>
          <w:right w:w="0" w:type="dxa"/>
        </w:tblCellMar>
      </w:tblPr>
      <w:tr>
        <w:trPr>
          <w:trHeight w:val="149"/>
        </w:trPr>
        <w:tc>
          <w:tcPr>
            <w:tcW w:w="1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Cost -</w:t>
            </w: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33"/>
        </w:trPr>
        <w:tc>
          <w:tcPr>
            <w:tcW w:w="1380" w:type="dxa"/>
            <w:vAlign w:val="bottom"/>
          </w:tcPr>
          <w:p>
            <w:pPr>
              <w:spacing w:after="0" w:line="133" w:lineRule="exact"/>
              <w:rPr>
                <w:sz w:val="20"/>
                <w:szCs w:val="20"/>
                <w:color w:val="auto"/>
              </w:rPr>
            </w:pPr>
            <w:r>
              <w:rPr>
                <w:rFonts w:ascii="Arial" w:cs="Arial" w:eastAsia="Arial" w:hAnsi="Arial"/>
                <w:sz w:val="13"/>
                <w:szCs w:val="13"/>
                <w:b w:val="1"/>
                <w:bCs w:val="1"/>
                <w:color w:val="auto"/>
                <w:w w:val="99"/>
              </w:rPr>
              <w:t>Balances at January 1</w:t>
            </w:r>
          </w:p>
        </w:tc>
        <w:tc>
          <w:tcPr>
            <w:tcW w:w="92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404,001</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55,900</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259,621</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96,724</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21,100</w:t>
            </w:r>
          </w:p>
        </w:tc>
        <w:tc>
          <w:tcPr>
            <w:tcW w:w="740" w:type="dxa"/>
            <w:vAlign w:val="bottom"/>
          </w:tcPr>
          <w:p>
            <w:pPr>
              <w:jc w:val="right"/>
              <w:spacing w:after="0" w:line="133" w:lineRule="exact"/>
              <w:rPr>
                <w:sz w:val="20"/>
                <w:szCs w:val="20"/>
                <w:color w:val="auto"/>
              </w:rPr>
            </w:pPr>
            <w:r>
              <w:rPr>
                <w:rFonts w:ascii="Arial" w:cs="Arial" w:eastAsia="Arial" w:hAnsi="Arial"/>
                <w:sz w:val="13"/>
                <w:szCs w:val="13"/>
                <w:color w:val="auto"/>
              </w:rPr>
              <w:t>1,429,482</w:t>
            </w:r>
          </w:p>
        </w:tc>
        <w:tc>
          <w:tcPr>
            <w:tcW w:w="220" w:type="dxa"/>
            <w:vAlign w:val="bottom"/>
          </w:tcPr>
          <w:p>
            <w:pPr>
              <w:spacing w:after="0"/>
              <w:rPr>
                <w:sz w:val="11"/>
                <w:szCs w:val="11"/>
                <w:color w:val="auto"/>
              </w:rPr>
            </w:pPr>
          </w:p>
        </w:tc>
        <w:tc>
          <w:tcPr>
            <w:tcW w:w="86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217,554</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27,732</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2,512,114</w:t>
            </w:r>
          </w:p>
        </w:tc>
        <w:tc>
          <w:tcPr>
            <w:tcW w:w="640" w:type="dxa"/>
            <w:vAlign w:val="bottom"/>
          </w:tcPr>
          <w:p>
            <w:pPr>
              <w:jc w:val="right"/>
              <w:spacing w:after="0" w:line="133" w:lineRule="exact"/>
              <w:rPr>
                <w:sz w:val="20"/>
                <w:szCs w:val="20"/>
                <w:color w:val="auto"/>
              </w:rPr>
            </w:pPr>
            <w:r>
              <w:rPr>
                <w:rFonts w:ascii="Arial" w:cs="Arial" w:eastAsia="Arial" w:hAnsi="Arial"/>
                <w:sz w:val="13"/>
                <w:szCs w:val="13"/>
                <w:color w:val="auto"/>
              </w:rPr>
              <w:t>2,329,549</w:t>
            </w:r>
          </w:p>
        </w:tc>
        <w:tc>
          <w:tcPr>
            <w:tcW w:w="220" w:type="dxa"/>
            <w:vAlign w:val="bottom"/>
          </w:tcPr>
          <w:p>
            <w:pPr>
              <w:spacing w:after="0"/>
              <w:rPr>
                <w:sz w:val="11"/>
                <w:szCs w:val="11"/>
                <w:color w:val="auto"/>
              </w:rPr>
            </w:pPr>
          </w:p>
        </w:tc>
        <w:tc>
          <w:tcPr>
            <w:tcW w:w="76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1,976,789</w:t>
            </w:r>
          </w:p>
        </w:tc>
      </w:tr>
      <w:tr>
        <w:trPr>
          <w:trHeight w:val="133"/>
        </w:trPr>
        <w:tc>
          <w:tcPr>
            <w:tcW w:w="13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Additions</w:t>
            </w:r>
          </w:p>
        </w:tc>
        <w:tc>
          <w:tcPr>
            <w:tcW w:w="92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95,862</w:t>
            </w:r>
          </w:p>
        </w:tc>
        <w:tc>
          <w:tcPr>
            <w:tcW w:w="86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181,484</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277,346</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276,564</w:t>
            </w:r>
          </w:p>
        </w:tc>
        <w:tc>
          <w:tcPr>
            <w:tcW w:w="7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246,882</w:t>
            </w:r>
          </w:p>
        </w:tc>
      </w:tr>
      <w:tr>
        <w:trPr>
          <w:trHeight w:val="117"/>
        </w:trPr>
        <w:tc>
          <w:tcPr>
            <w:tcW w:w="1380" w:type="dxa"/>
            <w:vAlign w:val="bottom"/>
          </w:tcPr>
          <w:p>
            <w:pPr>
              <w:spacing w:after="0" w:line="117" w:lineRule="exact"/>
              <w:rPr>
                <w:sz w:val="20"/>
                <w:szCs w:val="20"/>
                <w:color w:val="auto"/>
              </w:rPr>
            </w:pPr>
            <w:r>
              <w:rPr>
                <w:rFonts w:ascii="Arial" w:cs="Arial" w:eastAsia="Arial" w:hAnsi="Arial"/>
                <w:sz w:val="13"/>
                <w:szCs w:val="13"/>
                <w:color w:val="auto"/>
              </w:rPr>
              <w:t>Business combination,</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380" w:type="dxa"/>
            <w:vAlign w:val="bottom"/>
          </w:tcPr>
          <w:p>
            <w:pPr>
              <w:spacing w:after="0"/>
              <w:rPr>
                <w:sz w:val="20"/>
                <w:szCs w:val="20"/>
                <w:color w:val="auto"/>
              </w:rPr>
            </w:pPr>
            <w:r>
              <w:rPr>
                <w:rFonts w:ascii="Arial" w:cs="Arial" w:eastAsia="Arial" w:hAnsi="Arial"/>
                <w:sz w:val="13"/>
                <w:szCs w:val="13"/>
                <w:color w:val="auto"/>
              </w:rPr>
              <w:t>note 2(d)(i)</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307,838</w:t>
            </w:r>
          </w:p>
        </w:tc>
      </w:tr>
      <w:tr>
        <w:trPr>
          <w:trHeight w:val="133"/>
        </w:trPr>
        <w:tc>
          <w:tcPr>
            <w:tcW w:w="13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Transfers</w:t>
            </w:r>
          </w:p>
        </w:tc>
        <w:tc>
          <w:tcPr>
            <w:tcW w:w="92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96,291</w:t>
            </w:r>
          </w:p>
        </w:tc>
        <w:tc>
          <w:tcPr>
            <w:tcW w:w="8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(96,291)</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(3,299)</w:t>
            </w:r>
          </w:p>
        </w:tc>
        <w:tc>
          <w:tcPr>
            <w:tcW w:w="7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w:t>
            </w:r>
          </w:p>
        </w:tc>
      </w:tr>
      <w:tr>
        <w:trPr>
          <w:trHeight w:val="117"/>
        </w:trPr>
        <w:tc>
          <w:tcPr>
            <w:tcW w:w="1380" w:type="dxa"/>
            <w:vAlign w:val="bottom"/>
          </w:tcPr>
          <w:p>
            <w:pPr>
              <w:spacing w:after="0" w:line="117" w:lineRule="exact"/>
              <w:rPr>
                <w:sz w:val="20"/>
                <w:szCs w:val="20"/>
                <w:color w:val="auto"/>
              </w:rPr>
            </w:pPr>
            <w:r>
              <w:rPr>
                <w:rFonts w:ascii="Arial" w:cs="Arial" w:eastAsia="Arial" w:hAnsi="Arial"/>
                <w:sz w:val="13"/>
                <w:szCs w:val="13"/>
                <w:color w:val="auto"/>
                <w:w w:val="97"/>
              </w:rPr>
              <w:t>Transfers to non-current</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3"/>
        </w:trPr>
        <w:tc>
          <w:tcPr>
            <w:tcW w:w="1380" w:type="dxa"/>
            <w:vAlign w:val="bottom"/>
          </w:tcPr>
          <w:p>
            <w:pPr>
              <w:spacing w:after="0" w:line="133" w:lineRule="exact"/>
              <w:rPr>
                <w:sz w:val="20"/>
                <w:szCs w:val="20"/>
                <w:color w:val="auto"/>
              </w:rPr>
            </w:pPr>
            <w:r>
              <w:rPr>
                <w:rFonts w:ascii="Arial" w:cs="Arial" w:eastAsia="Arial" w:hAnsi="Arial"/>
                <w:sz w:val="13"/>
                <w:szCs w:val="13"/>
                <w:color w:val="auto"/>
                <w:w w:val="96"/>
              </w:rPr>
              <w:t>assets classified as held</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380" w:type="dxa"/>
            <w:vAlign w:val="bottom"/>
          </w:tcPr>
          <w:p>
            <w:pPr>
              <w:spacing w:after="0"/>
              <w:rPr>
                <w:sz w:val="20"/>
                <w:szCs w:val="20"/>
                <w:color w:val="auto"/>
              </w:rPr>
            </w:pPr>
            <w:r>
              <w:rPr>
                <w:rFonts w:ascii="Arial" w:cs="Arial" w:eastAsia="Arial" w:hAnsi="Arial"/>
                <w:sz w:val="13"/>
                <w:szCs w:val="13"/>
                <w:color w:val="auto"/>
              </w:rPr>
              <w:t>for sale</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(147,470)</w:t>
            </w:r>
          </w:p>
        </w:tc>
      </w:tr>
      <w:tr>
        <w:trPr>
          <w:trHeight w:val="145"/>
        </w:trPr>
        <w:tc>
          <w:tcPr>
            <w:tcW w:w="13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Disposals and others</w:t>
            </w:r>
          </w:p>
        </w:tc>
        <w:tc>
          <w:tcPr>
            <w:tcW w:w="92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2,185</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2,094</w:t>
            </w:r>
          </w:p>
        </w:tc>
        <w:tc>
          <w:tcPr>
            <w:tcW w:w="8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3,884</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(7,297)</w:t>
            </w:r>
          </w:p>
        </w:tc>
        <w:tc>
          <w:tcPr>
            <w:tcW w:w="8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(891)</w:t>
            </w:r>
          </w:p>
        </w:tc>
        <w:tc>
          <w:tcPr>
            <w:tcW w:w="8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(25)</w:t>
            </w:r>
          </w:p>
        </w:tc>
        <w:tc>
          <w:tcPr>
            <w:tcW w:w="8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(90,700)</w:t>
            </w:r>
          </w:p>
        </w:tc>
        <w:tc>
          <w:tcPr>
            <w:tcW w:w="76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(54,490)</w:t>
            </w:r>
          </w:p>
        </w:tc>
      </w:tr>
      <w:tr>
        <w:trPr>
          <w:trHeight w:val="93"/>
        </w:trPr>
        <w:tc>
          <w:tcPr>
            <w:tcW w:w="1380" w:type="dxa"/>
            <w:vAlign w:val="bottom"/>
          </w:tcPr>
          <w:p>
            <w:pPr>
              <w:spacing w:after="0" w:line="93" w:lineRule="exact"/>
              <w:rPr>
                <w:sz w:val="20"/>
                <w:szCs w:val="20"/>
                <w:color w:val="auto"/>
              </w:rPr>
            </w:pPr>
            <w:r>
              <w:rPr>
                <w:rFonts w:ascii="Arial" w:cs="Arial" w:eastAsia="Arial" w:hAnsi="Arial"/>
                <w:sz w:val="10"/>
                <w:szCs w:val="10"/>
                <w:b w:val="1"/>
                <w:bCs w:val="1"/>
                <w:color w:val="auto"/>
              </w:rPr>
              <w:t>Balances at December</w:t>
            </w:r>
          </w:p>
        </w:tc>
        <w:tc>
          <w:tcPr>
            <w:tcW w:w="7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65"/>
        </w:trPr>
        <w:tc>
          <w:tcPr>
            <w:tcW w:w="1380" w:type="dxa"/>
            <w:vAlign w:val="bottom"/>
          </w:tcPr>
          <w:p>
            <w:pPr>
              <w:spacing w:after="0"/>
              <w:rPr>
                <w:sz w:val="20"/>
                <w:szCs w:val="20"/>
                <w:color w:val="auto"/>
              </w:rPr>
            </w:pPr>
            <w:r>
              <w:rPr>
                <w:rFonts w:ascii="Arial" w:cs="Arial" w:eastAsia="Arial" w:hAnsi="Arial"/>
                <w:sz w:val="13"/>
                <w:szCs w:val="13"/>
                <w:b w:val="1"/>
                <w:bCs w:val="1"/>
                <w:color w:val="auto"/>
              </w:rPr>
              <w:t>31</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406,186</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55,900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261,715</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100,608</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21,100</w:t>
            </w:r>
          </w:p>
        </w:tc>
        <w:tc>
          <w:tcPr>
            <w:tcW w:w="740" w:type="dxa"/>
            <w:vAlign w:val="bottom"/>
          </w:tcPr>
          <w:p>
            <w:pPr>
              <w:jc w:val="right"/>
              <w:spacing w:after="0"/>
              <w:rPr>
                <w:sz w:val="20"/>
                <w:szCs w:val="20"/>
                <w:color w:val="auto"/>
              </w:rPr>
            </w:pPr>
            <w:r>
              <w:rPr>
                <w:rFonts w:ascii="Arial" w:cs="Arial" w:eastAsia="Arial" w:hAnsi="Arial"/>
                <w:sz w:val="13"/>
                <w:szCs w:val="13"/>
                <w:color w:val="auto"/>
              </w:rPr>
              <w:t>1,614,338</w:t>
            </w:r>
          </w:p>
        </w:tc>
        <w:tc>
          <w:tcPr>
            <w:tcW w:w="2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302,747</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26,841</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2,789,435</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2,512,114</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2,329,549</w:t>
            </w:r>
          </w:p>
        </w:tc>
      </w:tr>
      <w:tr>
        <w:trPr>
          <w:trHeight w:val="125"/>
        </w:trPr>
        <w:tc>
          <w:tcPr>
            <w:tcW w:w="13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13"/>
        </w:trPr>
        <w:tc>
          <w:tcPr>
            <w:tcW w:w="1380" w:type="dxa"/>
            <w:vAlign w:val="bottom"/>
          </w:tcPr>
          <w:p>
            <w:pPr>
              <w:spacing w:after="0" w:line="113" w:lineRule="exact"/>
              <w:rPr>
                <w:sz w:val="20"/>
                <w:szCs w:val="20"/>
                <w:color w:val="auto"/>
              </w:rPr>
            </w:pPr>
            <w:r>
              <w:rPr>
                <w:rFonts w:ascii="Arial" w:cs="Arial" w:eastAsia="Arial" w:hAnsi="Arial"/>
                <w:sz w:val="13"/>
                <w:szCs w:val="13"/>
                <w:b w:val="1"/>
                <w:bCs w:val="1"/>
                <w:color w:val="auto"/>
              </w:rPr>
              <w:t>Accumulated</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3"/>
        </w:trPr>
        <w:tc>
          <w:tcPr>
            <w:tcW w:w="1380" w:type="dxa"/>
            <w:vAlign w:val="bottom"/>
          </w:tcPr>
          <w:p>
            <w:pPr>
              <w:spacing w:after="0"/>
              <w:rPr>
                <w:sz w:val="20"/>
                <w:szCs w:val="20"/>
                <w:color w:val="auto"/>
              </w:rPr>
            </w:pPr>
            <w:r>
              <w:rPr>
                <w:rFonts w:ascii="Arial" w:cs="Arial" w:eastAsia="Arial" w:hAnsi="Arial"/>
                <w:sz w:val="13"/>
                <w:szCs w:val="13"/>
                <w:b w:val="1"/>
                <w:bCs w:val="1"/>
                <w:color w:val="auto"/>
              </w:rPr>
              <w:t>depreciation -</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3"/>
        </w:trPr>
        <w:tc>
          <w:tcPr>
            <w:tcW w:w="138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Balance at January 1</w:t>
            </w:r>
          </w:p>
        </w:tc>
        <w:tc>
          <w:tcPr>
            <w:tcW w:w="92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162,922</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48,447</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68,046</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5,277</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5,197</w:t>
            </w:r>
          </w:p>
        </w:tc>
        <w:tc>
          <w:tcPr>
            <w:tcW w:w="9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925,584</w:t>
            </w:r>
          </w:p>
        </w:tc>
        <w:tc>
          <w:tcPr>
            <w:tcW w:w="86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27,370</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1,242,843</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1,043,886</w:t>
            </w: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826,286</w:t>
            </w:r>
          </w:p>
        </w:tc>
      </w:tr>
      <w:tr>
        <w:trPr>
          <w:trHeight w:val="133"/>
        </w:trPr>
        <w:tc>
          <w:tcPr>
            <w:tcW w:w="1380" w:type="dxa"/>
            <w:vAlign w:val="bottom"/>
          </w:tcPr>
          <w:p>
            <w:pPr>
              <w:spacing w:after="0" w:line="133" w:lineRule="exact"/>
              <w:rPr>
                <w:sz w:val="20"/>
                <w:szCs w:val="20"/>
                <w:color w:val="auto"/>
              </w:rPr>
            </w:pPr>
            <w:r>
              <w:rPr>
                <w:rFonts w:ascii="Arial" w:cs="Arial" w:eastAsia="Arial" w:hAnsi="Arial"/>
                <w:sz w:val="13"/>
                <w:szCs w:val="13"/>
                <w:color w:val="auto"/>
                <w:w w:val="98"/>
              </w:rPr>
              <w:t>Depreciation of the year</w:t>
            </w:r>
          </w:p>
        </w:tc>
        <w:tc>
          <w:tcPr>
            <w:tcW w:w="92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30,296</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7,453</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17,007</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671</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3,517</w:t>
            </w:r>
          </w:p>
        </w:tc>
        <w:tc>
          <w:tcPr>
            <w:tcW w:w="9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165,272</w:t>
            </w:r>
          </w:p>
        </w:tc>
        <w:tc>
          <w:tcPr>
            <w:tcW w:w="86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224,216</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218,874</w:t>
            </w:r>
          </w:p>
        </w:tc>
        <w:tc>
          <w:tcPr>
            <w:tcW w:w="76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254,917</w:t>
            </w:r>
          </w:p>
        </w:tc>
      </w:tr>
      <w:tr>
        <w:trPr>
          <w:trHeight w:val="117"/>
        </w:trPr>
        <w:tc>
          <w:tcPr>
            <w:tcW w:w="13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7"/>
              </w:rPr>
              <w:t>Transfers to non-current</w:t>
            </w: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3"/>
        </w:trPr>
        <w:tc>
          <w:tcPr>
            <w:tcW w:w="13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6"/>
              </w:rPr>
              <w:t>assets classified as held</w:t>
            </w: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for sale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(26,181)</w:t>
            </w:r>
          </w:p>
        </w:tc>
      </w:tr>
      <w:tr>
        <w:trPr>
          <w:trHeight w:val="145"/>
        </w:trPr>
        <w:tc>
          <w:tcPr>
            <w:tcW w:w="1380" w:type="dxa"/>
            <w:vAlign w:val="bottom"/>
          </w:tcPr>
          <w:p>
            <w:pPr>
              <w:spacing w:after="0" w:line="145" w:lineRule="exact"/>
              <w:rPr>
                <w:sz w:val="20"/>
                <w:szCs w:val="20"/>
                <w:color w:val="auto"/>
              </w:rPr>
            </w:pPr>
            <w:r>
              <w:rPr>
                <w:rFonts w:ascii="Arial" w:cs="Arial" w:eastAsia="Arial" w:hAnsi="Arial"/>
                <w:sz w:val="13"/>
                <w:szCs w:val="13"/>
                <w:color w:val="auto"/>
              </w:rPr>
              <w:t>Disposals and others</w:t>
            </w:r>
          </w:p>
        </w:tc>
        <w:tc>
          <w:tcPr>
            <w:tcW w:w="9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(2,864)</w:t>
            </w:r>
          </w:p>
        </w:tc>
        <w:tc>
          <w:tcPr>
            <w:tcW w:w="64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1,338</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(105)</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967</w:t>
            </w:r>
          </w:p>
        </w:tc>
        <w:tc>
          <w:tcPr>
            <w:tcW w:w="22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(972)</w:t>
            </w:r>
          </w:p>
        </w:tc>
        <w:tc>
          <w:tcPr>
            <w:tcW w:w="86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(529)</w:t>
            </w:r>
          </w:p>
        </w:tc>
        <w:tc>
          <w:tcPr>
            <w:tcW w:w="88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(2,165)</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(19,917)</w:t>
            </w:r>
          </w:p>
        </w:tc>
        <w:tc>
          <w:tcPr>
            <w:tcW w:w="7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(11,136)</w:t>
            </w:r>
          </w:p>
        </w:tc>
      </w:tr>
      <w:tr>
        <w:trPr>
          <w:trHeight w:val="93"/>
        </w:trPr>
        <w:tc>
          <w:tcPr>
            <w:tcW w:w="1380" w:type="dxa"/>
            <w:vAlign w:val="bottom"/>
            <w:tcBorders>
              <w:top w:val="single" w:sz="8" w:color="CCEEFF"/>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 at December</w:t>
            </w: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165"/>
        </w:trPr>
        <w:tc>
          <w:tcPr>
            <w:tcW w:w="1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31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190,354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55,900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86,391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5,843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9,681</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1,089,884</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26,841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1,464,894</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1,242,843</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1,043,886</w:t>
            </w:r>
          </w:p>
        </w:tc>
      </w:tr>
      <w:tr>
        <w:trPr>
          <w:trHeight w:val="125"/>
        </w:trPr>
        <w:tc>
          <w:tcPr>
            <w:tcW w:w="13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5"/>
        </w:trPr>
        <w:tc>
          <w:tcPr>
            <w:tcW w:w="1380" w:type="dxa"/>
            <w:vAlign w:val="bottom"/>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Net carrying amount</w:t>
            </w: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215,832</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175,324</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94,765</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11,419</w:t>
            </w:r>
          </w:p>
        </w:tc>
        <w:tc>
          <w:tcPr>
            <w:tcW w:w="9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524,454</w:t>
            </w:r>
          </w:p>
        </w:tc>
        <w:tc>
          <w:tcPr>
            <w:tcW w:w="8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302,747</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1,324,541</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1,269,271</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1,285,663</w:t>
            </w:r>
          </w:p>
        </w:tc>
      </w:tr>
      <w:tr>
        <w:trPr>
          <w:trHeight w:val="20"/>
        </w:trPr>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left="283"/>
        <w:spacing w:after="0" w:line="280" w:lineRule="auto"/>
        <w:rPr>
          <w:sz w:val="20"/>
          <w:szCs w:val="20"/>
          <w:color w:val="auto"/>
        </w:rPr>
      </w:pPr>
      <w:r>
        <w:rPr>
          <w:rFonts w:ascii="Arial" w:cs="Arial" w:eastAsia="Arial" w:hAnsi="Arial"/>
          <w:sz w:val="16"/>
          <w:szCs w:val="16"/>
          <w:color w:val="auto"/>
        </w:rPr>
        <w:t>At December 31, 2016 and 2015 additions were related to the implementation of a technological platform, which is used for the administration of the insurance segment of the group, and to develop applications related to basic information of clients, implementation of treasury solutions among others.</w:t>
      </w:r>
    </w:p>
    <w:p>
      <w:pPr>
        <w:spacing w:after="0" w:line="344" w:lineRule="exact"/>
        <w:rPr>
          <w:sz w:val="20"/>
          <w:szCs w:val="20"/>
          <w:color w:val="auto"/>
        </w:rPr>
      </w:pPr>
    </w:p>
    <w:p>
      <w:pPr>
        <w:jc w:val="center"/>
        <w:ind w:right="-122"/>
        <w:spacing w:after="0"/>
        <w:rPr>
          <w:sz w:val="20"/>
          <w:szCs w:val="20"/>
          <w:color w:val="auto"/>
        </w:rPr>
      </w:pPr>
      <w:r>
        <w:rPr>
          <w:rFonts w:ascii="Arial" w:cs="Arial" w:eastAsia="Arial" w:hAnsi="Arial"/>
          <w:sz w:val="16"/>
          <w:szCs w:val="16"/>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23"/>
          </w:cols>
          <w:pgMar w:left="237" w:top="824"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6"/>
        </w:trPr>
        <w:tc>
          <w:tcPr>
            <w:tcW w:w="260" w:type="dxa"/>
            <w:vAlign w:val="bottom"/>
          </w:tcPr>
          <w:p>
            <w:pPr>
              <w:spacing w:after="0"/>
              <w:rPr>
                <w:sz w:val="20"/>
                <w:szCs w:val="20"/>
                <w:color w:val="auto"/>
              </w:rPr>
            </w:pPr>
            <w:r>
              <w:rPr>
                <w:rFonts w:ascii="Arial" w:cs="Arial" w:eastAsia="Arial" w:hAnsi="Arial"/>
                <w:sz w:val="16"/>
                <w:szCs w:val="16"/>
                <w:color w:val="auto"/>
              </w:rPr>
              <w:t>(i)</w:t>
            </w:r>
          </w:p>
        </w:tc>
        <w:tc>
          <w:tcPr>
            <w:tcW w:w="8500" w:type="dxa"/>
            <w:vAlign w:val="bottom"/>
            <w:gridSpan w:val="3"/>
          </w:tcPr>
          <w:p>
            <w:pPr>
              <w:ind w:left="40"/>
              <w:spacing w:after="0"/>
              <w:rPr>
                <w:sz w:val="20"/>
                <w:szCs w:val="20"/>
                <w:color w:val="auto"/>
              </w:rPr>
            </w:pPr>
            <w:r>
              <w:rPr>
                <w:rFonts w:ascii="Arial" w:cs="Arial" w:eastAsia="Arial" w:hAnsi="Arial"/>
                <w:sz w:val="16"/>
                <w:szCs w:val="16"/>
                <w:color w:val="auto"/>
              </w:rPr>
              <w:t>Client relationships -</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4"/>
                <w:szCs w:val="24"/>
                <w:color w:val="auto"/>
              </w:rPr>
            </w:pPr>
          </w:p>
        </w:tc>
        <w:tc>
          <w:tcPr>
            <w:tcW w:w="8500" w:type="dxa"/>
            <w:vAlign w:val="bottom"/>
            <w:gridSpan w:val="3"/>
          </w:tcPr>
          <w:p>
            <w:pPr>
              <w:ind w:left="40"/>
              <w:spacing w:after="0"/>
              <w:rPr>
                <w:sz w:val="20"/>
                <w:szCs w:val="20"/>
                <w:color w:val="auto"/>
              </w:rPr>
            </w:pPr>
            <w:r>
              <w:rPr>
                <w:rFonts w:ascii="Arial" w:cs="Arial" w:eastAsia="Arial" w:hAnsi="Arial"/>
                <w:sz w:val="16"/>
                <w:szCs w:val="16"/>
                <w:color w:val="auto"/>
              </w:rPr>
              <w:t>This item consists of the following:</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60" w:type="dxa"/>
            <w:vAlign w:val="bottom"/>
          </w:tcPr>
          <w:p>
            <w:pPr>
              <w:spacing w:after="0"/>
              <w:rPr>
                <w:sz w:val="24"/>
                <w:szCs w:val="24"/>
                <w:color w:val="auto"/>
              </w:rPr>
            </w:pPr>
          </w:p>
        </w:tc>
        <w:tc>
          <w:tcPr>
            <w:tcW w:w="8500" w:type="dxa"/>
            <w:vAlign w:val="bottom"/>
            <w:gridSpan w:val="3"/>
          </w:tcPr>
          <w:p>
            <w:pPr>
              <w:ind w:left="7940"/>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S/(000)</w:t>
            </w: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6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7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Prima AFP - AFP Unión Vida</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119,367</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124,476</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Inversiones IMT S.A. - IM Trust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26,438</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27,244</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Credicorp Capital Colombia S.A.</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13,751</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15,960</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Edyficar</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5,155</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6,974</w:t>
            </w: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Mibanco</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51,121</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66,425</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6"/>
                <w:szCs w:val="16"/>
                <w:b w:val="1"/>
                <w:bCs w:val="1"/>
                <w:color w:val="auto"/>
              </w:rPr>
              <w:t>Net carrying amount</w:t>
            </w:r>
          </w:p>
        </w:tc>
        <w:tc>
          <w:tcPr>
            <w:tcW w:w="5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215,832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241,079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260" w:type="dxa"/>
            <w:vAlign w:val="bottom"/>
          </w:tcPr>
          <w:p>
            <w:pPr>
              <w:spacing w:after="0"/>
              <w:rPr>
                <w:sz w:val="20"/>
                <w:szCs w:val="20"/>
                <w:color w:val="auto"/>
              </w:rPr>
            </w:pPr>
            <w:r>
              <w:rPr>
                <w:rFonts w:ascii="Arial" w:cs="Arial" w:eastAsia="Arial" w:hAnsi="Arial"/>
                <w:sz w:val="16"/>
                <w:szCs w:val="16"/>
                <w:color w:val="auto"/>
              </w:rPr>
              <w:t>(ii)</w:t>
            </w:r>
          </w:p>
        </w:tc>
        <w:tc>
          <w:tcPr>
            <w:tcW w:w="8500" w:type="dxa"/>
            <w:vAlign w:val="bottom"/>
            <w:gridSpan w:val="3"/>
          </w:tcPr>
          <w:p>
            <w:pPr>
              <w:ind w:left="40"/>
              <w:spacing w:after="0"/>
              <w:rPr>
                <w:sz w:val="20"/>
                <w:szCs w:val="20"/>
                <w:color w:val="auto"/>
              </w:rPr>
            </w:pPr>
            <w:r>
              <w:rPr>
                <w:rFonts w:ascii="Arial" w:cs="Arial" w:eastAsia="Arial" w:hAnsi="Arial"/>
                <w:sz w:val="16"/>
                <w:szCs w:val="16"/>
                <w:color w:val="auto"/>
              </w:rPr>
              <w:t>Brand name -</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4"/>
                <w:szCs w:val="24"/>
                <w:color w:val="auto"/>
              </w:rPr>
            </w:pPr>
          </w:p>
        </w:tc>
        <w:tc>
          <w:tcPr>
            <w:tcW w:w="8500" w:type="dxa"/>
            <w:vAlign w:val="bottom"/>
            <w:gridSpan w:val="3"/>
          </w:tcPr>
          <w:p>
            <w:pPr>
              <w:ind w:left="40"/>
              <w:spacing w:after="0"/>
              <w:rPr>
                <w:sz w:val="20"/>
                <w:szCs w:val="20"/>
                <w:color w:val="auto"/>
              </w:rPr>
            </w:pPr>
            <w:r>
              <w:rPr>
                <w:rFonts w:ascii="Arial" w:cs="Arial" w:eastAsia="Arial" w:hAnsi="Arial"/>
                <w:sz w:val="16"/>
                <w:szCs w:val="16"/>
                <w:color w:val="auto"/>
              </w:rPr>
              <w:t>This item consists of the following:</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60" w:type="dxa"/>
            <w:vAlign w:val="bottom"/>
          </w:tcPr>
          <w:p>
            <w:pPr>
              <w:spacing w:after="0"/>
              <w:rPr>
                <w:sz w:val="24"/>
                <w:szCs w:val="24"/>
                <w:color w:val="auto"/>
              </w:rPr>
            </w:pPr>
          </w:p>
        </w:tc>
        <w:tc>
          <w:tcPr>
            <w:tcW w:w="8500" w:type="dxa"/>
            <w:vAlign w:val="bottom"/>
            <w:gridSpan w:val="3"/>
          </w:tcPr>
          <w:p>
            <w:pPr>
              <w:ind w:left="7940"/>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S/(000)</w:t>
            </w: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6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8460" w:type="dxa"/>
            <w:vAlign w:val="bottom"/>
            <w:gridSpan w:val="2"/>
          </w:tcPr>
          <w:p>
            <w:pPr>
              <w:spacing w:after="0"/>
              <w:rPr>
                <w:sz w:val="15"/>
                <w:szCs w:val="15"/>
                <w:color w:val="auto"/>
              </w:rPr>
            </w:pPr>
          </w:p>
        </w:tc>
        <w:tc>
          <w:tcPr>
            <w:tcW w:w="800" w:type="dxa"/>
            <w:vAlign w:val="bottom"/>
            <w:gridSpan w:val="2"/>
          </w:tcPr>
          <w:p>
            <w:pPr>
              <w:spacing w:after="0"/>
              <w:rPr>
                <w:sz w:val="15"/>
                <w:szCs w:val="15"/>
                <w:color w:val="auto"/>
              </w:rPr>
            </w:pPr>
          </w:p>
        </w:tc>
        <w:tc>
          <w:tcPr>
            <w:tcW w:w="12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Mibanco</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151,923</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159,683</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Credicorp Capital Colombia S.A.</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13,460</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18,325</w:t>
            </w: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Inversiones IMT S.A. - IM Trust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9,941</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13,567</w:t>
            </w: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80" w:type="dxa"/>
            <w:vAlign w:val="bottom"/>
          </w:tcPr>
          <w:p>
            <w:pPr>
              <w:spacing w:after="0"/>
              <w:rPr>
                <w:sz w:val="20"/>
                <w:szCs w:val="20"/>
                <w:color w:val="auto"/>
              </w:rPr>
            </w:pPr>
            <w:r>
              <w:rPr>
                <w:rFonts w:ascii="Arial" w:cs="Arial" w:eastAsia="Arial" w:hAnsi="Arial"/>
                <w:sz w:val="16"/>
                <w:szCs w:val="16"/>
                <w:b w:val="1"/>
                <w:bCs w:val="1"/>
                <w:color w:val="auto"/>
              </w:rPr>
              <w:t>Net carrying amount</w:t>
            </w:r>
          </w:p>
        </w:tc>
        <w:tc>
          <w:tcPr>
            <w:tcW w:w="5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175,324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191,575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8760" w:type="dxa"/>
            <w:vAlign w:val="bottom"/>
            <w:gridSpan w:val="4"/>
          </w:tcPr>
          <w:p>
            <w:pPr>
              <w:spacing w:after="0"/>
              <w:rPr>
                <w:sz w:val="20"/>
                <w:szCs w:val="20"/>
                <w:color w:val="auto"/>
              </w:rPr>
            </w:pPr>
            <w:r>
              <w:rPr>
                <w:rFonts w:ascii="Arial" w:cs="Arial" w:eastAsia="Arial" w:hAnsi="Arial"/>
                <w:sz w:val="16"/>
                <w:szCs w:val="16"/>
                <w:color w:val="auto"/>
              </w:rPr>
              <w:t>(iii) Fund manager contract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4"/>
                <w:szCs w:val="24"/>
                <w:color w:val="auto"/>
              </w:rPr>
            </w:pPr>
          </w:p>
        </w:tc>
        <w:tc>
          <w:tcPr>
            <w:tcW w:w="8500" w:type="dxa"/>
            <w:vAlign w:val="bottom"/>
            <w:gridSpan w:val="3"/>
          </w:tcPr>
          <w:p>
            <w:pPr>
              <w:ind w:left="40"/>
              <w:spacing w:after="0"/>
              <w:rPr>
                <w:sz w:val="20"/>
                <w:szCs w:val="20"/>
                <w:color w:val="auto"/>
              </w:rPr>
            </w:pPr>
            <w:r>
              <w:rPr>
                <w:rFonts w:ascii="Arial" w:cs="Arial" w:eastAsia="Arial" w:hAnsi="Arial"/>
                <w:sz w:val="16"/>
                <w:szCs w:val="16"/>
                <w:color w:val="auto"/>
              </w:rPr>
              <w:t>This item consists of the following:</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60" w:type="dxa"/>
            <w:vAlign w:val="bottom"/>
          </w:tcPr>
          <w:p>
            <w:pPr>
              <w:spacing w:after="0"/>
              <w:rPr>
                <w:sz w:val="24"/>
                <w:szCs w:val="24"/>
                <w:color w:val="auto"/>
              </w:rPr>
            </w:pPr>
          </w:p>
        </w:tc>
        <w:tc>
          <w:tcPr>
            <w:tcW w:w="8500" w:type="dxa"/>
            <w:vAlign w:val="bottom"/>
            <w:gridSpan w:val="3"/>
          </w:tcPr>
          <w:p>
            <w:pPr>
              <w:ind w:left="7940"/>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S/(000)</w:t>
            </w: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6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8460" w:type="dxa"/>
            <w:vAlign w:val="bottom"/>
            <w:gridSpan w:val="2"/>
          </w:tcPr>
          <w:p>
            <w:pPr>
              <w:spacing w:after="0"/>
              <w:rPr>
                <w:sz w:val="15"/>
                <w:szCs w:val="15"/>
                <w:color w:val="auto"/>
              </w:rPr>
            </w:pPr>
          </w:p>
        </w:tc>
        <w:tc>
          <w:tcPr>
            <w:tcW w:w="800" w:type="dxa"/>
            <w:vAlign w:val="bottom"/>
            <w:gridSpan w:val="2"/>
          </w:tcPr>
          <w:p>
            <w:pPr>
              <w:spacing w:after="0"/>
              <w:rPr>
                <w:sz w:val="15"/>
                <w:szCs w:val="15"/>
                <w:color w:val="auto"/>
              </w:rPr>
            </w:pPr>
          </w:p>
        </w:tc>
        <w:tc>
          <w:tcPr>
            <w:tcW w:w="12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Credicorp Capital Colombia S.A.</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49,287</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47,791</w:t>
            </w: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Inversiones IMT S.A. - IM Trust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45,478</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43,656</w:t>
            </w: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carrying amount</w:t>
            </w: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94,765</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91,447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00" w:right="260"/>
        <w:spacing w:after="0" w:line="280" w:lineRule="auto"/>
        <w:rPr>
          <w:sz w:val="20"/>
          <w:szCs w:val="20"/>
          <w:color w:val="auto"/>
        </w:rPr>
      </w:pPr>
      <w:r>
        <w:rPr>
          <w:rFonts w:ascii="Arial" w:cs="Arial" w:eastAsia="Arial" w:hAnsi="Arial"/>
          <w:sz w:val="16"/>
          <w:szCs w:val="16"/>
          <w:color w:val="auto"/>
        </w:rPr>
        <w:t>Management has assessed at each reporting date that there was no indication that client relationships, rights of use, brand name, fund management contract and software and developments may be impaired.</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13970</wp:posOffset>
            </wp:positionV>
            <wp:extent cx="7261225" cy="762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820"/>
          </w:cols>
          <w:pgMar w:left="520" w:top="828" w:right="559" w:bottom="1440" w:gutter="0" w:footer="0" w:header="0"/>
        </w:sectPr>
      </w:pPr>
    </w:p>
    <w:bookmarkStart w:id="72" w:name="page73"/>
    <w:bookmarkEnd w:id="72"/>
    <w:p>
      <w:pPr>
        <w:ind w:left="283" w:hanging="283"/>
        <w:spacing w:after="0"/>
        <w:tabs>
          <w:tab w:leader="none" w:pos="283" w:val="left"/>
        </w:tabs>
        <w:numPr>
          <w:ilvl w:val="0"/>
          <w:numId w:val="78"/>
        </w:numPr>
        <w:rPr>
          <w:rFonts w:ascii="Arial" w:cs="Arial" w:eastAsia="Arial" w:hAnsi="Arial"/>
          <w:sz w:val="16"/>
          <w:szCs w:val="16"/>
          <w:color w:val="auto"/>
        </w:rPr>
      </w:pPr>
      <w:r>
        <w:rPr>
          <w:rFonts w:ascii="Arial" w:cs="Arial" w:eastAsia="Arial" w:hAnsi="Arial"/>
          <w:sz w:val="16"/>
          <w:szCs w:val="16"/>
          <w:color w:val="auto"/>
        </w:rPr>
        <w:t>Goodwill -</w:t>
      </w:r>
    </w:p>
    <w:p>
      <w:pPr>
        <w:spacing w:after="0" w:line="202" w:lineRule="exact"/>
        <w:rPr>
          <w:rFonts w:ascii="Arial" w:cs="Arial" w:eastAsia="Arial" w:hAnsi="Arial"/>
          <w:sz w:val="16"/>
          <w:szCs w:val="16"/>
          <w:color w:val="auto"/>
        </w:rPr>
      </w:pPr>
    </w:p>
    <w:p>
      <w:pPr>
        <w:ind w:left="283" w:right="720"/>
        <w:spacing w:after="0" w:line="280" w:lineRule="auto"/>
        <w:rPr>
          <w:rFonts w:ascii="Arial" w:cs="Arial" w:eastAsia="Arial" w:hAnsi="Arial"/>
          <w:sz w:val="16"/>
          <w:szCs w:val="16"/>
          <w:color w:val="auto"/>
        </w:rPr>
      </w:pPr>
      <w:r>
        <w:rPr>
          <w:rFonts w:ascii="Arial" w:cs="Arial" w:eastAsia="Arial" w:hAnsi="Arial"/>
          <w:sz w:val="16"/>
          <w:szCs w:val="16"/>
          <w:color w:val="auto"/>
        </w:rPr>
        <w:t>Goodwill acquired through business combinations has been allocated to each subsidiary or groups of them, which are also identified as a CGU for the purposes of impairment testing, as follows:</w:t>
      </w:r>
    </w:p>
    <w:p>
      <w:pPr>
        <w:spacing w:after="0" w:line="159" w:lineRule="exact"/>
        <w:rPr>
          <w:sz w:val="20"/>
          <w:szCs w:val="20"/>
          <w:color w:val="auto"/>
        </w:rPr>
      </w:pPr>
    </w:p>
    <w:tbl>
      <w:tblPr>
        <w:tblLayout w:type="fixed"/>
        <w:tblInd w:w="283" w:type="dxa"/>
        <w:tblCellMar>
          <w:top w:w="0" w:type="dxa"/>
          <w:left w:w="0" w:type="dxa"/>
          <w:bottom w:w="0" w:type="dxa"/>
          <w:right w:w="0" w:type="dxa"/>
        </w:tblCellMar>
      </w:tblPr>
      <w:tr>
        <w:trPr>
          <w:trHeight w:val="210"/>
        </w:trPr>
        <w:tc>
          <w:tcPr>
            <w:tcW w:w="8840" w:type="dxa"/>
            <w:vAlign w:val="bottom"/>
            <w:gridSpan w:val="2"/>
          </w:tcPr>
          <w:p>
            <w:pPr>
              <w:ind w:left="8260"/>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r>
      <w:tr>
        <w:trPr>
          <w:trHeight w:val="202"/>
        </w:trPr>
        <w:tc>
          <w:tcPr>
            <w:tcW w:w="8260" w:type="dxa"/>
            <w:vAlign w:val="bottom"/>
          </w:tcPr>
          <w:p>
            <w:pPr>
              <w:spacing w:after="0"/>
              <w:rPr>
                <w:sz w:val="17"/>
                <w:szCs w:val="17"/>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r>
      <w:tr>
        <w:trPr>
          <w:trHeight w:val="177"/>
        </w:trPr>
        <w:tc>
          <w:tcPr>
            <w:tcW w:w="8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8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Edyficar y Mibanco</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273,694</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273,694</w:t>
            </w:r>
          </w:p>
        </w:tc>
      </w:tr>
      <w:tr>
        <w:trPr>
          <w:trHeight w:val="193"/>
        </w:trPr>
        <w:tc>
          <w:tcPr>
            <w:tcW w:w="8840" w:type="dxa"/>
            <w:vAlign w:val="bottom"/>
            <w:gridSpan w:val="2"/>
          </w:tcPr>
          <w:p>
            <w:pPr>
              <w:spacing w:after="0"/>
              <w:rPr>
                <w:sz w:val="20"/>
                <w:szCs w:val="20"/>
                <w:color w:val="auto"/>
              </w:rPr>
            </w:pPr>
            <w:r>
              <w:rPr>
                <w:rFonts w:ascii="Arial" w:cs="Arial" w:eastAsia="Arial" w:hAnsi="Arial"/>
                <w:sz w:val="16"/>
                <w:szCs w:val="16"/>
                <w:color w:val="auto"/>
              </w:rPr>
              <w:t>Prima AFP – AFP Unión Vida</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124,640</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124,640</w:t>
            </w:r>
          </w:p>
        </w:tc>
      </w:tr>
      <w:tr>
        <w:trPr>
          <w:trHeight w:val="193"/>
        </w:trPr>
        <w:tc>
          <w:tcPr>
            <w:tcW w:w="8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Credicorp Capital Colombia S.A.</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80,022</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76,393</w:t>
            </w:r>
          </w:p>
        </w:tc>
      </w:tr>
      <w:tr>
        <w:trPr>
          <w:trHeight w:val="193"/>
        </w:trPr>
        <w:tc>
          <w:tcPr>
            <w:tcW w:w="8840" w:type="dxa"/>
            <w:vAlign w:val="bottom"/>
            <w:gridSpan w:val="2"/>
          </w:tcPr>
          <w:p>
            <w:pPr>
              <w:spacing w:after="0"/>
              <w:rPr>
                <w:sz w:val="20"/>
                <w:szCs w:val="20"/>
                <w:color w:val="auto"/>
              </w:rPr>
            </w:pPr>
            <w:r>
              <w:rPr>
                <w:rFonts w:ascii="Arial" w:cs="Arial" w:eastAsia="Arial" w:hAnsi="Arial"/>
                <w:sz w:val="16"/>
                <w:szCs w:val="16"/>
                <w:color w:val="auto"/>
              </w:rPr>
              <w:t>Banco de Crédito del Perú</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52,359</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52,359</w:t>
            </w:r>
          </w:p>
        </w:tc>
      </w:tr>
      <w:tr>
        <w:trPr>
          <w:trHeight w:val="193"/>
        </w:trPr>
        <w:tc>
          <w:tcPr>
            <w:tcW w:w="8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Inversiones IMT S.A. – IM Trust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39,284</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37,764</w:t>
            </w:r>
          </w:p>
        </w:tc>
      </w:tr>
      <w:tr>
        <w:trPr>
          <w:trHeight w:val="193"/>
        </w:trPr>
        <w:tc>
          <w:tcPr>
            <w:tcW w:w="8840" w:type="dxa"/>
            <w:vAlign w:val="bottom"/>
            <w:gridSpan w:val="2"/>
          </w:tcPr>
          <w:p>
            <w:pPr>
              <w:spacing w:after="0"/>
              <w:rPr>
                <w:sz w:val="20"/>
                <w:szCs w:val="20"/>
                <w:color w:val="auto"/>
              </w:rPr>
            </w:pPr>
            <w:r>
              <w:rPr>
                <w:rFonts w:ascii="Arial" w:cs="Arial" w:eastAsia="Arial" w:hAnsi="Arial"/>
                <w:sz w:val="16"/>
                <w:szCs w:val="16"/>
                <w:color w:val="auto"/>
              </w:rPr>
              <w:t>El Pacífico Peruano – Suiza Compañía de Seguros y Reaseguros</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36,355</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36,355</w:t>
            </w:r>
          </w:p>
        </w:tc>
      </w:tr>
      <w:tr>
        <w:trPr>
          <w:trHeight w:val="193"/>
        </w:trPr>
        <w:tc>
          <w:tcPr>
            <w:tcW w:w="8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Atlantic Security Holding Corporation</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29,795</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29,795</w:t>
            </w:r>
          </w:p>
        </w:tc>
      </w:tr>
      <w:tr>
        <w:trPr>
          <w:trHeight w:val="205"/>
        </w:trPr>
        <w:tc>
          <w:tcPr>
            <w:tcW w:w="8840" w:type="dxa"/>
            <w:vAlign w:val="bottom"/>
            <w:gridSpan w:val="2"/>
          </w:tcPr>
          <w:p>
            <w:pPr>
              <w:spacing w:after="0"/>
              <w:rPr>
                <w:sz w:val="20"/>
                <w:szCs w:val="20"/>
                <w:color w:val="auto"/>
              </w:rPr>
            </w:pPr>
            <w:r>
              <w:rPr>
                <w:rFonts w:ascii="Arial" w:cs="Arial" w:eastAsia="Arial" w:hAnsi="Arial"/>
                <w:sz w:val="16"/>
                <w:szCs w:val="16"/>
                <w:color w:val="auto"/>
              </w:rPr>
              <w:t>Fiduciaria Colseguros</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426</w:t>
            </w:r>
          </w:p>
        </w:tc>
      </w:tr>
      <w:tr>
        <w:trPr>
          <w:trHeight w:val="185"/>
        </w:trPr>
        <w:tc>
          <w:tcPr>
            <w:tcW w:w="8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carrying amount</w:t>
            </w: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636,149</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631,426</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1" w:lineRule="exact"/>
        <w:rPr>
          <w:sz w:val="20"/>
          <w:szCs w:val="20"/>
          <w:color w:val="auto"/>
        </w:rPr>
      </w:pPr>
    </w:p>
    <w:p>
      <w:pPr>
        <w:ind w:left="283" w:right="140"/>
        <w:spacing w:after="0" w:line="280" w:lineRule="auto"/>
        <w:rPr>
          <w:sz w:val="20"/>
          <w:szCs w:val="20"/>
          <w:color w:val="auto"/>
        </w:rPr>
      </w:pPr>
      <w:r>
        <w:rPr>
          <w:rFonts w:ascii="Arial" w:cs="Arial" w:eastAsia="Arial" w:hAnsi="Arial"/>
          <w:sz w:val="16"/>
          <w:szCs w:val="16"/>
          <w:color w:val="auto"/>
        </w:rPr>
        <w:t>The recoverable amount of all CGU has been determined based on calculations of fair value less selling costs, determined by discounting the future cash flows expected to be generated from the continuing use of the CGU.</w:t>
      </w:r>
    </w:p>
    <w:p>
      <w:pPr>
        <w:spacing w:after="0" w:line="151" w:lineRule="exact"/>
        <w:rPr>
          <w:sz w:val="20"/>
          <w:szCs w:val="20"/>
          <w:color w:val="auto"/>
        </w:rPr>
      </w:pPr>
    </w:p>
    <w:p>
      <w:pPr>
        <w:ind w:left="283"/>
        <w:spacing w:after="0" w:line="280" w:lineRule="auto"/>
        <w:rPr>
          <w:sz w:val="20"/>
          <w:szCs w:val="20"/>
          <w:color w:val="auto"/>
        </w:rPr>
      </w:pPr>
      <w:r>
        <w:rPr>
          <w:rFonts w:ascii="Arial" w:cs="Arial" w:eastAsia="Arial" w:hAnsi="Arial"/>
          <w:sz w:val="16"/>
          <w:szCs w:val="16"/>
          <w:color w:val="auto"/>
        </w:rPr>
        <w:t>Balances of goodwill from IM Trust S.A. and Correval are impacted by the volatility of the exchange rate of the local currency of the countries in which they operate against the exchange rate of Grupo Credicorp’s functional currency.</w:t>
      </w:r>
    </w:p>
    <w:p>
      <w:pPr>
        <w:spacing w:after="0" w:line="151"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following table summarizes the key assumptions used for the calculation of fair value less selling costs in 2016 and 2015:</w:t>
      </w:r>
    </w:p>
    <w:p>
      <w:pPr>
        <w:spacing w:after="0" w:line="211"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At December 31, 2016</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9"/>
        </w:trPr>
        <w:tc>
          <w:tcPr>
            <w:tcW w:w="2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line="169" w:lineRule="exact"/>
              <w:rPr>
                <w:sz w:val="20"/>
                <w:szCs w:val="20"/>
                <w:color w:val="auto"/>
              </w:rPr>
            </w:pPr>
            <w:r>
              <w:rPr>
                <w:rFonts w:ascii="Arial" w:cs="Arial" w:eastAsia="Arial" w:hAnsi="Arial"/>
                <w:sz w:val="16"/>
                <w:szCs w:val="16"/>
                <w:b w:val="1"/>
                <w:bCs w:val="1"/>
                <w:color w:val="auto"/>
              </w:rPr>
              <w:t>Terminal</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3"/>
        </w:trPr>
        <w:tc>
          <w:tcPr>
            <w:tcW w:w="2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Arial" w:cs="Arial" w:eastAsia="Arial" w:hAnsi="Arial"/>
                <w:sz w:val="16"/>
                <w:szCs w:val="16"/>
                <w:b w:val="1"/>
                <w:bCs w:val="1"/>
                <w:color w:val="auto"/>
              </w:rPr>
              <w:t>value</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Arial" w:cs="Arial" w:eastAsia="Arial" w:hAnsi="Arial"/>
                <w:sz w:val="16"/>
                <w:szCs w:val="16"/>
                <w:b w:val="1"/>
                <w:bCs w:val="1"/>
                <w:color w:val="auto"/>
              </w:rPr>
              <w:t>Discount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280" w:type="dxa"/>
            <w:vAlign w:val="bottom"/>
          </w:tcPr>
          <w:p>
            <w:pPr>
              <w:spacing w:after="0"/>
              <w:rPr>
                <w:sz w:val="18"/>
                <w:szCs w:val="18"/>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Description</w:t>
            </w:r>
          </w:p>
        </w:tc>
        <w:tc>
          <w:tcPr>
            <w:tcW w:w="3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6"/>
              </w:rPr>
              <w:t>growth rate</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rate</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28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Inversiones IMT S.A. – IM Trust</w:t>
            </w:r>
          </w:p>
        </w:tc>
        <w:tc>
          <w:tcPr>
            <w:tcW w:w="3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5.25</w:t>
            </w:r>
          </w:p>
        </w:tc>
        <w:tc>
          <w:tcPr>
            <w:tcW w:w="7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12.41</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Mibanco</w:t>
            </w:r>
          </w:p>
        </w:tc>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3.00</w:t>
            </w:r>
          </w:p>
        </w:tc>
        <w:tc>
          <w:tcPr>
            <w:tcW w:w="7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12.48</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Prima AFP – AFP Unión Vida</w:t>
            </w:r>
          </w:p>
        </w:tc>
        <w:tc>
          <w:tcPr>
            <w:tcW w:w="3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1.20</w:t>
            </w:r>
          </w:p>
        </w:tc>
        <w:tc>
          <w:tcPr>
            <w:tcW w:w="7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Credicorp Capital Colombia S.A.</w:t>
            </w:r>
          </w:p>
        </w:tc>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3.80</w:t>
            </w:r>
          </w:p>
        </w:tc>
        <w:tc>
          <w:tcPr>
            <w:tcW w:w="7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13.44</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Banco de Crédito del Perú</w:t>
            </w:r>
          </w:p>
        </w:tc>
        <w:tc>
          <w:tcPr>
            <w:tcW w:w="3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5.00</w:t>
            </w:r>
          </w:p>
        </w:tc>
        <w:tc>
          <w:tcPr>
            <w:tcW w:w="7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12.48</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El Pacífico Peruano – Suiza Compañía de Seguros y Reaseguros</w:t>
            </w:r>
          </w:p>
        </w:tc>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5.00</w:t>
            </w:r>
          </w:p>
        </w:tc>
        <w:tc>
          <w:tcPr>
            <w:tcW w:w="7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11.66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Atlantic Security Bank</w:t>
            </w:r>
          </w:p>
        </w:tc>
        <w:tc>
          <w:tcPr>
            <w:tcW w:w="3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2.00</w:t>
            </w:r>
          </w:p>
        </w:tc>
        <w:tc>
          <w:tcPr>
            <w:tcW w:w="7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11.17</w:t>
            </w:r>
          </w:p>
        </w:tc>
        <w:tc>
          <w:tcPr>
            <w:tcW w:w="180" w:type="dxa"/>
            <w:vAlign w:val="bottom"/>
          </w:tcPr>
          <w:p>
            <w:pPr>
              <w:spacing w:after="0"/>
              <w:rPr>
                <w:sz w:val="16"/>
                <w:szCs w:val="16"/>
                <w:color w:val="auto"/>
              </w:rPr>
            </w:pPr>
          </w:p>
        </w:tc>
      </w:tr>
      <w:tr>
        <w:trPr>
          <w:trHeight w:val="580"/>
        </w:trPr>
        <w:tc>
          <w:tcPr>
            <w:tcW w:w="2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right"/>
              <w:ind w:right="2419"/>
              <w:spacing w:after="0"/>
              <w:rPr>
                <w:sz w:val="20"/>
                <w:szCs w:val="20"/>
                <w:color w:val="auto"/>
              </w:rPr>
            </w:pPr>
            <w:r>
              <w:rPr>
                <w:rFonts w:ascii="Arial" w:cs="Arial" w:eastAsia="Arial" w:hAnsi="Arial"/>
                <w:sz w:val="16"/>
                <w:szCs w:val="16"/>
                <w:color w:val="auto"/>
              </w:rPr>
              <w:t>- 68 -</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3"/>
          </w:cols>
          <w:pgMar w:left="237" w:top="828" w:right="21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6"/>
                <w:szCs w:val="16"/>
                <w:b w:val="1"/>
                <w:bCs w:val="1"/>
                <w:color w:val="auto"/>
              </w:rPr>
              <w:t>At December 31, 2015</w:t>
            </w:r>
          </w:p>
        </w:tc>
      </w:tr>
      <w:tr>
        <w:trPr>
          <w:trHeight w:val="169"/>
        </w:trPr>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auto"/>
            </w:tcBorders>
          </w:tcPr>
          <w:p>
            <w:pPr>
              <w:spacing w:after="0" w:line="169" w:lineRule="exact"/>
              <w:rPr>
                <w:sz w:val="20"/>
                <w:szCs w:val="20"/>
                <w:color w:val="auto"/>
              </w:rPr>
            </w:pPr>
            <w:r>
              <w:rPr>
                <w:rFonts w:ascii="Arial" w:cs="Arial" w:eastAsia="Arial" w:hAnsi="Arial"/>
                <w:sz w:val="16"/>
                <w:szCs w:val="16"/>
                <w:b w:val="1"/>
                <w:bCs w:val="1"/>
                <w:color w:val="auto"/>
              </w:rPr>
              <w:t>Terminal</w:t>
            </w:r>
          </w:p>
        </w:tc>
        <w:tc>
          <w:tcPr>
            <w:tcW w:w="3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8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Arial" w:cs="Arial" w:eastAsia="Arial" w:hAnsi="Arial"/>
                <w:sz w:val="16"/>
                <w:szCs w:val="16"/>
                <w:b w:val="1"/>
                <w:bCs w:val="1"/>
                <w:color w:val="auto"/>
                <w:w w:val="89"/>
              </w:rPr>
              <w:t>value growth</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826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c>
          <w:tcPr>
            <w:tcW w:w="900" w:type="dxa"/>
            <w:vAlign w:val="bottom"/>
          </w:tcPr>
          <w:p>
            <w:pPr>
              <w:spacing w:after="0"/>
              <w:rPr>
                <w:sz w:val="20"/>
                <w:szCs w:val="20"/>
                <w:color w:val="auto"/>
              </w:rPr>
            </w:pPr>
            <w:r>
              <w:rPr>
                <w:rFonts w:ascii="Arial" w:cs="Arial" w:eastAsia="Arial" w:hAnsi="Arial"/>
                <w:sz w:val="16"/>
                <w:szCs w:val="16"/>
                <w:b w:val="1"/>
                <w:bCs w:val="1"/>
                <w:color w:val="auto"/>
              </w:rPr>
              <w:t>rate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Discount rate</w:t>
            </w:r>
          </w:p>
        </w:tc>
      </w:tr>
      <w:tr>
        <w:trPr>
          <w:trHeight w:val="202"/>
        </w:trPr>
        <w:tc>
          <w:tcPr>
            <w:tcW w:w="8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r>
      <w:tr>
        <w:trPr>
          <w:trHeight w:val="177"/>
        </w:trPr>
        <w:tc>
          <w:tcPr>
            <w:tcW w:w="8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8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Inversiones IMT S.A. - IM Trust</w:t>
            </w:r>
          </w:p>
        </w:tc>
        <w:tc>
          <w:tcPr>
            <w:tcW w:w="9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5.25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12.94</w:t>
            </w:r>
          </w:p>
        </w:tc>
      </w:tr>
      <w:tr>
        <w:trPr>
          <w:trHeight w:val="193"/>
        </w:trPr>
        <w:tc>
          <w:tcPr>
            <w:tcW w:w="8260" w:type="dxa"/>
            <w:vAlign w:val="bottom"/>
            <w:gridSpan w:val="2"/>
          </w:tcPr>
          <w:p>
            <w:pPr>
              <w:spacing w:after="0"/>
              <w:rPr>
                <w:sz w:val="20"/>
                <w:szCs w:val="20"/>
                <w:color w:val="auto"/>
              </w:rPr>
            </w:pPr>
            <w:r>
              <w:rPr>
                <w:rFonts w:ascii="Arial" w:cs="Arial" w:eastAsia="Arial" w:hAnsi="Arial"/>
                <w:sz w:val="16"/>
                <w:szCs w:val="16"/>
                <w:color w:val="auto"/>
              </w:rPr>
              <w:t>Mibanco</w:t>
            </w:r>
          </w:p>
        </w:tc>
        <w:tc>
          <w:tcPr>
            <w:tcW w:w="90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5.00</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14.94</w:t>
            </w:r>
          </w:p>
        </w:tc>
      </w:tr>
      <w:tr>
        <w:trPr>
          <w:trHeight w:val="193"/>
        </w:trPr>
        <w:tc>
          <w:tcPr>
            <w:tcW w:w="8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Prima AFP - AFP Unión Vida</w:t>
            </w:r>
          </w:p>
        </w:tc>
        <w:tc>
          <w:tcPr>
            <w:tcW w:w="9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1.20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9.92</w:t>
            </w:r>
          </w:p>
        </w:tc>
      </w:tr>
      <w:tr>
        <w:trPr>
          <w:trHeight w:val="193"/>
        </w:trPr>
        <w:tc>
          <w:tcPr>
            <w:tcW w:w="8260" w:type="dxa"/>
            <w:vAlign w:val="bottom"/>
            <w:gridSpan w:val="2"/>
          </w:tcPr>
          <w:p>
            <w:pPr>
              <w:spacing w:after="0"/>
              <w:rPr>
                <w:sz w:val="20"/>
                <w:szCs w:val="20"/>
                <w:color w:val="auto"/>
              </w:rPr>
            </w:pPr>
            <w:r>
              <w:rPr>
                <w:rFonts w:ascii="Arial" w:cs="Arial" w:eastAsia="Arial" w:hAnsi="Arial"/>
                <w:sz w:val="16"/>
                <w:szCs w:val="16"/>
                <w:color w:val="auto"/>
              </w:rPr>
              <w:t>Credicorp Capital Colombia S.A.</w:t>
            </w:r>
          </w:p>
        </w:tc>
        <w:tc>
          <w:tcPr>
            <w:tcW w:w="90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3.80</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13.77</w:t>
            </w:r>
          </w:p>
        </w:tc>
      </w:tr>
      <w:tr>
        <w:trPr>
          <w:trHeight w:val="193"/>
        </w:trPr>
        <w:tc>
          <w:tcPr>
            <w:tcW w:w="8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Banco de Crédito del Perú</w:t>
            </w:r>
          </w:p>
        </w:tc>
        <w:tc>
          <w:tcPr>
            <w:tcW w:w="9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4.70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13.85</w:t>
            </w:r>
          </w:p>
        </w:tc>
      </w:tr>
      <w:tr>
        <w:trPr>
          <w:trHeight w:val="193"/>
        </w:trPr>
        <w:tc>
          <w:tcPr>
            <w:tcW w:w="8260" w:type="dxa"/>
            <w:vAlign w:val="bottom"/>
            <w:gridSpan w:val="2"/>
          </w:tcPr>
          <w:p>
            <w:pPr>
              <w:spacing w:after="0"/>
              <w:rPr>
                <w:sz w:val="20"/>
                <w:szCs w:val="20"/>
                <w:color w:val="auto"/>
              </w:rPr>
            </w:pPr>
            <w:r>
              <w:rPr>
                <w:rFonts w:ascii="Arial" w:cs="Arial" w:eastAsia="Arial" w:hAnsi="Arial"/>
                <w:sz w:val="16"/>
                <w:szCs w:val="16"/>
                <w:color w:val="auto"/>
              </w:rPr>
              <w:t>El Pacífico Peruano - Suiza Compañía de Seguros y Reaseguros</w:t>
            </w:r>
          </w:p>
        </w:tc>
        <w:tc>
          <w:tcPr>
            <w:tcW w:w="90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5.00</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10.23</w:t>
            </w:r>
          </w:p>
        </w:tc>
      </w:tr>
      <w:tr>
        <w:trPr>
          <w:trHeight w:val="193"/>
        </w:trPr>
        <w:tc>
          <w:tcPr>
            <w:tcW w:w="8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Atlantic Security Bank</w:t>
            </w:r>
          </w:p>
        </w:tc>
        <w:tc>
          <w:tcPr>
            <w:tcW w:w="9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2.00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10.97</w:t>
            </w:r>
          </w:p>
        </w:tc>
      </w:tr>
    </w:tbl>
    <w:p>
      <w:pPr>
        <w:spacing w:after="0" w:line="18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Five or ten years of cash flows, depending on the business maturity, were included in the discounted cash flow model. The growth rate estimates are based on past performance and management’s expectations of market development. A long-term growth rate into perpetuity has been determined taking into account forecasts included in industry reports.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Discount rates represent the current market assessment of the risks specific to each CGU. The discount rate is derived from the capital asset pricing model (CAPM). The cost of equity is derived from the expected return on investment by the Group’s investors, specific risk incorporated by applying individual comparable beta factors adjusted by the debt structure of each CGU and country and market risk specific premiums to each CGU. The beta factors are evaluated annually based on publicly available market data.</w:t>
      </w:r>
    </w:p>
    <w:p>
      <w:pPr>
        <w:spacing w:after="0" w:line="16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During the years 2015 and 2014, the Group recorded a gross impairment loss amounting to S/82.4 million and S/92.6 million at December 31, 2015 and 2014, respectively, as a result of the assessment of the recoverable amount of “IM Trust”, amounting to S/234.3 million and S/306.1 million at December 31, 2015 and 2014, respectively, which decreased in relation to prior years given the lower revenues generated against those originally budgeted by Management and for the changes expected in the payment of taxes attributable to the parent company resulting from the tax law reform in Chile.</w:t>
      </w:r>
    </w:p>
    <w:p>
      <w:pPr>
        <w:spacing w:after="0" w:line="167"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The key assumptions described above may change as economic and market conditions change. The Group estimates that reasonably possible changes in these assumptions would not cause the recoverable amount of all CGU to decline below their carrying amount.</w:t>
      </w:r>
    </w:p>
    <w:p>
      <w:pPr>
        <w:spacing w:after="0" w:line="344"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13970</wp:posOffset>
            </wp:positionV>
            <wp:extent cx="7261225" cy="76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20"/>
          </w:cols>
          <w:pgMar w:left="520" w:top="836" w:right="2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20"/>
                <w:szCs w:val="20"/>
                <w:color w:val="auto"/>
              </w:rPr>
            </w:pPr>
            <w:r>
              <w:rPr>
                <w:rFonts w:ascii="Arial" w:cs="Arial" w:eastAsia="Arial" w:hAnsi="Arial"/>
                <w:sz w:val="16"/>
                <w:szCs w:val="16"/>
                <w:b w:val="1"/>
                <w:bCs w:val="1"/>
                <w:color w:val="auto"/>
              </w:rPr>
              <w:t>12</w:t>
            </w:r>
          </w:p>
        </w:tc>
        <w:tc>
          <w:tcPr>
            <w:tcW w:w="4420" w:type="dxa"/>
            <w:vAlign w:val="bottom"/>
          </w:tcPr>
          <w:p>
            <w:pPr>
              <w:ind w:left="300"/>
              <w:spacing w:after="0"/>
              <w:rPr>
                <w:sz w:val="20"/>
                <w:szCs w:val="20"/>
                <w:color w:val="auto"/>
              </w:rPr>
            </w:pPr>
            <w:r>
              <w:rPr>
                <w:rFonts w:ascii="Arial" w:cs="Arial" w:eastAsia="Arial" w:hAnsi="Arial"/>
                <w:sz w:val="16"/>
                <w:szCs w:val="16"/>
                <w:b w:val="1"/>
                <w:bCs w:val="1"/>
                <w:color w:val="auto"/>
              </w:rPr>
              <w:t>OTHER ASSETS AND OTHER LIABILITIES</w:t>
            </w:r>
          </w:p>
        </w:tc>
        <w:tc>
          <w:tcPr>
            <w:tcW w:w="3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87"/>
        </w:trPr>
        <w:tc>
          <w:tcPr>
            <w:tcW w:w="4700" w:type="dxa"/>
            <w:vAlign w:val="bottom"/>
            <w:gridSpan w:val="2"/>
          </w:tcPr>
          <w:p>
            <w:pPr>
              <w:spacing w:after="0"/>
              <w:rPr>
                <w:sz w:val="20"/>
                <w:szCs w:val="20"/>
                <w:color w:val="auto"/>
              </w:rPr>
            </w:pPr>
            <w:r>
              <w:rPr>
                <w:rFonts w:ascii="Arial" w:cs="Arial" w:eastAsia="Arial" w:hAnsi="Arial"/>
                <w:sz w:val="16"/>
                <w:szCs w:val="16"/>
                <w:color w:val="auto"/>
              </w:rPr>
              <w:t>a)  This item consists of the following:</w:t>
            </w:r>
          </w:p>
        </w:tc>
        <w:tc>
          <w:tcPr>
            <w:tcW w:w="3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9"/>
        </w:trPr>
        <w:tc>
          <w:tcPr>
            <w:tcW w:w="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040" w:type="dxa"/>
            <w:vAlign w:val="bottom"/>
            <w:gridSpan w:val="2"/>
          </w:tcPr>
          <w:p>
            <w:pPr>
              <w:jc w:val="right"/>
              <w:ind w:right="79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4"/>
                <w:szCs w:val="24"/>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6"/>
        </w:trPr>
        <w:tc>
          <w:tcPr>
            <w:tcW w:w="2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0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6"/>
                <w:szCs w:val="16"/>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assets -</w:t>
            </w:r>
          </w:p>
        </w:tc>
        <w:tc>
          <w:tcPr>
            <w:tcW w:w="38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b w:val="1"/>
                <w:bCs w:val="1"/>
                <w:color w:val="auto"/>
              </w:rPr>
              <w:t>Financial instruments:</w:t>
            </w:r>
          </w:p>
        </w:tc>
        <w:tc>
          <w:tcPr>
            <w:tcW w:w="3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Receivables</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1,240,632</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1,660,021</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Derivatives receivable (b)</w:t>
            </w:r>
          </w:p>
        </w:tc>
        <w:tc>
          <w:tcPr>
            <w:tcW w:w="5260" w:type="dxa"/>
            <w:vAlign w:val="bottom"/>
            <w:gridSpan w:val="3"/>
          </w:tcPr>
          <w:p>
            <w:pPr>
              <w:jc w:val="right"/>
              <w:ind w:right="220"/>
              <w:spacing w:after="0"/>
              <w:rPr>
                <w:sz w:val="20"/>
                <w:szCs w:val="20"/>
                <w:color w:val="auto"/>
              </w:rPr>
            </w:pPr>
            <w:r>
              <w:rPr>
                <w:rFonts w:ascii="Arial" w:cs="Arial" w:eastAsia="Arial" w:hAnsi="Arial"/>
                <w:sz w:val="16"/>
                <w:szCs w:val="16"/>
                <w:color w:val="auto"/>
              </w:rPr>
              <w:t>942,602</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1,475,516</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Operations in process (c)</w:t>
            </w:r>
          </w:p>
        </w:tc>
        <w:tc>
          <w:tcPr>
            <w:tcW w:w="52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45,450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109,768</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442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2,228,684</w:t>
            </w:r>
          </w:p>
        </w:tc>
        <w:tc>
          <w:tcPr>
            <w:tcW w:w="2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3,245,305</w:t>
            </w:r>
          </w:p>
        </w:tc>
        <w:tc>
          <w:tcPr>
            <w:tcW w:w="100" w:type="dxa"/>
            <w:vAlign w:val="bottom"/>
            <w:tcBorders>
              <w:bottom w:val="single" w:sz="8" w:color="CCEEFF"/>
            </w:tcBorders>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b w:val="1"/>
                <w:bCs w:val="1"/>
                <w:color w:val="auto"/>
              </w:rPr>
              <w:t>Non-financial instruments:</w:t>
            </w:r>
          </w:p>
        </w:tc>
        <w:tc>
          <w:tcPr>
            <w:tcW w:w="3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 asset, note 19(c)</w:t>
            </w:r>
          </w:p>
        </w:tc>
        <w:tc>
          <w:tcPr>
            <w:tcW w:w="52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506,044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524,620</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Investment in associates (e)</w:t>
            </w:r>
          </w:p>
        </w:tc>
        <w:tc>
          <w:tcPr>
            <w:tcW w:w="5260" w:type="dxa"/>
            <w:vAlign w:val="bottom"/>
            <w:gridSpan w:val="3"/>
          </w:tcPr>
          <w:p>
            <w:pPr>
              <w:jc w:val="right"/>
              <w:ind w:right="220"/>
              <w:spacing w:after="0"/>
              <w:rPr>
                <w:sz w:val="20"/>
                <w:szCs w:val="20"/>
                <w:color w:val="auto"/>
              </w:rPr>
            </w:pPr>
            <w:r>
              <w:rPr>
                <w:rFonts w:ascii="Arial" w:cs="Arial" w:eastAsia="Arial" w:hAnsi="Arial"/>
                <w:sz w:val="16"/>
                <w:szCs w:val="16"/>
                <w:color w:val="auto"/>
              </w:rPr>
              <w:t>699,724</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630,739</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Investment properties, net (f)</w:t>
            </w:r>
          </w:p>
        </w:tc>
        <w:tc>
          <w:tcPr>
            <w:tcW w:w="52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504,927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421,133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Deferred fees</w:t>
            </w:r>
          </w:p>
        </w:tc>
        <w:tc>
          <w:tcPr>
            <w:tcW w:w="5260" w:type="dxa"/>
            <w:vAlign w:val="bottom"/>
            <w:gridSpan w:val="3"/>
          </w:tcPr>
          <w:p>
            <w:pPr>
              <w:jc w:val="right"/>
              <w:ind w:right="220"/>
              <w:spacing w:after="0"/>
              <w:rPr>
                <w:sz w:val="20"/>
                <w:szCs w:val="20"/>
                <w:color w:val="auto"/>
              </w:rPr>
            </w:pPr>
            <w:r>
              <w:rPr>
                <w:rFonts w:ascii="Arial" w:cs="Arial" w:eastAsia="Arial" w:hAnsi="Arial"/>
                <w:sz w:val="16"/>
                <w:szCs w:val="16"/>
                <w:color w:val="auto"/>
              </w:rPr>
              <w:t>504,445</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377,103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Income tax prepayments, net</w:t>
            </w:r>
          </w:p>
        </w:tc>
        <w:tc>
          <w:tcPr>
            <w:tcW w:w="52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357,149</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220,672</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VAT (IGV) tax credit</w:t>
            </w:r>
          </w:p>
        </w:tc>
        <w:tc>
          <w:tcPr>
            <w:tcW w:w="5260" w:type="dxa"/>
            <w:vAlign w:val="bottom"/>
            <w:gridSpan w:val="3"/>
          </w:tcPr>
          <w:p>
            <w:pPr>
              <w:jc w:val="right"/>
              <w:ind w:right="220"/>
              <w:spacing w:after="0"/>
              <w:rPr>
                <w:sz w:val="20"/>
                <w:szCs w:val="20"/>
                <w:color w:val="auto"/>
              </w:rPr>
            </w:pPr>
            <w:r>
              <w:rPr>
                <w:rFonts w:ascii="Arial" w:cs="Arial" w:eastAsia="Arial" w:hAnsi="Arial"/>
                <w:sz w:val="16"/>
                <w:szCs w:val="16"/>
                <w:color w:val="auto"/>
              </w:rPr>
              <w:t>41,140</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192,391</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Seized assets, net</w:t>
            </w:r>
          </w:p>
        </w:tc>
        <w:tc>
          <w:tcPr>
            <w:tcW w:w="52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73,466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24,666</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Others</w:t>
            </w:r>
          </w:p>
        </w:tc>
        <w:tc>
          <w:tcPr>
            <w:tcW w:w="5260" w:type="dxa"/>
            <w:vAlign w:val="bottom"/>
            <w:gridSpan w:val="3"/>
          </w:tcPr>
          <w:p>
            <w:pPr>
              <w:jc w:val="right"/>
              <w:ind w:right="220"/>
              <w:spacing w:after="0"/>
              <w:rPr>
                <w:sz w:val="20"/>
                <w:szCs w:val="20"/>
                <w:color w:val="auto"/>
              </w:rPr>
            </w:pPr>
            <w:r>
              <w:rPr>
                <w:rFonts w:ascii="Arial" w:cs="Arial" w:eastAsia="Arial" w:hAnsi="Arial"/>
                <w:sz w:val="16"/>
                <w:szCs w:val="16"/>
                <w:color w:val="auto"/>
              </w:rPr>
              <w:t>13,334</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12,670</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8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2,700,229</w:t>
            </w: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2,403,994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4,928,913</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5,649,299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b w:val="1"/>
                <w:bCs w:val="1"/>
                <w:color w:val="auto"/>
              </w:rPr>
              <w:t>Other liabilities -</w:t>
            </w:r>
          </w:p>
        </w:tc>
        <w:tc>
          <w:tcPr>
            <w:tcW w:w="3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Financial instruments:</w:t>
            </w:r>
          </w:p>
        </w:tc>
        <w:tc>
          <w:tcPr>
            <w:tcW w:w="38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Accounts payable</w:t>
            </w:r>
          </w:p>
        </w:tc>
        <w:tc>
          <w:tcPr>
            <w:tcW w:w="5040" w:type="dxa"/>
            <w:vAlign w:val="bottom"/>
            <w:gridSpan w:val="2"/>
          </w:tcPr>
          <w:p>
            <w:pPr>
              <w:jc w:val="right"/>
              <w:spacing w:after="0"/>
              <w:rPr>
                <w:sz w:val="20"/>
                <w:szCs w:val="20"/>
                <w:color w:val="auto"/>
              </w:rPr>
            </w:pPr>
            <w:r>
              <w:rPr>
                <w:rFonts w:ascii="Arial" w:cs="Arial" w:eastAsia="Arial" w:hAnsi="Arial"/>
                <w:sz w:val="16"/>
                <w:szCs w:val="16"/>
                <w:color w:val="auto"/>
              </w:rPr>
              <w:t>1,512,804</w:t>
            </w:r>
          </w:p>
        </w:tc>
        <w:tc>
          <w:tcPr>
            <w:tcW w:w="22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1,349,002</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Derivatives payable (b)</w:t>
            </w:r>
          </w:p>
        </w:tc>
        <w:tc>
          <w:tcPr>
            <w:tcW w:w="52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673,015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942,521</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Salaries and other personnel expenses</w:t>
            </w:r>
          </w:p>
        </w:tc>
        <w:tc>
          <w:tcPr>
            <w:tcW w:w="5260" w:type="dxa"/>
            <w:vAlign w:val="bottom"/>
            <w:gridSpan w:val="3"/>
          </w:tcPr>
          <w:p>
            <w:pPr>
              <w:jc w:val="right"/>
              <w:ind w:right="220"/>
              <w:spacing w:after="0"/>
              <w:rPr>
                <w:sz w:val="20"/>
                <w:szCs w:val="20"/>
                <w:color w:val="auto"/>
              </w:rPr>
            </w:pPr>
            <w:r>
              <w:rPr>
                <w:rFonts w:ascii="Arial" w:cs="Arial" w:eastAsia="Arial" w:hAnsi="Arial"/>
                <w:sz w:val="16"/>
                <w:szCs w:val="16"/>
                <w:color w:val="auto"/>
              </w:rPr>
              <w:t>681,853</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605,196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Allowance for indirect loan losses, note 7(d)</w:t>
            </w:r>
          </w:p>
        </w:tc>
        <w:tc>
          <w:tcPr>
            <w:tcW w:w="52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209,559</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191,882</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Put options on non-controlling interest, note 2(a)</w:t>
            </w:r>
          </w:p>
        </w:tc>
        <w:tc>
          <w:tcPr>
            <w:tcW w:w="5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486,068</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Operations in process (c)</w:t>
            </w:r>
          </w:p>
        </w:tc>
        <w:tc>
          <w:tcPr>
            <w:tcW w:w="52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136,764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75,415</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442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3,213,995</w:t>
            </w:r>
          </w:p>
        </w:tc>
        <w:tc>
          <w:tcPr>
            <w:tcW w:w="2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3,650,084</w:t>
            </w:r>
          </w:p>
        </w:tc>
        <w:tc>
          <w:tcPr>
            <w:tcW w:w="100" w:type="dxa"/>
            <w:vAlign w:val="bottom"/>
            <w:tcBorders>
              <w:bottom w:val="single" w:sz="8" w:color="CCEEFF"/>
            </w:tcBorders>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Non-financial instruments:</w:t>
            </w:r>
          </w:p>
        </w:tc>
        <w:tc>
          <w:tcPr>
            <w:tcW w:w="38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Taxes</w:t>
            </w:r>
          </w:p>
        </w:tc>
        <w:tc>
          <w:tcPr>
            <w:tcW w:w="5260" w:type="dxa"/>
            <w:vAlign w:val="bottom"/>
            <w:gridSpan w:val="3"/>
          </w:tcPr>
          <w:p>
            <w:pPr>
              <w:jc w:val="right"/>
              <w:ind w:right="220"/>
              <w:spacing w:after="0"/>
              <w:rPr>
                <w:sz w:val="20"/>
                <w:szCs w:val="20"/>
                <w:color w:val="auto"/>
              </w:rPr>
            </w:pPr>
            <w:r>
              <w:rPr>
                <w:rFonts w:ascii="Arial" w:cs="Arial" w:eastAsia="Arial" w:hAnsi="Arial"/>
                <w:sz w:val="16"/>
                <w:szCs w:val="16"/>
                <w:color w:val="auto"/>
              </w:rPr>
              <w:t>286,504</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415,501</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 note 19(c)</w:t>
            </w:r>
          </w:p>
        </w:tc>
        <w:tc>
          <w:tcPr>
            <w:tcW w:w="52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172,641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138,886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Provision for sundry risks (d)</w:t>
            </w:r>
          </w:p>
        </w:tc>
        <w:tc>
          <w:tcPr>
            <w:tcW w:w="5260" w:type="dxa"/>
            <w:vAlign w:val="bottom"/>
            <w:gridSpan w:val="3"/>
          </w:tcPr>
          <w:p>
            <w:pPr>
              <w:jc w:val="right"/>
              <w:ind w:right="220"/>
              <w:spacing w:after="0"/>
              <w:rPr>
                <w:sz w:val="20"/>
                <w:szCs w:val="20"/>
                <w:color w:val="auto"/>
              </w:rPr>
            </w:pPr>
            <w:r>
              <w:rPr>
                <w:rFonts w:ascii="Arial" w:cs="Arial" w:eastAsia="Arial" w:hAnsi="Arial"/>
                <w:sz w:val="16"/>
                <w:szCs w:val="16"/>
                <w:color w:val="auto"/>
              </w:rPr>
              <w:t>296,339</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196,261</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52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150,587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221,366</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442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906,071</w:t>
            </w:r>
          </w:p>
        </w:tc>
        <w:tc>
          <w:tcPr>
            <w:tcW w:w="2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972,014</w:t>
            </w:r>
          </w:p>
        </w:tc>
        <w:tc>
          <w:tcPr>
            <w:tcW w:w="100" w:type="dxa"/>
            <w:vAlign w:val="bottom"/>
            <w:tcBorders>
              <w:bottom w:val="single" w:sz="8" w:color="CCEEFF"/>
            </w:tcBorders>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84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4,120,066</w:t>
            </w:r>
          </w:p>
        </w:tc>
        <w:tc>
          <w:tcPr>
            <w:tcW w:w="22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4,622,098</w:t>
            </w: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572"/>
        </w:trPr>
        <w:tc>
          <w:tcPr>
            <w:tcW w:w="2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right"/>
              <w:ind w:right="2559"/>
              <w:spacing w:after="0"/>
              <w:rPr>
                <w:sz w:val="20"/>
                <w:szCs w:val="20"/>
                <w:color w:val="auto"/>
              </w:rPr>
            </w:pPr>
            <w:r>
              <w:rPr>
                <w:rFonts w:ascii="Arial" w:cs="Arial" w:eastAsia="Arial" w:hAnsi="Arial"/>
                <w:sz w:val="16"/>
                <w:szCs w:val="16"/>
                <w:color w:val="auto"/>
              </w:rPr>
              <w:t>- 70 -</w:t>
            </w: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4" w:right="219" w:bottom="1440" w:gutter="0" w:footer="0" w:header="0"/>
        </w:sectPr>
      </w:pPr>
    </w:p>
    <w:bookmarkStart w:id="75" w:name="page76"/>
    <w:bookmarkEnd w:id="75"/>
    <w:p>
      <w:pPr>
        <w:ind w:left="283" w:right="240" w:hanging="283"/>
        <w:spacing w:after="0" w:line="280" w:lineRule="auto"/>
        <w:tabs>
          <w:tab w:leader="none" w:pos="283"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risk in derivative contracts arises from the possibility of the counterparty failing to comply with the terms and conditions agreed and that the reference rates at which the transactions took place change.</w:t>
      </w:r>
    </w:p>
    <w:p>
      <w:pPr>
        <w:spacing w:after="0" w:line="151" w:lineRule="exact"/>
        <w:rPr>
          <w:sz w:val="20"/>
          <w:szCs w:val="20"/>
          <w:color w:val="auto"/>
        </w:rPr>
      </w:pPr>
    </w:p>
    <w:p>
      <w:pPr>
        <w:ind w:left="283" w:right="400"/>
        <w:spacing w:after="0" w:line="266" w:lineRule="auto"/>
        <w:rPr>
          <w:sz w:val="20"/>
          <w:szCs w:val="20"/>
          <w:color w:val="auto"/>
        </w:rPr>
      </w:pPr>
      <w:r>
        <w:rPr>
          <w:rFonts w:ascii="Arial" w:cs="Arial" w:eastAsia="Arial" w:hAnsi="Arial"/>
          <w:sz w:val="16"/>
          <w:szCs w:val="16"/>
          <w:color w:val="auto"/>
        </w:rPr>
        <w:t>The table below shows at December 31, 2016 and 2015 the fair value of derivative financial instruments, recorded as an asset or a liability, together with their nominal amounts and maturities. The nominal amount, recorded gross, is the amount of a derivative’s underlying asset and is the basis upon which changes in the value of derivatives are measured.</w:t>
      </w:r>
    </w:p>
    <w:p>
      <w:pPr>
        <w:spacing w:after="0" w:line="166" w:lineRule="exact"/>
        <w:rPr>
          <w:sz w:val="20"/>
          <w:szCs w:val="20"/>
          <w:color w:val="auto"/>
        </w:rPr>
      </w:pPr>
    </w:p>
    <w:tbl>
      <w:tblPr>
        <w:tblLayout w:type="fixed"/>
        <w:tblInd w:w="3"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Note</w:t>
            </w: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2016</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b w:val="1"/>
                <w:bCs w:val="1"/>
                <w:color w:val="auto"/>
              </w:rPr>
              <w:t>2016 y 2015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540"/>
              <w:spacing w:after="0" w:line="138" w:lineRule="exact"/>
              <w:rPr>
                <w:sz w:val="20"/>
                <w:szCs w:val="20"/>
                <w:color w:val="auto"/>
              </w:rPr>
            </w:pPr>
            <w:r>
              <w:rPr>
                <w:rFonts w:ascii="Arial" w:cs="Arial" w:eastAsia="Arial" w:hAnsi="Arial"/>
                <w:sz w:val="13"/>
                <w:szCs w:val="13"/>
                <w:b w:val="1"/>
                <w:bCs w:val="1"/>
                <w:color w:val="auto"/>
                <w:w w:val="74"/>
              </w:rPr>
              <w:t>Assets</w:t>
            </w:r>
          </w:p>
        </w:tc>
        <w:tc>
          <w:tcPr>
            <w:tcW w:w="88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Liabilities</w:t>
            </w:r>
          </w:p>
        </w:tc>
        <w:tc>
          <w:tcPr>
            <w:tcW w:w="114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Nominal amount</w:t>
            </w:r>
          </w:p>
        </w:tc>
        <w:tc>
          <w:tcPr>
            <w:tcW w:w="88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1"/>
                <w:szCs w:val="11"/>
                <w:color w:val="auto"/>
              </w:rPr>
            </w:pPr>
          </w:p>
        </w:tc>
        <w:tc>
          <w:tcPr>
            <w:tcW w:w="78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Assets</w:t>
            </w:r>
          </w:p>
        </w:tc>
        <w:tc>
          <w:tcPr>
            <w:tcW w:w="1020" w:type="dxa"/>
            <w:vAlign w:val="bottom"/>
            <w:tcBorders>
              <w:top w:val="single" w:sz="8" w:color="auto"/>
            </w:tcBorders>
            <w:gridSpan w:val="3"/>
          </w:tcPr>
          <w:p>
            <w:pPr>
              <w:ind w:left="120"/>
              <w:spacing w:after="0" w:line="138" w:lineRule="exact"/>
              <w:rPr>
                <w:sz w:val="20"/>
                <w:szCs w:val="20"/>
                <w:color w:val="auto"/>
              </w:rPr>
            </w:pPr>
            <w:r>
              <w:rPr>
                <w:rFonts w:ascii="Arial" w:cs="Arial" w:eastAsia="Arial" w:hAnsi="Arial"/>
                <w:sz w:val="13"/>
                <w:szCs w:val="13"/>
                <w:b w:val="1"/>
                <w:bCs w:val="1"/>
                <w:color w:val="auto"/>
              </w:rPr>
              <w:t>Liabilities</w:t>
            </w:r>
          </w:p>
        </w:tc>
        <w:tc>
          <w:tcPr>
            <w:tcW w:w="1120" w:type="dxa"/>
            <w:vAlign w:val="bottom"/>
            <w:tcBorders>
              <w:top w:val="single" w:sz="8" w:color="auto"/>
            </w:tcBorders>
            <w:gridSpan w:val="3"/>
          </w:tcPr>
          <w:p>
            <w:pPr>
              <w:spacing w:after="0" w:line="138" w:lineRule="exact"/>
              <w:rPr>
                <w:sz w:val="20"/>
                <w:szCs w:val="20"/>
                <w:color w:val="auto"/>
              </w:rPr>
            </w:pPr>
            <w:r>
              <w:rPr>
                <w:rFonts w:ascii="Arial" w:cs="Arial" w:eastAsia="Arial" w:hAnsi="Arial"/>
                <w:sz w:val="13"/>
                <w:szCs w:val="13"/>
                <w:b w:val="1"/>
                <w:bCs w:val="1"/>
                <w:color w:val="auto"/>
              </w:rPr>
              <w:t>Nominal amount</w:t>
            </w:r>
          </w:p>
        </w:tc>
        <w:tc>
          <w:tcPr>
            <w:tcW w:w="110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Maturity</w:t>
            </w:r>
          </w:p>
        </w:tc>
        <w:tc>
          <w:tcPr>
            <w:tcW w:w="120" w:type="dxa"/>
            <w:vAlign w:val="bottom"/>
          </w:tcPr>
          <w:p>
            <w:pPr>
              <w:spacing w:after="0"/>
              <w:rPr>
                <w:sz w:val="11"/>
                <w:szCs w:val="11"/>
                <w:color w:val="auto"/>
              </w:rPr>
            </w:pPr>
          </w:p>
        </w:tc>
        <w:tc>
          <w:tcPr>
            <w:tcW w:w="114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w w:val="89"/>
              </w:rPr>
              <w:t>Related instruments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gridSpan w:val="2"/>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1540" w:type="dxa"/>
            <w:vAlign w:val="bottom"/>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Derivatives held for</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trading (i) -</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line="117" w:lineRule="exact"/>
              <w:rPr>
                <w:sz w:val="20"/>
                <w:szCs w:val="20"/>
                <w:color w:val="auto"/>
              </w:rPr>
            </w:pPr>
            <w:r>
              <w:rPr>
                <w:rFonts w:ascii="Arial" w:cs="Arial" w:eastAsia="Arial" w:hAnsi="Arial"/>
                <w:sz w:val="13"/>
                <w:szCs w:val="13"/>
                <w:color w:val="auto"/>
              </w:rPr>
              <w:t>Between</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line="117" w:lineRule="exact"/>
              <w:rPr>
                <w:sz w:val="20"/>
                <w:szCs w:val="20"/>
                <w:color w:val="auto"/>
              </w:rPr>
            </w:pPr>
            <w:r>
              <w:rPr>
                <w:rFonts w:ascii="Arial" w:cs="Arial" w:eastAsia="Arial" w:hAnsi="Arial"/>
                <w:sz w:val="13"/>
                <w:szCs w:val="13"/>
                <w:color w:val="auto"/>
              </w:rPr>
              <w:t>Between January</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560" w:type="dxa"/>
            <w:vAlign w:val="bottom"/>
            <w:gridSpan w:val="2"/>
          </w:tcPr>
          <w:p>
            <w:pPr>
              <w:spacing w:after="0" w:line="133" w:lineRule="exact"/>
              <w:rPr>
                <w:sz w:val="20"/>
                <w:szCs w:val="20"/>
                <w:color w:val="auto"/>
              </w:rPr>
            </w:pPr>
            <w:r>
              <w:rPr>
                <w:rFonts w:ascii="Arial" w:cs="Arial" w:eastAsia="Arial" w:hAnsi="Arial"/>
                <w:sz w:val="13"/>
                <w:szCs w:val="13"/>
                <w:color w:val="auto"/>
              </w:rPr>
              <w:t>Forward foreign exchange</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3"/>
                <w:szCs w:val="13"/>
                <w:color w:val="auto"/>
              </w:rPr>
              <w:t>January 2017</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line="133" w:lineRule="exact"/>
              <w:rPr>
                <w:sz w:val="20"/>
                <w:szCs w:val="20"/>
                <w:color w:val="auto"/>
              </w:rPr>
            </w:pPr>
            <w:r>
              <w:rPr>
                <w:rFonts w:ascii="Arial" w:cs="Arial" w:eastAsia="Arial" w:hAnsi="Arial"/>
                <w:sz w:val="13"/>
                <w:szCs w:val="13"/>
                <w:color w:val="auto"/>
              </w:rPr>
              <w:t>2016 and  March</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rPr>
                <w:sz w:val="20"/>
                <w:szCs w:val="20"/>
                <w:color w:val="auto"/>
              </w:rPr>
            </w:pPr>
            <w:r>
              <w:rPr>
                <w:rFonts w:ascii="Arial" w:cs="Arial" w:eastAsia="Arial" w:hAnsi="Arial"/>
                <w:sz w:val="13"/>
                <w:szCs w:val="13"/>
                <w:color w:val="auto"/>
              </w:rPr>
              <w:t>contracts</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73,722</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55,437</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9,313,965</w:t>
            </w:r>
          </w:p>
        </w:tc>
        <w:tc>
          <w:tcPr>
            <w:tcW w:w="880" w:type="dxa"/>
            <w:vAlign w:val="bottom"/>
          </w:tcPr>
          <w:p>
            <w:pPr>
              <w:spacing w:after="0"/>
              <w:rPr>
                <w:sz w:val="20"/>
                <w:szCs w:val="20"/>
                <w:color w:val="auto"/>
              </w:rPr>
            </w:pPr>
            <w:r>
              <w:rPr>
                <w:rFonts w:ascii="Arial" w:cs="Arial" w:eastAsia="Arial" w:hAnsi="Arial"/>
                <w:sz w:val="13"/>
                <w:szCs w:val="13"/>
                <w:color w:val="auto"/>
                <w:w w:val="99"/>
              </w:rPr>
              <w:t>and June 2020</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92,132</w:t>
            </w: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178,056</w:t>
            </w:r>
          </w:p>
        </w:tc>
        <w:tc>
          <w:tcPr>
            <w:tcW w:w="1120" w:type="dxa"/>
            <w:vAlign w:val="bottom"/>
            <w:gridSpan w:val="3"/>
          </w:tcPr>
          <w:p>
            <w:pPr>
              <w:jc w:val="right"/>
              <w:ind w:right="220"/>
              <w:spacing w:after="0"/>
              <w:rPr>
                <w:sz w:val="20"/>
                <w:szCs w:val="20"/>
                <w:color w:val="auto"/>
              </w:rPr>
            </w:pPr>
            <w:r>
              <w:rPr>
                <w:rFonts w:ascii="Arial" w:cs="Arial" w:eastAsia="Arial" w:hAnsi="Arial"/>
                <w:sz w:val="13"/>
                <w:szCs w:val="13"/>
                <w:color w:val="auto"/>
              </w:rPr>
              <w:t>11,472,027</w:t>
            </w:r>
          </w:p>
        </w:tc>
        <w:tc>
          <w:tcPr>
            <w:tcW w:w="1100" w:type="dxa"/>
            <w:vAlign w:val="bottom"/>
          </w:tcPr>
          <w:p>
            <w:pPr>
              <w:spacing w:after="0"/>
              <w:rPr>
                <w:sz w:val="20"/>
                <w:szCs w:val="20"/>
                <w:color w:val="auto"/>
              </w:rPr>
            </w:pPr>
            <w:r>
              <w:rPr>
                <w:rFonts w:ascii="Arial" w:cs="Arial" w:eastAsia="Arial" w:hAnsi="Arial"/>
                <w:sz w:val="13"/>
                <w:szCs w:val="13"/>
                <w:color w:val="auto"/>
              </w:rPr>
              <w:t>2017</w:t>
            </w:r>
          </w:p>
        </w:tc>
        <w:tc>
          <w:tcPr>
            <w:tcW w:w="1260" w:type="dxa"/>
            <w:vAlign w:val="bottom"/>
            <w:gridSpan w:val="2"/>
          </w:tcPr>
          <w:p>
            <w:pPr>
              <w:jc w:val="right"/>
              <w:ind w:right="49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Between</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January 2017</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Between January</w:t>
            </w: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and December</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1"/>
              </w:rPr>
              <w:t>2016 and December</w:t>
            </w: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color w:val="auto"/>
              </w:rPr>
              <w:t>Interest rate swaps</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87,872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55,927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25,900,896</w:t>
            </w: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2031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56,424</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58,587</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8,393,724</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2031</w:t>
            </w:r>
          </w:p>
        </w:tc>
        <w:tc>
          <w:tcPr>
            <w:tcW w:w="1260" w:type="dxa"/>
            <w:vAlign w:val="bottom"/>
            <w:gridSpan w:val="2"/>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line="117" w:lineRule="exact"/>
              <w:rPr>
                <w:sz w:val="20"/>
                <w:szCs w:val="20"/>
                <w:color w:val="auto"/>
              </w:rPr>
            </w:pPr>
            <w:r>
              <w:rPr>
                <w:rFonts w:ascii="Arial" w:cs="Arial" w:eastAsia="Arial" w:hAnsi="Arial"/>
                <w:sz w:val="13"/>
                <w:szCs w:val="13"/>
                <w:color w:val="auto"/>
              </w:rPr>
              <w:t>Between</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3"/>
                <w:szCs w:val="13"/>
                <w:color w:val="auto"/>
              </w:rPr>
              <w:t>January 2017</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line="133" w:lineRule="exact"/>
              <w:rPr>
                <w:sz w:val="20"/>
                <w:szCs w:val="20"/>
                <w:color w:val="auto"/>
              </w:rPr>
            </w:pPr>
            <w:r>
              <w:rPr>
                <w:rFonts w:ascii="Arial" w:cs="Arial" w:eastAsia="Arial" w:hAnsi="Arial"/>
                <w:sz w:val="13"/>
                <w:szCs w:val="13"/>
                <w:color w:val="auto"/>
              </w:rPr>
              <w:t>Between January</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3"/>
                <w:szCs w:val="13"/>
                <w:color w:val="auto"/>
              </w:rPr>
              <w:t>and December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line="133" w:lineRule="exact"/>
              <w:rPr>
                <w:sz w:val="20"/>
                <w:szCs w:val="20"/>
                <w:color w:val="auto"/>
              </w:rPr>
            </w:pPr>
            <w:r>
              <w:rPr>
                <w:rFonts w:ascii="Arial" w:cs="Arial" w:eastAsia="Arial" w:hAnsi="Arial"/>
                <w:sz w:val="13"/>
                <w:szCs w:val="13"/>
                <w:color w:val="auto"/>
                <w:w w:val="91"/>
              </w:rPr>
              <w:t>2016 and December</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rPr>
                <w:sz w:val="20"/>
                <w:szCs w:val="20"/>
                <w:color w:val="auto"/>
              </w:rPr>
            </w:pPr>
            <w:r>
              <w:rPr>
                <w:rFonts w:ascii="Arial" w:cs="Arial" w:eastAsia="Arial" w:hAnsi="Arial"/>
                <w:sz w:val="13"/>
                <w:szCs w:val="13"/>
                <w:color w:val="auto"/>
              </w:rPr>
              <w:t>Currency swaps</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428,928</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490,475</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7,518,170</w:t>
            </w:r>
          </w:p>
        </w:tc>
        <w:tc>
          <w:tcPr>
            <w:tcW w:w="880" w:type="dxa"/>
            <w:vAlign w:val="bottom"/>
          </w:tcPr>
          <w:p>
            <w:pPr>
              <w:spacing w:after="0"/>
              <w:rPr>
                <w:sz w:val="20"/>
                <w:szCs w:val="20"/>
                <w:color w:val="auto"/>
              </w:rPr>
            </w:pPr>
            <w:r>
              <w:rPr>
                <w:rFonts w:ascii="Arial" w:cs="Arial" w:eastAsia="Arial" w:hAnsi="Arial"/>
                <w:sz w:val="13"/>
                <w:szCs w:val="13"/>
                <w:color w:val="auto"/>
              </w:rPr>
              <w:t>2026</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839,087</w:t>
            </w: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625,687</w:t>
            </w: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16,586,466</w:t>
            </w:r>
          </w:p>
        </w:tc>
        <w:tc>
          <w:tcPr>
            <w:tcW w:w="20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2025</w:t>
            </w:r>
          </w:p>
        </w:tc>
        <w:tc>
          <w:tcPr>
            <w:tcW w:w="1260" w:type="dxa"/>
            <w:vAlign w:val="bottom"/>
            <w:gridSpan w:val="2"/>
          </w:tcPr>
          <w:p>
            <w:pPr>
              <w:jc w:val="right"/>
              <w:ind w:right="49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Between</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January 2017</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Between January</w:t>
            </w: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Forward foreign exchange</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and December</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1"/>
              </w:rPr>
              <w:t>2016 and December</w:t>
            </w: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color w:val="auto"/>
              </w:rPr>
              <w:t>contracts</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21,490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17,202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2,747,601</w:t>
            </w: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2017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10,072</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24,371</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2,135,684</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2016</w:t>
            </w:r>
          </w:p>
        </w:tc>
        <w:tc>
          <w:tcPr>
            <w:tcW w:w="1260" w:type="dxa"/>
            <w:vAlign w:val="bottom"/>
            <w:gridSpan w:val="2"/>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3"/>
                <w:szCs w:val="13"/>
                <w:color w:val="auto"/>
              </w:rPr>
              <w:t>612,012</w:t>
            </w:r>
          </w:p>
        </w:tc>
        <w:tc>
          <w:tcPr>
            <w:tcW w:w="220" w:type="dxa"/>
            <w:vAlign w:val="bottom"/>
          </w:tcPr>
          <w:p>
            <w:pPr>
              <w:spacing w:after="0"/>
              <w:rPr>
                <w:sz w:val="10"/>
                <w:szCs w:val="10"/>
                <w:color w:val="auto"/>
              </w:rPr>
            </w:pPr>
          </w:p>
        </w:tc>
        <w:tc>
          <w:tcPr>
            <w:tcW w:w="66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3"/>
                <w:szCs w:val="13"/>
                <w:color w:val="auto"/>
              </w:rPr>
              <w:t>619,041</w:t>
            </w:r>
          </w:p>
        </w:tc>
        <w:tc>
          <w:tcPr>
            <w:tcW w:w="220" w:type="dxa"/>
            <w:vAlign w:val="bottom"/>
          </w:tcPr>
          <w:p>
            <w:pPr>
              <w:spacing w:after="0"/>
              <w:rPr>
                <w:sz w:val="10"/>
                <w:szCs w:val="10"/>
                <w:color w:val="auto"/>
              </w:rPr>
            </w:pPr>
          </w:p>
        </w:tc>
        <w:tc>
          <w:tcPr>
            <w:tcW w:w="92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3"/>
                <w:szCs w:val="13"/>
                <w:color w:val="auto"/>
              </w:rPr>
              <w:t>45,480,632</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3"/>
                <w:szCs w:val="13"/>
                <w:color w:val="auto"/>
              </w:rPr>
              <w:t>997,715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3"/>
                <w:szCs w:val="13"/>
                <w:color w:val="auto"/>
              </w:rPr>
              <w:t>886,701</w:t>
            </w:r>
          </w:p>
        </w:tc>
        <w:tc>
          <w:tcPr>
            <w:tcW w:w="220" w:type="dxa"/>
            <w:vAlign w:val="bottom"/>
          </w:tcPr>
          <w:p>
            <w:pPr>
              <w:spacing w:after="0"/>
              <w:rPr>
                <w:sz w:val="10"/>
                <w:szCs w:val="10"/>
                <w:color w:val="auto"/>
              </w:rPr>
            </w:pPr>
          </w:p>
        </w:tc>
        <w:tc>
          <w:tcPr>
            <w:tcW w:w="9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3"/>
                <w:szCs w:val="13"/>
                <w:color w:val="auto"/>
              </w:rPr>
              <w:t>38,587,901</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w w:val="91"/>
              </w:rPr>
              <w:t>Derivatives held as hedges</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line="133" w:lineRule="exact"/>
              <w:rPr>
                <w:sz w:val="20"/>
                <w:szCs w:val="20"/>
                <w:color w:val="auto"/>
              </w:rPr>
            </w:pPr>
            <w:r>
              <w:rPr>
                <w:rFonts w:ascii="Arial" w:cs="Arial" w:eastAsia="Arial" w:hAnsi="Arial"/>
                <w:sz w:val="13"/>
                <w:szCs w:val="13"/>
                <w:b w:val="1"/>
                <w:bCs w:val="1"/>
                <w:color w:val="auto"/>
              </w:rPr>
              <w:t>Cash flow hedges (ii) -</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Between April</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2017 and</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color w:val="auto"/>
              </w:rPr>
              <w:t>Interest rate swaps (IRS)</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15(a)(i)(*)</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1,384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318,820</w:t>
            </w: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w w:val="89"/>
              </w:rPr>
              <w:t>September 2018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Debt to banks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spacing w:after="0" w:line="117" w:lineRule="exact"/>
              <w:rPr>
                <w:sz w:val="20"/>
                <w:szCs w:val="20"/>
                <w:color w:val="auto"/>
              </w:rPr>
            </w:pPr>
            <w:r>
              <w:rPr>
                <w:rFonts w:ascii="Arial" w:cs="Arial" w:eastAsia="Arial" w:hAnsi="Arial"/>
                <w:sz w:val="13"/>
                <w:szCs w:val="13"/>
                <w:color w:val="auto"/>
                <w:w w:val="95"/>
              </w:rPr>
              <w:t>15(a)(i)</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rPr>
                <w:sz w:val="20"/>
                <w:szCs w:val="20"/>
                <w:color w:val="auto"/>
              </w:rPr>
            </w:pPr>
            <w:r>
              <w:rPr>
                <w:rFonts w:ascii="Arial" w:cs="Arial" w:eastAsia="Arial" w:hAnsi="Arial"/>
                <w:sz w:val="13"/>
                <w:szCs w:val="13"/>
                <w:color w:val="auto"/>
              </w:rPr>
              <w:t>Interest rate swaps (IRS)</w:t>
            </w:r>
          </w:p>
        </w:tc>
        <w:tc>
          <w:tcPr>
            <w:tcW w:w="6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218</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335,600</w:t>
            </w:r>
          </w:p>
        </w:tc>
        <w:tc>
          <w:tcPr>
            <w:tcW w:w="880" w:type="dxa"/>
            <w:vAlign w:val="bottom"/>
          </w:tcPr>
          <w:p>
            <w:pPr>
              <w:spacing w:after="0"/>
              <w:rPr>
                <w:sz w:val="20"/>
                <w:szCs w:val="20"/>
                <w:color w:val="auto"/>
              </w:rPr>
            </w:pPr>
            <w:r>
              <w:rPr>
                <w:rFonts w:ascii="Arial" w:cs="Arial" w:eastAsia="Arial" w:hAnsi="Arial"/>
                <w:sz w:val="13"/>
                <w:szCs w:val="13"/>
                <w:color w:val="auto"/>
              </w:rPr>
              <w:t>January 2018</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401</w:t>
            </w: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3"/>
                <w:szCs w:val="13"/>
                <w:color w:val="auto"/>
              </w:rPr>
              <w:t>341,100</w:t>
            </w:r>
          </w:p>
        </w:tc>
        <w:tc>
          <w:tcPr>
            <w:tcW w:w="1100" w:type="dxa"/>
            <w:vAlign w:val="bottom"/>
          </w:tcPr>
          <w:p>
            <w:pPr>
              <w:spacing w:after="0"/>
              <w:rPr>
                <w:sz w:val="20"/>
                <w:szCs w:val="20"/>
                <w:color w:val="auto"/>
              </w:rPr>
            </w:pPr>
            <w:r>
              <w:rPr>
                <w:rFonts w:ascii="Arial" w:cs="Arial" w:eastAsia="Arial" w:hAnsi="Arial"/>
                <w:sz w:val="13"/>
                <w:szCs w:val="13"/>
                <w:color w:val="auto"/>
              </w:rPr>
              <w:t>January 2018</w:t>
            </w:r>
          </w:p>
        </w:tc>
        <w:tc>
          <w:tcPr>
            <w:tcW w:w="120" w:type="dxa"/>
            <w:vAlign w:val="bottom"/>
          </w:tcPr>
          <w:p>
            <w:pPr>
              <w:spacing w:after="0"/>
              <w:rPr>
                <w:sz w:val="12"/>
                <w:szCs w:val="12"/>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Debt to banks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w w:val="95"/>
              </w:rPr>
              <w:t>15(a)(i)</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color w:val="auto"/>
              </w:rPr>
              <w:t>Interest rate swaps (IRS)</w:t>
            </w: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1,614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335,600</w:t>
            </w: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March 2018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180</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170,550</w:t>
            </w: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October 2016</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Debt to banks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spacing w:after="0" w:line="117" w:lineRule="exact"/>
              <w:rPr>
                <w:sz w:val="20"/>
                <w:szCs w:val="20"/>
                <w:color w:val="auto"/>
              </w:rPr>
            </w:pPr>
            <w:r>
              <w:rPr>
                <w:rFonts w:ascii="Arial" w:cs="Arial" w:eastAsia="Arial" w:hAnsi="Arial"/>
                <w:sz w:val="13"/>
                <w:szCs w:val="13"/>
                <w:color w:val="auto"/>
                <w:w w:val="95"/>
              </w:rPr>
              <w:t>15(a)(i)</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rPr>
                <w:sz w:val="20"/>
                <w:szCs w:val="20"/>
                <w:color w:val="auto"/>
              </w:rPr>
            </w:pPr>
            <w:r>
              <w:rPr>
                <w:rFonts w:ascii="Arial" w:cs="Arial" w:eastAsia="Arial" w:hAnsi="Arial"/>
                <w:sz w:val="13"/>
                <w:szCs w:val="13"/>
                <w:color w:val="auto"/>
              </w:rPr>
              <w:t>Interest rate swaps (IRS)</w:t>
            </w:r>
          </w:p>
        </w:tc>
        <w:tc>
          <w:tcPr>
            <w:tcW w:w="6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tcPr>
          <w:p>
            <w:pPr>
              <w:ind w:left="42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127</w:t>
            </w: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3"/>
                <w:szCs w:val="13"/>
                <w:color w:val="auto"/>
              </w:rPr>
              <w:t>102,330</w:t>
            </w:r>
          </w:p>
        </w:tc>
        <w:tc>
          <w:tcPr>
            <w:tcW w:w="1100" w:type="dxa"/>
            <w:vAlign w:val="bottom"/>
          </w:tcPr>
          <w:p>
            <w:pPr>
              <w:spacing w:after="0"/>
              <w:rPr>
                <w:sz w:val="20"/>
                <w:szCs w:val="20"/>
                <w:color w:val="auto"/>
              </w:rPr>
            </w:pPr>
            <w:r>
              <w:rPr>
                <w:rFonts w:ascii="Arial" w:cs="Arial" w:eastAsia="Arial" w:hAnsi="Arial"/>
                <w:sz w:val="13"/>
                <w:szCs w:val="13"/>
                <w:color w:val="auto"/>
              </w:rPr>
              <w:t>October 2016</w:t>
            </w:r>
          </w:p>
        </w:tc>
        <w:tc>
          <w:tcPr>
            <w:tcW w:w="120" w:type="dxa"/>
            <w:vAlign w:val="bottom"/>
          </w:tcPr>
          <w:p>
            <w:pPr>
              <w:spacing w:after="0"/>
              <w:rPr>
                <w:sz w:val="12"/>
                <w:szCs w:val="12"/>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Debt to banks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w w:val="95"/>
              </w:rPr>
              <w:t>15(a)(i)</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color w:val="auto"/>
              </w:rPr>
              <w:t>Interest rate swaps (IRS)</w:t>
            </w: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174</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170,550</w:t>
            </w: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October 2016</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Debt to banks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line="117" w:lineRule="exact"/>
              <w:rPr>
                <w:sz w:val="20"/>
                <w:szCs w:val="20"/>
                <w:color w:val="auto"/>
              </w:rPr>
            </w:pPr>
            <w:r>
              <w:rPr>
                <w:rFonts w:ascii="Arial" w:cs="Arial" w:eastAsia="Arial" w:hAnsi="Arial"/>
                <w:sz w:val="13"/>
                <w:szCs w:val="13"/>
                <w:color w:val="auto"/>
              </w:rPr>
              <w:t>Between March</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line="133" w:lineRule="exact"/>
              <w:rPr>
                <w:sz w:val="20"/>
                <w:szCs w:val="20"/>
                <w:color w:val="auto"/>
              </w:rPr>
            </w:pPr>
            <w:r>
              <w:rPr>
                <w:rFonts w:ascii="Arial" w:cs="Arial" w:eastAsia="Arial" w:hAnsi="Arial"/>
                <w:sz w:val="13"/>
                <w:szCs w:val="13"/>
                <w:color w:val="auto"/>
              </w:rPr>
              <w:t>2016 and October</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rPr>
                <w:sz w:val="20"/>
                <w:szCs w:val="20"/>
                <w:color w:val="auto"/>
              </w:rPr>
            </w:pPr>
            <w:r>
              <w:rPr>
                <w:rFonts w:ascii="Arial" w:cs="Arial" w:eastAsia="Arial" w:hAnsi="Arial"/>
                <w:sz w:val="13"/>
                <w:szCs w:val="13"/>
                <w:color w:val="auto"/>
              </w:rPr>
              <w:t>Interest rate swaps (IRS)</w:t>
            </w:r>
          </w:p>
        </w:tc>
        <w:tc>
          <w:tcPr>
            <w:tcW w:w="6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rPr>
              <w:t>17(a)(iii)</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2,736</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179,231</w:t>
            </w:r>
          </w:p>
        </w:tc>
        <w:tc>
          <w:tcPr>
            <w:tcW w:w="880" w:type="dxa"/>
            <w:vAlign w:val="bottom"/>
          </w:tcPr>
          <w:p>
            <w:pPr>
              <w:spacing w:after="0"/>
              <w:rPr>
                <w:sz w:val="20"/>
                <w:szCs w:val="20"/>
                <w:color w:val="auto"/>
              </w:rPr>
            </w:pPr>
            <w:r>
              <w:rPr>
                <w:rFonts w:ascii="Arial" w:cs="Arial" w:eastAsia="Arial" w:hAnsi="Arial"/>
                <w:sz w:val="13"/>
                <w:szCs w:val="13"/>
                <w:color w:val="auto"/>
              </w:rPr>
              <w:t>October 2017</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18,604</w:t>
            </w:r>
          </w:p>
        </w:tc>
        <w:tc>
          <w:tcPr>
            <w:tcW w:w="1120" w:type="dxa"/>
            <w:vAlign w:val="bottom"/>
            <w:gridSpan w:val="3"/>
          </w:tcPr>
          <w:p>
            <w:pPr>
              <w:jc w:val="right"/>
              <w:ind w:right="220"/>
              <w:spacing w:after="0"/>
              <w:rPr>
                <w:sz w:val="20"/>
                <w:szCs w:val="20"/>
                <w:color w:val="auto"/>
              </w:rPr>
            </w:pPr>
            <w:r>
              <w:rPr>
                <w:rFonts w:ascii="Arial" w:cs="Arial" w:eastAsia="Arial" w:hAnsi="Arial"/>
                <w:sz w:val="13"/>
                <w:szCs w:val="13"/>
                <w:color w:val="auto"/>
              </w:rPr>
              <w:t>465,394</w:t>
            </w:r>
          </w:p>
        </w:tc>
        <w:tc>
          <w:tcPr>
            <w:tcW w:w="1100" w:type="dxa"/>
            <w:vAlign w:val="bottom"/>
          </w:tcPr>
          <w:p>
            <w:pPr>
              <w:spacing w:after="0"/>
              <w:rPr>
                <w:sz w:val="20"/>
                <w:szCs w:val="20"/>
                <w:color w:val="auto"/>
              </w:rPr>
            </w:pPr>
            <w:r>
              <w:rPr>
                <w:rFonts w:ascii="Arial" w:cs="Arial" w:eastAsia="Arial" w:hAnsi="Arial"/>
                <w:sz w:val="13"/>
                <w:szCs w:val="13"/>
                <w:color w:val="auto"/>
              </w:rPr>
              <w:t>2017</w:t>
            </w:r>
          </w:p>
        </w:tc>
        <w:tc>
          <w:tcPr>
            <w:tcW w:w="120" w:type="dxa"/>
            <w:vAlign w:val="bottom"/>
          </w:tcPr>
          <w:p>
            <w:pPr>
              <w:spacing w:after="0"/>
              <w:rPr>
                <w:sz w:val="12"/>
                <w:szCs w:val="12"/>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Notes issued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5"/>
              </w:rPr>
              <w:t>Between March</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Between March</w:t>
            </w: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2019 and</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1"/>
              </w:rPr>
              <w:t>2019 and December</w:t>
            </w: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Repurchase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color w:val="auto"/>
              </w:rPr>
              <w:t>Interest rate swaps (IRS)</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5(c)(*)</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3,140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294</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503,400</w:t>
            </w: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w w:val="92"/>
              </w:rPr>
              <w:t>December 2019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3,256</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594</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511,650</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2019</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agreements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line="133" w:lineRule="exact"/>
              <w:rPr>
                <w:sz w:val="20"/>
                <w:szCs w:val="20"/>
                <w:color w:val="auto"/>
              </w:rPr>
            </w:pPr>
            <w:r>
              <w:rPr>
                <w:rFonts w:ascii="Arial" w:cs="Arial" w:eastAsia="Arial" w:hAnsi="Arial"/>
                <w:sz w:val="13"/>
                <w:szCs w:val="13"/>
                <w:color w:val="auto"/>
                <w:w w:val="90"/>
              </w:rPr>
              <w:t>Cross currency swaps (CCS)</w:t>
            </w:r>
          </w:p>
        </w:tc>
        <w:tc>
          <w:tcPr>
            <w:tcW w:w="6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3"/>
                <w:szCs w:val="13"/>
                <w:color w:val="auto"/>
                <w:w w:val="90"/>
              </w:rPr>
              <w:t>17(a)(xi)</w:t>
            </w:r>
          </w:p>
        </w:tc>
        <w:tc>
          <w:tcPr>
            <w:tcW w:w="76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25,387</w:t>
            </w:r>
          </w:p>
        </w:tc>
        <w:tc>
          <w:tcPr>
            <w:tcW w:w="114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1,006,800</w:t>
            </w:r>
          </w:p>
        </w:tc>
        <w:tc>
          <w:tcPr>
            <w:tcW w:w="880" w:type="dxa"/>
            <w:vAlign w:val="bottom"/>
          </w:tcPr>
          <w:p>
            <w:pPr>
              <w:spacing w:after="0" w:line="133" w:lineRule="exact"/>
              <w:rPr>
                <w:sz w:val="20"/>
                <w:szCs w:val="20"/>
                <w:color w:val="auto"/>
              </w:rPr>
            </w:pPr>
            <w:r>
              <w:rPr>
                <w:rFonts w:ascii="Arial" w:cs="Arial" w:eastAsia="Arial" w:hAnsi="Arial"/>
                <w:sz w:val="13"/>
                <w:szCs w:val="13"/>
                <w:color w:val="auto"/>
              </w:rPr>
              <w:t>October 2019</w:t>
            </w:r>
          </w:p>
        </w:tc>
        <w:tc>
          <w:tcPr>
            <w:tcW w:w="880" w:type="dxa"/>
            <w:vAlign w:val="bottom"/>
            <w:gridSpan w:val="3"/>
          </w:tcPr>
          <w:p>
            <w:pPr>
              <w:jc w:val="right"/>
              <w:ind w:right="100"/>
              <w:spacing w:after="0" w:line="133"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100" w:type="dxa"/>
            <w:vAlign w:val="bottom"/>
          </w:tcPr>
          <w:p>
            <w:pPr>
              <w:ind w:left="540"/>
              <w:spacing w:after="0" w:line="13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40" w:type="dxa"/>
            <w:vAlign w:val="bottom"/>
          </w:tcPr>
          <w:p>
            <w:pPr>
              <w:spacing w:after="0" w:line="133" w:lineRule="exact"/>
              <w:rPr>
                <w:sz w:val="20"/>
                <w:szCs w:val="20"/>
                <w:color w:val="auto"/>
              </w:rPr>
            </w:pPr>
            <w:r>
              <w:rPr>
                <w:rFonts w:ascii="Arial" w:cs="Arial" w:eastAsia="Arial" w:hAnsi="Arial"/>
                <w:sz w:val="13"/>
                <w:szCs w:val="13"/>
                <w:color w:val="auto"/>
              </w:rPr>
              <w:t>Bonds issued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Repurchase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color w:val="auto"/>
                <w:w w:val="90"/>
              </w:rPr>
              <w:t>Cross currency swaps (CCS)</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5(c)(***)</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35,158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234,920</w:t>
            </w: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August 2020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47,217</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238,770</w:t>
            </w: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August 2020</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agreements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spacing w:after="0" w:line="117" w:lineRule="exact"/>
              <w:rPr>
                <w:sz w:val="20"/>
                <w:szCs w:val="20"/>
                <w:color w:val="auto"/>
              </w:rPr>
            </w:pPr>
            <w:r>
              <w:rPr>
                <w:rFonts w:ascii="Arial" w:cs="Arial" w:eastAsia="Arial" w:hAnsi="Arial"/>
                <w:sz w:val="13"/>
                <w:szCs w:val="13"/>
                <w:color w:val="auto"/>
                <w:w w:val="89"/>
              </w:rPr>
              <w:t>5(c)</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line="117" w:lineRule="exact"/>
              <w:rPr>
                <w:sz w:val="20"/>
                <w:szCs w:val="20"/>
                <w:color w:val="auto"/>
              </w:rPr>
            </w:pPr>
            <w:r>
              <w:rPr>
                <w:rFonts w:ascii="Arial" w:cs="Arial" w:eastAsia="Arial" w:hAnsi="Arial"/>
                <w:sz w:val="13"/>
                <w:szCs w:val="13"/>
                <w:color w:val="auto"/>
              </w:rPr>
              <w:t>Repurchase</w:t>
            </w: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rPr>
                <w:sz w:val="20"/>
                <w:szCs w:val="20"/>
                <w:color w:val="auto"/>
              </w:rPr>
            </w:pPr>
            <w:r>
              <w:rPr>
                <w:rFonts w:ascii="Arial" w:cs="Arial" w:eastAsia="Arial" w:hAnsi="Arial"/>
                <w:sz w:val="13"/>
                <w:szCs w:val="13"/>
                <w:color w:val="auto"/>
                <w:w w:val="91"/>
              </w:rPr>
              <w:t>Cross currency swaps (CCS)</w:t>
            </w:r>
          </w:p>
        </w:tc>
        <w:tc>
          <w:tcPr>
            <w:tcW w:w="6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6,871</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151,020</w:t>
            </w:r>
          </w:p>
        </w:tc>
        <w:tc>
          <w:tcPr>
            <w:tcW w:w="880" w:type="dxa"/>
            <w:vAlign w:val="bottom"/>
          </w:tcPr>
          <w:p>
            <w:pPr>
              <w:spacing w:after="0"/>
              <w:rPr>
                <w:sz w:val="20"/>
                <w:szCs w:val="20"/>
                <w:color w:val="auto"/>
              </w:rPr>
            </w:pPr>
            <w:r>
              <w:rPr>
                <w:rFonts w:ascii="Arial" w:cs="Arial" w:eastAsia="Arial" w:hAnsi="Arial"/>
                <w:sz w:val="13"/>
                <w:szCs w:val="13"/>
                <w:color w:val="auto"/>
              </w:rPr>
              <w:t>August 2026</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100" w:type="dxa"/>
            <w:vAlign w:val="bottom"/>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agreements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w w:val="89"/>
              </w:rPr>
              <w:t>5(c)</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Repurchase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color w:val="auto"/>
                <w:w w:val="90"/>
              </w:rPr>
              <w:t>Cross currency swaps (CCS)</w:t>
            </w: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1,154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83,900</w:t>
            </w: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August 2026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agreements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line="117" w:lineRule="exact"/>
              <w:rPr>
                <w:sz w:val="20"/>
                <w:szCs w:val="20"/>
                <w:color w:val="auto"/>
              </w:rPr>
            </w:pPr>
            <w:r>
              <w:rPr>
                <w:rFonts w:ascii="Arial" w:cs="Arial" w:eastAsia="Arial" w:hAnsi="Arial"/>
                <w:sz w:val="13"/>
                <w:szCs w:val="13"/>
                <w:color w:val="auto"/>
              </w:rPr>
              <w:t>Between</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3"/>
                <w:szCs w:val="13"/>
                <w:color w:val="auto"/>
              </w:rPr>
              <w:t>January 2017</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line="133" w:lineRule="exact"/>
              <w:rPr>
                <w:sz w:val="20"/>
                <w:szCs w:val="20"/>
                <w:color w:val="auto"/>
              </w:rPr>
            </w:pPr>
            <w:r>
              <w:rPr>
                <w:rFonts w:ascii="Arial" w:cs="Arial" w:eastAsia="Arial" w:hAnsi="Arial"/>
                <w:sz w:val="13"/>
                <w:szCs w:val="13"/>
                <w:color w:val="auto"/>
              </w:rPr>
              <w:t>Between January</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3"/>
                <w:szCs w:val="13"/>
                <w:color w:val="auto"/>
                <w:w w:val="96"/>
              </w:rPr>
              <w:t>and September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line="133" w:lineRule="exact"/>
              <w:rPr>
                <w:sz w:val="20"/>
                <w:szCs w:val="20"/>
                <w:color w:val="auto"/>
              </w:rPr>
            </w:pPr>
            <w:r>
              <w:rPr>
                <w:rFonts w:ascii="Arial" w:cs="Arial" w:eastAsia="Arial" w:hAnsi="Arial"/>
                <w:sz w:val="13"/>
                <w:szCs w:val="13"/>
                <w:color w:val="auto"/>
                <w:w w:val="88"/>
              </w:rPr>
              <w:t>2017 and September</w:t>
            </w:r>
          </w:p>
        </w:tc>
        <w:tc>
          <w:tcPr>
            <w:tcW w:w="120" w:type="dxa"/>
            <w:vAlign w:val="bottom"/>
          </w:tcPr>
          <w:p>
            <w:pPr>
              <w:spacing w:after="0"/>
              <w:rPr>
                <w:sz w:val="11"/>
                <w:szCs w:val="11"/>
                <w:color w:val="auto"/>
              </w:rPr>
            </w:pPr>
          </w:p>
        </w:tc>
        <w:tc>
          <w:tcPr>
            <w:tcW w:w="1140" w:type="dxa"/>
            <w:vAlign w:val="bottom"/>
          </w:tcPr>
          <w:p>
            <w:pPr>
              <w:spacing w:after="0" w:line="133" w:lineRule="exact"/>
              <w:rPr>
                <w:sz w:val="20"/>
                <w:szCs w:val="20"/>
                <w:color w:val="auto"/>
              </w:rPr>
            </w:pPr>
            <w:r>
              <w:rPr>
                <w:rFonts w:ascii="Arial" w:cs="Arial" w:eastAsia="Arial" w:hAnsi="Arial"/>
                <w:sz w:val="13"/>
                <w:szCs w:val="13"/>
                <w:color w:val="auto"/>
              </w:rPr>
              <w:t>Available-for-sale</w:t>
            </w: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rPr>
                <w:sz w:val="20"/>
                <w:szCs w:val="20"/>
                <w:color w:val="auto"/>
              </w:rPr>
            </w:pPr>
            <w:r>
              <w:rPr>
                <w:rFonts w:ascii="Arial" w:cs="Arial" w:eastAsia="Arial" w:hAnsi="Arial"/>
                <w:sz w:val="13"/>
                <w:szCs w:val="13"/>
                <w:color w:val="auto"/>
                <w:w w:val="91"/>
              </w:rPr>
              <w:t>Cross currency swaps (CCS)</w:t>
            </w:r>
          </w:p>
        </w:tc>
        <w:tc>
          <w:tcPr>
            <w:tcW w:w="6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6(a)</w:t>
            </w: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16,537</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9,483</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236,335</w:t>
            </w:r>
          </w:p>
        </w:tc>
        <w:tc>
          <w:tcPr>
            <w:tcW w:w="880" w:type="dxa"/>
            <w:vAlign w:val="bottom"/>
          </w:tcPr>
          <w:p>
            <w:pPr>
              <w:spacing w:after="0"/>
              <w:rPr>
                <w:sz w:val="20"/>
                <w:szCs w:val="20"/>
                <w:color w:val="auto"/>
              </w:rPr>
            </w:pPr>
            <w:r>
              <w:rPr>
                <w:rFonts w:ascii="Arial" w:cs="Arial" w:eastAsia="Arial" w:hAnsi="Arial"/>
                <w:sz w:val="13"/>
                <w:szCs w:val="13"/>
                <w:color w:val="auto"/>
              </w:rPr>
              <w:t>2024</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16,531</w:t>
            </w: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17,869</w:t>
            </w:r>
          </w:p>
        </w:tc>
        <w:tc>
          <w:tcPr>
            <w:tcW w:w="1120" w:type="dxa"/>
            <w:vAlign w:val="bottom"/>
            <w:gridSpan w:val="3"/>
          </w:tcPr>
          <w:p>
            <w:pPr>
              <w:jc w:val="right"/>
              <w:ind w:right="220"/>
              <w:spacing w:after="0"/>
              <w:rPr>
                <w:sz w:val="20"/>
                <w:szCs w:val="20"/>
                <w:color w:val="auto"/>
              </w:rPr>
            </w:pPr>
            <w:r>
              <w:rPr>
                <w:rFonts w:ascii="Arial" w:cs="Arial" w:eastAsia="Arial" w:hAnsi="Arial"/>
                <w:sz w:val="13"/>
                <w:szCs w:val="13"/>
                <w:color w:val="auto"/>
              </w:rPr>
              <w:t>235,078</w:t>
            </w:r>
          </w:p>
        </w:tc>
        <w:tc>
          <w:tcPr>
            <w:tcW w:w="1100" w:type="dxa"/>
            <w:vAlign w:val="bottom"/>
          </w:tcPr>
          <w:p>
            <w:pPr>
              <w:spacing w:after="0"/>
              <w:rPr>
                <w:sz w:val="20"/>
                <w:szCs w:val="20"/>
                <w:color w:val="auto"/>
              </w:rPr>
            </w:pPr>
            <w:r>
              <w:rPr>
                <w:rFonts w:ascii="Arial" w:cs="Arial" w:eastAsia="Arial" w:hAnsi="Arial"/>
                <w:sz w:val="13"/>
                <w:szCs w:val="13"/>
                <w:color w:val="auto"/>
              </w:rPr>
              <w:t>2024</w:t>
            </w:r>
          </w:p>
        </w:tc>
        <w:tc>
          <w:tcPr>
            <w:tcW w:w="120" w:type="dxa"/>
            <w:vAlign w:val="bottom"/>
          </w:tcPr>
          <w:p>
            <w:pPr>
              <w:spacing w:after="0"/>
              <w:rPr>
                <w:sz w:val="12"/>
                <w:szCs w:val="12"/>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investments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Between</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Between January</w:t>
            </w: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January 2017</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2017 and March</w:t>
            </w: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Available-for-sale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color w:val="auto"/>
                <w:w w:val="90"/>
              </w:rPr>
              <w:t>Cross currency swaps (CCS)</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6(a)</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1,289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7,588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167,800</w:t>
            </w: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w w:val="91"/>
              </w:rPr>
              <w:t>and March 2019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13,598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170,550</w:t>
            </w: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2019</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investments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tcPr>
          <w:p>
            <w:pPr>
              <w:spacing w:after="0" w:line="117" w:lineRule="exact"/>
              <w:rPr>
                <w:sz w:val="20"/>
                <w:szCs w:val="20"/>
                <w:color w:val="auto"/>
              </w:rPr>
            </w:pPr>
            <w:r>
              <w:rPr>
                <w:rFonts w:ascii="Arial" w:cs="Arial" w:eastAsia="Arial" w:hAnsi="Arial"/>
                <w:sz w:val="13"/>
                <w:szCs w:val="13"/>
                <w:color w:val="auto"/>
                <w:w w:val="99"/>
              </w:rPr>
              <w:t>Cross currency swaps and</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560" w:type="dxa"/>
            <w:vAlign w:val="bottom"/>
            <w:gridSpan w:val="2"/>
          </w:tcPr>
          <w:p>
            <w:pPr>
              <w:spacing w:after="0" w:line="133" w:lineRule="exact"/>
              <w:rPr>
                <w:sz w:val="20"/>
                <w:szCs w:val="20"/>
                <w:color w:val="auto"/>
              </w:rPr>
            </w:pPr>
            <w:r>
              <w:rPr>
                <w:rFonts w:ascii="Arial" w:cs="Arial" w:eastAsia="Arial" w:hAnsi="Arial"/>
                <w:sz w:val="13"/>
                <w:szCs w:val="13"/>
                <w:color w:val="auto"/>
                <w:w w:val="90"/>
              </w:rPr>
              <w:t>interest rate swaps (CCS and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line="133" w:lineRule="exact"/>
              <w:rPr>
                <w:sz w:val="20"/>
                <w:szCs w:val="20"/>
                <w:color w:val="auto"/>
              </w:rPr>
            </w:pPr>
            <w:r>
              <w:rPr>
                <w:rFonts w:ascii="Arial" w:cs="Arial" w:eastAsia="Arial" w:hAnsi="Arial"/>
                <w:sz w:val="13"/>
                <w:szCs w:val="13"/>
                <w:color w:val="auto"/>
              </w:rPr>
              <w:t>Repurchase</w:t>
            </w: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rPr>
                <w:sz w:val="20"/>
                <w:szCs w:val="20"/>
                <w:color w:val="auto"/>
              </w:rPr>
            </w:pPr>
            <w:r>
              <w:rPr>
                <w:rFonts w:ascii="Arial" w:cs="Arial" w:eastAsia="Arial" w:hAnsi="Arial"/>
                <w:sz w:val="13"/>
                <w:szCs w:val="13"/>
                <w:color w:val="auto"/>
              </w:rPr>
              <w:t>IRS)</w:t>
            </w:r>
          </w:p>
        </w:tc>
        <w:tc>
          <w:tcPr>
            <w:tcW w:w="6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rPr>
              <w:t>5(c)(**)</w:t>
            </w: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54,103</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268,480</w:t>
            </w:r>
          </w:p>
        </w:tc>
        <w:tc>
          <w:tcPr>
            <w:tcW w:w="880" w:type="dxa"/>
            <w:vAlign w:val="bottom"/>
          </w:tcPr>
          <w:p>
            <w:pPr>
              <w:spacing w:after="0"/>
              <w:rPr>
                <w:sz w:val="20"/>
                <w:szCs w:val="20"/>
                <w:color w:val="auto"/>
              </w:rPr>
            </w:pPr>
            <w:r>
              <w:rPr>
                <w:rFonts w:ascii="Arial" w:cs="Arial" w:eastAsia="Arial" w:hAnsi="Arial"/>
                <w:sz w:val="13"/>
                <w:szCs w:val="13"/>
                <w:color w:val="auto"/>
              </w:rPr>
              <w:t>August 2020</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69,647</w:t>
            </w: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3"/>
                <w:szCs w:val="13"/>
                <w:color w:val="auto"/>
              </w:rPr>
              <w:t>272,880</w:t>
            </w:r>
          </w:p>
        </w:tc>
        <w:tc>
          <w:tcPr>
            <w:tcW w:w="1100" w:type="dxa"/>
            <w:vAlign w:val="bottom"/>
          </w:tcPr>
          <w:p>
            <w:pPr>
              <w:spacing w:after="0"/>
              <w:rPr>
                <w:sz w:val="20"/>
                <w:szCs w:val="20"/>
                <w:color w:val="auto"/>
              </w:rPr>
            </w:pPr>
            <w:r>
              <w:rPr>
                <w:rFonts w:ascii="Arial" w:cs="Arial" w:eastAsia="Arial" w:hAnsi="Arial"/>
                <w:sz w:val="13"/>
                <w:szCs w:val="13"/>
                <w:color w:val="auto"/>
              </w:rPr>
              <w:t>August 2020</w:t>
            </w:r>
          </w:p>
        </w:tc>
        <w:tc>
          <w:tcPr>
            <w:tcW w:w="120" w:type="dxa"/>
            <w:vAlign w:val="bottom"/>
          </w:tcPr>
          <w:p>
            <w:pPr>
              <w:spacing w:after="0"/>
              <w:rPr>
                <w:sz w:val="12"/>
                <w:szCs w:val="12"/>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agreements</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540" w:type="dxa"/>
            <w:vAlign w:val="bottom"/>
          </w:tcPr>
          <w:p>
            <w:pPr>
              <w:spacing w:after="0" w:line="133" w:lineRule="exact"/>
              <w:rPr>
                <w:sz w:val="20"/>
                <w:szCs w:val="20"/>
                <w:color w:val="auto"/>
              </w:rPr>
            </w:pPr>
            <w:r>
              <w:rPr>
                <w:rFonts w:ascii="Arial" w:cs="Arial" w:eastAsia="Arial" w:hAnsi="Arial"/>
                <w:sz w:val="13"/>
                <w:szCs w:val="13"/>
                <w:b w:val="1"/>
                <w:bCs w:val="1"/>
                <w:color w:val="auto"/>
              </w:rPr>
              <w:t>Fair value hedges -</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Between</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89"/>
              </w:rPr>
              <w:t>September 2020</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1"/>
              </w:rPr>
              <w:t>Between September</w:t>
            </w: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color w:val="auto"/>
              </w:rPr>
              <w:t>Interest rate swaps (IRS)</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17(a)</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212,162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8,196,765</w:t>
            </w: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and April 2023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339,435</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8,331,098</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w w:val="92"/>
              </w:rPr>
              <w:t>2020 and April 2023</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Bonds issued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line="117" w:lineRule="exact"/>
              <w:rPr>
                <w:sz w:val="20"/>
                <w:szCs w:val="20"/>
                <w:color w:val="auto"/>
              </w:rPr>
            </w:pPr>
            <w:r>
              <w:rPr>
                <w:rFonts w:ascii="Arial" w:cs="Arial" w:eastAsia="Arial" w:hAnsi="Arial"/>
                <w:sz w:val="13"/>
                <w:szCs w:val="13"/>
                <w:color w:val="auto"/>
              </w:rPr>
              <w:t>Between</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3"/>
                <w:szCs w:val="13"/>
                <w:color w:val="auto"/>
              </w:rPr>
              <w:t>January 2017</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3"/>
                <w:szCs w:val="13"/>
                <w:color w:val="auto"/>
              </w:rPr>
              <w:t>and October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line="133" w:lineRule="exact"/>
              <w:rPr>
                <w:sz w:val="20"/>
                <w:szCs w:val="20"/>
                <w:color w:val="auto"/>
              </w:rPr>
            </w:pPr>
            <w:r>
              <w:rPr>
                <w:rFonts w:ascii="Arial" w:cs="Arial" w:eastAsia="Arial" w:hAnsi="Arial"/>
                <w:sz w:val="13"/>
                <w:szCs w:val="13"/>
                <w:color w:val="auto"/>
              </w:rPr>
              <w:t>Between January</w:t>
            </w:r>
          </w:p>
        </w:tc>
        <w:tc>
          <w:tcPr>
            <w:tcW w:w="120" w:type="dxa"/>
            <w:vAlign w:val="bottom"/>
          </w:tcPr>
          <w:p>
            <w:pPr>
              <w:spacing w:after="0"/>
              <w:rPr>
                <w:sz w:val="11"/>
                <w:szCs w:val="11"/>
                <w:color w:val="auto"/>
              </w:rPr>
            </w:pPr>
          </w:p>
        </w:tc>
        <w:tc>
          <w:tcPr>
            <w:tcW w:w="1140" w:type="dxa"/>
            <w:vAlign w:val="bottom"/>
          </w:tcPr>
          <w:p>
            <w:pPr>
              <w:spacing w:after="0" w:line="133" w:lineRule="exact"/>
              <w:rPr>
                <w:sz w:val="20"/>
                <w:szCs w:val="20"/>
                <w:color w:val="auto"/>
              </w:rPr>
            </w:pPr>
            <w:r>
              <w:rPr>
                <w:rFonts w:ascii="Arial" w:cs="Arial" w:eastAsia="Arial" w:hAnsi="Arial"/>
                <w:sz w:val="13"/>
                <w:szCs w:val="13"/>
                <w:color w:val="auto"/>
              </w:rPr>
              <w:t>Available-for-sale</w:t>
            </w:r>
          </w:p>
        </w:tc>
        <w:tc>
          <w:tcPr>
            <w:tcW w:w="0" w:type="dxa"/>
            <w:vAlign w:val="bottom"/>
          </w:tcPr>
          <w:p>
            <w:pPr>
              <w:spacing w:after="0"/>
              <w:rPr>
                <w:sz w:val="1"/>
                <w:szCs w:val="1"/>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3"/>
                <w:szCs w:val="13"/>
                <w:color w:val="auto"/>
              </w:rPr>
              <w:t>Interest rate swaps (IRS)</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6(a)</w:t>
            </w: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4,049</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1,397</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760,315</w:t>
            </w:r>
          </w:p>
        </w:tc>
        <w:tc>
          <w:tcPr>
            <w:tcW w:w="880" w:type="dxa"/>
            <w:vAlign w:val="bottom"/>
          </w:tcPr>
          <w:p>
            <w:pPr>
              <w:spacing w:after="0"/>
              <w:rPr>
                <w:sz w:val="20"/>
                <w:szCs w:val="20"/>
                <w:color w:val="auto"/>
              </w:rPr>
            </w:pPr>
            <w:r>
              <w:rPr>
                <w:rFonts w:ascii="Arial" w:cs="Arial" w:eastAsia="Arial" w:hAnsi="Arial"/>
                <w:sz w:val="13"/>
                <w:szCs w:val="13"/>
                <w:color w:val="auto"/>
              </w:rPr>
              <w:t>2023</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833</w:t>
            </w: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5,155</w:t>
            </w:r>
          </w:p>
        </w:tc>
        <w:tc>
          <w:tcPr>
            <w:tcW w:w="1120" w:type="dxa"/>
            <w:vAlign w:val="bottom"/>
            <w:gridSpan w:val="3"/>
          </w:tcPr>
          <w:p>
            <w:pPr>
              <w:jc w:val="right"/>
              <w:ind w:right="220"/>
              <w:spacing w:after="0"/>
              <w:rPr>
                <w:sz w:val="20"/>
                <w:szCs w:val="20"/>
                <w:color w:val="auto"/>
              </w:rPr>
            </w:pPr>
            <w:r>
              <w:rPr>
                <w:rFonts w:ascii="Arial" w:cs="Arial" w:eastAsia="Arial" w:hAnsi="Arial"/>
                <w:sz w:val="13"/>
                <w:szCs w:val="13"/>
                <w:color w:val="auto"/>
              </w:rPr>
              <w:t>819,677</w:t>
            </w:r>
          </w:p>
        </w:tc>
        <w:tc>
          <w:tcPr>
            <w:tcW w:w="1100" w:type="dxa"/>
            <w:vAlign w:val="bottom"/>
          </w:tcPr>
          <w:p>
            <w:pPr>
              <w:spacing w:after="0"/>
              <w:rPr>
                <w:sz w:val="20"/>
                <w:szCs w:val="20"/>
                <w:color w:val="auto"/>
              </w:rPr>
            </w:pPr>
            <w:r>
              <w:rPr>
                <w:rFonts w:ascii="Arial" w:cs="Arial" w:eastAsia="Arial" w:hAnsi="Arial"/>
                <w:sz w:val="13"/>
                <w:szCs w:val="13"/>
                <w:color w:val="auto"/>
                <w:w w:val="93"/>
              </w:rPr>
              <w:t>2017 and May 2023</w:t>
            </w:r>
          </w:p>
        </w:tc>
        <w:tc>
          <w:tcPr>
            <w:tcW w:w="12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investments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330,590</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53,974</w:t>
            </w: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12,778,986</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477,801</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55,820</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11,829,627</w:t>
            </w:r>
          </w:p>
        </w:tc>
        <w:tc>
          <w:tcPr>
            <w:tcW w:w="220" w:type="dxa"/>
            <w:vAlign w:val="bottom"/>
            <w:tcBorders>
              <w:top w:val="single" w:sz="8" w:color="CCEEFF"/>
            </w:tcBorders>
            <w:gridSpan w:val="2"/>
            <w:shd w:val="clear" w:color="auto" w:fill="CCEEFF"/>
          </w:tcPr>
          <w:p>
            <w:pPr>
              <w:spacing w:after="0"/>
              <w:rPr>
                <w:sz w:val="10"/>
                <w:szCs w:val="10"/>
                <w:color w:val="auto"/>
              </w:rPr>
            </w:pPr>
          </w:p>
        </w:tc>
        <w:tc>
          <w:tcPr>
            <w:tcW w:w="1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942,602</w:t>
            </w:r>
          </w:p>
        </w:tc>
        <w:tc>
          <w:tcPr>
            <w:tcW w:w="22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673,015</w:t>
            </w:r>
          </w:p>
        </w:tc>
        <w:tc>
          <w:tcPr>
            <w:tcW w:w="220" w:type="dxa"/>
            <w:vAlign w:val="bottom"/>
          </w:tcPr>
          <w:p>
            <w:pPr>
              <w:spacing w:after="0"/>
              <w:rPr>
                <w:sz w:val="10"/>
                <w:szCs w:val="10"/>
                <w:color w:val="auto"/>
              </w:rPr>
            </w:pPr>
          </w:p>
        </w:tc>
        <w:tc>
          <w:tcPr>
            <w:tcW w:w="92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58,259,618</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1,475,516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942,521</w:t>
            </w:r>
          </w:p>
        </w:tc>
        <w:tc>
          <w:tcPr>
            <w:tcW w:w="220" w:type="dxa"/>
            <w:vAlign w:val="bottom"/>
          </w:tcPr>
          <w:p>
            <w:pPr>
              <w:spacing w:after="0"/>
              <w:rPr>
                <w:sz w:val="10"/>
                <w:szCs w:val="10"/>
                <w:color w:val="auto"/>
              </w:rPr>
            </w:pPr>
          </w:p>
        </w:tc>
        <w:tc>
          <w:tcPr>
            <w:tcW w:w="9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50,417,528</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8" w:right="219" w:bottom="1440" w:gutter="0" w:footer="0" w:header="0"/>
        </w:sectPr>
      </w:pPr>
    </w:p>
    <w:bookmarkStart w:id="76" w:name="page77"/>
    <w:bookmarkEnd w:id="76"/>
    <w:p>
      <w:pPr>
        <w:ind w:left="283" w:hanging="283"/>
        <w:spacing w:after="0" w:line="266" w:lineRule="auto"/>
        <w:tabs>
          <w:tab w:leader="none" w:pos="283" w:val="left"/>
        </w:tabs>
        <w:numPr>
          <w:ilvl w:val="0"/>
          <w:numId w:val="80"/>
        </w:numPr>
        <w:rPr>
          <w:rFonts w:ascii="Arial" w:cs="Arial" w:eastAsia="Arial" w:hAnsi="Arial"/>
          <w:sz w:val="16"/>
          <w:szCs w:val="16"/>
          <w:color w:val="auto"/>
        </w:rPr>
      </w:pPr>
      <w:r>
        <w:rPr>
          <w:rFonts w:ascii="Arial" w:cs="Arial" w:eastAsia="Arial" w:hAnsi="Arial"/>
          <w:sz w:val="16"/>
          <w:szCs w:val="16"/>
          <w:color w:val="auto"/>
        </w:rPr>
        <w:t>Held-for-trading derivatives are principally negotiated to satisfy client’s needs. On the other hand, the Group may also take positions with the expectation of profiting from favorable movements in prices or rates. Also, this caption includes any derivatives which do not comply with IAS 39 hedging accounting requirements. Fair value of derivatives held for trading classified by contractual maturity is as follows:</w:t>
      </w:r>
    </w:p>
    <w:p>
      <w:pPr>
        <w:spacing w:after="0" w:line="166" w:lineRule="exact"/>
        <w:rPr>
          <w:sz w:val="20"/>
          <w:szCs w:val="20"/>
          <w:color w:val="auto"/>
        </w:rPr>
      </w:pPr>
    </w:p>
    <w:tbl>
      <w:tblPr>
        <w:tblLayout w:type="fixed"/>
        <w:tblInd w:w="283" w:type="dxa"/>
        <w:tblCellMar>
          <w:top w:w="0" w:type="dxa"/>
          <w:left w:w="0" w:type="dxa"/>
          <w:bottom w:w="0" w:type="dxa"/>
          <w:right w:w="0" w:type="dxa"/>
        </w:tblCellMar>
      </w:tblPr>
      <w:tr>
        <w:trPr>
          <w:trHeight w:val="153"/>
        </w:trPr>
        <w:tc>
          <w:tcPr>
            <w:tcW w:w="1400" w:type="dxa"/>
            <w:vAlign w:val="bottom"/>
          </w:tcPr>
          <w:p>
            <w:pPr>
              <w:spacing w:after="0"/>
              <w:rPr>
                <w:sz w:val="13"/>
                <w:szCs w:val="13"/>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b w:val="1"/>
                <w:bCs w:val="1"/>
                <w:color w:val="auto"/>
              </w:rPr>
              <w:t>At December 31, 2016</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5"/>
          </w:tcPr>
          <w:p>
            <w:pPr>
              <w:ind w:left="100"/>
              <w:spacing w:after="0"/>
              <w:rPr>
                <w:sz w:val="20"/>
                <w:szCs w:val="20"/>
                <w:color w:val="auto"/>
              </w:rPr>
            </w:pPr>
            <w:r>
              <w:rPr>
                <w:rFonts w:ascii="Arial" w:cs="Arial" w:eastAsia="Arial" w:hAnsi="Arial"/>
                <w:sz w:val="13"/>
                <w:szCs w:val="13"/>
                <w:b w:val="1"/>
                <w:bCs w:val="1"/>
                <w:color w:val="auto"/>
              </w:rPr>
              <w:t>At December 31, 2015</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400" w:type="dxa"/>
            <w:vAlign w:val="bottom"/>
          </w:tcPr>
          <w:p>
            <w:pPr>
              <w:spacing w:after="0"/>
              <w:rPr>
                <w:sz w:val="9"/>
                <w:szCs w:val="9"/>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Up to 3</w:t>
            </w:r>
          </w:p>
        </w:tc>
        <w:tc>
          <w:tcPr>
            <w:tcW w:w="84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From 3</w:t>
            </w: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9"/>
              </w:rPr>
              <w:t>From 1 to 3</w:t>
            </w:r>
          </w:p>
        </w:tc>
        <w:tc>
          <w:tcPr>
            <w:tcW w:w="8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w w:val="99"/>
              </w:rPr>
              <w:t>From 3 to 5</w:t>
            </w:r>
          </w:p>
        </w:tc>
        <w:tc>
          <w:tcPr>
            <w:tcW w:w="7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Over 5</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From 3</w:t>
            </w:r>
          </w:p>
        </w:tc>
        <w:tc>
          <w:tcPr>
            <w:tcW w:w="9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From 1 to 3</w:t>
            </w:r>
          </w:p>
        </w:tc>
        <w:tc>
          <w:tcPr>
            <w:tcW w:w="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From 3 to 5</w:t>
            </w:r>
          </w:p>
        </w:tc>
        <w:tc>
          <w:tcPr>
            <w:tcW w:w="8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Over 5</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40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months to 1</w:t>
            </w:r>
          </w:p>
        </w:tc>
        <w:tc>
          <w:tcPr>
            <w:tcW w:w="72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74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Total</w:t>
            </w:r>
          </w:p>
        </w:tc>
        <w:tc>
          <w:tcPr>
            <w:tcW w:w="114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Up to 3 months</w:t>
            </w:r>
          </w:p>
        </w:tc>
        <w:tc>
          <w:tcPr>
            <w:tcW w:w="7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w w:val="94"/>
              </w:rPr>
              <w:t>months to 1</w:t>
            </w:r>
          </w:p>
        </w:tc>
        <w:tc>
          <w:tcPr>
            <w:tcW w:w="92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140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months</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year</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years</w:t>
            </w:r>
          </w:p>
        </w:tc>
        <w:tc>
          <w:tcPr>
            <w:tcW w:w="820" w:type="dxa"/>
            <w:vAlign w:val="bottom"/>
            <w:gridSpan w:val="3"/>
          </w:tcPr>
          <w:p>
            <w:pPr>
              <w:ind w:left="100"/>
              <w:spacing w:after="0"/>
              <w:rPr>
                <w:sz w:val="20"/>
                <w:szCs w:val="20"/>
                <w:color w:val="auto"/>
              </w:rPr>
            </w:pPr>
            <w:r>
              <w:rPr>
                <w:rFonts w:ascii="Arial" w:cs="Arial" w:eastAsia="Arial" w:hAnsi="Arial"/>
                <w:sz w:val="13"/>
                <w:szCs w:val="13"/>
                <w:b w:val="1"/>
                <w:bCs w:val="1"/>
                <w:color w:val="auto"/>
              </w:rPr>
              <w:t>years</w:t>
            </w:r>
          </w:p>
        </w:tc>
        <w:tc>
          <w:tcPr>
            <w:tcW w:w="720" w:type="dxa"/>
            <w:vAlign w:val="bottom"/>
            <w:gridSpan w:val="3"/>
          </w:tcPr>
          <w:p>
            <w:pPr>
              <w:ind w:left="100"/>
              <w:spacing w:after="0"/>
              <w:rPr>
                <w:sz w:val="20"/>
                <w:szCs w:val="20"/>
                <w:color w:val="auto"/>
              </w:rPr>
            </w:pPr>
            <w:r>
              <w:rPr>
                <w:rFonts w:ascii="Arial" w:cs="Arial" w:eastAsia="Arial" w:hAnsi="Arial"/>
                <w:sz w:val="13"/>
                <w:szCs w:val="13"/>
                <w:b w:val="1"/>
                <w:bCs w:val="1"/>
                <w:color w:val="auto"/>
              </w:rPr>
              <w:t>years</w:t>
            </w:r>
          </w:p>
        </w:tc>
        <w:tc>
          <w:tcPr>
            <w:tcW w:w="740" w:type="dxa"/>
            <w:vAlign w:val="bottom"/>
            <w:gridSpan w:val="3"/>
            <w:vMerge w:val="continue"/>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year</w:t>
            </w:r>
          </w:p>
        </w:tc>
        <w:tc>
          <w:tcPr>
            <w:tcW w:w="920" w:type="dxa"/>
            <w:vAlign w:val="bottom"/>
            <w:gridSpan w:val="3"/>
          </w:tcPr>
          <w:p>
            <w:pPr>
              <w:ind w:left="100"/>
              <w:spacing w:after="0"/>
              <w:rPr>
                <w:sz w:val="20"/>
                <w:szCs w:val="20"/>
                <w:color w:val="auto"/>
              </w:rPr>
            </w:pPr>
            <w:r>
              <w:rPr>
                <w:rFonts w:ascii="Arial" w:cs="Arial" w:eastAsia="Arial" w:hAnsi="Arial"/>
                <w:sz w:val="13"/>
                <w:szCs w:val="13"/>
                <w:b w:val="1"/>
                <w:bCs w:val="1"/>
                <w:color w:val="auto"/>
              </w:rPr>
              <w:t>years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years</w:t>
            </w:r>
          </w:p>
        </w:tc>
        <w:tc>
          <w:tcPr>
            <w:tcW w:w="820" w:type="dxa"/>
            <w:vAlign w:val="bottom"/>
            <w:gridSpan w:val="3"/>
          </w:tcPr>
          <w:p>
            <w:pPr>
              <w:ind w:left="80"/>
              <w:spacing w:after="0"/>
              <w:rPr>
                <w:sz w:val="20"/>
                <w:szCs w:val="20"/>
                <w:color w:val="auto"/>
              </w:rPr>
            </w:pPr>
            <w:r>
              <w:rPr>
                <w:rFonts w:ascii="Arial" w:cs="Arial" w:eastAsia="Arial" w:hAnsi="Arial"/>
                <w:sz w:val="13"/>
                <w:szCs w:val="13"/>
                <w:b w:val="1"/>
                <w:bCs w:val="1"/>
                <w:color w:val="auto"/>
              </w:rPr>
              <w:t>years</w:t>
            </w: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3"/>
                <w:szCs w:val="13"/>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3"/>
                <w:szCs w:val="13"/>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4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Forward foreign</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exchange contracts</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58,168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12,737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777</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73,722</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54,900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35,983</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1,249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92,132</w:t>
            </w:r>
          </w:p>
        </w:tc>
        <w:tc>
          <w:tcPr>
            <w:tcW w:w="0" w:type="dxa"/>
            <w:vAlign w:val="bottom"/>
          </w:tcPr>
          <w:p>
            <w:pPr>
              <w:spacing w:after="0"/>
              <w:rPr>
                <w:sz w:val="1"/>
                <w:szCs w:val="1"/>
                <w:color w:val="auto"/>
              </w:rPr>
            </w:pPr>
          </w:p>
        </w:tc>
      </w:tr>
      <w:tr>
        <w:trPr>
          <w:trHeight w:val="133"/>
        </w:trPr>
        <w:tc>
          <w:tcPr>
            <w:tcW w:w="1400" w:type="dxa"/>
            <w:vAlign w:val="bottom"/>
          </w:tcPr>
          <w:p>
            <w:pPr>
              <w:spacing w:after="0" w:line="133" w:lineRule="exact"/>
              <w:rPr>
                <w:sz w:val="20"/>
                <w:szCs w:val="20"/>
                <w:color w:val="auto"/>
              </w:rPr>
            </w:pPr>
            <w:r>
              <w:rPr>
                <w:rFonts w:ascii="Arial" w:cs="Arial" w:eastAsia="Arial" w:hAnsi="Arial"/>
                <w:sz w:val="13"/>
                <w:szCs w:val="13"/>
                <w:color w:val="auto"/>
              </w:rPr>
              <w:t>Interest rate swaps</w:t>
            </w:r>
          </w:p>
        </w:tc>
        <w:tc>
          <w:tcPr>
            <w:tcW w:w="780" w:type="dxa"/>
            <w:vAlign w:val="bottom"/>
            <w:gridSpan w:val="3"/>
          </w:tcPr>
          <w:p>
            <w:pPr>
              <w:jc w:val="right"/>
              <w:ind w:right="200"/>
              <w:spacing w:after="0" w:line="133" w:lineRule="exact"/>
              <w:rPr>
                <w:sz w:val="20"/>
                <w:szCs w:val="20"/>
                <w:color w:val="auto"/>
              </w:rPr>
            </w:pPr>
            <w:r>
              <w:rPr>
                <w:rFonts w:ascii="Arial" w:cs="Arial" w:eastAsia="Arial" w:hAnsi="Arial"/>
                <w:sz w:val="13"/>
                <w:szCs w:val="13"/>
                <w:color w:val="auto"/>
              </w:rPr>
              <w:t>6,763</w:t>
            </w:r>
          </w:p>
        </w:tc>
        <w:tc>
          <w:tcPr>
            <w:tcW w:w="84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9,480</w:t>
            </w:r>
          </w:p>
        </w:tc>
        <w:tc>
          <w:tcPr>
            <w:tcW w:w="72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18,550</w:t>
            </w:r>
          </w:p>
        </w:tc>
        <w:tc>
          <w:tcPr>
            <w:tcW w:w="820" w:type="dxa"/>
            <w:vAlign w:val="bottom"/>
            <w:gridSpan w:val="3"/>
          </w:tcPr>
          <w:p>
            <w:pPr>
              <w:jc w:val="right"/>
              <w:ind w:right="100"/>
              <w:spacing w:after="0" w:line="133" w:lineRule="exact"/>
              <w:rPr>
                <w:sz w:val="20"/>
                <w:szCs w:val="20"/>
                <w:color w:val="auto"/>
              </w:rPr>
            </w:pPr>
            <w:r>
              <w:rPr>
                <w:rFonts w:ascii="Arial" w:cs="Arial" w:eastAsia="Arial" w:hAnsi="Arial"/>
                <w:sz w:val="13"/>
                <w:szCs w:val="13"/>
                <w:color w:val="auto"/>
              </w:rPr>
              <w:t>9,591</w:t>
            </w:r>
          </w:p>
        </w:tc>
        <w:tc>
          <w:tcPr>
            <w:tcW w:w="720" w:type="dxa"/>
            <w:vAlign w:val="bottom"/>
            <w:gridSpan w:val="3"/>
          </w:tcPr>
          <w:p>
            <w:pPr>
              <w:jc w:val="right"/>
              <w:ind w:right="80"/>
              <w:spacing w:after="0" w:line="133" w:lineRule="exact"/>
              <w:rPr>
                <w:sz w:val="20"/>
                <w:szCs w:val="20"/>
                <w:color w:val="auto"/>
              </w:rPr>
            </w:pPr>
            <w:r>
              <w:rPr>
                <w:rFonts w:ascii="Arial" w:cs="Arial" w:eastAsia="Arial" w:hAnsi="Arial"/>
                <w:sz w:val="13"/>
                <w:szCs w:val="13"/>
                <w:color w:val="auto"/>
              </w:rPr>
              <w:t>43,488</w:t>
            </w:r>
          </w:p>
        </w:tc>
        <w:tc>
          <w:tcPr>
            <w:tcW w:w="740" w:type="dxa"/>
            <w:vAlign w:val="bottom"/>
            <w:gridSpan w:val="3"/>
          </w:tcPr>
          <w:p>
            <w:pPr>
              <w:jc w:val="right"/>
              <w:ind w:right="100"/>
              <w:spacing w:after="0" w:line="133" w:lineRule="exact"/>
              <w:rPr>
                <w:sz w:val="20"/>
                <w:szCs w:val="20"/>
                <w:color w:val="auto"/>
              </w:rPr>
            </w:pPr>
            <w:r>
              <w:rPr>
                <w:rFonts w:ascii="Arial" w:cs="Arial" w:eastAsia="Arial" w:hAnsi="Arial"/>
                <w:sz w:val="13"/>
                <w:szCs w:val="13"/>
                <w:color w:val="auto"/>
              </w:rPr>
              <w:t>87,872</w:t>
            </w:r>
          </w:p>
        </w:tc>
        <w:tc>
          <w:tcPr>
            <w:tcW w:w="9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89</w:t>
            </w:r>
          </w:p>
        </w:tc>
        <w:tc>
          <w:tcPr>
            <w:tcW w:w="200" w:type="dxa"/>
            <w:vAlign w:val="bottom"/>
          </w:tcPr>
          <w:p>
            <w:pPr>
              <w:spacing w:after="0"/>
              <w:rPr>
                <w:sz w:val="11"/>
                <w:szCs w:val="11"/>
                <w:color w:val="auto"/>
              </w:rPr>
            </w:pPr>
          </w:p>
        </w:tc>
        <w:tc>
          <w:tcPr>
            <w:tcW w:w="72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1,947</w:t>
            </w:r>
          </w:p>
        </w:tc>
        <w:tc>
          <w:tcPr>
            <w:tcW w:w="920" w:type="dxa"/>
            <w:vAlign w:val="bottom"/>
            <w:gridSpan w:val="3"/>
          </w:tcPr>
          <w:p>
            <w:pPr>
              <w:jc w:val="right"/>
              <w:ind w:right="180"/>
              <w:spacing w:after="0" w:line="133" w:lineRule="exact"/>
              <w:rPr>
                <w:sz w:val="20"/>
                <w:szCs w:val="20"/>
                <w:color w:val="auto"/>
              </w:rPr>
            </w:pPr>
            <w:r>
              <w:rPr>
                <w:rFonts w:ascii="Arial" w:cs="Arial" w:eastAsia="Arial" w:hAnsi="Arial"/>
                <w:sz w:val="13"/>
                <w:szCs w:val="13"/>
                <w:color w:val="auto"/>
              </w:rPr>
              <w:t>14,990</w:t>
            </w:r>
          </w:p>
        </w:tc>
        <w:tc>
          <w:tcPr>
            <w:tcW w:w="74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4,322</w:t>
            </w:r>
          </w:p>
        </w:tc>
        <w:tc>
          <w:tcPr>
            <w:tcW w:w="820" w:type="dxa"/>
            <w:vAlign w:val="bottom"/>
            <w:gridSpan w:val="3"/>
          </w:tcPr>
          <w:p>
            <w:pPr>
              <w:jc w:val="right"/>
              <w:ind w:right="200"/>
              <w:spacing w:after="0" w:line="133" w:lineRule="exact"/>
              <w:rPr>
                <w:sz w:val="20"/>
                <w:szCs w:val="20"/>
                <w:color w:val="auto"/>
              </w:rPr>
            </w:pPr>
            <w:r>
              <w:rPr>
                <w:rFonts w:ascii="Arial" w:cs="Arial" w:eastAsia="Arial" w:hAnsi="Arial"/>
                <w:sz w:val="13"/>
                <w:szCs w:val="13"/>
                <w:color w:val="auto"/>
              </w:rPr>
              <w:t>35,076</w:t>
            </w:r>
          </w:p>
        </w:tc>
        <w:tc>
          <w:tcPr>
            <w:tcW w:w="62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56,424</w:t>
            </w:r>
          </w:p>
        </w:tc>
        <w:tc>
          <w:tcPr>
            <w:tcW w:w="0" w:type="dxa"/>
            <w:vAlign w:val="bottom"/>
          </w:tcPr>
          <w:p>
            <w:pPr>
              <w:spacing w:after="0"/>
              <w:rPr>
                <w:sz w:val="1"/>
                <w:szCs w:val="1"/>
                <w:color w:val="auto"/>
              </w:rPr>
            </w:pPr>
          </w:p>
        </w:tc>
      </w:tr>
      <w:tr>
        <w:trPr>
          <w:trHeight w:val="133"/>
        </w:trPr>
        <w:tc>
          <w:tcPr>
            <w:tcW w:w="14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Cross currency swaps</w:t>
            </w:r>
          </w:p>
        </w:tc>
        <w:tc>
          <w:tcPr>
            <w:tcW w:w="780" w:type="dxa"/>
            <w:vAlign w:val="bottom"/>
            <w:gridSpan w:val="3"/>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751</w:t>
            </w:r>
          </w:p>
        </w:tc>
        <w:tc>
          <w:tcPr>
            <w:tcW w:w="84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20,029</w:t>
            </w:r>
          </w:p>
        </w:tc>
        <w:tc>
          <w:tcPr>
            <w:tcW w:w="7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87,300</w:t>
            </w:r>
          </w:p>
        </w:tc>
        <w:tc>
          <w:tcPr>
            <w:tcW w:w="820" w:type="dxa"/>
            <w:vAlign w:val="bottom"/>
            <w:gridSpan w:val="3"/>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212,990</w:t>
            </w:r>
          </w:p>
        </w:tc>
        <w:tc>
          <w:tcPr>
            <w:tcW w:w="72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107,858</w:t>
            </w:r>
          </w:p>
        </w:tc>
        <w:tc>
          <w:tcPr>
            <w:tcW w:w="740" w:type="dxa"/>
            <w:vAlign w:val="bottom"/>
            <w:gridSpan w:val="3"/>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428,928</w:t>
            </w:r>
          </w:p>
        </w:tc>
        <w:tc>
          <w:tcPr>
            <w:tcW w:w="1140" w:type="dxa"/>
            <w:vAlign w:val="bottom"/>
            <w:gridSpan w:val="3"/>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220,815</w:t>
            </w:r>
          </w:p>
        </w:tc>
        <w:tc>
          <w:tcPr>
            <w:tcW w:w="7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24,947</w:t>
            </w:r>
          </w:p>
        </w:tc>
        <w:tc>
          <w:tcPr>
            <w:tcW w:w="920" w:type="dxa"/>
            <w:vAlign w:val="bottom"/>
            <w:gridSpan w:val="3"/>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56,615</w:t>
            </w:r>
          </w:p>
        </w:tc>
        <w:tc>
          <w:tcPr>
            <w:tcW w:w="7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306,370</w:t>
            </w:r>
          </w:p>
        </w:tc>
        <w:tc>
          <w:tcPr>
            <w:tcW w:w="820" w:type="dxa"/>
            <w:vAlign w:val="bottom"/>
            <w:gridSpan w:val="3"/>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230,340</w:t>
            </w:r>
          </w:p>
        </w:tc>
        <w:tc>
          <w:tcPr>
            <w:tcW w:w="6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839,087</w:t>
            </w:r>
          </w:p>
        </w:tc>
        <w:tc>
          <w:tcPr>
            <w:tcW w:w="0" w:type="dxa"/>
            <w:vAlign w:val="bottom"/>
          </w:tcPr>
          <w:p>
            <w:pPr>
              <w:spacing w:after="0"/>
              <w:rPr>
                <w:sz w:val="1"/>
                <w:szCs w:val="1"/>
                <w:color w:val="auto"/>
              </w:rPr>
            </w:pPr>
          </w:p>
        </w:tc>
      </w:tr>
      <w:tr>
        <w:trPr>
          <w:trHeight w:val="145"/>
        </w:trPr>
        <w:tc>
          <w:tcPr>
            <w:tcW w:w="1400" w:type="dxa"/>
            <w:vAlign w:val="bottom"/>
          </w:tcPr>
          <w:p>
            <w:pPr>
              <w:spacing w:after="0" w:line="145" w:lineRule="exact"/>
              <w:rPr>
                <w:sz w:val="20"/>
                <w:szCs w:val="20"/>
                <w:color w:val="auto"/>
              </w:rPr>
            </w:pPr>
            <w:r>
              <w:rPr>
                <w:rFonts w:ascii="Arial" w:cs="Arial" w:eastAsia="Arial" w:hAnsi="Arial"/>
                <w:sz w:val="13"/>
                <w:szCs w:val="13"/>
                <w:color w:val="auto"/>
                <w:w w:val="92"/>
              </w:rPr>
              <w:t>Foreign exchange options</w:t>
            </w:r>
          </w:p>
        </w:tc>
        <w:tc>
          <w:tcPr>
            <w:tcW w:w="78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9,827</w:t>
            </w: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11,663</w:t>
            </w:r>
          </w:p>
        </w:tc>
        <w:tc>
          <w:tcPr>
            <w:tcW w:w="7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21,490</w:t>
            </w:r>
          </w:p>
        </w:tc>
        <w:tc>
          <w:tcPr>
            <w:tcW w:w="114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6,448</w:t>
            </w: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3,624</w:t>
            </w:r>
          </w:p>
        </w:tc>
        <w:tc>
          <w:tcPr>
            <w:tcW w:w="92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10,072</w:t>
            </w:r>
          </w:p>
        </w:tc>
        <w:tc>
          <w:tcPr>
            <w:tcW w:w="0" w:type="dxa"/>
            <w:vAlign w:val="bottom"/>
          </w:tcPr>
          <w:p>
            <w:pPr>
              <w:spacing w:after="0"/>
              <w:rPr>
                <w:sz w:val="1"/>
                <w:szCs w:val="1"/>
                <w:color w:val="auto"/>
              </w:rPr>
            </w:pPr>
          </w:p>
        </w:tc>
      </w:tr>
      <w:tr>
        <w:trPr>
          <w:trHeight w:val="137"/>
        </w:trPr>
        <w:tc>
          <w:tcPr>
            <w:tcW w:w="140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Total assets</w:t>
            </w:r>
          </w:p>
        </w:tc>
        <w:tc>
          <w:tcPr>
            <w:tcW w:w="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75,509</w:t>
            </w:r>
          </w:p>
        </w:tc>
        <w:tc>
          <w:tcPr>
            <w:tcW w:w="200" w:type="dxa"/>
            <w:vAlign w:val="bottom"/>
            <w:tcBorders>
              <w:top w:val="single" w:sz="8" w:color="CCEEFF"/>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53,909</w:t>
            </w:r>
          </w:p>
        </w:tc>
        <w:tc>
          <w:tcPr>
            <w:tcW w:w="200" w:type="dxa"/>
            <w:vAlign w:val="bottom"/>
            <w:tcBorders>
              <w:top w:val="single" w:sz="8" w:color="CCEEFF"/>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107,890</w:t>
            </w: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223,358</w:t>
            </w: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151,346</w:t>
            </w:r>
          </w:p>
        </w:tc>
        <w:tc>
          <w:tcPr>
            <w:tcW w:w="8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612,012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282,252</w:t>
            </w:r>
          </w:p>
        </w:tc>
        <w:tc>
          <w:tcPr>
            <w:tcW w:w="200" w:type="dxa"/>
            <w:vAlign w:val="bottom"/>
            <w:tcBorders>
              <w:top w:val="single" w:sz="8" w:color="CCEEFF"/>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66,501</w:t>
            </w:r>
          </w:p>
        </w:tc>
        <w:tc>
          <w:tcPr>
            <w:tcW w:w="8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72,854</w:t>
            </w:r>
          </w:p>
        </w:tc>
        <w:tc>
          <w:tcPr>
            <w:tcW w:w="180" w:type="dxa"/>
            <w:vAlign w:val="bottom"/>
            <w:tcBorders>
              <w:top w:val="single" w:sz="8" w:color="CCEEFF"/>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310,692</w:t>
            </w: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80" w:type="dxa"/>
            <w:vAlign w:val="bottom"/>
            <w:tcBorders>
              <w:top w:val="single" w:sz="8" w:color="CCEEFF"/>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265,416</w:t>
            </w:r>
          </w:p>
        </w:tc>
        <w:tc>
          <w:tcPr>
            <w:tcW w:w="200" w:type="dxa"/>
            <w:vAlign w:val="bottom"/>
            <w:tcBorders>
              <w:top w:val="single" w:sz="8" w:color="CCEEFF"/>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997,715</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1400" w:type="dxa"/>
            <w:vAlign w:val="bottom"/>
          </w:tcPr>
          <w:p>
            <w:pPr>
              <w:spacing w:after="0"/>
              <w:rPr>
                <w:sz w:val="24"/>
                <w:szCs w:val="24"/>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b w:val="1"/>
                <w:bCs w:val="1"/>
                <w:color w:val="auto"/>
              </w:rPr>
              <w:t>At December 31, 2016</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5"/>
          </w:tcPr>
          <w:p>
            <w:pPr>
              <w:ind w:left="100"/>
              <w:spacing w:after="0"/>
              <w:rPr>
                <w:sz w:val="20"/>
                <w:szCs w:val="20"/>
                <w:color w:val="auto"/>
              </w:rPr>
            </w:pPr>
            <w:r>
              <w:rPr>
                <w:rFonts w:ascii="Arial" w:cs="Arial" w:eastAsia="Arial" w:hAnsi="Arial"/>
                <w:sz w:val="13"/>
                <w:szCs w:val="13"/>
                <w:b w:val="1"/>
                <w:bCs w:val="1"/>
                <w:color w:val="auto"/>
              </w:rPr>
              <w:t>At December 31, 2015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400" w:type="dxa"/>
            <w:vAlign w:val="bottom"/>
          </w:tcPr>
          <w:p>
            <w:pPr>
              <w:spacing w:after="0"/>
              <w:rPr>
                <w:sz w:val="9"/>
                <w:szCs w:val="9"/>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Up to 3</w:t>
            </w:r>
          </w:p>
        </w:tc>
        <w:tc>
          <w:tcPr>
            <w:tcW w:w="84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From 3</w:t>
            </w: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9"/>
              </w:rPr>
              <w:t>From 1 to 3</w:t>
            </w:r>
          </w:p>
        </w:tc>
        <w:tc>
          <w:tcPr>
            <w:tcW w:w="8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w w:val="99"/>
              </w:rPr>
              <w:t>From 3 to 5</w:t>
            </w:r>
          </w:p>
        </w:tc>
        <w:tc>
          <w:tcPr>
            <w:tcW w:w="7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Over 5</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From 3</w:t>
            </w:r>
          </w:p>
        </w:tc>
        <w:tc>
          <w:tcPr>
            <w:tcW w:w="9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From 1 to 3</w:t>
            </w:r>
          </w:p>
        </w:tc>
        <w:tc>
          <w:tcPr>
            <w:tcW w:w="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From 3 to 5</w:t>
            </w:r>
          </w:p>
        </w:tc>
        <w:tc>
          <w:tcPr>
            <w:tcW w:w="8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Over 5</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40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months to 1</w:t>
            </w:r>
          </w:p>
        </w:tc>
        <w:tc>
          <w:tcPr>
            <w:tcW w:w="72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74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Total</w:t>
            </w:r>
          </w:p>
        </w:tc>
        <w:tc>
          <w:tcPr>
            <w:tcW w:w="114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Up to 3 months</w:t>
            </w:r>
          </w:p>
        </w:tc>
        <w:tc>
          <w:tcPr>
            <w:tcW w:w="7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w w:val="94"/>
              </w:rPr>
              <w:t>months to 1</w:t>
            </w:r>
          </w:p>
        </w:tc>
        <w:tc>
          <w:tcPr>
            <w:tcW w:w="92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140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months</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year</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years</w:t>
            </w:r>
          </w:p>
        </w:tc>
        <w:tc>
          <w:tcPr>
            <w:tcW w:w="820" w:type="dxa"/>
            <w:vAlign w:val="bottom"/>
            <w:gridSpan w:val="3"/>
          </w:tcPr>
          <w:p>
            <w:pPr>
              <w:ind w:left="100"/>
              <w:spacing w:after="0"/>
              <w:rPr>
                <w:sz w:val="20"/>
                <w:szCs w:val="20"/>
                <w:color w:val="auto"/>
              </w:rPr>
            </w:pPr>
            <w:r>
              <w:rPr>
                <w:rFonts w:ascii="Arial" w:cs="Arial" w:eastAsia="Arial" w:hAnsi="Arial"/>
                <w:sz w:val="13"/>
                <w:szCs w:val="13"/>
                <w:b w:val="1"/>
                <w:bCs w:val="1"/>
                <w:color w:val="auto"/>
              </w:rPr>
              <w:t>years</w:t>
            </w:r>
          </w:p>
        </w:tc>
        <w:tc>
          <w:tcPr>
            <w:tcW w:w="720" w:type="dxa"/>
            <w:vAlign w:val="bottom"/>
            <w:gridSpan w:val="3"/>
          </w:tcPr>
          <w:p>
            <w:pPr>
              <w:ind w:left="100"/>
              <w:spacing w:after="0"/>
              <w:rPr>
                <w:sz w:val="20"/>
                <w:szCs w:val="20"/>
                <w:color w:val="auto"/>
              </w:rPr>
            </w:pPr>
            <w:r>
              <w:rPr>
                <w:rFonts w:ascii="Arial" w:cs="Arial" w:eastAsia="Arial" w:hAnsi="Arial"/>
                <w:sz w:val="13"/>
                <w:szCs w:val="13"/>
                <w:b w:val="1"/>
                <w:bCs w:val="1"/>
                <w:color w:val="auto"/>
              </w:rPr>
              <w:t>years</w:t>
            </w:r>
          </w:p>
        </w:tc>
        <w:tc>
          <w:tcPr>
            <w:tcW w:w="740" w:type="dxa"/>
            <w:vAlign w:val="bottom"/>
            <w:gridSpan w:val="3"/>
            <w:vMerge w:val="continue"/>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year</w:t>
            </w:r>
          </w:p>
        </w:tc>
        <w:tc>
          <w:tcPr>
            <w:tcW w:w="920" w:type="dxa"/>
            <w:vAlign w:val="bottom"/>
            <w:gridSpan w:val="3"/>
          </w:tcPr>
          <w:p>
            <w:pPr>
              <w:ind w:left="100"/>
              <w:spacing w:after="0"/>
              <w:rPr>
                <w:sz w:val="20"/>
                <w:szCs w:val="20"/>
                <w:color w:val="auto"/>
              </w:rPr>
            </w:pPr>
            <w:r>
              <w:rPr>
                <w:rFonts w:ascii="Arial" w:cs="Arial" w:eastAsia="Arial" w:hAnsi="Arial"/>
                <w:sz w:val="13"/>
                <w:szCs w:val="13"/>
                <w:b w:val="1"/>
                <w:bCs w:val="1"/>
                <w:color w:val="auto"/>
              </w:rPr>
              <w:t>years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years</w:t>
            </w:r>
          </w:p>
        </w:tc>
        <w:tc>
          <w:tcPr>
            <w:tcW w:w="820" w:type="dxa"/>
            <w:vAlign w:val="bottom"/>
            <w:gridSpan w:val="3"/>
          </w:tcPr>
          <w:p>
            <w:pPr>
              <w:ind w:left="80"/>
              <w:spacing w:after="0"/>
              <w:rPr>
                <w:sz w:val="20"/>
                <w:szCs w:val="20"/>
                <w:color w:val="auto"/>
              </w:rPr>
            </w:pPr>
            <w:r>
              <w:rPr>
                <w:rFonts w:ascii="Arial" w:cs="Arial" w:eastAsia="Arial" w:hAnsi="Arial"/>
                <w:sz w:val="13"/>
                <w:szCs w:val="13"/>
                <w:b w:val="1"/>
                <w:bCs w:val="1"/>
                <w:color w:val="auto"/>
              </w:rPr>
              <w:t>years</w:t>
            </w: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4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Forward foreign</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exchange contracts</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46,721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8,661</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55,437</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121,930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55,135</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991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178,056</w:t>
            </w:r>
          </w:p>
        </w:tc>
        <w:tc>
          <w:tcPr>
            <w:tcW w:w="0" w:type="dxa"/>
            <w:vAlign w:val="bottom"/>
          </w:tcPr>
          <w:p>
            <w:pPr>
              <w:spacing w:after="0"/>
              <w:rPr>
                <w:sz w:val="1"/>
                <w:szCs w:val="1"/>
                <w:color w:val="auto"/>
              </w:rPr>
            </w:pPr>
          </w:p>
        </w:tc>
      </w:tr>
      <w:tr>
        <w:trPr>
          <w:trHeight w:val="133"/>
        </w:trPr>
        <w:tc>
          <w:tcPr>
            <w:tcW w:w="1400" w:type="dxa"/>
            <w:vAlign w:val="bottom"/>
          </w:tcPr>
          <w:p>
            <w:pPr>
              <w:spacing w:after="0" w:line="133" w:lineRule="exact"/>
              <w:rPr>
                <w:sz w:val="20"/>
                <w:szCs w:val="20"/>
                <w:color w:val="auto"/>
              </w:rPr>
            </w:pPr>
            <w:r>
              <w:rPr>
                <w:rFonts w:ascii="Arial" w:cs="Arial" w:eastAsia="Arial" w:hAnsi="Arial"/>
                <w:sz w:val="13"/>
                <w:szCs w:val="13"/>
                <w:color w:val="auto"/>
              </w:rPr>
              <w:t>Interest rate swaps</w:t>
            </w:r>
          </w:p>
        </w:tc>
        <w:tc>
          <w:tcPr>
            <w:tcW w:w="780" w:type="dxa"/>
            <w:vAlign w:val="bottom"/>
            <w:gridSpan w:val="3"/>
          </w:tcPr>
          <w:p>
            <w:pPr>
              <w:jc w:val="right"/>
              <w:ind w:right="200"/>
              <w:spacing w:after="0" w:line="133" w:lineRule="exact"/>
              <w:rPr>
                <w:sz w:val="20"/>
                <w:szCs w:val="20"/>
                <w:color w:val="auto"/>
              </w:rPr>
            </w:pPr>
            <w:r>
              <w:rPr>
                <w:rFonts w:ascii="Arial" w:cs="Arial" w:eastAsia="Arial" w:hAnsi="Arial"/>
                <w:sz w:val="13"/>
                <w:szCs w:val="13"/>
                <w:color w:val="auto"/>
              </w:rPr>
              <w:t>4,226</w:t>
            </w:r>
          </w:p>
        </w:tc>
        <w:tc>
          <w:tcPr>
            <w:tcW w:w="84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8,236</w:t>
            </w:r>
          </w:p>
        </w:tc>
        <w:tc>
          <w:tcPr>
            <w:tcW w:w="72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17,749</w:t>
            </w:r>
          </w:p>
        </w:tc>
        <w:tc>
          <w:tcPr>
            <w:tcW w:w="820" w:type="dxa"/>
            <w:vAlign w:val="bottom"/>
            <w:gridSpan w:val="3"/>
          </w:tcPr>
          <w:p>
            <w:pPr>
              <w:jc w:val="right"/>
              <w:ind w:right="100"/>
              <w:spacing w:after="0" w:line="133" w:lineRule="exact"/>
              <w:rPr>
                <w:sz w:val="20"/>
                <w:szCs w:val="20"/>
                <w:color w:val="auto"/>
              </w:rPr>
            </w:pPr>
            <w:r>
              <w:rPr>
                <w:rFonts w:ascii="Arial" w:cs="Arial" w:eastAsia="Arial" w:hAnsi="Arial"/>
                <w:sz w:val="13"/>
                <w:szCs w:val="13"/>
                <w:color w:val="auto"/>
              </w:rPr>
              <w:t>4,300</w:t>
            </w:r>
          </w:p>
        </w:tc>
        <w:tc>
          <w:tcPr>
            <w:tcW w:w="720" w:type="dxa"/>
            <w:vAlign w:val="bottom"/>
            <w:gridSpan w:val="3"/>
          </w:tcPr>
          <w:p>
            <w:pPr>
              <w:jc w:val="right"/>
              <w:ind w:right="80"/>
              <w:spacing w:after="0" w:line="133" w:lineRule="exact"/>
              <w:rPr>
                <w:sz w:val="20"/>
                <w:szCs w:val="20"/>
                <w:color w:val="auto"/>
              </w:rPr>
            </w:pPr>
            <w:r>
              <w:rPr>
                <w:rFonts w:ascii="Arial" w:cs="Arial" w:eastAsia="Arial" w:hAnsi="Arial"/>
                <w:sz w:val="13"/>
                <w:szCs w:val="13"/>
                <w:color w:val="auto"/>
              </w:rPr>
              <w:t>21,416</w:t>
            </w:r>
          </w:p>
        </w:tc>
        <w:tc>
          <w:tcPr>
            <w:tcW w:w="740" w:type="dxa"/>
            <w:vAlign w:val="bottom"/>
            <w:gridSpan w:val="3"/>
          </w:tcPr>
          <w:p>
            <w:pPr>
              <w:jc w:val="right"/>
              <w:ind w:right="100"/>
              <w:spacing w:after="0" w:line="133" w:lineRule="exact"/>
              <w:rPr>
                <w:sz w:val="20"/>
                <w:szCs w:val="20"/>
                <w:color w:val="auto"/>
              </w:rPr>
            </w:pPr>
            <w:r>
              <w:rPr>
                <w:rFonts w:ascii="Arial" w:cs="Arial" w:eastAsia="Arial" w:hAnsi="Arial"/>
                <w:sz w:val="13"/>
                <w:szCs w:val="13"/>
                <w:color w:val="auto"/>
              </w:rPr>
              <w:t>55,927</w:t>
            </w:r>
          </w:p>
        </w:tc>
        <w:tc>
          <w:tcPr>
            <w:tcW w:w="9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435</w:t>
            </w:r>
          </w:p>
        </w:tc>
        <w:tc>
          <w:tcPr>
            <w:tcW w:w="200" w:type="dxa"/>
            <w:vAlign w:val="bottom"/>
          </w:tcPr>
          <w:p>
            <w:pPr>
              <w:spacing w:after="0"/>
              <w:rPr>
                <w:sz w:val="11"/>
                <w:szCs w:val="11"/>
                <w:color w:val="auto"/>
              </w:rPr>
            </w:pPr>
          </w:p>
        </w:tc>
        <w:tc>
          <w:tcPr>
            <w:tcW w:w="72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3,379</w:t>
            </w:r>
          </w:p>
        </w:tc>
        <w:tc>
          <w:tcPr>
            <w:tcW w:w="920" w:type="dxa"/>
            <w:vAlign w:val="bottom"/>
            <w:gridSpan w:val="3"/>
          </w:tcPr>
          <w:p>
            <w:pPr>
              <w:jc w:val="right"/>
              <w:ind w:right="180"/>
              <w:spacing w:after="0" w:line="133" w:lineRule="exact"/>
              <w:rPr>
                <w:sz w:val="20"/>
                <w:szCs w:val="20"/>
                <w:color w:val="auto"/>
              </w:rPr>
            </w:pPr>
            <w:r>
              <w:rPr>
                <w:rFonts w:ascii="Arial" w:cs="Arial" w:eastAsia="Arial" w:hAnsi="Arial"/>
                <w:sz w:val="13"/>
                <w:szCs w:val="13"/>
                <w:color w:val="auto"/>
              </w:rPr>
              <w:t>10,677</w:t>
            </w:r>
          </w:p>
        </w:tc>
        <w:tc>
          <w:tcPr>
            <w:tcW w:w="74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7,550</w:t>
            </w:r>
          </w:p>
        </w:tc>
        <w:tc>
          <w:tcPr>
            <w:tcW w:w="820" w:type="dxa"/>
            <w:vAlign w:val="bottom"/>
            <w:gridSpan w:val="3"/>
          </w:tcPr>
          <w:p>
            <w:pPr>
              <w:jc w:val="right"/>
              <w:ind w:right="200"/>
              <w:spacing w:after="0" w:line="133" w:lineRule="exact"/>
              <w:rPr>
                <w:sz w:val="20"/>
                <w:szCs w:val="20"/>
                <w:color w:val="auto"/>
              </w:rPr>
            </w:pPr>
            <w:r>
              <w:rPr>
                <w:rFonts w:ascii="Arial" w:cs="Arial" w:eastAsia="Arial" w:hAnsi="Arial"/>
                <w:sz w:val="13"/>
                <w:szCs w:val="13"/>
                <w:color w:val="auto"/>
              </w:rPr>
              <w:t>36,546</w:t>
            </w:r>
          </w:p>
        </w:tc>
        <w:tc>
          <w:tcPr>
            <w:tcW w:w="62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58,587</w:t>
            </w:r>
          </w:p>
        </w:tc>
        <w:tc>
          <w:tcPr>
            <w:tcW w:w="0" w:type="dxa"/>
            <w:vAlign w:val="bottom"/>
          </w:tcPr>
          <w:p>
            <w:pPr>
              <w:spacing w:after="0"/>
              <w:rPr>
                <w:sz w:val="1"/>
                <w:szCs w:val="1"/>
                <w:color w:val="auto"/>
              </w:rPr>
            </w:pPr>
          </w:p>
        </w:tc>
      </w:tr>
      <w:tr>
        <w:trPr>
          <w:trHeight w:val="133"/>
        </w:trPr>
        <w:tc>
          <w:tcPr>
            <w:tcW w:w="14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Cross currency swaps</w:t>
            </w:r>
          </w:p>
        </w:tc>
        <w:tc>
          <w:tcPr>
            <w:tcW w:w="780" w:type="dxa"/>
            <w:vAlign w:val="bottom"/>
            <w:gridSpan w:val="3"/>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64,023</w:t>
            </w:r>
          </w:p>
        </w:tc>
        <w:tc>
          <w:tcPr>
            <w:tcW w:w="84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37,626</w:t>
            </w:r>
          </w:p>
        </w:tc>
        <w:tc>
          <w:tcPr>
            <w:tcW w:w="7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133,530</w:t>
            </w:r>
          </w:p>
        </w:tc>
        <w:tc>
          <w:tcPr>
            <w:tcW w:w="820" w:type="dxa"/>
            <w:vAlign w:val="bottom"/>
            <w:gridSpan w:val="3"/>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178,979</w:t>
            </w:r>
          </w:p>
        </w:tc>
        <w:tc>
          <w:tcPr>
            <w:tcW w:w="72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76,317</w:t>
            </w:r>
          </w:p>
        </w:tc>
        <w:tc>
          <w:tcPr>
            <w:tcW w:w="740" w:type="dxa"/>
            <w:vAlign w:val="bottom"/>
            <w:gridSpan w:val="3"/>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490,475</w:t>
            </w:r>
          </w:p>
        </w:tc>
        <w:tc>
          <w:tcPr>
            <w:tcW w:w="1140" w:type="dxa"/>
            <w:vAlign w:val="bottom"/>
            <w:gridSpan w:val="3"/>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17,092</w:t>
            </w:r>
          </w:p>
        </w:tc>
        <w:tc>
          <w:tcPr>
            <w:tcW w:w="7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22,097</w:t>
            </w:r>
          </w:p>
        </w:tc>
        <w:tc>
          <w:tcPr>
            <w:tcW w:w="920" w:type="dxa"/>
            <w:vAlign w:val="bottom"/>
            <w:gridSpan w:val="3"/>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191,597</w:t>
            </w:r>
          </w:p>
        </w:tc>
        <w:tc>
          <w:tcPr>
            <w:tcW w:w="7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287,496</w:t>
            </w:r>
          </w:p>
        </w:tc>
        <w:tc>
          <w:tcPr>
            <w:tcW w:w="820" w:type="dxa"/>
            <w:vAlign w:val="bottom"/>
            <w:gridSpan w:val="3"/>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107,405</w:t>
            </w:r>
          </w:p>
        </w:tc>
        <w:tc>
          <w:tcPr>
            <w:tcW w:w="6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625,687</w:t>
            </w:r>
          </w:p>
        </w:tc>
        <w:tc>
          <w:tcPr>
            <w:tcW w:w="0" w:type="dxa"/>
            <w:vAlign w:val="bottom"/>
          </w:tcPr>
          <w:p>
            <w:pPr>
              <w:spacing w:after="0"/>
              <w:rPr>
                <w:sz w:val="1"/>
                <w:szCs w:val="1"/>
                <w:color w:val="auto"/>
              </w:rPr>
            </w:pPr>
          </w:p>
        </w:tc>
      </w:tr>
      <w:tr>
        <w:trPr>
          <w:trHeight w:val="145"/>
        </w:trPr>
        <w:tc>
          <w:tcPr>
            <w:tcW w:w="1400" w:type="dxa"/>
            <w:vAlign w:val="bottom"/>
          </w:tcPr>
          <w:p>
            <w:pPr>
              <w:spacing w:after="0" w:line="145" w:lineRule="exact"/>
              <w:rPr>
                <w:sz w:val="20"/>
                <w:szCs w:val="20"/>
                <w:color w:val="auto"/>
              </w:rPr>
            </w:pPr>
            <w:r>
              <w:rPr>
                <w:rFonts w:ascii="Arial" w:cs="Arial" w:eastAsia="Arial" w:hAnsi="Arial"/>
                <w:sz w:val="13"/>
                <w:szCs w:val="13"/>
                <w:color w:val="auto"/>
                <w:w w:val="92"/>
              </w:rPr>
              <w:t>Foreign exchange options</w:t>
            </w:r>
          </w:p>
        </w:tc>
        <w:tc>
          <w:tcPr>
            <w:tcW w:w="78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4,564</w:t>
            </w: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12,638</w:t>
            </w:r>
          </w:p>
        </w:tc>
        <w:tc>
          <w:tcPr>
            <w:tcW w:w="7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17,202</w:t>
            </w:r>
          </w:p>
        </w:tc>
        <w:tc>
          <w:tcPr>
            <w:tcW w:w="114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12,531</w:t>
            </w:r>
          </w:p>
        </w:tc>
        <w:tc>
          <w:tcPr>
            <w:tcW w:w="640" w:type="dxa"/>
            <w:vAlign w:val="bottom"/>
          </w:tcPr>
          <w:p>
            <w:pPr>
              <w:jc w:val="right"/>
              <w:spacing w:after="0" w:line="145" w:lineRule="exact"/>
              <w:rPr>
                <w:sz w:val="20"/>
                <w:szCs w:val="20"/>
                <w:color w:val="auto"/>
              </w:rPr>
            </w:pPr>
            <w:r>
              <w:rPr>
                <w:rFonts w:ascii="Arial" w:cs="Arial" w:eastAsia="Arial" w:hAnsi="Arial"/>
                <w:sz w:val="13"/>
                <w:szCs w:val="13"/>
                <w:color w:val="auto"/>
              </w:rPr>
              <w:t>11,840</w:t>
            </w:r>
          </w:p>
        </w:tc>
        <w:tc>
          <w:tcPr>
            <w:tcW w:w="80" w:type="dxa"/>
            <w:vAlign w:val="bottom"/>
          </w:tcPr>
          <w:p>
            <w:pPr>
              <w:spacing w:after="0"/>
              <w:rPr>
                <w:sz w:val="12"/>
                <w:szCs w:val="12"/>
                <w:color w:val="auto"/>
              </w:rPr>
            </w:pPr>
          </w:p>
        </w:tc>
        <w:tc>
          <w:tcPr>
            <w:tcW w:w="92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24,371</w:t>
            </w:r>
          </w:p>
        </w:tc>
        <w:tc>
          <w:tcPr>
            <w:tcW w:w="0" w:type="dxa"/>
            <w:vAlign w:val="bottom"/>
          </w:tcPr>
          <w:p>
            <w:pPr>
              <w:spacing w:after="0"/>
              <w:rPr>
                <w:sz w:val="1"/>
                <w:szCs w:val="1"/>
                <w:color w:val="auto"/>
              </w:rPr>
            </w:pPr>
          </w:p>
        </w:tc>
      </w:tr>
      <w:tr>
        <w:trPr>
          <w:trHeight w:val="125"/>
        </w:trPr>
        <w:tc>
          <w:tcPr>
            <w:tcW w:w="140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3"/>
                <w:szCs w:val="13"/>
                <w:b w:val="1"/>
                <w:bCs w:val="1"/>
                <w:color w:val="auto"/>
              </w:rPr>
              <w:t>Total liabilities</w:t>
            </w:r>
          </w:p>
        </w:tc>
        <w:tc>
          <w:tcPr>
            <w:tcW w:w="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119,534</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67,161</w:t>
            </w: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151,322</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183,291</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97,733</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619,041</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151,988</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92,451</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203,265</w:t>
            </w: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295,046</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143,951</w:t>
            </w:r>
          </w:p>
        </w:tc>
        <w:tc>
          <w:tcPr>
            <w:tcW w:w="2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886,701</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ind w:right="-122"/>
        <w:spacing w:after="0"/>
        <w:rPr>
          <w:sz w:val="20"/>
          <w:szCs w:val="20"/>
          <w:color w:val="auto"/>
        </w:rPr>
      </w:pPr>
      <w:r>
        <w:rPr>
          <w:rFonts w:ascii="Arial" w:cs="Arial" w:eastAsia="Arial" w:hAnsi="Arial"/>
          <w:sz w:val="16"/>
          <w:szCs w:val="16"/>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23"/>
          </w:cols>
          <w:pgMar w:left="237" w:top="828" w:right="339" w:bottom="1440" w:gutter="0" w:footer="0" w:header="0"/>
        </w:sectPr>
      </w:pPr>
    </w:p>
    <w:bookmarkStart w:id="77" w:name="page78"/>
    <w:bookmarkEnd w:id="77"/>
    <w:p>
      <w:pPr>
        <w:ind w:left="283" w:right="160" w:hanging="283"/>
        <w:spacing w:after="0" w:line="280" w:lineRule="auto"/>
        <w:tabs>
          <w:tab w:leader="none" w:pos="283"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Group is exposed to variability in future cash flows on assets and liabilities in foreign currency and/or which bear interest at variable rates. The Group uses derivative financial instruments as cash flow hedges to cover these risks.</w:t>
      </w:r>
    </w:p>
    <w:p>
      <w:pPr>
        <w:spacing w:after="0" w:line="150" w:lineRule="exact"/>
        <w:rPr>
          <w:rFonts w:ascii="Arial" w:cs="Arial" w:eastAsia="Arial" w:hAnsi="Arial"/>
          <w:sz w:val="16"/>
          <w:szCs w:val="16"/>
          <w:color w:val="auto"/>
        </w:rPr>
      </w:pPr>
    </w:p>
    <w:p>
      <w:pPr>
        <w:ind w:left="283" w:right="240"/>
        <w:spacing w:after="0" w:line="280" w:lineRule="auto"/>
        <w:rPr>
          <w:rFonts w:ascii="Arial" w:cs="Arial" w:eastAsia="Arial" w:hAnsi="Arial"/>
          <w:sz w:val="16"/>
          <w:szCs w:val="16"/>
          <w:color w:val="auto"/>
        </w:rPr>
      </w:pPr>
      <w:r>
        <w:rPr>
          <w:rFonts w:ascii="Arial" w:cs="Arial" w:eastAsia="Arial" w:hAnsi="Arial"/>
          <w:sz w:val="16"/>
          <w:szCs w:val="16"/>
          <w:color w:val="auto"/>
        </w:rPr>
        <w:t>A schedule indicating the periods when the current cash flow hedges are expected to occur and affect the consolidated statement of income, net of deferred income tax is presented below:</w:t>
      </w:r>
    </w:p>
    <w:p>
      <w:pPr>
        <w:sectPr>
          <w:pgSz w:w="11900" w:h="16838" w:orient="portrait"/>
          <w:cols w:equalWidth="0" w:num="1">
            <w:col w:w="11423"/>
          </w:cols>
          <w:pgMar w:left="237" w:top="82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83"/>
        <w:spacing w:after="0"/>
        <w:rPr>
          <w:sz w:val="20"/>
          <w:szCs w:val="20"/>
          <w:color w:val="auto"/>
        </w:rPr>
      </w:pPr>
      <w:r>
        <w:rPr>
          <w:rFonts w:ascii="Arial" w:cs="Arial" w:eastAsia="Arial" w:hAnsi="Arial"/>
          <w:sz w:val="16"/>
          <w:szCs w:val="16"/>
          <w:color w:val="auto"/>
        </w:rPr>
        <w:t>Cash inflows (assets)</w:t>
      </w:r>
    </w:p>
    <w:p>
      <w:pPr>
        <w:spacing w:after="0" w:line="22" w:lineRule="exact"/>
        <w:rPr>
          <w:sz w:val="20"/>
          <w:szCs w:val="20"/>
          <w:color w:val="auto"/>
        </w:rPr>
      </w:pPr>
    </w:p>
    <w:p>
      <w:pPr>
        <w:ind w:left="283"/>
        <w:spacing w:after="0"/>
        <w:rPr>
          <w:sz w:val="20"/>
          <w:szCs w:val="20"/>
          <w:color w:val="auto"/>
        </w:rPr>
      </w:pPr>
      <w:r>
        <w:rPr>
          <w:rFonts w:ascii="Arial" w:cs="Arial" w:eastAsia="Arial" w:hAnsi="Arial"/>
          <w:sz w:val="16"/>
          <w:szCs w:val="16"/>
          <w:color w:val="auto"/>
        </w:rPr>
        <w:t>Cash outflows (liabilities)</w:t>
      </w:r>
    </w:p>
    <w:p>
      <w:pPr>
        <w:spacing w:after="0" w:line="21" w:lineRule="exact"/>
        <w:rPr>
          <w:sz w:val="20"/>
          <w:szCs w:val="20"/>
          <w:color w:val="auto"/>
        </w:rPr>
      </w:pPr>
    </w:p>
    <w:p>
      <w:pPr>
        <w:ind w:left="283"/>
        <w:spacing w:after="0"/>
        <w:rPr>
          <w:sz w:val="20"/>
          <w:szCs w:val="20"/>
          <w:color w:val="auto"/>
        </w:rPr>
      </w:pPr>
      <w:r>
        <w:rPr>
          <w:rFonts w:ascii="Arial" w:cs="Arial" w:eastAsia="Arial" w:hAnsi="Arial"/>
          <w:sz w:val="14"/>
          <w:szCs w:val="14"/>
          <w:color w:val="auto"/>
        </w:rPr>
        <w:t>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3"/>
        <w:spacing w:after="0"/>
        <w:rPr>
          <w:sz w:val="20"/>
          <w:szCs w:val="20"/>
          <w:color w:val="auto"/>
        </w:rPr>
      </w:pPr>
      <w:r>
        <w:rPr>
          <w:rFonts w:ascii="Arial" w:cs="Arial" w:eastAsia="Arial" w:hAnsi="Arial"/>
          <w:sz w:val="16"/>
          <w:szCs w:val="16"/>
          <w:color w:val="auto"/>
        </w:rPr>
        <w:t>Cash inflows (assets)</w:t>
      </w:r>
    </w:p>
    <w:p>
      <w:pPr>
        <w:spacing w:after="0" w:line="22" w:lineRule="exact"/>
        <w:rPr>
          <w:sz w:val="20"/>
          <w:szCs w:val="20"/>
          <w:color w:val="auto"/>
        </w:rPr>
      </w:pPr>
    </w:p>
    <w:p>
      <w:pPr>
        <w:ind w:left="283"/>
        <w:spacing w:after="0"/>
        <w:rPr>
          <w:sz w:val="20"/>
          <w:szCs w:val="20"/>
          <w:color w:val="auto"/>
        </w:rPr>
      </w:pPr>
      <w:r>
        <w:rPr>
          <w:rFonts w:ascii="Arial" w:cs="Arial" w:eastAsia="Arial" w:hAnsi="Arial"/>
          <w:sz w:val="16"/>
          <w:szCs w:val="16"/>
          <w:color w:val="auto"/>
        </w:rPr>
        <w:t>Cash outflows (liabilities)</w:t>
      </w:r>
    </w:p>
    <w:p>
      <w:pPr>
        <w:spacing w:after="0" w:line="21" w:lineRule="exact"/>
        <w:rPr>
          <w:sz w:val="20"/>
          <w:szCs w:val="20"/>
          <w:color w:val="auto"/>
        </w:rPr>
      </w:pPr>
    </w:p>
    <w:p>
      <w:pPr>
        <w:ind w:left="283"/>
        <w:spacing w:after="0"/>
        <w:rPr>
          <w:sz w:val="20"/>
          <w:szCs w:val="20"/>
          <w:color w:val="auto"/>
        </w:rPr>
      </w:pPr>
      <w:r>
        <w:rPr>
          <w:rFonts w:ascii="Arial" w:cs="Arial" w:eastAsia="Arial" w:hAnsi="Arial"/>
          <w:sz w:val="14"/>
          <w:szCs w:val="14"/>
          <w:color w:val="auto"/>
        </w:rPr>
        <w:t>Consolidated statement of income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 December 31, 2016</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60" w:type="dxa"/>
            <w:vAlign w:val="bottom"/>
            <w:tcBorders>
              <w:top w:val="single" w:sz="8" w:color="auto"/>
            </w:tcBorders>
            <w:gridSpan w:val="3"/>
          </w:tcPr>
          <w:p>
            <w:pPr>
              <w:spacing w:after="0" w:line="169" w:lineRule="exact"/>
              <w:rPr>
                <w:sz w:val="20"/>
                <w:szCs w:val="20"/>
                <w:color w:val="auto"/>
              </w:rPr>
            </w:pPr>
            <w:r>
              <w:rPr>
                <w:rFonts w:ascii="Arial" w:cs="Arial" w:eastAsia="Arial" w:hAnsi="Arial"/>
                <w:sz w:val="16"/>
                <w:szCs w:val="16"/>
                <w:b w:val="1"/>
                <w:bCs w:val="1"/>
                <w:color w:val="auto"/>
              </w:rPr>
              <w:t>Up to 1</w:t>
            </w:r>
          </w:p>
        </w:tc>
        <w:tc>
          <w:tcPr>
            <w:tcW w:w="13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From 1 to</w:t>
            </w:r>
          </w:p>
        </w:tc>
        <w:tc>
          <w:tcPr>
            <w:tcW w:w="1420" w:type="dxa"/>
            <w:vAlign w:val="bottom"/>
            <w:tcBorders>
              <w:top w:val="single" w:sz="8" w:color="auto"/>
            </w:tcBorders>
            <w:gridSpan w:val="3"/>
          </w:tcPr>
          <w:p>
            <w:pPr>
              <w:ind w:left="80"/>
              <w:spacing w:after="0" w:line="169" w:lineRule="exact"/>
              <w:rPr>
                <w:sz w:val="20"/>
                <w:szCs w:val="20"/>
                <w:color w:val="auto"/>
              </w:rPr>
            </w:pPr>
            <w:r>
              <w:rPr>
                <w:rFonts w:ascii="Arial" w:cs="Arial" w:eastAsia="Arial" w:hAnsi="Arial"/>
                <w:sz w:val="16"/>
                <w:szCs w:val="16"/>
                <w:b w:val="1"/>
                <w:bCs w:val="1"/>
                <w:color w:val="auto"/>
              </w:rPr>
              <w:t>From 3 to 5</w:t>
            </w:r>
          </w:p>
        </w:tc>
        <w:tc>
          <w:tcPr>
            <w:tcW w:w="1500" w:type="dxa"/>
            <w:vAlign w:val="bottom"/>
            <w:tcBorders>
              <w:top w:val="single" w:sz="8" w:color="auto"/>
            </w:tcBorders>
            <w:gridSpan w:val="3"/>
          </w:tcPr>
          <w:p>
            <w:pPr>
              <w:ind w:left="80"/>
              <w:spacing w:after="0" w:line="169" w:lineRule="exact"/>
              <w:rPr>
                <w:sz w:val="20"/>
                <w:szCs w:val="20"/>
                <w:color w:val="auto"/>
              </w:rPr>
            </w:pPr>
            <w:r>
              <w:rPr>
                <w:rFonts w:ascii="Arial" w:cs="Arial" w:eastAsia="Arial" w:hAnsi="Arial"/>
                <w:sz w:val="16"/>
                <w:szCs w:val="16"/>
                <w:b w:val="1"/>
                <w:bCs w:val="1"/>
                <w:color w:val="auto"/>
              </w:rPr>
              <w:t>Over 5</w:t>
            </w: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2"/>
        </w:trPr>
        <w:tc>
          <w:tcPr>
            <w:tcW w:w="1460" w:type="dxa"/>
            <w:vAlign w:val="bottom"/>
            <w:gridSpan w:val="3"/>
          </w:tcPr>
          <w:p>
            <w:pPr>
              <w:spacing w:after="0"/>
              <w:rPr>
                <w:sz w:val="20"/>
                <w:szCs w:val="20"/>
                <w:color w:val="auto"/>
              </w:rPr>
            </w:pPr>
            <w:r>
              <w:rPr>
                <w:rFonts w:ascii="Arial" w:cs="Arial" w:eastAsia="Arial" w:hAnsi="Arial"/>
                <w:sz w:val="16"/>
                <w:szCs w:val="16"/>
                <w:b w:val="1"/>
                <w:bCs w:val="1"/>
                <w:color w:val="auto"/>
              </w:rPr>
              <w:t>year</w:t>
            </w: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3 years</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years</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years</w:t>
            </w:r>
          </w:p>
        </w:tc>
        <w:tc>
          <w:tcPr>
            <w:tcW w:w="1240" w:type="dxa"/>
            <w:vAlign w:val="bottom"/>
            <w:gridSpan w:val="4"/>
          </w:tcPr>
          <w:p>
            <w:pPr>
              <w:spacing w:after="0"/>
              <w:rPr>
                <w:sz w:val="20"/>
                <w:szCs w:val="20"/>
                <w:color w:val="auto"/>
              </w:rPr>
            </w:pPr>
            <w:r>
              <w:rPr>
                <w:rFonts w:ascii="Arial" w:cs="Arial" w:eastAsia="Arial" w:hAnsi="Arial"/>
                <w:sz w:val="16"/>
                <w:szCs w:val="16"/>
                <w:b w:val="1"/>
                <w:bCs w:val="1"/>
                <w:color w:val="auto"/>
              </w:rPr>
              <w:t>Total</w:t>
            </w:r>
          </w:p>
        </w:tc>
      </w:tr>
      <w:tr>
        <w:trPr>
          <w:trHeight w:val="202"/>
        </w:trPr>
        <w:tc>
          <w:tcPr>
            <w:tcW w:w="2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4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gridSpan w:val="2"/>
          </w:tcPr>
          <w:p>
            <w:pPr>
              <w:spacing w:after="0"/>
              <w:rPr>
                <w:sz w:val="17"/>
                <w:szCs w:val="17"/>
                <w:color w:val="auto"/>
              </w:rPr>
            </w:pPr>
          </w:p>
        </w:tc>
      </w:tr>
      <w:tr>
        <w:trPr>
          <w:trHeight w:val="358"/>
        </w:trPr>
        <w:tc>
          <w:tcPr>
            <w:tcW w:w="1460" w:type="dxa"/>
            <w:vAlign w:val="bottom"/>
            <w:gridSpan w:val="3"/>
          </w:tcPr>
          <w:p>
            <w:pPr>
              <w:jc w:val="right"/>
              <w:ind w:right="200"/>
              <w:spacing w:after="0"/>
              <w:rPr>
                <w:sz w:val="20"/>
                <w:szCs w:val="20"/>
                <w:color w:val="auto"/>
              </w:rPr>
            </w:pPr>
            <w:r>
              <w:rPr>
                <w:rFonts w:ascii="Arial" w:cs="Arial" w:eastAsia="Arial" w:hAnsi="Arial"/>
                <w:sz w:val="16"/>
                <w:szCs w:val="16"/>
                <w:color w:val="auto"/>
              </w:rPr>
              <w:t>524,775</w:t>
            </w:r>
          </w:p>
        </w:tc>
        <w:tc>
          <w:tcPr>
            <w:tcW w:w="1200" w:type="dxa"/>
            <w:vAlign w:val="bottom"/>
          </w:tcPr>
          <w:p>
            <w:pPr>
              <w:jc w:val="right"/>
              <w:spacing w:after="0"/>
              <w:rPr>
                <w:sz w:val="20"/>
                <w:szCs w:val="20"/>
                <w:color w:val="auto"/>
              </w:rPr>
            </w:pPr>
            <w:r>
              <w:rPr>
                <w:rFonts w:ascii="Arial" w:cs="Arial" w:eastAsia="Arial" w:hAnsi="Arial"/>
                <w:sz w:val="16"/>
                <w:szCs w:val="16"/>
                <w:color w:val="auto"/>
              </w:rPr>
              <w:t>2,549,873</w:t>
            </w:r>
          </w:p>
        </w:tc>
        <w:tc>
          <w:tcPr>
            <w:tcW w:w="120" w:type="dxa"/>
            <w:vAlign w:val="bottom"/>
          </w:tcPr>
          <w:p>
            <w:pPr>
              <w:spacing w:after="0"/>
              <w:rPr>
                <w:sz w:val="24"/>
                <w:szCs w:val="24"/>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836,116</w:t>
            </w:r>
          </w:p>
        </w:tc>
        <w:tc>
          <w:tcPr>
            <w:tcW w:w="1500" w:type="dxa"/>
            <w:vAlign w:val="bottom"/>
            <w:gridSpan w:val="3"/>
          </w:tcPr>
          <w:p>
            <w:pPr>
              <w:jc w:val="right"/>
              <w:ind w:right="139"/>
              <w:spacing w:after="0"/>
              <w:rPr>
                <w:sz w:val="20"/>
                <w:szCs w:val="20"/>
                <w:color w:val="auto"/>
              </w:rPr>
            </w:pPr>
            <w:r>
              <w:rPr>
                <w:rFonts w:ascii="Arial" w:cs="Arial" w:eastAsia="Arial" w:hAnsi="Arial"/>
                <w:sz w:val="16"/>
                <w:szCs w:val="16"/>
                <w:color w:val="auto"/>
              </w:rPr>
              <w:t>294,889</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4,205,653</w:t>
            </w:r>
          </w:p>
        </w:tc>
        <w:tc>
          <w:tcPr>
            <w:tcW w:w="20" w:type="dxa"/>
            <w:vAlign w:val="bottom"/>
          </w:tcPr>
          <w:p>
            <w:pPr>
              <w:spacing w:after="0"/>
              <w:rPr>
                <w:sz w:val="24"/>
                <w:szCs w:val="24"/>
                <w:color w:val="auto"/>
              </w:rPr>
            </w:pPr>
          </w:p>
        </w:tc>
      </w:tr>
      <w:tr>
        <w:trPr>
          <w:trHeight w:val="218"/>
        </w:trPr>
        <w:tc>
          <w:tcPr>
            <w:tcW w:w="1460" w:type="dxa"/>
            <w:vAlign w:val="bottom"/>
            <w:gridSpan w:val="3"/>
          </w:tcPr>
          <w:p>
            <w:pPr>
              <w:jc w:val="right"/>
              <w:ind w:right="160"/>
              <w:spacing w:after="0"/>
              <w:rPr>
                <w:sz w:val="20"/>
                <w:szCs w:val="20"/>
                <w:color w:val="auto"/>
              </w:rPr>
            </w:pPr>
            <w:r>
              <w:rPr>
                <w:rFonts w:ascii="Arial" w:cs="Arial" w:eastAsia="Arial" w:hAnsi="Arial"/>
                <w:sz w:val="16"/>
                <w:szCs w:val="16"/>
                <w:color w:val="auto"/>
              </w:rPr>
              <w:t>(578,526)</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(2,575,723)</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(732,108)</w:t>
            </w:r>
          </w:p>
        </w:tc>
        <w:tc>
          <w:tcPr>
            <w:tcW w:w="1500" w:type="dxa"/>
            <w:vAlign w:val="bottom"/>
            <w:gridSpan w:val="3"/>
          </w:tcPr>
          <w:p>
            <w:pPr>
              <w:jc w:val="right"/>
              <w:ind w:right="79"/>
              <w:spacing w:after="0"/>
              <w:rPr>
                <w:sz w:val="20"/>
                <w:szCs w:val="20"/>
                <w:color w:val="auto"/>
              </w:rPr>
            </w:pPr>
            <w:r>
              <w:rPr>
                <w:rFonts w:ascii="Arial" w:cs="Arial" w:eastAsia="Arial" w:hAnsi="Arial"/>
                <w:sz w:val="16"/>
                <w:szCs w:val="16"/>
                <w:color w:val="auto"/>
              </w:rPr>
              <w:t>(255,205)</w:t>
            </w:r>
          </w:p>
        </w:tc>
        <w:tc>
          <w:tcPr>
            <w:tcW w:w="1240" w:type="dxa"/>
            <w:vAlign w:val="bottom"/>
            <w:gridSpan w:val="4"/>
          </w:tcPr>
          <w:p>
            <w:pPr>
              <w:jc w:val="right"/>
              <w:spacing w:after="0"/>
              <w:rPr>
                <w:sz w:val="20"/>
                <w:szCs w:val="20"/>
                <w:color w:val="auto"/>
              </w:rPr>
            </w:pPr>
            <w:r>
              <w:rPr>
                <w:rFonts w:ascii="Arial" w:cs="Arial" w:eastAsia="Arial" w:hAnsi="Arial"/>
                <w:sz w:val="16"/>
                <w:szCs w:val="16"/>
                <w:color w:val="auto"/>
              </w:rPr>
              <w:t>(4,141,562)</w:t>
            </w:r>
          </w:p>
        </w:tc>
      </w:tr>
      <w:tr>
        <w:trPr>
          <w:trHeight w:val="198"/>
        </w:trPr>
        <w:tc>
          <w:tcPr>
            <w:tcW w:w="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(1,437</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4,863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11,513</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91"/>
        </w:trPr>
        <w:tc>
          <w:tcPr>
            <w:tcW w:w="27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At December 31, 2015</w:t>
            </w: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1460" w:type="dxa"/>
            <w:vAlign w:val="bottom"/>
            <w:gridSpan w:val="3"/>
          </w:tcPr>
          <w:p>
            <w:pPr>
              <w:spacing w:after="0" w:line="169" w:lineRule="exact"/>
              <w:rPr>
                <w:sz w:val="20"/>
                <w:szCs w:val="20"/>
                <w:color w:val="auto"/>
              </w:rPr>
            </w:pPr>
            <w:r>
              <w:rPr>
                <w:rFonts w:ascii="Arial" w:cs="Arial" w:eastAsia="Arial" w:hAnsi="Arial"/>
                <w:sz w:val="16"/>
                <w:szCs w:val="16"/>
                <w:b w:val="1"/>
                <w:bCs w:val="1"/>
                <w:color w:val="auto"/>
              </w:rPr>
              <w:t>Up to 1</w:t>
            </w:r>
          </w:p>
        </w:tc>
        <w:tc>
          <w:tcPr>
            <w:tcW w:w="132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From 1 to</w:t>
            </w:r>
          </w:p>
        </w:tc>
        <w:tc>
          <w:tcPr>
            <w:tcW w:w="1420" w:type="dxa"/>
            <w:vAlign w:val="bottom"/>
            <w:gridSpan w:val="3"/>
          </w:tcPr>
          <w:p>
            <w:pPr>
              <w:ind w:left="80"/>
              <w:spacing w:after="0" w:line="169" w:lineRule="exact"/>
              <w:rPr>
                <w:sz w:val="20"/>
                <w:szCs w:val="20"/>
                <w:color w:val="auto"/>
              </w:rPr>
            </w:pPr>
            <w:r>
              <w:rPr>
                <w:rFonts w:ascii="Arial" w:cs="Arial" w:eastAsia="Arial" w:hAnsi="Arial"/>
                <w:sz w:val="16"/>
                <w:szCs w:val="16"/>
                <w:b w:val="1"/>
                <w:bCs w:val="1"/>
                <w:color w:val="auto"/>
              </w:rPr>
              <w:t>From 3 to 5</w:t>
            </w:r>
          </w:p>
        </w:tc>
        <w:tc>
          <w:tcPr>
            <w:tcW w:w="1500" w:type="dxa"/>
            <w:vAlign w:val="bottom"/>
            <w:gridSpan w:val="3"/>
          </w:tcPr>
          <w:p>
            <w:pPr>
              <w:ind w:left="80"/>
              <w:spacing w:after="0" w:line="169" w:lineRule="exact"/>
              <w:rPr>
                <w:sz w:val="20"/>
                <w:szCs w:val="20"/>
                <w:color w:val="auto"/>
              </w:rPr>
            </w:pPr>
            <w:r>
              <w:rPr>
                <w:rFonts w:ascii="Arial" w:cs="Arial" w:eastAsia="Arial" w:hAnsi="Arial"/>
                <w:sz w:val="16"/>
                <w:szCs w:val="16"/>
                <w:b w:val="1"/>
                <w:bCs w:val="1"/>
                <w:color w:val="auto"/>
              </w:rPr>
              <w:t>Over 5</w:t>
            </w: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460" w:type="dxa"/>
            <w:vAlign w:val="bottom"/>
            <w:gridSpan w:val="3"/>
          </w:tcPr>
          <w:p>
            <w:pPr>
              <w:spacing w:after="0"/>
              <w:rPr>
                <w:sz w:val="20"/>
                <w:szCs w:val="20"/>
                <w:color w:val="auto"/>
              </w:rPr>
            </w:pPr>
            <w:r>
              <w:rPr>
                <w:rFonts w:ascii="Arial" w:cs="Arial" w:eastAsia="Arial" w:hAnsi="Arial"/>
                <w:sz w:val="16"/>
                <w:szCs w:val="16"/>
                <w:b w:val="1"/>
                <w:bCs w:val="1"/>
                <w:color w:val="auto"/>
              </w:rPr>
              <w:t>year</w:t>
            </w: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3 years</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years</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years</w:t>
            </w:r>
          </w:p>
        </w:tc>
        <w:tc>
          <w:tcPr>
            <w:tcW w:w="1240" w:type="dxa"/>
            <w:vAlign w:val="bottom"/>
            <w:gridSpan w:val="4"/>
          </w:tcPr>
          <w:p>
            <w:pPr>
              <w:spacing w:after="0"/>
              <w:rPr>
                <w:sz w:val="20"/>
                <w:szCs w:val="20"/>
                <w:color w:val="auto"/>
              </w:rPr>
            </w:pPr>
            <w:r>
              <w:rPr>
                <w:rFonts w:ascii="Arial" w:cs="Arial" w:eastAsia="Arial" w:hAnsi="Arial"/>
                <w:sz w:val="16"/>
                <w:szCs w:val="16"/>
                <w:b w:val="1"/>
                <w:bCs w:val="1"/>
                <w:color w:val="auto"/>
              </w:rPr>
              <w:t>Total</w:t>
            </w:r>
          </w:p>
        </w:tc>
      </w:tr>
      <w:tr>
        <w:trPr>
          <w:trHeight w:val="202"/>
        </w:trPr>
        <w:tc>
          <w:tcPr>
            <w:tcW w:w="2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4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gridSpan w:val="2"/>
          </w:tcPr>
          <w:p>
            <w:pPr>
              <w:spacing w:after="0"/>
              <w:rPr>
                <w:sz w:val="17"/>
                <w:szCs w:val="17"/>
                <w:color w:val="auto"/>
              </w:rPr>
            </w:pPr>
          </w:p>
        </w:tc>
      </w:tr>
      <w:tr>
        <w:trPr>
          <w:trHeight w:val="358"/>
        </w:trPr>
        <w:tc>
          <w:tcPr>
            <w:tcW w:w="1460" w:type="dxa"/>
            <w:vAlign w:val="bottom"/>
            <w:gridSpan w:val="3"/>
          </w:tcPr>
          <w:p>
            <w:pPr>
              <w:jc w:val="right"/>
              <w:ind w:right="200"/>
              <w:spacing w:after="0"/>
              <w:rPr>
                <w:sz w:val="20"/>
                <w:szCs w:val="20"/>
                <w:color w:val="auto"/>
              </w:rPr>
            </w:pPr>
            <w:r>
              <w:rPr>
                <w:rFonts w:ascii="Arial" w:cs="Arial" w:eastAsia="Arial" w:hAnsi="Arial"/>
                <w:sz w:val="16"/>
                <w:szCs w:val="16"/>
                <w:color w:val="auto"/>
              </w:rPr>
              <w:t>786,445</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761,822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1,349,653</w:t>
            </w:r>
          </w:p>
        </w:tc>
        <w:tc>
          <w:tcPr>
            <w:tcW w:w="140" w:type="dxa"/>
            <w:vAlign w:val="bottom"/>
          </w:tcPr>
          <w:p>
            <w:pPr>
              <w:spacing w:after="0"/>
              <w:rPr>
                <w:sz w:val="24"/>
                <w:szCs w:val="24"/>
                <w:color w:val="auto"/>
              </w:rPr>
            </w:pPr>
          </w:p>
        </w:tc>
        <w:tc>
          <w:tcPr>
            <w:tcW w:w="1500" w:type="dxa"/>
            <w:vAlign w:val="bottom"/>
            <w:gridSpan w:val="3"/>
          </w:tcPr>
          <w:p>
            <w:pPr>
              <w:jc w:val="right"/>
              <w:ind w:right="139"/>
              <w:spacing w:after="0"/>
              <w:rPr>
                <w:sz w:val="20"/>
                <w:szCs w:val="20"/>
                <w:color w:val="auto"/>
              </w:rPr>
            </w:pPr>
            <w:r>
              <w:rPr>
                <w:rFonts w:ascii="Arial" w:cs="Arial" w:eastAsia="Arial" w:hAnsi="Arial"/>
                <w:sz w:val="16"/>
                <w:szCs w:val="16"/>
                <w:color w:val="auto"/>
              </w:rPr>
              <w:t>114,973</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3,012,893</w:t>
            </w:r>
          </w:p>
        </w:tc>
        <w:tc>
          <w:tcPr>
            <w:tcW w:w="20" w:type="dxa"/>
            <w:vAlign w:val="bottom"/>
          </w:tcPr>
          <w:p>
            <w:pPr>
              <w:spacing w:after="0"/>
              <w:rPr>
                <w:sz w:val="24"/>
                <w:szCs w:val="24"/>
                <w:color w:val="auto"/>
              </w:rPr>
            </w:pPr>
          </w:p>
        </w:tc>
      </w:tr>
      <w:tr>
        <w:trPr>
          <w:trHeight w:val="218"/>
        </w:trPr>
        <w:tc>
          <w:tcPr>
            <w:tcW w:w="1460" w:type="dxa"/>
            <w:vAlign w:val="bottom"/>
            <w:gridSpan w:val="3"/>
          </w:tcPr>
          <w:p>
            <w:pPr>
              <w:jc w:val="right"/>
              <w:ind w:right="160"/>
              <w:spacing w:after="0"/>
              <w:rPr>
                <w:sz w:val="20"/>
                <w:szCs w:val="20"/>
                <w:color w:val="auto"/>
              </w:rPr>
            </w:pPr>
            <w:r>
              <w:rPr>
                <w:rFonts w:ascii="Arial" w:cs="Arial" w:eastAsia="Arial" w:hAnsi="Arial"/>
                <w:sz w:val="16"/>
                <w:szCs w:val="16"/>
                <w:color w:val="auto"/>
              </w:rPr>
              <w:t>(807,161)</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(779,061)</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(1,216,438)</w:t>
            </w:r>
          </w:p>
        </w:tc>
        <w:tc>
          <w:tcPr>
            <w:tcW w:w="1500" w:type="dxa"/>
            <w:vAlign w:val="bottom"/>
            <w:gridSpan w:val="3"/>
          </w:tcPr>
          <w:p>
            <w:pPr>
              <w:jc w:val="right"/>
              <w:ind w:right="79"/>
              <w:spacing w:after="0"/>
              <w:rPr>
                <w:sz w:val="20"/>
                <w:szCs w:val="20"/>
                <w:color w:val="auto"/>
              </w:rPr>
            </w:pPr>
            <w:r>
              <w:rPr>
                <w:rFonts w:ascii="Arial" w:cs="Arial" w:eastAsia="Arial" w:hAnsi="Arial"/>
                <w:sz w:val="16"/>
                <w:szCs w:val="16"/>
                <w:color w:val="auto"/>
              </w:rPr>
              <w:t>(113,301)</w:t>
            </w:r>
          </w:p>
        </w:tc>
        <w:tc>
          <w:tcPr>
            <w:tcW w:w="1240" w:type="dxa"/>
            <w:vAlign w:val="bottom"/>
            <w:gridSpan w:val="4"/>
          </w:tcPr>
          <w:p>
            <w:pPr>
              <w:jc w:val="right"/>
              <w:spacing w:after="0"/>
              <w:rPr>
                <w:sz w:val="20"/>
                <w:szCs w:val="20"/>
                <w:color w:val="auto"/>
              </w:rPr>
            </w:pPr>
            <w:r>
              <w:rPr>
                <w:rFonts w:ascii="Arial" w:cs="Arial" w:eastAsia="Arial" w:hAnsi="Arial"/>
                <w:sz w:val="16"/>
                <w:szCs w:val="16"/>
                <w:color w:val="auto"/>
              </w:rPr>
              <w:t>(2,915,961)</w:t>
            </w:r>
          </w:p>
        </w:tc>
      </w:tr>
      <w:tr>
        <w:trPr>
          <w:trHeight w:val="198"/>
        </w:trPr>
        <w:tc>
          <w:tcPr>
            <w:tcW w:w="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4,104</w:t>
            </w:r>
          </w:p>
        </w:tc>
        <w:tc>
          <w:tcPr>
            <w:tcW w:w="24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(1,484</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7"/>
                <w:szCs w:val="17"/>
                <w:color w:val="auto"/>
              </w:rPr>
            </w:pP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24,350</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-1557655</wp:posOffset>
            </wp:positionV>
            <wp:extent cx="6969125" cy="1225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969125" cy="12255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-1304290</wp:posOffset>
            </wp:positionV>
            <wp:extent cx="6969125" cy="13843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969125" cy="138430"/>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-398780</wp:posOffset>
            </wp:positionV>
            <wp:extent cx="6969125" cy="1225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969125" cy="12255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-145415</wp:posOffset>
            </wp:positionV>
            <wp:extent cx="6969125" cy="13843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969125" cy="13843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3543" w:space="720"/>
            <w:col w:w="7160"/>
          </w:cols>
          <w:pgMar w:left="237" w:top="828" w:right="239" w:bottom="1440" w:gutter="0" w:footer="0" w:header="0"/>
          <w:type w:val="continuous"/>
        </w:sectPr>
      </w:pPr>
    </w:p>
    <w:p>
      <w:pPr>
        <w:ind w:left="283" w:right="160"/>
        <w:spacing w:after="0" w:line="280" w:lineRule="auto"/>
        <w:rPr>
          <w:sz w:val="20"/>
          <w:szCs w:val="20"/>
          <w:color w:val="auto"/>
        </w:rPr>
      </w:pPr>
      <w:r>
        <w:rPr>
          <w:rFonts w:ascii="Arial" w:cs="Arial" w:eastAsia="Arial" w:hAnsi="Arial"/>
          <w:sz w:val="15"/>
          <w:szCs w:val="15"/>
          <w:color w:val="auto"/>
        </w:rPr>
        <w:t>At December 31, 2016 the accumulated balance of the net unrealized loss from the cash flow hedges is included as other comprehensive income in “Cash flow hedge reserves” and results from the current hedges, which have an unrealized profit for approximately S/11.5 million, and from the revoked hedges, which have an unrealized profit for approximately S/13.1 million (unrealized profit for approximately S/24.4 million and S/20.7 million from current and revoked hedges, respectively at December 31, 2015), which is being recognized in the consolidated statemen of income over the remaining term of the underlying financial instrument. Also, the transfer of the unrealized loss on cash flow hedges to the consolidated statement of income is shown in note 18(c).</w:t>
      </w:r>
    </w:p>
    <w:p>
      <w:pPr>
        <w:spacing w:after="0" w:line="154" w:lineRule="exact"/>
        <w:rPr>
          <w:sz w:val="20"/>
          <w:szCs w:val="20"/>
          <w:color w:val="auto"/>
        </w:rPr>
      </w:pPr>
    </w:p>
    <w:p>
      <w:pPr>
        <w:jc w:val="both"/>
        <w:ind w:left="283" w:hanging="283"/>
        <w:spacing w:after="0" w:line="266" w:lineRule="auto"/>
        <w:tabs>
          <w:tab w:leader="none" w:pos="283" w:val="left"/>
        </w:tabs>
        <w:numPr>
          <w:ilvl w:val="0"/>
          <w:numId w:val="82"/>
        </w:numPr>
        <w:rPr>
          <w:rFonts w:ascii="Arial" w:cs="Arial" w:eastAsia="Arial" w:hAnsi="Arial"/>
          <w:sz w:val="16"/>
          <w:szCs w:val="16"/>
          <w:color w:val="auto"/>
        </w:rPr>
      </w:pPr>
      <w:r>
        <w:rPr>
          <w:rFonts w:ascii="Arial" w:cs="Arial" w:eastAsia="Arial" w:hAnsi="Arial"/>
          <w:sz w:val="16"/>
          <w:szCs w:val="16"/>
          <w:color w:val="auto"/>
        </w:rPr>
        <w:t>Operations in process include deposits received, loans disbursed, loans collected, funds transferred and other similar types of transactions, which are made at the end of the month and not reclassified to their final accounts in the consolidated statement of financial position until the first days of the following month. These transactions do not affect the Group’s consolidated net income.</w:t>
      </w:r>
    </w:p>
    <w:p>
      <w:pPr>
        <w:spacing w:after="0" w:line="355" w:lineRule="exact"/>
        <w:rPr>
          <w:rFonts w:ascii="Arial" w:cs="Arial" w:eastAsia="Arial" w:hAnsi="Arial"/>
          <w:sz w:val="16"/>
          <w:szCs w:val="16"/>
          <w:color w:val="auto"/>
        </w:rPr>
      </w:pPr>
    </w:p>
    <w:p>
      <w:pPr>
        <w:ind w:left="5643" w:hanging="94"/>
        <w:spacing w:after="0"/>
        <w:tabs>
          <w:tab w:leader="none" w:pos="5643" w:val="left"/>
        </w:tabs>
        <w:numPr>
          <w:ilvl w:val="1"/>
          <w:numId w:val="82"/>
        </w:numPr>
        <w:rPr>
          <w:rFonts w:ascii="Arial" w:cs="Arial" w:eastAsia="Arial" w:hAnsi="Arial"/>
          <w:sz w:val="16"/>
          <w:szCs w:val="16"/>
          <w:color w:val="auto"/>
        </w:rPr>
      </w:pPr>
      <w:r>
        <w:rPr>
          <w:rFonts w:ascii="Arial" w:cs="Arial" w:eastAsia="Arial" w:hAnsi="Arial"/>
          <w:sz w:val="16"/>
          <w:szCs w:val="16"/>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8" w:right="239" w:bottom="1440" w:gutter="0" w:footer="0" w:header="0"/>
          <w:type w:val="continuous"/>
        </w:sectPr>
      </w:pPr>
    </w:p>
    <w:bookmarkStart w:id="78" w:name="page79"/>
    <w:bookmarkEnd w:id="78"/>
    <w:p>
      <w:pPr>
        <w:ind w:left="3"/>
        <w:spacing w:after="0"/>
        <w:tabs>
          <w:tab w:leader="none" w:pos="263"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4"/>
          <w:szCs w:val="14"/>
          <w:color w:val="auto"/>
        </w:rPr>
        <w:t>The movement of the provision for sundry risks for the years ended December 31, 2016, 2015 and 2014 is as follows:</w:t>
      </w:r>
    </w:p>
    <w:p>
      <w:pPr>
        <w:spacing w:after="0" w:line="211" w:lineRule="exact"/>
        <w:rPr>
          <w:sz w:val="20"/>
          <w:szCs w:val="20"/>
          <w:color w:val="auto"/>
        </w:rPr>
      </w:pPr>
    </w:p>
    <w:tbl>
      <w:tblPr>
        <w:tblLayout w:type="fixed"/>
        <w:tblInd w:w="283" w:type="dxa"/>
        <w:tblCellMar>
          <w:top w:w="0" w:type="dxa"/>
          <w:left w:w="0" w:type="dxa"/>
          <w:bottom w:w="0" w:type="dxa"/>
          <w:right w:w="0" w:type="dxa"/>
        </w:tblCellMar>
      </w:tblPr>
      <w:tr>
        <w:trPr>
          <w:trHeight w:val="210"/>
        </w:trPr>
        <w:tc>
          <w:tcPr>
            <w:tcW w:w="7420" w:type="dxa"/>
            <w:vAlign w:val="bottom"/>
            <w:gridSpan w:val="2"/>
          </w:tcPr>
          <w:p>
            <w:pPr>
              <w:ind w:left="6820"/>
              <w:spacing w:after="0"/>
              <w:rPr>
                <w:sz w:val="20"/>
                <w:szCs w:val="20"/>
                <w:color w:val="auto"/>
              </w:rPr>
            </w:pPr>
            <w:r>
              <w:rPr>
                <w:rFonts w:ascii="Arial" w:cs="Arial" w:eastAsia="Arial" w:hAnsi="Arial"/>
                <w:sz w:val="16"/>
                <w:szCs w:val="16"/>
                <w:b w:val="1"/>
                <w:bCs w:val="1"/>
                <w:color w:val="auto"/>
              </w:rPr>
              <w:t>2016</w:t>
            </w:r>
          </w:p>
        </w:tc>
        <w:tc>
          <w:tcPr>
            <w:tcW w:w="1420" w:type="dxa"/>
            <w:vAlign w:val="bottom"/>
            <w:gridSpan w:val="3"/>
          </w:tcPr>
          <w:p>
            <w:pPr>
              <w:ind w:left="840"/>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r>
      <w:tr>
        <w:trPr>
          <w:trHeight w:val="202"/>
        </w:trPr>
        <w:tc>
          <w:tcPr>
            <w:tcW w:w="6820" w:type="dxa"/>
            <w:vAlign w:val="bottom"/>
          </w:tcPr>
          <w:p>
            <w:pPr>
              <w:spacing w:after="0"/>
              <w:rPr>
                <w:sz w:val="17"/>
                <w:szCs w:val="17"/>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r>
      <w:tr>
        <w:trPr>
          <w:trHeight w:val="177"/>
        </w:trPr>
        <w:tc>
          <w:tcPr>
            <w:tcW w:w="6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the beginning of the year</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196,261</w:t>
            </w:r>
          </w:p>
        </w:tc>
        <w:tc>
          <w:tcPr>
            <w:tcW w:w="5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158,013</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107,174</w:t>
            </w:r>
          </w:p>
        </w:tc>
      </w:tr>
      <w:tr>
        <w:trPr>
          <w:trHeight w:val="193"/>
        </w:trPr>
        <w:tc>
          <w:tcPr>
            <w:tcW w:w="7420" w:type="dxa"/>
            <w:vAlign w:val="bottom"/>
            <w:gridSpan w:val="2"/>
          </w:tcPr>
          <w:p>
            <w:pPr>
              <w:spacing w:after="0"/>
              <w:rPr>
                <w:sz w:val="20"/>
                <w:szCs w:val="20"/>
                <w:color w:val="auto"/>
              </w:rPr>
            </w:pPr>
            <w:r>
              <w:rPr>
                <w:rFonts w:ascii="Arial" w:cs="Arial" w:eastAsia="Arial" w:hAnsi="Arial"/>
                <w:sz w:val="16"/>
                <w:szCs w:val="16"/>
                <w:color w:val="auto"/>
              </w:rPr>
              <w:t>Provision, note 28</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28,093</w:t>
            </w:r>
          </w:p>
        </w:tc>
        <w:tc>
          <w:tcPr>
            <w:tcW w:w="5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38,248</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70,094</w:t>
            </w:r>
          </w:p>
        </w:tc>
      </w:tr>
      <w:tr>
        <w:trPr>
          <w:trHeight w:val="193"/>
        </w:trPr>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Business combination, note 2(a)</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44,003</w:t>
            </w:r>
          </w:p>
        </w:tc>
      </w:tr>
      <w:tr>
        <w:trPr>
          <w:trHeight w:val="205"/>
        </w:trPr>
        <w:tc>
          <w:tcPr>
            <w:tcW w:w="7420" w:type="dxa"/>
            <w:vAlign w:val="bottom"/>
            <w:gridSpan w:val="2"/>
          </w:tcPr>
          <w:p>
            <w:pPr>
              <w:spacing w:after="0"/>
              <w:rPr>
                <w:sz w:val="20"/>
                <w:szCs w:val="20"/>
                <w:color w:val="auto"/>
              </w:rPr>
            </w:pPr>
            <w:r>
              <w:rPr>
                <w:rFonts w:ascii="Arial" w:cs="Arial" w:eastAsia="Arial" w:hAnsi="Arial"/>
                <w:sz w:val="16"/>
                <w:szCs w:val="16"/>
                <w:color w:val="auto"/>
              </w:rPr>
              <w:t>Increase (decreases)</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71,985</w:t>
            </w:r>
          </w:p>
        </w:tc>
        <w:tc>
          <w:tcPr>
            <w:tcW w:w="5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(63,258)</w:t>
            </w:r>
          </w:p>
        </w:tc>
      </w:tr>
      <w:tr>
        <w:trPr>
          <w:trHeight w:val="198"/>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w:t>
            </w:r>
          </w:p>
        </w:tc>
        <w:tc>
          <w:tcPr>
            <w:tcW w:w="6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296,339</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196,261</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158,013</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81" w:lineRule="exact"/>
        <w:rPr>
          <w:sz w:val="20"/>
          <w:szCs w:val="20"/>
          <w:color w:val="auto"/>
        </w:rPr>
      </w:pPr>
    </w:p>
    <w:p>
      <w:pPr>
        <w:ind w:left="283" w:right="40"/>
        <w:spacing w:after="0" w:line="292" w:lineRule="auto"/>
        <w:rPr>
          <w:sz w:val="20"/>
          <w:szCs w:val="20"/>
          <w:color w:val="auto"/>
        </w:rPr>
      </w:pPr>
      <w:r>
        <w:rPr>
          <w:rFonts w:ascii="Arial" w:cs="Arial" w:eastAsia="Arial" w:hAnsi="Arial"/>
          <w:sz w:val="15"/>
          <w:szCs w:val="15"/>
          <w:color w:val="auto"/>
        </w:rPr>
        <w:t>Due to the nature of its business, the Group has some pending legal claims for which it records a provision when, in the opinion of Management and its in-house legal advisors, they will result in an additional liability and such amount can be reliably estimated. Regarding legal claims against the Group which have not been provided for, in the opinion of Management and its in-house legal advisors, they will not have a material effect on the Group’s consolidated financial statements.</w:t>
      </w:r>
    </w:p>
    <w:p>
      <w:pPr>
        <w:spacing w:after="0" w:line="144" w:lineRule="exact"/>
        <w:rPr>
          <w:sz w:val="20"/>
          <w:szCs w:val="20"/>
          <w:color w:val="auto"/>
        </w:rPr>
      </w:pPr>
    </w:p>
    <w:p>
      <w:pPr>
        <w:ind w:left="283" w:right="20" w:hanging="283"/>
        <w:spacing w:after="0" w:line="280" w:lineRule="auto"/>
        <w:tabs>
          <w:tab w:leader="none" w:pos="283" w:val="left"/>
        </w:tabs>
        <w:numPr>
          <w:ilvl w:val="0"/>
          <w:numId w:val="83"/>
        </w:numPr>
        <w:rPr>
          <w:rFonts w:ascii="Arial" w:cs="Arial" w:eastAsia="Arial" w:hAnsi="Arial"/>
          <w:sz w:val="16"/>
          <w:szCs w:val="16"/>
          <w:color w:val="auto"/>
        </w:rPr>
      </w:pPr>
      <w:r>
        <w:rPr>
          <w:rFonts w:ascii="Arial" w:cs="Arial" w:eastAsia="Arial" w:hAnsi="Arial"/>
          <w:sz w:val="16"/>
          <w:szCs w:val="16"/>
          <w:color w:val="auto"/>
        </w:rPr>
        <w:t>At December 31, 2016 and 2015, Credicorp’s principal associate is Pacífico EPS. (See note 13), the balance of which at said dates amounts to S/490.1 million and S/483.3 million, respectively.</w:t>
      </w:r>
    </w:p>
    <w:p>
      <w:pPr>
        <w:spacing w:after="0" w:line="150" w:lineRule="exact"/>
        <w:rPr>
          <w:rFonts w:ascii="Arial" w:cs="Arial" w:eastAsia="Arial" w:hAnsi="Arial"/>
          <w:sz w:val="16"/>
          <w:szCs w:val="16"/>
          <w:color w:val="auto"/>
        </w:rPr>
      </w:pPr>
    </w:p>
    <w:p>
      <w:pPr>
        <w:jc w:val="both"/>
        <w:ind w:left="283" w:right="260"/>
        <w:spacing w:after="0" w:line="292" w:lineRule="auto"/>
        <w:rPr>
          <w:rFonts w:ascii="Arial" w:cs="Arial" w:eastAsia="Arial" w:hAnsi="Arial"/>
          <w:sz w:val="16"/>
          <w:szCs w:val="16"/>
          <w:color w:val="auto"/>
        </w:rPr>
      </w:pPr>
      <w:r>
        <w:rPr>
          <w:rFonts w:ascii="Arial" w:cs="Arial" w:eastAsia="Arial" w:hAnsi="Arial"/>
          <w:sz w:val="15"/>
          <w:szCs w:val="15"/>
          <w:color w:val="auto"/>
        </w:rPr>
        <w:t>At December 31, 2014 Credicorp, through its subsidiary Grupo Crédito, signed a share purchase agreement with Willis Europe BV, by which the latter acquired the total number of Grupo Crédito’s shares in Willis Perú held by Grupo Crédito S.A., which was equivalent to 49.9% of the total shares of said company. This transfer was made effective on August 18, 2015, with the payment of US$3.5 million, and did not have significant effects on the Group’s consolidated financial statements.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Investment properties -</w:t>
      </w:r>
    </w:p>
    <w:p>
      <w:pPr>
        <w:spacing w:after="0" w:line="202"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The movement of cost and accumulated depreciation of investment properties is as follows:</w:t>
      </w:r>
    </w:p>
    <w:p>
      <w:pPr>
        <w:spacing w:after="0" w:line="211" w:lineRule="exact"/>
        <w:rPr>
          <w:sz w:val="20"/>
          <w:szCs w:val="20"/>
          <w:color w:val="auto"/>
        </w:rPr>
      </w:pPr>
    </w:p>
    <w:tbl>
      <w:tblPr>
        <w:tblLayout w:type="fixed"/>
        <w:tblInd w:w="5683" w:type="dxa"/>
        <w:tblCellMar>
          <w:top w:w="0" w:type="dxa"/>
          <w:left w:w="0" w:type="dxa"/>
          <w:bottom w:w="0" w:type="dxa"/>
          <w:right w:w="0" w:type="dxa"/>
        </w:tblCellMar>
      </w:tblPr>
      <w:tr>
        <w:trPr>
          <w:trHeight w:val="210"/>
        </w:trPr>
        <w:tc>
          <w:tcPr>
            <w:tcW w:w="1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2015</w:t>
            </w:r>
          </w:p>
        </w:tc>
      </w:tr>
      <w:tr>
        <w:trPr>
          <w:trHeight w:val="198"/>
        </w:trPr>
        <w:tc>
          <w:tcPr>
            <w:tcW w:w="1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Own assets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91"/>
        </w:trPr>
        <w:tc>
          <w:tcPr>
            <w:tcW w:w="1220" w:type="dxa"/>
            <w:vAlign w:val="bottom"/>
          </w:tcPr>
          <w:p>
            <w:pPr>
              <w:spacing w:after="0"/>
              <w:rPr>
                <w:sz w:val="20"/>
                <w:szCs w:val="20"/>
                <w:color w:val="auto"/>
              </w:rPr>
            </w:pPr>
            <w:r>
              <w:rPr>
                <w:rFonts w:ascii="Arial" w:cs="Arial" w:eastAsia="Arial" w:hAnsi="Arial"/>
                <w:sz w:val="16"/>
                <w:szCs w:val="16"/>
                <w:b w:val="1"/>
                <w:bCs w:val="1"/>
                <w:color w:val="auto"/>
              </w:rPr>
              <w:t>Lands</w:t>
            </w:r>
          </w:p>
        </w:tc>
        <w:tc>
          <w:tcPr>
            <w:tcW w:w="1420" w:type="dxa"/>
            <w:vAlign w:val="bottom"/>
            <w:gridSpan w:val="2"/>
          </w:tcPr>
          <w:p>
            <w:pPr>
              <w:ind w:left="220"/>
              <w:spacing w:after="0"/>
              <w:rPr>
                <w:sz w:val="20"/>
                <w:szCs w:val="20"/>
                <w:color w:val="auto"/>
              </w:rPr>
            </w:pPr>
            <w:r>
              <w:rPr>
                <w:rFonts w:ascii="Arial" w:cs="Arial" w:eastAsia="Arial" w:hAnsi="Arial"/>
                <w:sz w:val="16"/>
                <w:szCs w:val="16"/>
                <w:b w:val="1"/>
                <w:bCs w:val="1"/>
                <w:color w:val="auto"/>
              </w:rPr>
              <w:t>Building</w:t>
            </w:r>
          </w:p>
        </w:tc>
        <w:tc>
          <w:tcPr>
            <w:tcW w:w="1640" w:type="dxa"/>
            <w:vAlign w:val="bottom"/>
            <w:gridSpan w:val="3"/>
          </w:tcPr>
          <w:p>
            <w:pPr>
              <w:ind w:left="220"/>
              <w:spacing w:after="0"/>
              <w:rPr>
                <w:sz w:val="20"/>
                <w:szCs w:val="20"/>
                <w:color w:val="auto"/>
              </w:rPr>
            </w:pPr>
            <w:r>
              <w:rPr>
                <w:rFonts w:ascii="Arial" w:cs="Arial" w:eastAsia="Arial" w:hAnsi="Arial"/>
                <w:sz w:val="16"/>
                <w:szCs w:val="16"/>
                <w:b w:val="1"/>
                <w:bCs w:val="1"/>
                <w:color w:val="auto"/>
              </w:rPr>
              <w:t>Total</w:t>
            </w:r>
          </w:p>
        </w:tc>
        <w:tc>
          <w:tcPr>
            <w:tcW w:w="1200" w:type="dxa"/>
            <w:vAlign w:val="bottom"/>
          </w:tcPr>
          <w:p>
            <w:pPr>
              <w:spacing w:after="0"/>
              <w:rPr>
                <w:sz w:val="20"/>
                <w:szCs w:val="20"/>
                <w:color w:val="auto"/>
              </w:rPr>
            </w:pPr>
            <w:r>
              <w:rPr>
                <w:rFonts w:ascii="Arial" w:cs="Arial" w:eastAsia="Arial" w:hAnsi="Arial"/>
                <w:sz w:val="16"/>
                <w:szCs w:val="16"/>
                <w:b w:val="1"/>
                <w:bCs w:val="1"/>
                <w:color w:val="auto"/>
              </w:rPr>
              <w:t>Total</w:t>
            </w:r>
          </w:p>
        </w:tc>
      </w:tr>
      <w:tr>
        <w:trPr>
          <w:trHeight w:val="186"/>
        </w:trPr>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6"/>
                <w:szCs w:val="16"/>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6"/>
                <w:szCs w:val="16"/>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6"/>
                <w:szCs w:val="16"/>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r>
    </w:tbl>
    <w:p>
      <w:pPr>
        <w:spacing w:after="0" w:line="9"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w:t>
            </w:r>
          </w:p>
        </w:tc>
        <w:tc>
          <w:tcPr>
            <w:tcW w:w="18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Balance at January 1</w:t>
            </w:r>
          </w:p>
        </w:tc>
        <w:tc>
          <w:tcPr>
            <w:tcW w:w="3300" w:type="dxa"/>
            <w:vAlign w:val="bottom"/>
            <w:gridSpan w:val="3"/>
          </w:tcPr>
          <w:p>
            <w:pPr>
              <w:jc w:val="right"/>
              <w:ind w:right="220"/>
              <w:spacing w:after="0"/>
              <w:rPr>
                <w:sz w:val="20"/>
                <w:szCs w:val="20"/>
                <w:color w:val="auto"/>
              </w:rPr>
            </w:pPr>
            <w:r>
              <w:rPr>
                <w:rFonts w:ascii="Arial" w:cs="Arial" w:eastAsia="Arial" w:hAnsi="Arial"/>
                <w:sz w:val="16"/>
                <w:szCs w:val="16"/>
                <w:color w:val="auto"/>
              </w:rPr>
              <w:t>205,926</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256,514</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462,440</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351,193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Additions</w:t>
            </w:r>
          </w:p>
        </w:tc>
        <w:tc>
          <w:tcPr>
            <w:tcW w:w="3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83,506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4,680</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88,186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66,237</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Transfers</w:t>
            </w:r>
          </w:p>
        </w:tc>
        <w:tc>
          <w:tcPr>
            <w:tcW w:w="33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46,242</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Sales</w:t>
            </w:r>
          </w:p>
        </w:tc>
        <w:tc>
          <w:tcPr>
            <w:tcW w:w="3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Disposals and other</w:t>
            </w:r>
          </w:p>
        </w:tc>
        <w:tc>
          <w:tcPr>
            <w:tcW w:w="33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(20)</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(20)</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(1,232)</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354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Balance at December 31</w:t>
            </w:r>
          </w:p>
        </w:tc>
        <w:tc>
          <w:tcPr>
            <w:tcW w:w="3300" w:type="dxa"/>
            <w:vAlign w:val="bottom"/>
            <w:gridSpan w:val="3"/>
          </w:tcPr>
          <w:p>
            <w:pPr>
              <w:jc w:val="right"/>
              <w:ind w:right="220"/>
              <w:spacing w:after="0"/>
              <w:rPr>
                <w:sz w:val="20"/>
                <w:szCs w:val="20"/>
                <w:color w:val="auto"/>
              </w:rPr>
            </w:pPr>
            <w:r>
              <w:rPr>
                <w:rFonts w:ascii="Arial" w:cs="Arial" w:eastAsia="Arial" w:hAnsi="Arial"/>
                <w:sz w:val="16"/>
                <w:szCs w:val="16"/>
                <w:color w:val="auto"/>
              </w:rPr>
              <w:t>289,432</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261,174</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550,606</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462,440</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354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b w:val="1"/>
                <w:bCs w:val="1"/>
                <w:color w:val="auto"/>
              </w:rPr>
              <w:t>Accumulated depreciation</w:t>
            </w:r>
          </w:p>
        </w:tc>
        <w:tc>
          <w:tcPr>
            <w:tcW w:w="1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w:t>
            </w:r>
          </w:p>
        </w:tc>
        <w:tc>
          <w:tcPr>
            <w:tcW w:w="3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41,307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41,307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37,217</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Depreciation for the year</w:t>
            </w:r>
          </w:p>
        </w:tc>
        <w:tc>
          <w:tcPr>
            <w:tcW w:w="33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4,369</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4,369</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4,409</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Disposals and other</w:t>
            </w:r>
          </w:p>
        </w:tc>
        <w:tc>
          <w:tcPr>
            <w:tcW w:w="3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(319)</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3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at December 31</w:t>
            </w:r>
          </w:p>
        </w:tc>
        <w:tc>
          <w:tcPr>
            <w:tcW w:w="186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45,679</w:t>
            </w:r>
          </w:p>
        </w:tc>
        <w:tc>
          <w:tcPr>
            <w:tcW w:w="2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45,679</w:t>
            </w:r>
          </w:p>
        </w:tc>
        <w:tc>
          <w:tcPr>
            <w:tcW w:w="2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41,307</w:t>
            </w:r>
          </w:p>
        </w:tc>
        <w:tc>
          <w:tcPr>
            <w:tcW w:w="100" w:type="dxa"/>
            <w:vAlign w:val="bottom"/>
            <w:tcBorders>
              <w:bottom w:val="single" w:sz="8" w:color="CCEEFF"/>
            </w:tcBorders>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b w:val="1"/>
                <w:bCs w:val="1"/>
                <w:color w:val="auto"/>
              </w:rPr>
              <w:t>Net carrying amount</w:t>
            </w:r>
          </w:p>
        </w:tc>
        <w:tc>
          <w:tcPr>
            <w:tcW w:w="18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289,432</w:t>
            </w:r>
          </w:p>
        </w:tc>
        <w:tc>
          <w:tcPr>
            <w:tcW w:w="22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215,495</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504,927</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421,133</w:t>
            </w:r>
          </w:p>
        </w:tc>
        <w:tc>
          <w:tcPr>
            <w:tcW w:w="18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72"/>
        </w:trPr>
        <w:tc>
          <w:tcPr>
            <w:tcW w:w="2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jc w:val="right"/>
              <w:ind w:right="919"/>
              <w:spacing w:after="0"/>
              <w:rPr>
                <w:sz w:val="20"/>
                <w:szCs w:val="20"/>
                <w:color w:val="auto"/>
              </w:rPr>
            </w:pPr>
            <w:r>
              <w:rPr>
                <w:rFonts w:ascii="Arial" w:cs="Arial" w:eastAsia="Arial" w:hAnsi="Arial"/>
                <w:sz w:val="16"/>
                <w:szCs w:val="16"/>
                <w:color w:val="auto"/>
              </w:rPr>
              <w:t>- 74 -</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3"/>
          </w:cols>
          <w:pgMar w:left="237" w:top="828" w:right="219" w:bottom="1440" w:gutter="0" w:footer="0" w:header="0"/>
        </w:sectPr>
      </w:pPr>
    </w:p>
    <w:bookmarkStart w:id="79" w:name="page80"/>
    <w:bookmarkEnd w:id="79"/>
    <w:p>
      <w:pPr>
        <w:jc w:val="both"/>
        <w:ind w:left="283" w:right="180"/>
        <w:spacing w:after="0" w:line="280" w:lineRule="auto"/>
        <w:rPr>
          <w:sz w:val="20"/>
          <w:szCs w:val="20"/>
          <w:color w:val="auto"/>
        </w:rPr>
      </w:pPr>
      <w:r>
        <w:rPr>
          <w:rFonts w:ascii="Arial" w:cs="Arial" w:eastAsia="Arial" w:hAnsi="Arial"/>
          <w:sz w:val="16"/>
          <w:szCs w:val="16"/>
          <w:color w:val="auto"/>
        </w:rPr>
        <w:t>Land and its buildings are mainly used for rental of offices. Said property is free of all encumbrances. Among the most important buildings are those managed by Pacifico Vida.</w:t>
      </w:r>
    </w:p>
    <w:p>
      <w:pPr>
        <w:spacing w:after="0" w:line="151" w:lineRule="exact"/>
        <w:rPr>
          <w:sz w:val="20"/>
          <w:szCs w:val="20"/>
          <w:color w:val="auto"/>
        </w:rPr>
      </w:pPr>
    </w:p>
    <w:p>
      <w:pPr>
        <w:jc w:val="both"/>
        <w:ind w:left="283" w:right="160"/>
        <w:spacing w:after="0" w:line="261" w:lineRule="auto"/>
        <w:rPr>
          <w:sz w:val="20"/>
          <w:szCs w:val="20"/>
          <w:color w:val="auto"/>
        </w:rPr>
      </w:pPr>
      <w:r>
        <w:rPr>
          <w:rFonts w:ascii="Arial" w:cs="Arial" w:eastAsia="Arial" w:hAnsi="Arial"/>
          <w:sz w:val="16"/>
          <w:szCs w:val="16"/>
          <w:color w:val="auto"/>
        </w:rPr>
        <w:t>During the period 2016, in order to consolidate the real estate projects, mainly of offices, the subsidiary Pacífico Vida carried out constructions and acquired a plot of land located at Av. Nicolas Dueñas 475, Cercado de Lima for an amount of approximately S/21.9 million and another located in Ex-Fundo Marquez, in the vicinity of KM 14.6 of Av. Coronel Nestor Gambeta, Callao for an amount of approximately S/60.9 million. In 2015, the main acquisition was the building namely “Nissan” of Pacífico Vida, located in the District of Surquillo.</w:t>
      </w:r>
    </w:p>
    <w:p>
      <w:pPr>
        <w:spacing w:after="0" w:line="163" w:lineRule="exact"/>
        <w:rPr>
          <w:sz w:val="20"/>
          <w:szCs w:val="20"/>
          <w:color w:val="auto"/>
        </w:rPr>
      </w:pPr>
    </w:p>
    <w:p>
      <w:pPr>
        <w:ind w:left="3"/>
        <w:spacing w:after="0"/>
        <w:tabs>
          <w:tab w:leader="none" w:pos="563"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6"/>
          <w:szCs w:val="16"/>
          <w:b w:val="1"/>
          <w:bCs w:val="1"/>
          <w:color w:val="auto"/>
        </w:rPr>
        <w:t>AGREEMENT BETWEEN EL PACIFICO PERUANO SUIZA AND BANMÉDICA</w:t>
      </w:r>
    </w:p>
    <w:p>
      <w:pPr>
        <w:spacing w:after="0" w:line="207" w:lineRule="exact"/>
        <w:rPr>
          <w:sz w:val="20"/>
          <w:szCs w:val="20"/>
          <w:color w:val="auto"/>
        </w:rPr>
      </w:pPr>
    </w:p>
    <w:p>
      <w:pPr>
        <w:jc w:val="both"/>
        <w:ind w:left="283" w:right="160"/>
        <w:spacing w:after="0" w:line="280" w:lineRule="auto"/>
        <w:rPr>
          <w:sz w:val="20"/>
          <w:szCs w:val="20"/>
          <w:color w:val="auto"/>
        </w:rPr>
      </w:pPr>
      <w:r>
        <w:rPr>
          <w:rFonts w:ascii="Arial" w:cs="Arial" w:eastAsia="Arial" w:hAnsi="Arial"/>
          <w:sz w:val="16"/>
          <w:szCs w:val="16"/>
          <w:color w:val="auto"/>
        </w:rPr>
        <w:t>With effect from January 1, 2015 due to the agreement signed on December 30, 2014, Credicorp, through its subsidiary El Pacífico Peruano Suiza Compañía de Seguros y Reaseguros (hereinafter “PPS”) lost control over Pacífico EPS, the latter becoming its associate. See note 2(e).</w:t>
      </w:r>
    </w:p>
    <w:p>
      <w:pPr>
        <w:spacing w:after="0" w:line="151" w:lineRule="exact"/>
        <w:rPr>
          <w:sz w:val="20"/>
          <w:szCs w:val="20"/>
          <w:color w:val="auto"/>
        </w:rPr>
      </w:pPr>
    </w:p>
    <w:p>
      <w:pPr>
        <w:ind w:left="283" w:right="200"/>
        <w:spacing w:after="0" w:line="280" w:lineRule="auto"/>
        <w:rPr>
          <w:sz w:val="20"/>
          <w:szCs w:val="20"/>
          <w:color w:val="auto"/>
        </w:rPr>
      </w:pPr>
      <w:r>
        <w:rPr>
          <w:rFonts w:ascii="Arial" w:cs="Arial" w:eastAsia="Arial" w:hAnsi="Arial"/>
          <w:sz w:val="16"/>
          <w:szCs w:val="16"/>
          <w:color w:val="auto"/>
        </w:rPr>
        <w:t>The agreement had two basic parts: (i) healthcare plans and medical services in Peru, implemented by Pacífico EPS and (ii) the health insurance business, part of a line of business of Credicorp, through its subsidiary PPS.</w:t>
      </w:r>
    </w:p>
    <w:p>
      <w:pPr>
        <w:spacing w:after="0" w:line="151" w:lineRule="exact"/>
        <w:rPr>
          <w:sz w:val="20"/>
          <w:szCs w:val="20"/>
          <w:color w:val="auto"/>
        </w:rPr>
      </w:pPr>
    </w:p>
    <w:p>
      <w:pPr>
        <w:ind w:left="343" w:right="200" w:hanging="343"/>
        <w:spacing w:after="0" w:line="261" w:lineRule="auto"/>
        <w:tabs>
          <w:tab w:leader="none" w:pos="343" w:val="left"/>
        </w:tabs>
        <w:numPr>
          <w:ilvl w:val="0"/>
          <w:numId w:val="84"/>
        </w:numPr>
        <w:rPr>
          <w:rFonts w:ascii="Arial" w:cs="Arial" w:eastAsia="Arial" w:hAnsi="Arial"/>
          <w:sz w:val="16"/>
          <w:szCs w:val="16"/>
          <w:color w:val="auto"/>
        </w:rPr>
      </w:pPr>
      <w:r>
        <w:rPr>
          <w:rFonts w:ascii="Arial" w:cs="Arial" w:eastAsia="Arial" w:hAnsi="Arial"/>
          <w:sz w:val="16"/>
          <w:szCs w:val="16"/>
          <w:color w:val="auto"/>
        </w:rPr>
        <w:t>For healthcare plans and medical services, both parties have agreed to develop them in Peru, only and exclusively through Pacífico EPS and its subsidiaries. Therefore, Banmédica contributed to Pacífico EPS, at fair values, their Peruvian subsidiaries Clínica San Felipe S.A. and Laboratorios Roe S.A., (measured at fair value) plus an additional payment of US$32.0 million in cash to obtain 50 percent interest in the capital stock of Pacífico EPS. As a result of that transaction, Credicorp recorded a gain which is not significant to the consolidated financial statements taken as a whole.</w:t>
      </w:r>
    </w:p>
    <w:p>
      <w:pPr>
        <w:spacing w:after="0" w:line="167" w:lineRule="exact"/>
        <w:rPr>
          <w:sz w:val="20"/>
          <w:szCs w:val="20"/>
          <w:color w:val="auto"/>
        </w:rPr>
      </w:pPr>
    </w:p>
    <w:p>
      <w:pPr>
        <w:ind w:left="283" w:right="180"/>
        <w:spacing w:after="0" w:line="292" w:lineRule="auto"/>
        <w:rPr>
          <w:sz w:val="20"/>
          <w:szCs w:val="20"/>
          <w:color w:val="auto"/>
        </w:rPr>
      </w:pPr>
      <w:r>
        <w:rPr>
          <w:rFonts w:ascii="Arial" w:cs="Arial" w:eastAsia="Arial" w:hAnsi="Arial"/>
          <w:sz w:val="15"/>
          <w:szCs w:val="15"/>
          <w:color w:val="auto"/>
        </w:rPr>
        <w:t>Although both parties have the same number of members on the Board, which governs the relevant activities of Pacífico EPS, in case of a tied vote, the Chairman of the Board (who is appointed by Banmédica) has the casting vote. Therefore, in accordance with IFRS, Credicorp transferred the control of Pacífico EPS to Banmédica, which will direct the relevant activities of Pacífico EPS. As a result, with effect from January 2015, Pacífico EPS became an associate of Credicorp.</w:t>
      </w:r>
    </w:p>
    <w:p>
      <w:pPr>
        <w:spacing w:after="0" w:line="144" w:lineRule="exact"/>
        <w:rPr>
          <w:sz w:val="20"/>
          <w:szCs w:val="20"/>
          <w:color w:val="auto"/>
        </w:rPr>
      </w:pPr>
    </w:p>
    <w:p>
      <w:pPr>
        <w:ind w:left="283"/>
        <w:spacing w:after="0"/>
        <w:rPr>
          <w:sz w:val="20"/>
          <w:szCs w:val="20"/>
          <w:color w:val="auto"/>
        </w:rPr>
      </w:pPr>
      <w:r>
        <w:rPr>
          <w:rFonts w:ascii="Arial" w:cs="Arial" w:eastAsia="Arial" w:hAnsi="Arial"/>
          <w:sz w:val="16"/>
          <w:szCs w:val="16"/>
          <w:color w:val="auto"/>
        </w:rPr>
        <w:t>For the year ended December 31, 2014, results of operations of Pacífico EPS included in the consolidated statement of income are as follows:</w:t>
      </w:r>
    </w:p>
    <w:p>
      <w:pPr>
        <w:spacing w:after="0" w:line="211"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6"/>
                <w:szCs w:val="16"/>
                <w:b w:val="1"/>
                <w:bCs w:val="1"/>
                <w:color w:val="auto"/>
              </w:rPr>
              <w:t>Income and expenses</w:t>
            </w:r>
          </w:p>
        </w:tc>
        <w:tc>
          <w:tcPr>
            <w:tcW w:w="6420" w:type="dxa"/>
            <w:vAlign w:val="bottom"/>
            <w:gridSpan w:val="3"/>
          </w:tcPr>
          <w:p>
            <w:pPr>
              <w:ind w:left="522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Net premiums earned</w:t>
            </w:r>
          </w:p>
        </w:tc>
        <w:tc>
          <w:tcPr>
            <w:tcW w:w="652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754,412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Net services</w:t>
            </w:r>
          </w:p>
        </w:tc>
        <w:tc>
          <w:tcPr>
            <w:tcW w:w="6520" w:type="dxa"/>
            <w:vAlign w:val="bottom"/>
            <w:gridSpan w:val="4"/>
          </w:tcPr>
          <w:p>
            <w:pPr>
              <w:jc w:val="right"/>
              <w:ind w:right="100"/>
              <w:spacing w:after="0"/>
              <w:rPr>
                <w:sz w:val="20"/>
                <w:szCs w:val="20"/>
                <w:color w:val="auto"/>
              </w:rPr>
            </w:pPr>
            <w:r>
              <w:rPr>
                <w:rFonts w:ascii="Arial" w:cs="Arial" w:eastAsia="Arial" w:hAnsi="Arial"/>
                <w:sz w:val="16"/>
                <w:szCs w:val="16"/>
                <w:color w:val="auto"/>
              </w:rPr>
              <w:t>116,375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Net claims incurred and commission expenses for health</w:t>
            </w:r>
          </w:p>
        </w:tc>
        <w:tc>
          <w:tcPr>
            <w:tcW w:w="5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insurance contracts</w:t>
            </w:r>
          </w:p>
        </w:tc>
        <w:tc>
          <w:tcPr>
            <w:tcW w:w="6520" w:type="dxa"/>
            <w:vAlign w:val="bottom"/>
            <w:gridSpan w:val="4"/>
          </w:tcPr>
          <w:p>
            <w:pPr>
              <w:jc w:val="right"/>
              <w:ind w:right="60"/>
              <w:spacing w:after="0"/>
              <w:rPr>
                <w:sz w:val="20"/>
                <w:szCs w:val="20"/>
                <w:color w:val="auto"/>
              </w:rPr>
            </w:pPr>
            <w:r>
              <w:rPr>
                <w:rFonts w:ascii="Arial" w:cs="Arial" w:eastAsia="Arial" w:hAnsi="Arial"/>
                <w:sz w:val="16"/>
                <w:szCs w:val="16"/>
                <w:color w:val="auto"/>
              </w:rPr>
              <w:t>(653,637)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income</w:t>
            </w:r>
          </w:p>
        </w:tc>
        <w:tc>
          <w:tcPr>
            <w:tcW w:w="5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217,150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Finance income</w:t>
            </w:r>
          </w:p>
        </w:tc>
        <w:tc>
          <w:tcPr>
            <w:tcW w:w="6520" w:type="dxa"/>
            <w:vAlign w:val="bottom"/>
            <w:gridSpan w:val="4"/>
          </w:tcPr>
          <w:p>
            <w:pPr>
              <w:jc w:val="right"/>
              <w:ind w:right="100"/>
              <w:spacing w:after="0"/>
              <w:rPr>
                <w:sz w:val="20"/>
                <w:szCs w:val="20"/>
                <w:color w:val="auto"/>
              </w:rPr>
            </w:pPr>
            <w:r>
              <w:rPr>
                <w:rFonts w:ascii="Arial" w:cs="Arial" w:eastAsia="Arial" w:hAnsi="Arial"/>
                <w:sz w:val="16"/>
                <w:szCs w:val="16"/>
                <w:color w:val="auto"/>
              </w:rPr>
              <w:t>1,508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Finance costs</w:t>
            </w:r>
          </w:p>
        </w:tc>
        <w:tc>
          <w:tcPr>
            <w:tcW w:w="65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(9,077)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Others, net</w:t>
            </w:r>
          </w:p>
        </w:tc>
        <w:tc>
          <w:tcPr>
            <w:tcW w:w="6520" w:type="dxa"/>
            <w:vAlign w:val="bottom"/>
            <w:gridSpan w:val="4"/>
          </w:tcPr>
          <w:p>
            <w:pPr>
              <w:jc w:val="right"/>
              <w:ind w:right="60"/>
              <w:spacing w:after="0"/>
              <w:rPr>
                <w:sz w:val="20"/>
                <w:szCs w:val="20"/>
                <w:color w:val="auto"/>
              </w:rPr>
            </w:pPr>
            <w:r>
              <w:rPr>
                <w:rFonts w:ascii="Arial" w:cs="Arial" w:eastAsia="Arial" w:hAnsi="Arial"/>
                <w:sz w:val="16"/>
                <w:szCs w:val="16"/>
                <w:color w:val="auto"/>
              </w:rPr>
              <w:t>(190,643)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Profit before exchange difference and income tax</w:t>
            </w:r>
          </w:p>
        </w:tc>
        <w:tc>
          <w:tcPr>
            <w:tcW w:w="5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Exchange difference</w:t>
            </w:r>
          </w:p>
        </w:tc>
        <w:tc>
          <w:tcPr>
            <w:tcW w:w="6520" w:type="dxa"/>
            <w:vAlign w:val="bottom"/>
            <w:gridSpan w:val="4"/>
          </w:tcPr>
          <w:p>
            <w:pPr>
              <w:jc w:val="right"/>
              <w:ind w:right="60"/>
              <w:spacing w:after="0"/>
              <w:rPr>
                <w:sz w:val="20"/>
                <w:szCs w:val="20"/>
                <w:color w:val="auto"/>
              </w:rPr>
            </w:pPr>
            <w:r>
              <w:rPr>
                <w:rFonts w:ascii="Arial" w:cs="Arial" w:eastAsia="Arial" w:hAnsi="Arial"/>
                <w:sz w:val="16"/>
                <w:szCs w:val="16"/>
                <w:color w:val="auto"/>
              </w:rPr>
              <w:t>(1,976)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Income tax</w:t>
            </w:r>
          </w:p>
        </w:tc>
        <w:tc>
          <w:tcPr>
            <w:tcW w:w="65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(6,519)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b w:val="1"/>
                <w:bCs w:val="1"/>
                <w:color w:val="auto"/>
              </w:rPr>
              <w:t>Net profit for the year</w:t>
            </w:r>
          </w:p>
        </w:tc>
        <w:tc>
          <w:tcPr>
            <w:tcW w:w="5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20" w:type="dxa"/>
            <w:vAlign w:val="bottom"/>
            <w:vMerge w:val="restart"/>
          </w:tcPr>
          <w:p>
            <w:pPr>
              <w:jc w:val="right"/>
              <w:ind w:right="3979"/>
              <w:spacing w:after="0"/>
              <w:rPr>
                <w:sz w:val="20"/>
                <w:szCs w:val="20"/>
                <w:color w:val="auto"/>
              </w:rPr>
            </w:pPr>
            <w:r>
              <w:rPr>
                <w:rFonts w:ascii="Arial" w:cs="Arial" w:eastAsia="Arial" w:hAnsi="Arial"/>
                <w:sz w:val="16"/>
                <w:szCs w:val="16"/>
                <w:color w:val="auto"/>
              </w:rPr>
              <w:t>- 75 -</w:t>
            </w: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2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3"/>
          </w:cols>
          <w:pgMar w:left="237" w:top="828" w:right="219" w:bottom="1440" w:gutter="0" w:footer="0" w:header="0"/>
        </w:sectPr>
      </w:pPr>
    </w:p>
    <w:bookmarkStart w:id="80" w:name="page81"/>
    <w:bookmarkEnd w:id="80"/>
    <w:p>
      <w:pPr>
        <w:ind w:left="283"/>
        <w:spacing w:after="0"/>
        <w:rPr>
          <w:sz w:val="20"/>
          <w:szCs w:val="20"/>
          <w:color w:val="auto"/>
        </w:rPr>
      </w:pPr>
      <w:r>
        <w:rPr>
          <w:rFonts w:ascii="Arial" w:cs="Arial" w:eastAsia="Arial" w:hAnsi="Arial"/>
          <w:sz w:val="16"/>
          <w:szCs w:val="16"/>
          <w:b w:val="1"/>
          <w:bCs w:val="1"/>
          <w:color w:val="auto"/>
        </w:rPr>
        <w:t>Balances of the statement of cash flows</w:t>
      </w:r>
    </w:p>
    <w:p>
      <w:pPr>
        <w:spacing w:after="0" w:line="200" w:lineRule="exact"/>
        <w:rPr>
          <w:sz w:val="20"/>
          <w:szCs w:val="20"/>
          <w:color w:val="auto"/>
        </w:rPr>
      </w:pPr>
    </w:p>
    <w:p>
      <w:pPr>
        <w:spacing w:after="0" w:line="224" w:lineRule="exact"/>
        <w:rPr>
          <w:sz w:val="20"/>
          <w:szCs w:val="20"/>
          <w:color w:val="auto"/>
        </w:rPr>
      </w:pPr>
    </w:p>
    <w:p>
      <w:pPr>
        <w:ind w:left="283"/>
        <w:spacing w:after="0"/>
        <w:rPr>
          <w:sz w:val="20"/>
          <w:szCs w:val="20"/>
          <w:color w:val="auto"/>
        </w:rPr>
      </w:pPr>
      <w:r>
        <w:rPr>
          <w:rFonts w:ascii="Arial" w:cs="Arial" w:eastAsia="Arial" w:hAnsi="Arial"/>
          <w:sz w:val="16"/>
          <w:szCs w:val="16"/>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-107950</wp:posOffset>
            </wp:positionV>
            <wp:extent cx="6969125" cy="1225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969125" cy="122555"/>
                    </a:xfrm>
                    <a:prstGeom prst="rect">
                      <a:avLst/>
                    </a:prstGeom>
                    <a:noFill/>
                  </pic:spPr>
                </pic:pic>
              </a:graphicData>
            </a:graphic>
          </wp:anchor>
        </w:drawing>
      </w:r>
    </w:p>
    <w:p>
      <w:pPr>
        <w:spacing w:after="0" w:line="2" w:lineRule="exact"/>
        <w:rPr>
          <w:sz w:val="20"/>
          <w:szCs w:val="20"/>
          <w:color w:val="auto"/>
        </w:rPr>
      </w:pPr>
    </w:p>
    <w:p>
      <w:pPr>
        <w:ind w:left="283"/>
        <w:spacing w:after="0"/>
        <w:rPr>
          <w:sz w:val="20"/>
          <w:szCs w:val="20"/>
          <w:color w:val="auto"/>
        </w:rPr>
      </w:pPr>
      <w:r>
        <w:rPr>
          <w:rFonts w:ascii="Arial" w:cs="Arial" w:eastAsia="Arial" w:hAnsi="Arial"/>
          <w:sz w:val="16"/>
          <w:szCs w:val="16"/>
          <w:color w:val="auto"/>
        </w:rPr>
        <w:t>Cash flows from investing activities</w:t>
      </w:r>
    </w:p>
    <w:p>
      <w:pPr>
        <w:spacing w:after="0" w:line="9" w:lineRule="exact"/>
        <w:rPr>
          <w:sz w:val="20"/>
          <w:szCs w:val="20"/>
          <w:color w:val="auto"/>
        </w:rPr>
      </w:pPr>
    </w:p>
    <w:p>
      <w:pPr>
        <w:ind w:left="283"/>
        <w:spacing w:after="0"/>
        <w:rPr>
          <w:sz w:val="20"/>
          <w:szCs w:val="20"/>
          <w:color w:val="auto"/>
        </w:rPr>
      </w:pPr>
      <w:r>
        <w:rPr>
          <w:rFonts w:ascii="Arial" w:cs="Arial" w:eastAsia="Arial" w:hAnsi="Arial"/>
          <w:sz w:val="16"/>
          <w:szCs w:val="16"/>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-116205</wp:posOffset>
            </wp:positionV>
            <wp:extent cx="6969125" cy="13017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969125" cy="130175"/>
                    </a:xfrm>
                    <a:prstGeom prst="rect">
                      <a:avLst/>
                    </a:prstGeom>
                    <a:noFill/>
                  </pic:spPr>
                </pic:pic>
              </a:graphicData>
            </a:graphic>
          </wp:anchor>
        </w:drawing>
      </w:r>
    </w:p>
    <w:p>
      <w:pPr>
        <w:spacing w:after="0" w:line="191" w:lineRule="exact"/>
        <w:rPr>
          <w:sz w:val="20"/>
          <w:szCs w:val="20"/>
          <w:color w:val="auto"/>
        </w:rPr>
      </w:pPr>
    </w:p>
    <w:p>
      <w:pPr>
        <w:ind w:left="283"/>
        <w:spacing w:after="0"/>
        <w:rPr>
          <w:sz w:val="20"/>
          <w:szCs w:val="20"/>
          <w:color w:val="auto"/>
        </w:rPr>
      </w:pPr>
      <w:r>
        <w:rPr>
          <w:rFonts w:ascii="Arial" w:cs="Arial" w:eastAsia="Arial" w:hAnsi="Arial"/>
          <w:sz w:val="16"/>
          <w:szCs w:val="16"/>
          <w:b w:val="1"/>
          <w:bCs w:val="1"/>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-105410</wp:posOffset>
            </wp:positionV>
            <wp:extent cx="6969125" cy="13017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969125" cy="130175"/>
                    </a:xfrm>
                    <a:prstGeom prst="rect">
                      <a:avLst/>
                    </a:prstGeom>
                    <a:noFill/>
                  </pic:spPr>
                </pic:pic>
              </a:graphicData>
            </a:graphic>
          </wp:anchor>
        </w:drawing>
      </w:r>
    </w:p>
    <w:p>
      <w:pPr>
        <w:spacing w:after="0" w:line="14" w:lineRule="exact"/>
        <w:rPr>
          <w:sz w:val="20"/>
          <w:szCs w:val="20"/>
          <w:color w:val="auto"/>
        </w:rPr>
      </w:pPr>
    </w:p>
    <w:p>
      <w:pPr>
        <w:ind w:left="283"/>
        <w:spacing w:after="0"/>
        <w:rPr>
          <w:sz w:val="20"/>
          <w:szCs w:val="20"/>
          <w:color w:val="auto"/>
        </w:rPr>
      </w:pPr>
      <w:r>
        <w:rPr>
          <w:rFonts w:ascii="Arial" w:cs="Arial" w:eastAsia="Arial" w:hAnsi="Arial"/>
          <w:sz w:val="14"/>
          <w:szCs w:val="14"/>
          <w:b w:val="1"/>
          <w:bCs w:val="1"/>
          <w:color w:val="auto"/>
        </w:rPr>
        <w:t>Cash and cash equivalents at beginning of year</w:t>
      </w:r>
    </w:p>
    <w:p>
      <w:pPr>
        <w:spacing w:after="0" w:line="49" w:lineRule="exact"/>
        <w:rPr>
          <w:sz w:val="20"/>
          <w:szCs w:val="20"/>
          <w:color w:val="auto"/>
        </w:rPr>
      </w:pPr>
    </w:p>
    <w:p>
      <w:pPr>
        <w:ind w:left="283"/>
        <w:spacing w:after="0"/>
        <w:rPr>
          <w:sz w:val="20"/>
          <w:szCs w:val="20"/>
          <w:color w:val="auto"/>
        </w:rPr>
      </w:pPr>
      <w:r>
        <w:rPr>
          <w:rFonts w:ascii="Arial" w:cs="Arial" w:eastAsia="Arial" w:hAnsi="Arial"/>
          <w:sz w:val="16"/>
          <w:szCs w:val="16"/>
          <w:color w:val="auto"/>
        </w:rPr>
        <w:t>Escrow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-116205</wp:posOffset>
            </wp:positionV>
            <wp:extent cx="6969125" cy="13017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969125" cy="130175"/>
                    </a:xfrm>
                    <a:prstGeom prst="rect">
                      <a:avLst/>
                    </a:prstGeom>
                    <a:noFill/>
                  </pic:spPr>
                </pic:pic>
              </a:graphicData>
            </a:graphic>
          </wp:anchor>
        </w:drawing>
      </w:r>
    </w:p>
    <w:p>
      <w:pPr>
        <w:ind w:left="283"/>
        <w:spacing w:after="0"/>
        <w:rPr>
          <w:sz w:val="20"/>
          <w:szCs w:val="20"/>
          <w:color w:val="auto"/>
        </w:rPr>
      </w:pPr>
      <w:r>
        <w:rPr>
          <w:rFonts w:ascii="Arial" w:cs="Arial" w:eastAsia="Arial" w:hAnsi="Arial"/>
          <w:sz w:val="16"/>
          <w:szCs w:val="16"/>
          <w:b w:val="1"/>
          <w:bCs w:val="1"/>
          <w:color w:val="auto"/>
        </w:rPr>
        <w:t>Cash and cash equivalents at end of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2014</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60095" cy="762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60095" cy="7620"/>
                    </a:xfrm>
                    <a:prstGeom prst="rect">
                      <a:avLst/>
                    </a:prstGeom>
                    <a:noFill/>
                  </pic:spPr>
                </pic:pic>
              </a:graphicData>
            </a:graphic>
          </wp:anchor>
        </w:drawing>
      </w:r>
    </w:p>
    <w:p>
      <w:pPr>
        <w:spacing w:after="0" w:line="18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(265)</w:t>
      </w:r>
    </w:p>
    <w:p>
      <w:pPr>
        <w:spacing w:after="0" w:line="2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(21,325)</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37,379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760095" cy="762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60095" cy="7620"/>
                    </a:xfrm>
                    <a:prstGeom prst="rect">
                      <a:avLst/>
                    </a:prstGeom>
                    <a:noFill/>
                  </pic:spPr>
                </pic:pic>
              </a:graphicData>
            </a:graphic>
          </wp:anchor>
        </w:drawing>
      </w:r>
    </w:p>
    <w:p>
      <w:pPr>
        <w:spacing w:after="0" w:line="218"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15,789</w:t>
      </w:r>
    </w:p>
    <w:p>
      <w:pPr>
        <w:spacing w:after="0" w:line="2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49,951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60095" cy="762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60095" cy="7620"/>
                    </a:xfrm>
                    <a:prstGeom prst="rect">
                      <a:avLst/>
                    </a:prstGeom>
                    <a:noFill/>
                  </pic:spPr>
                </pic:pic>
              </a:graphicData>
            </a:graphic>
          </wp:anchor>
        </w:drawing>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7,819</w:t>
      </w:r>
    </w:p>
    <w:p>
      <w:pPr>
        <w:spacing w:after="0" w:line="21"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73,559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60095" cy="762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6009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-116205</wp:posOffset>
            </wp:positionV>
            <wp:extent cx="760095" cy="762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6009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43" w:space="720"/>
            <w:col w:w="1300"/>
          </w:cols>
          <w:pgMar w:left="237" w:top="824" w:right="399" w:bottom="1440" w:gutter="0" w:footer="0" w:header="0"/>
        </w:sectPr>
      </w:pPr>
    </w:p>
    <w:p>
      <w:pPr>
        <w:spacing w:after="0" w:line="15" w:lineRule="exact"/>
        <w:rPr>
          <w:sz w:val="20"/>
          <w:szCs w:val="20"/>
          <w:color w:val="auto"/>
        </w:rPr>
      </w:pPr>
    </w:p>
    <w:p>
      <w:pPr>
        <w:ind w:left="343" w:right="40" w:hanging="343"/>
        <w:spacing w:after="0" w:line="284" w:lineRule="auto"/>
        <w:tabs>
          <w:tab w:leader="none" w:pos="343" w:val="left"/>
        </w:tabs>
        <w:numPr>
          <w:ilvl w:val="0"/>
          <w:numId w:val="85"/>
        </w:numPr>
        <w:rPr>
          <w:rFonts w:ascii="Arial" w:cs="Arial" w:eastAsia="Arial" w:hAnsi="Arial"/>
          <w:sz w:val="15"/>
          <w:szCs w:val="15"/>
          <w:color w:val="auto"/>
        </w:rPr>
      </w:pPr>
      <w:r>
        <w:rPr>
          <w:rFonts w:ascii="Arial" w:cs="Arial" w:eastAsia="Arial" w:hAnsi="Arial"/>
          <w:sz w:val="15"/>
          <w:szCs w:val="15"/>
          <w:color w:val="auto"/>
        </w:rPr>
        <w:t>For the health insurance business, which represents one of the main business activities performed by PPS, Banmédica paid US$25.0 million in cash to PPS, obtaining 50 percent of the results related to this business line (health insurance business in Peru). The distributable income will be shared in equal parts (50 percent) and will be determined based on a formula agreed by both parties in the respective contract. PPS will contribute the management of the business and Banmédica will contribute the business plan each year, which contains, among others, business strategies in technical, economic, technological and financial terms.</w:t>
      </w:r>
    </w:p>
    <w:p>
      <w:pPr>
        <w:spacing w:after="0" w:line="147"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280" w:type="dxa"/>
            <w:vAlign w:val="bottom"/>
          </w:tcPr>
          <w:p>
            <w:pPr>
              <w:spacing w:after="0"/>
              <w:rPr>
                <w:sz w:val="20"/>
                <w:szCs w:val="20"/>
                <w:color w:val="auto"/>
              </w:rPr>
            </w:pPr>
            <w:r>
              <w:rPr>
                <w:rFonts w:ascii="Arial" w:cs="Arial" w:eastAsia="Arial" w:hAnsi="Arial"/>
                <w:sz w:val="16"/>
                <w:szCs w:val="16"/>
                <w:b w:val="1"/>
                <w:bCs w:val="1"/>
                <w:color w:val="auto"/>
              </w:rPr>
              <w:t>14</w:t>
            </w:r>
          </w:p>
        </w:tc>
        <w:tc>
          <w:tcPr>
            <w:tcW w:w="8740" w:type="dxa"/>
            <w:vAlign w:val="bottom"/>
            <w:gridSpan w:val="2"/>
          </w:tcPr>
          <w:p>
            <w:pPr>
              <w:ind w:left="300"/>
              <w:spacing w:after="0"/>
              <w:rPr>
                <w:sz w:val="20"/>
                <w:szCs w:val="20"/>
                <w:color w:val="auto"/>
              </w:rPr>
            </w:pPr>
            <w:r>
              <w:rPr>
                <w:rFonts w:ascii="Arial" w:cs="Arial" w:eastAsia="Arial" w:hAnsi="Arial"/>
                <w:sz w:val="16"/>
                <w:szCs w:val="16"/>
                <w:b w:val="1"/>
                <w:bCs w:val="1"/>
                <w:color w:val="auto"/>
              </w:rPr>
              <w:t>DEPOSITS AND OBLIGATIONS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87"/>
        </w:trPr>
        <w:tc>
          <w:tcPr>
            <w:tcW w:w="9020" w:type="dxa"/>
            <w:vAlign w:val="bottom"/>
            <w:gridSpan w:val="3"/>
          </w:tcPr>
          <w:p>
            <w:pPr>
              <w:spacing w:after="0"/>
              <w:rPr>
                <w:sz w:val="20"/>
                <w:szCs w:val="20"/>
                <w:color w:val="auto"/>
              </w:rPr>
            </w:pPr>
            <w:r>
              <w:rPr>
                <w:rFonts w:ascii="Arial" w:cs="Arial" w:eastAsia="Arial" w:hAnsi="Arial"/>
                <w:sz w:val="16"/>
                <w:szCs w:val="16"/>
                <w:color w:val="auto"/>
              </w:rPr>
              <w:t>a)  This item consists of the following:</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9"/>
        </w:trPr>
        <w:tc>
          <w:tcPr>
            <w:tcW w:w="280" w:type="dxa"/>
            <w:vAlign w:val="bottom"/>
          </w:tcPr>
          <w:p>
            <w:pPr>
              <w:spacing w:after="0"/>
              <w:rPr>
                <w:sz w:val="24"/>
                <w:szCs w:val="24"/>
                <w:color w:val="auto"/>
              </w:rPr>
            </w:pPr>
          </w:p>
        </w:tc>
        <w:tc>
          <w:tcPr>
            <w:tcW w:w="8740" w:type="dxa"/>
            <w:vAlign w:val="bottom"/>
            <w:gridSpan w:val="2"/>
          </w:tcPr>
          <w:p>
            <w:pPr>
              <w:ind w:left="8260"/>
              <w:spacing w:after="0"/>
              <w:rPr>
                <w:sz w:val="20"/>
                <w:szCs w:val="20"/>
                <w:color w:val="auto"/>
              </w:rPr>
            </w:pPr>
            <w:r>
              <w:rPr>
                <w:rFonts w:ascii="Arial" w:cs="Arial" w:eastAsia="Arial" w:hAnsi="Arial"/>
                <w:sz w:val="16"/>
                <w:szCs w:val="16"/>
                <w:b w:val="1"/>
                <w:bCs w:val="1"/>
                <w:color w:val="auto"/>
              </w:rPr>
              <w:t>2016</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28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w w:val="87"/>
              </w:rPr>
              <w:t>S/(000)</w:t>
            </w: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gridSpan w:val="2"/>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accounts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28,506,270</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28,499,990</w:t>
            </w:r>
          </w:p>
        </w:tc>
        <w:tc>
          <w:tcPr>
            <w:tcW w:w="8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740" w:type="dxa"/>
            <w:vAlign w:val="bottom"/>
            <w:gridSpan w:val="2"/>
          </w:tcPr>
          <w:p>
            <w:pPr>
              <w:spacing w:after="0"/>
              <w:rPr>
                <w:sz w:val="20"/>
                <w:szCs w:val="20"/>
                <w:color w:val="auto"/>
              </w:rPr>
            </w:pPr>
            <w:r>
              <w:rPr>
                <w:rFonts w:ascii="Arial" w:cs="Arial" w:eastAsia="Arial" w:hAnsi="Arial"/>
                <w:sz w:val="16"/>
                <w:szCs w:val="16"/>
                <w:color w:val="auto"/>
              </w:rPr>
              <w:t>Time deposits (c)</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22,531,305</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25,999,186</w:t>
            </w:r>
          </w:p>
        </w:tc>
        <w:tc>
          <w:tcPr>
            <w:tcW w:w="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Saving accounts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26,684,134</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24,904,565</w:t>
            </w:r>
          </w:p>
        </w:tc>
        <w:tc>
          <w:tcPr>
            <w:tcW w:w="8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740" w:type="dxa"/>
            <w:vAlign w:val="bottom"/>
            <w:gridSpan w:val="2"/>
          </w:tcPr>
          <w:p>
            <w:pPr>
              <w:spacing w:after="0"/>
              <w:rPr>
                <w:sz w:val="20"/>
                <w:szCs w:val="20"/>
                <w:color w:val="auto"/>
              </w:rPr>
            </w:pPr>
            <w:r>
              <w:rPr>
                <w:rFonts w:ascii="Arial" w:cs="Arial" w:eastAsia="Arial" w:hAnsi="Arial"/>
                <w:sz w:val="16"/>
                <w:szCs w:val="16"/>
                <w:color w:val="auto"/>
              </w:rPr>
              <w:t>Severance indemnity deposits</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7,117,685</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7,183,421</w:t>
            </w:r>
          </w:p>
        </w:tc>
        <w:tc>
          <w:tcPr>
            <w:tcW w:w="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Bank’s negotiable certificates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743,726</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1,720,800</w:t>
            </w:r>
          </w:p>
        </w:tc>
        <w:tc>
          <w:tcPr>
            <w:tcW w:w="80" w:type="dxa"/>
            <w:vAlign w:val="bottom"/>
            <w:shd w:val="clear" w:color="auto" w:fill="CCEEFF"/>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4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7"/>
              </w:rPr>
              <w:t>85,583,120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88,307,962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payable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333,267</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298,671</w:t>
            </w:r>
          </w:p>
        </w:tc>
        <w:tc>
          <w:tcPr>
            <w:tcW w:w="80" w:type="dxa"/>
            <w:vAlign w:val="bottom"/>
            <w:shd w:val="clear" w:color="auto" w:fill="CCEEFF"/>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4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85,916,387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88,606,633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81" w:lineRule="exact"/>
        <w:rPr>
          <w:sz w:val="20"/>
          <w:szCs w:val="20"/>
          <w:color w:val="auto"/>
        </w:rPr>
      </w:pPr>
    </w:p>
    <w:p>
      <w:pPr>
        <w:ind w:left="283" w:right="180"/>
        <w:spacing w:after="0" w:line="266" w:lineRule="auto"/>
        <w:rPr>
          <w:sz w:val="20"/>
          <w:szCs w:val="20"/>
          <w:color w:val="auto"/>
        </w:rPr>
      </w:pPr>
      <w:r>
        <w:rPr>
          <w:rFonts w:ascii="Arial" w:cs="Arial" w:eastAsia="Arial" w:hAnsi="Arial"/>
          <w:sz w:val="16"/>
          <w:szCs w:val="16"/>
          <w:color w:val="auto"/>
        </w:rPr>
        <w:t>The Group has established a policy to remunerate demand deposits and savings accounts according to an interest rate scale, based on the average balance maintained in those accounts; on the other hand, according with its policy, balances that are lower than a specified amount for each type of account do not bear interest. Also, time deposits earn interest at market rates.</w:t>
      </w:r>
    </w:p>
    <w:p>
      <w:pPr>
        <w:spacing w:after="0" w:line="162" w:lineRule="exact"/>
        <w:rPr>
          <w:sz w:val="20"/>
          <w:szCs w:val="20"/>
          <w:color w:val="auto"/>
        </w:rPr>
      </w:pPr>
    </w:p>
    <w:p>
      <w:pPr>
        <w:ind w:left="283"/>
        <w:spacing w:after="0"/>
        <w:rPr>
          <w:sz w:val="20"/>
          <w:szCs w:val="20"/>
          <w:color w:val="auto"/>
        </w:rPr>
      </w:pPr>
      <w:r>
        <w:rPr>
          <w:rFonts w:ascii="Arial" w:cs="Arial" w:eastAsia="Arial" w:hAnsi="Arial"/>
          <w:sz w:val="16"/>
          <w:szCs w:val="16"/>
          <w:color w:val="auto"/>
        </w:rPr>
        <w:t>Interest rates are determined by the Group considering interest rates prevailing in the market in which each of the Group’s subsidiaries operates.</w:t>
      </w:r>
    </w:p>
    <w:p>
      <w:pPr>
        <w:spacing w:after="0" w:line="396" w:lineRule="exact"/>
        <w:rPr>
          <w:sz w:val="20"/>
          <w:szCs w:val="20"/>
          <w:color w:val="auto"/>
        </w:rPr>
      </w:pPr>
    </w:p>
    <w:p>
      <w:pPr>
        <w:jc w:val="center"/>
        <w:ind w:right="-182"/>
        <w:spacing w:after="0"/>
        <w:rPr>
          <w:sz w:val="20"/>
          <w:szCs w:val="20"/>
          <w:color w:val="auto"/>
        </w:rPr>
      </w:pPr>
      <w:r>
        <w:rPr>
          <w:rFonts w:ascii="Arial" w:cs="Arial" w:eastAsia="Arial" w:hAnsi="Arial"/>
          <w:sz w:val="16"/>
          <w:szCs w:val="16"/>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63"/>
          </w:cols>
          <w:pgMar w:left="237" w:top="824" w:right="399" w:bottom="1440" w:gutter="0" w:footer="0" w:header="0"/>
          <w:type w:val="continuous"/>
        </w:sectPr>
      </w:pPr>
    </w:p>
    <w:bookmarkStart w:id="81" w:name="page82"/>
    <w:bookmarkEnd w:id="81"/>
    <w:tbl>
      <w:tblPr>
        <w:tblLayout w:type="fixed"/>
        <w:tblInd w:w="3" w:type="dxa"/>
        <w:tblCellMar>
          <w:top w:w="0" w:type="dxa"/>
          <w:left w:w="0" w:type="dxa"/>
          <w:bottom w:w="0" w:type="dxa"/>
          <w:right w:w="0" w:type="dxa"/>
        </w:tblCellMar>
      </w:tblPr>
      <w:tr>
        <w:trPr>
          <w:trHeight w:val="206"/>
        </w:trPr>
        <w:tc>
          <w:tcPr>
            <w:tcW w:w="280" w:type="dxa"/>
            <w:vAlign w:val="bottom"/>
          </w:tcPr>
          <w:p>
            <w:pPr>
              <w:spacing w:after="0"/>
              <w:rPr>
                <w:sz w:val="20"/>
                <w:szCs w:val="20"/>
                <w:color w:val="auto"/>
              </w:rPr>
            </w:pPr>
            <w:r>
              <w:rPr>
                <w:rFonts w:ascii="Arial" w:cs="Arial" w:eastAsia="Arial" w:hAnsi="Arial"/>
                <w:sz w:val="16"/>
                <w:szCs w:val="16"/>
                <w:color w:val="auto"/>
              </w:rPr>
              <w:t>b)</w:t>
            </w:r>
          </w:p>
        </w:tc>
        <w:tc>
          <w:tcPr>
            <w:tcW w:w="8260" w:type="dxa"/>
            <w:vAlign w:val="bottom"/>
          </w:tcPr>
          <w:p>
            <w:pPr>
              <w:spacing w:after="0"/>
              <w:rPr>
                <w:sz w:val="20"/>
                <w:szCs w:val="20"/>
                <w:color w:val="auto"/>
              </w:rPr>
            </w:pPr>
            <w:r>
              <w:rPr>
                <w:rFonts w:ascii="Arial" w:cs="Arial" w:eastAsia="Arial" w:hAnsi="Arial"/>
                <w:sz w:val="16"/>
                <w:szCs w:val="16"/>
                <w:color w:val="auto"/>
              </w:rPr>
              <w:t>The amounts of non-interest-bearing and interest-bearing deposits and obligations are presented below:</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9"/>
        </w:trPr>
        <w:tc>
          <w:tcPr>
            <w:tcW w:w="2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4"/>
                <w:szCs w:val="2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28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Non-interest-bearing -</w:t>
            </w: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Arial" w:cs="Arial" w:eastAsia="Arial" w:hAnsi="Arial"/>
                <w:sz w:val="16"/>
                <w:szCs w:val="16"/>
                <w:color w:val="auto"/>
              </w:rPr>
              <w:t>In Peru</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24,718,582</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23,324,797</w:t>
            </w:r>
          </w:p>
        </w:tc>
        <w:tc>
          <w:tcPr>
            <w:tcW w:w="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In other countries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3,366,109</w:t>
            </w:r>
          </w:p>
        </w:tc>
        <w:tc>
          <w:tcPr>
            <w:tcW w:w="2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4,724,273</w:t>
            </w:r>
          </w:p>
        </w:tc>
        <w:tc>
          <w:tcPr>
            <w:tcW w:w="80" w:type="dxa"/>
            <w:vAlign w:val="bottom"/>
            <w:shd w:val="clear" w:color="auto" w:fill="CCEEFF"/>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826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28,084,691</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28,049,070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Arial" w:cs="Arial" w:eastAsia="Arial" w:hAnsi="Arial"/>
                <w:sz w:val="16"/>
                <w:szCs w:val="16"/>
                <w:b w:val="1"/>
                <w:bCs w:val="1"/>
                <w:color w:val="auto"/>
              </w:rPr>
              <w:t>Interest-bearing -</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In Peru</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52,472,191</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53,630,904</w:t>
            </w:r>
          </w:p>
        </w:tc>
        <w:tc>
          <w:tcPr>
            <w:tcW w:w="80" w:type="dxa"/>
            <w:vAlign w:val="bottom"/>
            <w:shd w:val="clear" w:color="auto" w:fill="CCEEFF"/>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Arial" w:cs="Arial" w:eastAsia="Arial" w:hAnsi="Arial"/>
                <w:sz w:val="16"/>
                <w:szCs w:val="16"/>
                <w:color w:val="auto"/>
              </w:rPr>
              <w:t>In other countries</w:t>
            </w:r>
          </w:p>
        </w:tc>
        <w:tc>
          <w:tcPr>
            <w:tcW w:w="1200" w:type="dxa"/>
            <w:vAlign w:val="bottom"/>
          </w:tcPr>
          <w:p>
            <w:pPr>
              <w:jc w:val="right"/>
              <w:spacing w:after="0"/>
              <w:rPr>
                <w:sz w:val="20"/>
                <w:szCs w:val="20"/>
                <w:color w:val="auto"/>
              </w:rPr>
            </w:pPr>
            <w:r>
              <w:rPr>
                <w:rFonts w:ascii="Arial" w:cs="Arial" w:eastAsia="Arial" w:hAnsi="Arial"/>
                <w:sz w:val="16"/>
                <w:szCs w:val="16"/>
                <w:color w:val="auto"/>
              </w:rPr>
              <w:t>5,026,238</w:t>
            </w:r>
          </w:p>
        </w:tc>
        <w:tc>
          <w:tcPr>
            <w:tcW w:w="220" w:type="dxa"/>
            <w:vAlign w:val="bottom"/>
          </w:tcPr>
          <w:p>
            <w:pPr>
              <w:spacing w:after="0"/>
              <w:rPr>
                <w:sz w:val="17"/>
                <w:szCs w:val="17"/>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6,627,988</w:t>
            </w:r>
          </w:p>
        </w:tc>
        <w:tc>
          <w:tcPr>
            <w:tcW w:w="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82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57,498,429</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60,258,892</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85,583,120</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88,307,962</w:t>
            </w:r>
          </w:p>
        </w:tc>
        <w:tc>
          <w:tcPr>
            <w:tcW w:w="80" w:type="dxa"/>
            <w:vAlign w:val="bottom"/>
            <w:shd w:val="clear" w:color="auto" w:fill="CCEEFF"/>
          </w:tcPr>
          <w:p>
            <w:pPr>
              <w:spacing w:after="0"/>
              <w:rPr>
                <w:sz w:val="17"/>
                <w:szCs w:val="17"/>
                <w:color w:val="auto"/>
              </w:rPr>
            </w:pPr>
          </w:p>
        </w:tc>
      </w:tr>
      <w:tr>
        <w:trPr>
          <w:trHeight w:val="379"/>
        </w:trPr>
        <w:tc>
          <w:tcPr>
            <w:tcW w:w="280" w:type="dxa"/>
            <w:vAlign w:val="bottom"/>
          </w:tcPr>
          <w:p>
            <w:pPr>
              <w:spacing w:after="0"/>
              <w:rPr>
                <w:sz w:val="20"/>
                <w:szCs w:val="20"/>
                <w:color w:val="auto"/>
              </w:rPr>
            </w:pPr>
            <w:r>
              <w:rPr>
                <w:rFonts w:ascii="Arial" w:cs="Arial" w:eastAsia="Arial" w:hAnsi="Arial"/>
                <w:sz w:val="16"/>
                <w:szCs w:val="16"/>
                <w:color w:val="auto"/>
              </w:rPr>
              <w:t>c)</w:t>
            </w:r>
          </w:p>
        </w:tc>
        <w:tc>
          <w:tcPr>
            <w:tcW w:w="8260" w:type="dxa"/>
            <w:vAlign w:val="bottom"/>
          </w:tcPr>
          <w:p>
            <w:pPr>
              <w:spacing w:after="0"/>
              <w:rPr>
                <w:sz w:val="20"/>
                <w:szCs w:val="20"/>
                <w:color w:val="auto"/>
              </w:rPr>
            </w:pPr>
            <w:r>
              <w:rPr>
                <w:rFonts w:ascii="Arial" w:cs="Arial" w:eastAsia="Arial" w:hAnsi="Arial"/>
                <w:sz w:val="16"/>
                <w:szCs w:val="16"/>
                <w:color w:val="auto"/>
              </w:rPr>
              <w:t>The balance of time deposits classified by maturity is as follows:</w:t>
            </w: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9"/>
        </w:trPr>
        <w:tc>
          <w:tcPr>
            <w:tcW w:w="2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4"/>
                <w:szCs w:val="2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28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gridSpan w:val="2"/>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420" w:type="dxa"/>
            <w:vAlign w:val="bottom"/>
            <w:gridSpan w:val="2"/>
          </w:tcPr>
          <w:p>
            <w:pPr>
              <w:spacing w:after="0"/>
              <w:rPr>
                <w:sz w:val="15"/>
                <w:szCs w:val="15"/>
                <w:color w:val="auto"/>
              </w:rPr>
            </w:pPr>
          </w:p>
        </w:tc>
        <w:tc>
          <w:tcPr>
            <w:tcW w:w="122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Up to 3 months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11,017,649</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14,493,389</w:t>
            </w:r>
          </w:p>
        </w:tc>
        <w:tc>
          <w:tcPr>
            <w:tcW w:w="8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Arial" w:cs="Arial" w:eastAsia="Arial" w:hAnsi="Arial"/>
                <w:sz w:val="16"/>
                <w:szCs w:val="16"/>
                <w:color w:val="auto"/>
              </w:rPr>
              <w:t>From 3 months to 1 year</w:t>
            </w:r>
          </w:p>
        </w:tc>
        <w:tc>
          <w:tcPr>
            <w:tcW w:w="1200" w:type="dxa"/>
            <w:vAlign w:val="bottom"/>
          </w:tcPr>
          <w:p>
            <w:pPr>
              <w:jc w:val="right"/>
              <w:spacing w:after="0"/>
              <w:rPr>
                <w:sz w:val="20"/>
                <w:szCs w:val="20"/>
                <w:color w:val="auto"/>
              </w:rPr>
            </w:pPr>
            <w:r>
              <w:rPr>
                <w:rFonts w:ascii="Arial" w:cs="Arial" w:eastAsia="Arial" w:hAnsi="Arial"/>
                <w:sz w:val="16"/>
                <w:szCs w:val="16"/>
                <w:color w:val="auto"/>
              </w:rPr>
              <w:t>6,614,180</w:t>
            </w:r>
          </w:p>
        </w:tc>
        <w:tc>
          <w:tcPr>
            <w:tcW w:w="220" w:type="dxa"/>
            <w:vAlign w:val="bottom"/>
          </w:tcPr>
          <w:p>
            <w:pPr>
              <w:spacing w:after="0"/>
              <w:rPr>
                <w:sz w:val="16"/>
                <w:szCs w:val="16"/>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7,204,555</w:t>
            </w:r>
          </w:p>
        </w:tc>
        <w:tc>
          <w:tcPr>
            <w:tcW w:w="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From 1 to 3 years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2,770,452</w:t>
            </w:r>
          </w:p>
        </w:tc>
        <w:tc>
          <w:tcPr>
            <w:tcW w:w="2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2,505,630</w:t>
            </w:r>
          </w:p>
        </w:tc>
        <w:tc>
          <w:tcPr>
            <w:tcW w:w="8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Arial" w:cs="Arial" w:eastAsia="Arial" w:hAnsi="Arial"/>
                <w:sz w:val="16"/>
                <w:szCs w:val="16"/>
                <w:color w:val="auto"/>
              </w:rPr>
              <w:t>From 3 to 5 years</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777,729</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700,663</w:t>
            </w:r>
          </w:p>
        </w:tc>
        <w:tc>
          <w:tcPr>
            <w:tcW w:w="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Over 5 years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1,351,295</w:t>
            </w:r>
          </w:p>
        </w:tc>
        <w:tc>
          <w:tcPr>
            <w:tcW w:w="2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1,094,949</w:t>
            </w:r>
          </w:p>
        </w:tc>
        <w:tc>
          <w:tcPr>
            <w:tcW w:w="80" w:type="dxa"/>
            <w:vAlign w:val="bottom"/>
            <w:shd w:val="clear" w:color="auto" w:fill="CCEEFF"/>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82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22,531,305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25,999,186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81" w:lineRule="exact"/>
        <w:rPr>
          <w:sz w:val="20"/>
          <w:szCs w:val="20"/>
          <w:color w:val="auto"/>
        </w:rPr>
      </w:pPr>
    </w:p>
    <w:p>
      <w:pPr>
        <w:ind w:left="283"/>
        <w:spacing w:after="0"/>
        <w:rPr>
          <w:sz w:val="20"/>
          <w:szCs w:val="20"/>
          <w:color w:val="auto"/>
        </w:rPr>
      </w:pPr>
      <w:r>
        <w:rPr>
          <w:rFonts w:ascii="Arial" w:cs="Arial" w:eastAsia="Arial" w:hAnsi="Arial"/>
          <w:sz w:val="16"/>
          <w:szCs w:val="16"/>
          <w:color w:val="auto"/>
        </w:rPr>
        <w:t>As of December 31, 2016 and 2015 Management considers the Group’s deposits and obligations are diversified with no significant concentrations.</w:t>
      </w:r>
    </w:p>
    <w:p>
      <w:pPr>
        <w:spacing w:after="0" w:line="203" w:lineRule="exact"/>
        <w:rPr>
          <w:sz w:val="20"/>
          <w:szCs w:val="20"/>
          <w:color w:val="auto"/>
        </w:rPr>
      </w:pPr>
    </w:p>
    <w:p>
      <w:pPr>
        <w:ind w:left="283" w:right="140"/>
        <w:spacing w:after="0" w:line="266" w:lineRule="auto"/>
        <w:rPr>
          <w:sz w:val="20"/>
          <w:szCs w:val="20"/>
          <w:color w:val="auto"/>
        </w:rPr>
      </w:pPr>
      <w:r>
        <w:rPr>
          <w:rFonts w:ascii="Arial" w:cs="Arial" w:eastAsia="Arial" w:hAnsi="Arial"/>
          <w:sz w:val="16"/>
          <w:szCs w:val="16"/>
          <w:color w:val="auto"/>
        </w:rPr>
        <w:t>At December 31, 2016 and 2015, of the total balance of deposits and obligations in Peru, approximately S/28,239.3 million and S/26,812.6 million are secured by the Peruvian “Fondo de Seguro de Depósitos” (Deposit Insurance Fund). At said dates, maximum coverage recognized by “Fondo de Seguro de Depósitos” totaled S/97,644.0 and S/96,246.0, respectively.</w:t>
      </w:r>
    </w:p>
    <w:p>
      <w:pPr>
        <w:spacing w:after="0" w:line="158" w:lineRule="exact"/>
        <w:rPr>
          <w:sz w:val="20"/>
          <w:szCs w:val="20"/>
          <w:color w:val="auto"/>
        </w:rPr>
      </w:pPr>
    </w:p>
    <w:p>
      <w:pPr>
        <w:ind w:left="3"/>
        <w:spacing w:after="0"/>
        <w:tabs>
          <w:tab w:leader="none" w:pos="563" w:val="left"/>
        </w:tabs>
        <w:rPr>
          <w:sz w:val="20"/>
          <w:szCs w:val="20"/>
          <w:color w:val="auto"/>
        </w:rPr>
      </w:pPr>
      <w:r>
        <w:rPr>
          <w:rFonts w:ascii="Arial" w:cs="Arial" w:eastAsia="Arial" w:hAnsi="Arial"/>
          <w:sz w:val="16"/>
          <w:szCs w:val="16"/>
          <w:b w:val="1"/>
          <w:bCs w:val="1"/>
          <w:color w:val="auto"/>
        </w:rPr>
        <w:t>15</w:t>
      </w:r>
      <w:r>
        <w:rPr>
          <w:sz w:val="20"/>
          <w:szCs w:val="20"/>
          <w:color w:val="auto"/>
        </w:rPr>
        <w:tab/>
      </w:r>
      <w:r>
        <w:rPr>
          <w:rFonts w:ascii="Arial" w:cs="Arial" w:eastAsia="Arial" w:hAnsi="Arial"/>
          <w:sz w:val="16"/>
          <w:szCs w:val="16"/>
          <w:b w:val="1"/>
          <w:bCs w:val="1"/>
          <w:color w:val="auto"/>
        </w:rPr>
        <w:t>DUE TO BANKS AND CORRESPONDENTS</w:t>
      </w:r>
    </w:p>
    <w:p>
      <w:pPr>
        <w:spacing w:after="0" w:line="207" w:lineRule="exact"/>
        <w:rPr>
          <w:sz w:val="20"/>
          <w:szCs w:val="20"/>
          <w:color w:val="auto"/>
        </w:rPr>
      </w:pPr>
    </w:p>
    <w:p>
      <w:pPr>
        <w:ind w:left="283" w:hanging="283"/>
        <w:spacing w:after="0"/>
        <w:tabs>
          <w:tab w:leader="none" w:pos="283"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211"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5760" w:type="dxa"/>
            <w:vAlign w:val="bottom"/>
            <w:gridSpan w:val="2"/>
          </w:tcPr>
          <w:p>
            <w:pPr>
              <w:jc w:val="right"/>
              <w:ind w:right="79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2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87"/>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International funds and others (i)</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5,253,826</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5,569,602</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Promotional credit lines (ii)</w:t>
            </w:r>
          </w:p>
        </w:tc>
        <w:tc>
          <w:tcPr>
            <w:tcW w:w="5760" w:type="dxa"/>
            <w:vAlign w:val="bottom"/>
            <w:gridSpan w:val="2"/>
          </w:tcPr>
          <w:p>
            <w:pPr>
              <w:jc w:val="right"/>
              <w:spacing w:after="0"/>
              <w:rPr>
                <w:sz w:val="20"/>
                <w:szCs w:val="20"/>
                <w:color w:val="auto"/>
              </w:rPr>
            </w:pPr>
            <w:r>
              <w:rPr>
                <w:rFonts w:ascii="Arial" w:cs="Arial" w:eastAsia="Arial" w:hAnsi="Arial"/>
                <w:sz w:val="16"/>
                <w:szCs w:val="16"/>
                <w:color w:val="auto"/>
              </w:rPr>
              <w:t>1,793,205</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1,721,136</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Inter-bank funds</w:t>
            </w:r>
          </w:p>
        </w:tc>
        <w:tc>
          <w:tcPr>
            <w:tcW w:w="59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408,153</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446,000</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7,455,184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7,736,738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Interest payable</w:t>
            </w:r>
          </w:p>
        </w:tc>
        <w:tc>
          <w:tcPr>
            <w:tcW w:w="59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38,732</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25,759</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456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7,493,916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7,762,497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572"/>
        </w:trPr>
        <w:tc>
          <w:tcPr>
            <w:tcW w:w="2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jc w:val="right"/>
              <w:ind w:right="2559"/>
              <w:spacing w:after="0"/>
              <w:rPr>
                <w:sz w:val="20"/>
                <w:szCs w:val="20"/>
                <w:color w:val="auto"/>
              </w:rPr>
            </w:pPr>
            <w:r>
              <w:rPr>
                <w:rFonts w:ascii="Arial" w:cs="Arial" w:eastAsia="Arial" w:hAnsi="Arial"/>
                <w:sz w:val="16"/>
                <w:szCs w:val="16"/>
                <w:color w:val="auto"/>
              </w:rPr>
              <w:t>- 77 -</w:t>
            </w: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3"/>
          </w:cols>
          <w:pgMar w:left="237" w:top="828" w:right="21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00" w:type="dxa"/>
            <w:vAlign w:val="bottom"/>
            <w:gridSpan w:val="3"/>
          </w:tcPr>
          <w:p>
            <w:pPr>
              <w:spacing w:after="0"/>
              <w:rPr>
                <w:sz w:val="20"/>
                <w:szCs w:val="20"/>
                <w:color w:val="auto"/>
              </w:rPr>
            </w:pPr>
            <w:r>
              <w:rPr>
                <w:rFonts w:ascii="Arial" w:cs="Arial" w:eastAsia="Arial" w:hAnsi="Arial"/>
                <w:sz w:val="16"/>
                <w:szCs w:val="16"/>
                <w:color w:val="auto"/>
              </w:rPr>
              <w:t>(i)  This item consists of the following:</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8700" w:type="dxa"/>
            <w:vAlign w:val="bottom"/>
            <w:gridSpan w:val="3"/>
          </w:tcPr>
          <w:p>
            <w:pPr>
              <w:ind w:left="8200"/>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5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w w:val="91"/>
              </w:rPr>
              <w:t>S/(000)</w:t>
            </w: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00" w:type="dxa"/>
            <w:vAlign w:val="bottom"/>
            <w:vMerge w:val="restart"/>
          </w:tcPr>
          <w:p>
            <w:pPr>
              <w:spacing w:after="0"/>
              <w:rPr>
                <w:sz w:val="15"/>
                <w:szCs w:val="15"/>
                <w:color w:val="auto"/>
              </w:rPr>
            </w:pPr>
          </w:p>
        </w:tc>
        <w:tc>
          <w:tcPr>
            <w:tcW w:w="7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0" w:type="dxa"/>
            <w:vAlign w:val="bottom"/>
            <w:vMerge w:val="continue"/>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Bank of Montreal Canada</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805,440</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Arial" w:cs="Arial" w:eastAsia="Arial" w:hAnsi="Arial"/>
                <w:sz w:val="16"/>
                <w:szCs w:val="16"/>
                <w:color w:val="auto"/>
              </w:rPr>
              <w:t>Wells Fargo Bank NY (*)</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788,660</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392,265</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Corporación Financiera de Desarrollo (COFIDE)</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456,246</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230,072</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Arial" w:cs="Arial" w:eastAsia="Arial" w:hAnsi="Arial"/>
                <w:sz w:val="16"/>
                <w:szCs w:val="16"/>
                <w:color w:val="auto"/>
              </w:rPr>
              <w:t>Canadian Imperial Bank of Commerce Toronto</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335,600</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426,375</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Bank of New York Mellon NY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335,600</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477,540</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Arial" w:cs="Arial" w:eastAsia="Arial" w:hAnsi="Arial"/>
                <w:sz w:val="16"/>
                <w:szCs w:val="16"/>
                <w:color w:val="auto"/>
              </w:rPr>
              <w:t>Citibank N.A.</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385,940</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226,400</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Bank of America (**)</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335,426</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340,760</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Arial" w:cs="Arial" w:eastAsia="Arial" w:hAnsi="Arial"/>
                <w:sz w:val="16"/>
                <w:szCs w:val="16"/>
                <w:color w:val="auto"/>
              </w:rPr>
              <w:t>JP Morgan and Chase NY (***)</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335,204</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170,338</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HSBC Bank</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295,328</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377,347</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Arial" w:cs="Arial" w:eastAsia="Arial" w:hAnsi="Arial"/>
                <w:sz w:val="16"/>
                <w:szCs w:val="16"/>
                <w:color w:val="auto"/>
              </w:rPr>
              <w:t>Banco de Desarrollo de America Latina CAF</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247,013</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International Finance Corporation IFC</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191,142</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152,092</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Arial" w:cs="Arial" w:eastAsia="Arial" w:hAnsi="Arial"/>
                <w:sz w:val="16"/>
                <w:szCs w:val="16"/>
                <w:color w:val="auto"/>
              </w:rPr>
              <w:t>Banco Consorcio</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103,969</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Deutsche Bank</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83,900</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324,045</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Arial" w:cs="Arial" w:eastAsia="Arial" w:hAnsi="Arial"/>
                <w:sz w:val="16"/>
                <w:szCs w:val="16"/>
                <w:color w:val="auto"/>
              </w:rPr>
              <w:t>Scotiabank Perú S.A.A</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80,722</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Comunidad Andina de Fomento - CAF</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387,785</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Arial" w:cs="Arial" w:eastAsia="Arial" w:hAnsi="Arial"/>
                <w:sz w:val="16"/>
                <w:szCs w:val="16"/>
                <w:color w:val="auto"/>
              </w:rPr>
              <w:t>Sumitomo Mitsui Banking Corp</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272,880</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Standard Chartered Bank (****)</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245,592</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Arial" w:cs="Arial" w:eastAsia="Arial" w:hAnsi="Arial"/>
                <w:sz w:val="16"/>
                <w:szCs w:val="16"/>
                <w:color w:val="auto"/>
              </w:rPr>
              <w:t>China Development Bank</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204,001</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Bank of Tokyo NY (*****)</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170,127</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Arial" w:cs="Arial" w:eastAsia="Arial" w:hAnsi="Arial"/>
                <w:sz w:val="16"/>
                <w:szCs w:val="16"/>
                <w:color w:val="auto"/>
              </w:rPr>
              <w:t>Toronto Dominion Bank</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102,431</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Responsability Global Microfinance Fund</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95,666</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8400" w:type="dxa"/>
            <w:vAlign w:val="bottom"/>
            <w:gridSpan w:val="2"/>
          </w:tcPr>
          <w:p>
            <w:pPr>
              <w:spacing w:after="0"/>
              <w:rPr>
                <w:sz w:val="20"/>
                <w:szCs w:val="20"/>
                <w:color w:val="auto"/>
              </w:rPr>
            </w:pPr>
            <w:r>
              <w:rPr>
                <w:rFonts w:ascii="Arial" w:cs="Arial" w:eastAsia="Arial" w:hAnsi="Arial"/>
                <w:sz w:val="16"/>
                <w:szCs w:val="16"/>
                <w:color w:val="auto"/>
              </w:rPr>
              <w:t>Others below S/80 million</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473,636</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873,886</w:t>
            </w:r>
          </w:p>
        </w:tc>
        <w:tc>
          <w:tcPr>
            <w:tcW w:w="0" w:type="dxa"/>
            <w:vAlign w:val="bottom"/>
          </w:tcPr>
          <w:p>
            <w:pPr>
              <w:spacing w:after="0"/>
              <w:rPr>
                <w:sz w:val="1"/>
                <w:szCs w:val="1"/>
                <w:color w:val="auto"/>
              </w:rPr>
            </w:pPr>
          </w:p>
        </w:tc>
      </w:tr>
      <w:tr>
        <w:trPr>
          <w:trHeight w:val="185"/>
        </w:trPr>
        <w:tc>
          <w:tcPr>
            <w:tcW w:w="300" w:type="dxa"/>
            <w:vAlign w:val="bottom"/>
          </w:tcPr>
          <w:p>
            <w:pPr>
              <w:spacing w:after="0"/>
              <w:rPr>
                <w:sz w:val="16"/>
                <w:szCs w:val="16"/>
                <w:color w:val="auto"/>
              </w:rPr>
            </w:pPr>
          </w:p>
        </w:tc>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5,253,826</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5,569,602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680" w:hanging="383"/>
        <w:spacing w:after="0" w:line="266" w:lineRule="auto"/>
        <w:tabs>
          <w:tab w:leader="none" w:pos="6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At December 31, 2016, the balance includes two variable rate loans obtained in April and June of 2016 for a total of US$95.0 million, equivalent to S/318.8 million, the amounts of which are hedged by two IRS for a nominal amount with equal principal and maturity, see note 12(b). By means of the IRS, the two loans were economically converted to a fixed rate loan.</w:t>
      </w:r>
    </w:p>
    <w:p>
      <w:pPr>
        <w:spacing w:after="0" w:line="162" w:lineRule="exact"/>
        <w:rPr>
          <w:sz w:val="20"/>
          <w:szCs w:val="20"/>
          <w:color w:val="auto"/>
        </w:rPr>
      </w:pPr>
    </w:p>
    <w:p>
      <w:pPr>
        <w:ind w:left="680" w:right="160" w:hanging="383"/>
        <w:spacing w:after="0" w:line="292" w:lineRule="auto"/>
        <w:tabs>
          <w:tab w:leader="none" w:pos="6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At December 31, 2016 the variable rate obtained in December 2015 for US$100.0 million, equivalent to S/335.6 million (S/335.4 million net of its transaction cost) is hedged with an interest rate swap (IRS) for an amount equal to the principal and same maturity date, see note12(b). (US$100.0 million, S/341.1 million and S/340.8 million, respectively, at December 31, 2015). By means of the IRS, said loan was economically converted to a fixed rate loan.</w:t>
      </w:r>
    </w:p>
    <w:p>
      <w:pPr>
        <w:spacing w:after="0" w:line="144" w:lineRule="exact"/>
        <w:rPr>
          <w:sz w:val="20"/>
          <w:szCs w:val="20"/>
          <w:color w:val="auto"/>
        </w:rPr>
      </w:pPr>
    </w:p>
    <w:p>
      <w:pPr>
        <w:ind w:left="680" w:right="180" w:hanging="383"/>
        <w:spacing w:after="0" w:line="266" w:lineRule="auto"/>
        <w:tabs>
          <w:tab w:leader="none" w:pos="6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At December 31, 2016, the variable rate loan obtained in February 2016 for US$100.0 million, equivalent to S/335.6 million (S/335.2 million, net of its transaction cost) is hedged with an IRS for a nominal amount equal to the principal and same maturity date, see note 12(b); by means of the IRS, said loan was economically converted to a fixed-rate loan.</w:t>
      </w:r>
    </w:p>
    <w:p>
      <w:pPr>
        <w:spacing w:after="0" w:line="355" w:lineRule="exact"/>
        <w:rPr>
          <w:rFonts w:ascii="Arial" w:cs="Arial" w:eastAsia="Arial" w:hAnsi="Arial"/>
          <w:sz w:val="16"/>
          <w:szCs w:val="16"/>
          <w:color w:val="auto"/>
        </w:rPr>
      </w:pPr>
    </w:p>
    <w:p>
      <w:pPr>
        <w:ind w:left="5360" w:hanging="94"/>
        <w:spacing w:after="0"/>
        <w:tabs>
          <w:tab w:leader="none" w:pos="53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13970</wp:posOffset>
            </wp:positionV>
            <wp:extent cx="7261225" cy="762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00"/>
          </w:cols>
          <w:pgMar w:left="520" w:top="828" w:right="279" w:bottom="1440" w:gutter="0" w:footer="0" w:header="0"/>
        </w:sectPr>
      </w:pPr>
    </w:p>
    <w:bookmarkStart w:id="83" w:name="page84"/>
    <w:bookmarkEnd w:id="83"/>
    <w:p>
      <w:pPr>
        <w:ind w:left="1063" w:right="500"/>
        <w:spacing w:after="0" w:line="280" w:lineRule="auto"/>
        <w:rPr>
          <w:sz w:val="20"/>
          <w:szCs w:val="20"/>
          <w:color w:val="auto"/>
        </w:rPr>
      </w:pPr>
      <w:r>
        <w:rPr>
          <w:rFonts w:ascii="Arial" w:cs="Arial" w:eastAsia="Arial" w:hAnsi="Arial"/>
          <w:sz w:val="16"/>
          <w:szCs w:val="16"/>
          <w:color w:val="auto"/>
        </w:rPr>
        <w:t>At December 31, 2015, the variable rate loan obtained in September 2014 for US$50.0 million, equivalent to S/170.6 million (S/170.3 million net of its transaction cost) matured in October 2016, see note 12(b).</w:t>
      </w:r>
    </w:p>
    <w:p>
      <w:pPr>
        <w:spacing w:after="0" w:line="151" w:lineRule="exact"/>
        <w:rPr>
          <w:sz w:val="20"/>
          <w:szCs w:val="20"/>
          <w:color w:val="auto"/>
        </w:rPr>
      </w:pPr>
    </w:p>
    <w:p>
      <w:pPr>
        <w:ind w:left="1063" w:right="100" w:hanging="483"/>
        <w:spacing w:after="0" w:line="280" w:lineRule="auto"/>
        <w:rPr>
          <w:sz w:val="20"/>
          <w:szCs w:val="20"/>
          <w:color w:val="auto"/>
        </w:rPr>
      </w:pPr>
      <w:r>
        <w:rPr>
          <w:rFonts w:ascii="Arial" w:cs="Arial" w:eastAsia="Arial" w:hAnsi="Arial"/>
          <w:sz w:val="16"/>
          <w:szCs w:val="16"/>
          <w:color w:val="auto"/>
        </w:rPr>
        <w:t>(****) At December 31, 2015, the balance includes a variable rate loan for US$30.0 million, equivalent to S/102.3 million, which matured in October 2016, see note 12(b). By means of the IRS, said loan was economically converted to a fixed rate loan.</w:t>
      </w:r>
    </w:p>
    <w:p>
      <w:pPr>
        <w:spacing w:after="0" w:line="151" w:lineRule="exact"/>
        <w:rPr>
          <w:sz w:val="20"/>
          <w:szCs w:val="20"/>
          <w:color w:val="auto"/>
        </w:rPr>
      </w:pPr>
    </w:p>
    <w:p>
      <w:pPr>
        <w:ind w:left="1103" w:hanging="519"/>
        <w:spacing w:after="0" w:line="280" w:lineRule="auto"/>
        <w:rPr>
          <w:sz w:val="20"/>
          <w:szCs w:val="20"/>
          <w:color w:val="auto"/>
        </w:rPr>
      </w:pPr>
      <w:r>
        <w:rPr>
          <w:rFonts w:ascii="Arial" w:cs="Arial" w:eastAsia="Arial" w:hAnsi="Arial"/>
          <w:sz w:val="16"/>
          <w:szCs w:val="16"/>
          <w:color w:val="auto"/>
        </w:rPr>
        <w:t>(*****)At December 31, 2015, the variable rate loan for US$50.0 million, equivalent to S/170.6 million (S/170.1 million net of its transaction cost), which matured in October 2016, see not 12(b). By means of the IRS, said loan was economically converted to a fixed rate loan.</w:t>
      </w:r>
    </w:p>
    <w:p>
      <w:pPr>
        <w:spacing w:after="0" w:line="151" w:lineRule="exact"/>
        <w:rPr>
          <w:sz w:val="20"/>
          <w:szCs w:val="20"/>
          <w:color w:val="auto"/>
        </w:rPr>
      </w:pPr>
    </w:p>
    <w:p>
      <w:pPr>
        <w:ind w:left="583" w:right="20"/>
        <w:spacing w:after="0" w:line="280" w:lineRule="auto"/>
        <w:rPr>
          <w:sz w:val="20"/>
          <w:szCs w:val="20"/>
          <w:color w:val="auto"/>
        </w:rPr>
      </w:pPr>
      <w:r>
        <w:rPr>
          <w:rFonts w:ascii="Arial" w:cs="Arial" w:eastAsia="Arial" w:hAnsi="Arial"/>
          <w:sz w:val="16"/>
          <w:szCs w:val="16"/>
          <w:color w:val="auto"/>
        </w:rPr>
        <w:t>At December 31, 2016, loans have maturities between January 2017 and December 2031 (between January 2016 and December 2035 at December 31, 2015) and bear interest at rates that vary between 0.44 percent and 11.43 percent (between 0.62 and 8.00 percent at December 31, 2015).</w:t>
      </w:r>
    </w:p>
    <w:p>
      <w:pPr>
        <w:spacing w:after="0" w:line="151" w:lineRule="exact"/>
        <w:rPr>
          <w:sz w:val="20"/>
          <w:szCs w:val="20"/>
          <w:color w:val="auto"/>
        </w:rPr>
      </w:pPr>
    </w:p>
    <w:p>
      <w:pPr>
        <w:ind w:left="583" w:right="40" w:hanging="293"/>
        <w:spacing w:after="0" w:line="259" w:lineRule="auto"/>
        <w:tabs>
          <w:tab w:leader="none" w:pos="583" w:val="left"/>
        </w:tabs>
        <w:numPr>
          <w:ilvl w:val="1"/>
          <w:numId w:val="90"/>
        </w:numPr>
        <w:rPr>
          <w:rFonts w:ascii="Arial" w:cs="Arial" w:eastAsia="Arial" w:hAnsi="Arial"/>
          <w:sz w:val="16"/>
          <w:szCs w:val="16"/>
          <w:color w:val="auto"/>
        </w:rPr>
      </w:pPr>
      <w:r>
        <w:rPr>
          <w:rFonts w:ascii="Arial" w:cs="Arial" w:eastAsia="Arial" w:hAnsi="Arial"/>
          <w:sz w:val="16"/>
          <w:szCs w:val="16"/>
          <w:color w:val="auto"/>
        </w:rPr>
        <w:t>Promotional credit lines represent loans granted by Corporación Financiera de Desarrollo and Fondo de Cooperación para el Desarrollo Social (COFIDE and FONCODES for their Spanish acronym, respectively) to promote the development of Peru, they have maturities between January 2017 and January 2022 at annual interest rates varying between 6.00 percent and 7.75 percent at December 31, 2016 (between August 2016 and December 2035 and with annual interest rates ranging between 6.00 and 7.75 percent at December 31, 2015). These credit lines are secured by a loan portfolio totaling S/1,793.2 million and S/1,721.1 million at December 31, 2016 and December 31, 2015, respectively.</w:t>
      </w:r>
    </w:p>
    <w:p>
      <w:pPr>
        <w:spacing w:after="0" w:line="167" w:lineRule="exact"/>
        <w:rPr>
          <w:rFonts w:ascii="Arial" w:cs="Arial" w:eastAsia="Arial" w:hAnsi="Arial"/>
          <w:sz w:val="16"/>
          <w:szCs w:val="16"/>
          <w:color w:val="auto"/>
        </w:rPr>
      </w:pPr>
    </w:p>
    <w:p>
      <w:pPr>
        <w:ind w:left="583" w:right="140"/>
        <w:spacing w:after="0" w:line="315" w:lineRule="auto"/>
        <w:rPr>
          <w:rFonts w:ascii="Arial" w:cs="Arial" w:eastAsia="Arial" w:hAnsi="Arial"/>
          <w:sz w:val="16"/>
          <w:szCs w:val="16"/>
          <w:color w:val="auto"/>
        </w:rPr>
      </w:pPr>
      <w:r>
        <w:rPr>
          <w:rFonts w:ascii="Arial" w:cs="Arial" w:eastAsia="Arial" w:hAnsi="Arial"/>
          <w:sz w:val="15"/>
          <w:szCs w:val="15"/>
          <w:color w:val="auto"/>
        </w:rPr>
        <w:t>Some due to banks and correspondents include standard covenants related to financial ratios, use of funds and other administrative matters, which, in Management’s opinion, do not limit the Group’s operations and it has fully complied with them as of the dates of the consolidated financial statements.</w:t>
      </w:r>
    </w:p>
    <w:p>
      <w:pPr>
        <w:spacing w:after="0" w:line="127" w:lineRule="exact"/>
        <w:rPr>
          <w:rFonts w:ascii="Arial" w:cs="Arial" w:eastAsia="Arial" w:hAnsi="Arial"/>
          <w:sz w:val="16"/>
          <w:szCs w:val="16"/>
          <w:color w:val="auto"/>
        </w:rPr>
      </w:pPr>
    </w:p>
    <w:p>
      <w:pPr>
        <w:ind w:left="283" w:hanging="283"/>
        <w:spacing w:after="0"/>
        <w:tabs>
          <w:tab w:leader="none" w:pos="283"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table below shows maturities of due to banks and correspondents at December 31, 2016 and 2015 based on the remaining period to the maturity date:</w:t>
      </w:r>
    </w:p>
    <w:p>
      <w:pPr>
        <w:spacing w:after="0" w:line="211" w:lineRule="exact"/>
        <w:rPr>
          <w:sz w:val="20"/>
          <w:szCs w:val="20"/>
          <w:color w:val="auto"/>
        </w:rPr>
      </w:pPr>
    </w:p>
    <w:tbl>
      <w:tblPr>
        <w:tblLayout w:type="fixed"/>
        <w:tblInd w:w="283" w:type="dxa"/>
        <w:tblCellMar>
          <w:top w:w="0" w:type="dxa"/>
          <w:left w:w="0" w:type="dxa"/>
          <w:bottom w:w="0" w:type="dxa"/>
          <w:right w:w="0" w:type="dxa"/>
        </w:tblCellMar>
      </w:tblPr>
      <w:tr>
        <w:trPr>
          <w:trHeight w:val="210"/>
        </w:trPr>
        <w:tc>
          <w:tcPr>
            <w:tcW w:w="8780" w:type="dxa"/>
            <w:vAlign w:val="bottom"/>
            <w:gridSpan w:val="2"/>
          </w:tcPr>
          <w:p>
            <w:pPr>
              <w:ind w:left="8260"/>
              <w:spacing w:after="0"/>
              <w:rPr>
                <w:sz w:val="20"/>
                <w:szCs w:val="20"/>
                <w:color w:val="auto"/>
              </w:rPr>
            </w:pPr>
            <w:r>
              <w:rPr>
                <w:rFonts w:ascii="Arial" w:cs="Arial" w:eastAsia="Arial" w:hAnsi="Arial"/>
                <w:sz w:val="16"/>
                <w:szCs w:val="16"/>
                <w:b w:val="1"/>
                <w:bCs w:val="1"/>
                <w:color w:val="auto"/>
              </w:rPr>
              <w:t>2016</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260" w:type="dxa"/>
            <w:vAlign w:val="bottom"/>
          </w:tcPr>
          <w:p>
            <w:pPr>
              <w:spacing w:after="0"/>
              <w:rPr>
                <w:sz w:val="17"/>
                <w:szCs w:val="17"/>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w w:val="95"/>
              </w:rPr>
              <w:t>S/(000)</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gridSpan w:val="2"/>
          </w:tcPr>
          <w:p>
            <w:pPr>
              <w:spacing w:after="0"/>
              <w:rPr>
                <w:sz w:val="17"/>
                <w:szCs w:val="17"/>
                <w:color w:val="auto"/>
              </w:rPr>
            </w:pPr>
          </w:p>
        </w:tc>
      </w:tr>
      <w:tr>
        <w:trPr>
          <w:trHeight w:val="177"/>
        </w:trPr>
        <w:tc>
          <w:tcPr>
            <w:tcW w:w="8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87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Up to 3 months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2,801,499</w:t>
            </w:r>
          </w:p>
        </w:tc>
        <w:tc>
          <w:tcPr>
            <w:tcW w:w="2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1,881,200</w:t>
            </w:r>
          </w:p>
        </w:tc>
        <w:tc>
          <w:tcPr>
            <w:tcW w:w="80" w:type="dxa"/>
            <w:vAlign w:val="bottom"/>
            <w:shd w:val="clear" w:color="auto" w:fill="CCEEFF"/>
          </w:tcPr>
          <w:p>
            <w:pPr>
              <w:spacing w:after="0"/>
              <w:rPr>
                <w:sz w:val="16"/>
                <w:szCs w:val="16"/>
                <w:color w:val="auto"/>
              </w:rPr>
            </w:pPr>
          </w:p>
        </w:tc>
      </w:tr>
      <w:tr>
        <w:trPr>
          <w:trHeight w:val="193"/>
        </w:trPr>
        <w:tc>
          <w:tcPr>
            <w:tcW w:w="8780" w:type="dxa"/>
            <w:vAlign w:val="bottom"/>
            <w:gridSpan w:val="2"/>
          </w:tcPr>
          <w:p>
            <w:pPr>
              <w:ind w:left="60"/>
              <w:spacing w:after="0"/>
              <w:rPr>
                <w:sz w:val="20"/>
                <w:szCs w:val="20"/>
                <w:color w:val="auto"/>
              </w:rPr>
            </w:pPr>
            <w:r>
              <w:rPr>
                <w:rFonts w:ascii="Arial" w:cs="Arial" w:eastAsia="Arial" w:hAnsi="Arial"/>
                <w:sz w:val="16"/>
                <w:szCs w:val="16"/>
                <w:color w:val="auto"/>
              </w:rPr>
              <w:t>From 3 months to 1 year</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1,536,609</w:t>
            </w:r>
          </w:p>
        </w:tc>
        <w:tc>
          <w:tcPr>
            <w:tcW w:w="220" w:type="dxa"/>
            <w:vAlign w:val="bottom"/>
          </w:tcPr>
          <w:p>
            <w:pPr>
              <w:spacing w:after="0"/>
              <w:rPr>
                <w:sz w:val="16"/>
                <w:szCs w:val="16"/>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3,055,071</w:t>
            </w:r>
          </w:p>
        </w:tc>
        <w:tc>
          <w:tcPr>
            <w:tcW w:w="80" w:type="dxa"/>
            <w:vAlign w:val="bottom"/>
          </w:tcPr>
          <w:p>
            <w:pPr>
              <w:spacing w:after="0"/>
              <w:rPr>
                <w:sz w:val="16"/>
                <w:szCs w:val="16"/>
                <w:color w:val="auto"/>
              </w:rPr>
            </w:pPr>
          </w:p>
        </w:tc>
      </w:tr>
      <w:tr>
        <w:trPr>
          <w:trHeight w:val="193"/>
        </w:trPr>
        <w:tc>
          <w:tcPr>
            <w:tcW w:w="87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From 1 to 3 years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1,214,848</w:t>
            </w:r>
          </w:p>
        </w:tc>
        <w:tc>
          <w:tcPr>
            <w:tcW w:w="2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1,286,206</w:t>
            </w:r>
          </w:p>
        </w:tc>
        <w:tc>
          <w:tcPr>
            <w:tcW w:w="80" w:type="dxa"/>
            <w:vAlign w:val="bottom"/>
            <w:shd w:val="clear" w:color="auto" w:fill="CCEEFF"/>
          </w:tcPr>
          <w:p>
            <w:pPr>
              <w:spacing w:after="0"/>
              <w:rPr>
                <w:sz w:val="16"/>
                <w:szCs w:val="16"/>
                <w:color w:val="auto"/>
              </w:rPr>
            </w:pPr>
          </w:p>
        </w:tc>
      </w:tr>
      <w:tr>
        <w:trPr>
          <w:trHeight w:val="193"/>
        </w:trPr>
        <w:tc>
          <w:tcPr>
            <w:tcW w:w="8780" w:type="dxa"/>
            <w:vAlign w:val="bottom"/>
            <w:gridSpan w:val="2"/>
          </w:tcPr>
          <w:p>
            <w:pPr>
              <w:ind w:left="60"/>
              <w:spacing w:after="0"/>
              <w:rPr>
                <w:sz w:val="20"/>
                <w:szCs w:val="20"/>
                <w:color w:val="auto"/>
              </w:rPr>
            </w:pPr>
            <w:r>
              <w:rPr>
                <w:rFonts w:ascii="Arial" w:cs="Arial" w:eastAsia="Arial" w:hAnsi="Arial"/>
                <w:sz w:val="16"/>
                <w:szCs w:val="16"/>
                <w:color w:val="auto"/>
              </w:rPr>
              <w:t>From 3 to 5 years</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554,600</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329,832</w:t>
            </w:r>
          </w:p>
        </w:tc>
        <w:tc>
          <w:tcPr>
            <w:tcW w:w="80" w:type="dxa"/>
            <w:vAlign w:val="bottom"/>
          </w:tcPr>
          <w:p>
            <w:pPr>
              <w:spacing w:after="0"/>
              <w:rPr>
                <w:sz w:val="16"/>
                <w:szCs w:val="16"/>
                <w:color w:val="auto"/>
              </w:rPr>
            </w:pPr>
          </w:p>
        </w:tc>
      </w:tr>
      <w:tr>
        <w:trPr>
          <w:trHeight w:val="205"/>
        </w:trPr>
        <w:tc>
          <w:tcPr>
            <w:tcW w:w="87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Over 5 years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1,347,628</w:t>
            </w:r>
          </w:p>
        </w:tc>
        <w:tc>
          <w:tcPr>
            <w:tcW w:w="2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1,184,429</w:t>
            </w:r>
          </w:p>
        </w:tc>
        <w:tc>
          <w:tcPr>
            <w:tcW w:w="80" w:type="dxa"/>
            <w:vAlign w:val="bottom"/>
            <w:shd w:val="clear" w:color="auto" w:fill="CCEEFF"/>
          </w:tcPr>
          <w:p>
            <w:pPr>
              <w:spacing w:after="0"/>
              <w:rPr>
                <w:sz w:val="17"/>
                <w:szCs w:val="17"/>
                <w:color w:val="auto"/>
              </w:rPr>
            </w:pPr>
          </w:p>
        </w:tc>
      </w:tr>
      <w:tr>
        <w:trPr>
          <w:trHeight w:val="185"/>
        </w:trPr>
        <w:tc>
          <w:tcPr>
            <w:tcW w:w="826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5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7,455,184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7,736,738</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81" w:lineRule="exact"/>
        <w:rPr>
          <w:sz w:val="20"/>
          <w:szCs w:val="20"/>
          <w:color w:val="auto"/>
        </w:rPr>
      </w:pPr>
    </w:p>
    <w:p>
      <w:pPr>
        <w:ind w:left="283" w:right="160" w:hanging="283"/>
        <w:spacing w:after="0" w:line="280" w:lineRule="auto"/>
        <w:tabs>
          <w:tab w:leader="none" w:pos="283" w:val="left"/>
        </w:tabs>
        <w:numPr>
          <w:ilvl w:val="0"/>
          <w:numId w:val="92"/>
        </w:numPr>
        <w:rPr>
          <w:rFonts w:ascii="Arial" w:cs="Arial" w:eastAsia="Arial" w:hAnsi="Arial"/>
          <w:sz w:val="16"/>
          <w:szCs w:val="16"/>
          <w:color w:val="auto"/>
        </w:rPr>
      </w:pPr>
      <w:r>
        <w:rPr>
          <w:rFonts w:ascii="Arial" w:cs="Arial" w:eastAsia="Arial" w:hAnsi="Arial"/>
          <w:sz w:val="16"/>
          <w:szCs w:val="16"/>
          <w:color w:val="auto"/>
        </w:rPr>
        <w:t>At December 31, 2016 and 2015, lines of credit granted by several local and foreign financial institutions, available for future operating activities amounted to S/7,047.0 million and S/7,291.4 million, respectively.</w:t>
      </w:r>
    </w:p>
    <w:p>
      <w:pPr>
        <w:spacing w:after="0" w:line="344" w:lineRule="exact"/>
        <w:rPr>
          <w:rFonts w:ascii="Arial" w:cs="Arial" w:eastAsia="Arial" w:hAnsi="Arial"/>
          <w:sz w:val="16"/>
          <w:szCs w:val="16"/>
          <w:color w:val="auto"/>
        </w:rPr>
      </w:pPr>
    </w:p>
    <w:p>
      <w:pPr>
        <w:ind w:left="5643" w:hanging="94"/>
        <w:spacing w:after="0"/>
        <w:tabs>
          <w:tab w:leader="none" w:pos="5643" w:val="left"/>
        </w:tabs>
        <w:numPr>
          <w:ilvl w:val="1"/>
          <w:numId w:val="92"/>
        </w:numPr>
        <w:rPr>
          <w:rFonts w:ascii="Arial" w:cs="Arial" w:eastAsia="Arial" w:hAnsi="Arial"/>
          <w:sz w:val="16"/>
          <w:szCs w:val="16"/>
          <w:color w:val="auto"/>
        </w:rPr>
      </w:pPr>
      <w:r>
        <w:rPr>
          <w:rFonts w:ascii="Arial" w:cs="Arial" w:eastAsia="Arial" w:hAnsi="Arial"/>
          <w:sz w:val="16"/>
          <w:szCs w:val="16"/>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23"/>
          </w:cols>
          <w:pgMar w:left="237" w:top="828" w:right="339" w:bottom="1440" w:gutter="0" w:footer="0" w:header="0"/>
        </w:sectPr>
      </w:pPr>
    </w:p>
    <w:bookmarkStart w:id="84" w:name="page85"/>
    <w:bookmarkEnd w:id="84"/>
    <w:p>
      <w:pPr>
        <w:ind w:left="3"/>
        <w:spacing w:after="0"/>
        <w:tabs>
          <w:tab w:leader="none" w:pos="563"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6"/>
          <w:szCs w:val="16"/>
          <w:b w:val="1"/>
          <w:bCs w:val="1"/>
          <w:color w:val="auto"/>
        </w:rPr>
        <w:t>INSURANCE CLAIMS RESERVES, TECHNICAL RESERVES AND PAYABLES FROM HEALTHCARE</w:t>
      </w:r>
    </w:p>
    <w:p>
      <w:pPr>
        <w:spacing w:after="0" w:line="207" w:lineRule="exact"/>
        <w:rPr>
          <w:sz w:val="20"/>
          <w:szCs w:val="20"/>
          <w:color w:val="auto"/>
        </w:rPr>
      </w:pPr>
    </w:p>
    <w:p>
      <w:pPr>
        <w:ind w:left="283" w:hanging="283"/>
        <w:spacing w:after="0"/>
        <w:tabs>
          <w:tab w:leader="none" w:pos="283"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211" w:lineRule="exact"/>
        <w:rPr>
          <w:sz w:val="20"/>
          <w:szCs w:val="20"/>
          <w:color w:val="auto"/>
        </w:rPr>
      </w:pPr>
    </w:p>
    <w:tbl>
      <w:tblPr>
        <w:tblLayout w:type="fixed"/>
        <w:tblInd w:w="283"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3"/>
          </w:tcPr>
          <w:p>
            <w:pPr>
              <w:ind w:left="220"/>
              <w:spacing w:after="0" w:line="169" w:lineRule="exact"/>
              <w:rPr>
                <w:sz w:val="20"/>
                <w:szCs w:val="20"/>
                <w:color w:val="auto"/>
              </w:rPr>
            </w:pPr>
            <w:r>
              <w:rPr>
                <w:rFonts w:ascii="Arial" w:cs="Arial" w:eastAsia="Arial" w:hAnsi="Arial"/>
                <w:sz w:val="16"/>
                <w:szCs w:val="16"/>
                <w:b w:val="1"/>
                <w:bCs w:val="1"/>
                <w:color w:val="auto"/>
              </w:rPr>
              <w:t>Technical</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Claims reserves</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reserves (*)</w:t>
            </w:r>
          </w:p>
        </w:tc>
        <w:tc>
          <w:tcPr>
            <w:tcW w:w="100" w:type="dxa"/>
            <w:vAlign w:val="bottom"/>
          </w:tcPr>
          <w:p>
            <w:pPr>
              <w:spacing w:after="0"/>
              <w:rPr>
                <w:sz w:val="18"/>
                <w:szCs w:val="18"/>
                <w:color w:val="auto"/>
              </w:rPr>
            </w:pPr>
          </w:p>
        </w:tc>
        <w:tc>
          <w:tcPr>
            <w:tcW w:w="1420" w:type="dxa"/>
            <w:vAlign w:val="bottom"/>
            <w:gridSpan w:val="4"/>
          </w:tcPr>
          <w:p>
            <w:pPr>
              <w:ind w:left="1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0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Direct</w:t>
            </w: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Assumed</w:t>
            </w:r>
          </w:p>
        </w:tc>
        <w:tc>
          <w:tcPr>
            <w:tcW w:w="220" w:type="dxa"/>
            <w:vAlign w:val="bottom"/>
            <w:vMerge w:val="restart"/>
          </w:tcPr>
          <w:p>
            <w:pPr>
              <w:spacing w:after="0"/>
              <w:rPr>
                <w:sz w:val="17"/>
                <w:szCs w:val="17"/>
                <w:color w:val="auto"/>
              </w:rPr>
            </w:pPr>
          </w:p>
        </w:tc>
        <w:tc>
          <w:tcPr>
            <w:tcW w:w="1200" w:type="dxa"/>
            <w:vAlign w:val="bottom"/>
            <w:vMerge w:val="restart"/>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vMerge w:val="restart"/>
          </w:tcPr>
          <w:p>
            <w:pPr>
              <w:spacing w:after="0"/>
              <w:rPr>
                <w:sz w:val="17"/>
                <w:szCs w:val="17"/>
                <w:color w:val="auto"/>
              </w:rPr>
            </w:pPr>
          </w:p>
        </w:tc>
        <w:tc>
          <w:tcPr>
            <w:tcW w:w="1420" w:type="dxa"/>
            <w:vAlign w:val="bottom"/>
            <w:gridSpan w:val="4"/>
            <w:vMerge w:val="restart"/>
          </w:tcPr>
          <w:p>
            <w:pPr>
              <w:ind w:left="120"/>
              <w:spacing w:after="0"/>
              <w:rPr>
                <w:sz w:val="20"/>
                <w:szCs w:val="20"/>
                <w:color w:val="auto"/>
              </w:rPr>
            </w:pPr>
            <w:r>
              <w:rPr>
                <w:rFonts w:ascii="Arial" w:cs="Arial" w:eastAsia="Arial" w:hAnsi="Arial"/>
                <w:sz w:val="16"/>
                <w:szCs w:val="16"/>
                <w:b w:val="1"/>
                <w:bCs w:val="1"/>
                <w:color w:val="auto"/>
              </w:rPr>
              <w:t>S/(000)</w:t>
            </w:r>
          </w:p>
        </w:tc>
        <w:tc>
          <w:tcPr>
            <w:tcW w:w="0" w:type="dxa"/>
            <w:vAlign w:val="bottom"/>
          </w:tcPr>
          <w:p>
            <w:pPr>
              <w:spacing w:after="0"/>
              <w:rPr>
                <w:sz w:val="1"/>
                <w:szCs w:val="1"/>
                <w:color w:val="auto"/>
              </w:rPr>
            </w:pPr>
          </w:p>
        </w:tc>
      </w:tr>
      <w:tr>
        <w:trPr>
          <w:trHeight w:val="202"/>
        </w:trPr>
        <w:tc>
          <w:tcPr>
            <w:tcW w:w="540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Life insurance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551,516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5,128,974</w:t>
            </w:r>
          </w:p>
        </w:tc>
        <w:tc>
          <w:tcPr>
            <w:tcW w:w="10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5,680,490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00" w:type="dxa"/>
            <w:vAlign w:val="bottom"/>
          </w:tcPr>
          <w:p>
            <w:pPr>
              <w:spacing w:after="0"/>
              <w:rPr>
                <w:sz w:val="20"/>
                <w:szCs w:val="20"/>
                <w:color w:val="auto"/>
              </w:rPr>
            </w:pPr>
            <w:r>
              <w:rPr>
                <w:rFonts w:ascii="Arial" w:cs="Arial" w:eastAsia="Arial" w:hAnsi="Arial"/>
                <w:sz w:val="16"/>
                <w:szCs w:val="16"/>
                <w:color w:val="auto"/>
              </w:rPr>
              <w:t>Health insurance</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325,748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574,435</w:t>
            </w:r>
          </w:p>
        </w:tc>
        <w:tc>
          <w:tcPr>
            <w:tcW w:w="1340" w:type="dxa"/>
            <w:vAlign w:val="bottom"/>
            <w:gridSpan w:val="3"/>
          </w:tcPr>
          <w:p>
            <w:pPr>
              <w:jc w:val="right"/>
              <w:ind w:right="20"/>
              <w:spacing w:after="0"/>
              <w:rPr>
                <w:sz w:val="20"/>
                <w:szCs w:val="20"/>
                <w:color w:val="auto"/>
              </w:rPr>
            </w:pPr>
            <w:r>
              <w:rPr>
                <w:rFonts w:ascii="Arial" w:cs="Arial" w:eastAsia="Arial" w:hAnsi="Arial"/>
                <w:sz w:val="16"/>
                <w:szCs w:val="16"/>
                <w:color w:val="auto"/>
              </w:rPr>
              <w:t>900,183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Health insurance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60,733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144,783</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205,516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937,997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5,848,192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6,786,189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540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3"/>
          </w:tcPr>
          <w:p>
            <w:pPr>
              <w:ind w:left="220"/>
              <w:spacing w:after="0" w:line="169" w:lineRule="exact"/>
              <w:rPr>
                <w:sz w:val="20"/>
                <w:szCs w:val="20"/>
                <w:color w:val="auto"/>
              </w:rPr>
            </w:pPr>
            <w:r>
              <w:rPr>
                <w:rFonts w:ascii="Arial" w:cs="Arial" w:eastAsia="Arial" w:hAnsi="Arial"/>
                <w:sz w:val="16"/>
                <w:szCs w:val="16"/>
                <w:b w:val="1"/>
                <w:bCs w:val="1"/>
                <w:color w:val="auto"/>
              </w:rPr>
              <w:t>Technical</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Claims reserves</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reserves (*)</w:t>
            </w:r>
          </w:p>
        </w:tc>
        <w:tc>
          <w:tcPr>
            <w:tcW w:w="100" w:type="dxa"/>
            <w:vAlign w:val="bottom"/>
          </w:tcPr>
          <w:p>
            <w:pPr>
              <w:spacing w:after="0"/>
              <w:rPr>
                <w:sz w:val="18"/>
                <w:szCs w:val="18"/>
                <w:color w:val="auto"/>
              </w:rPr>
            </w:pPr>
          </w:p>
        </w:tc>
        <w:tc>
          <w:tcPr>
            <w:tcW w:w="1420" w:type="dxa"/>
            <w:vAlign w:val="bottom"/>
            <w:gridSpan w:val="4"/>
          </w:tcPr>
          <w:p>
            <w:pPr>
              <w:ind w:left="1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0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Direct</w:t>
            </w: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Assumed</w:t>
            </w:r>
          </w:p>
        </w:tc>
        <w:tc>
          <w:tcPr>
            <w:tcW w:w="220" w:type="dxa"/>
            <w:vAlign w:val="bottom"/>
            <w:vMerge w:val="restart"/>
          </w:tcPr>
          <w:p>
            <w:pPr>
              <w:spacing w:after="0"/>
              <w:rPr>
                <w:sz w:val="17"/>
                <w:szCs w:val="17"/>
                <w:color w:val="auto"/>
              </w:rPr>
            </w:pPr>
          </w:p>
        </w:tc>
        <w:tc>
          <w:tcPr>
            <w:tcW w:w="1200" w:type="dxa"/>
            <w:vAlign w:val="bottom"/>
            <w:vMerge w:val="restart"/>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vMerge w:val="restart"/>
          </w:tcPr>
          <w:p>
            <w:pPr>
              <w:spacing w:after="0"/>
              <w:rPr>
                <w:sz w:val="17"/>
                <w:szCs w:val="17"/>
                <w:color w:val="auto"/>
              </w:rPr>
            </w:pPr>
          </w:p>
        </w:tc>
        <w:tc>
          <w:tcPr>
            <w:tcW w:w="1420" w:type="dxa"/>
            <w:vAlign w:val="bottom"/>
            <w:gridSpan w:val="4"/>
            <w:vMerge w:val="restart"/>
          </w:tcPr>
          <w:p>
            <w:pPr>
              <w:ind w:left="120"/>
              <w:spacing w:after="0"/>
              <w:rPr>
                <w:sz w:val="20"/>
                <w:szCs w:val="20"/>
                <w:color w:val="auto"/>
              </w:rPr>
            </w:pPr>
            <w:r>
              <w:rPr>
                <w:rFonts w:ascii="Arial" w:cs="Arial" w:eastAsia="Arial" w:hAnsi="Arial"/>
                <w:sz w:val="16"/>
                <w:szCs w:val="16"/>
                <w:b w:val="1"/>
                <w:bCs w:val="1"/>
                <w:color w:val="auto"/>
              </w:rPr>
              <w:t>S/(000)</w:t>
            </w:r>
          </w:p>
        </w:tc>
        <w:tc>
          <w:tcPr>
            <w:tcW w:w="0" w:type="dxa"/>
            <w:vAlign w:val="bottom"/>
          </w:tcPr>
          <w:p>
            <w:pPr>
              <w:spacing w:after="0"/>
              <w:rPr>
                <w:sz w:val="1"/>
                <w:szCs w:val="1"/>
                <w:color w:val="auto"/>
              </w:rPr>
            </w:pPr>
          </w:p>
        </w:tc>
      </w:tr>
      <w:tr>
        <w:trPr>
          <w:trHeight w:val="202"/>
        </w:trPr>
        <w:tc>
          <w:tcPr>
            <w:tcW w:w="540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40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200" w:type="dxa"/>
            <w:vAlign w:val="bottom"/>
            <w:gridSpan w:val="2"/>
          </w:tcPr>
          <w:p>
            <w:pPr>
              <w:spacing w:after="0"/>
              <w:rPr>
                <w:sz w:val="15"/>
                <w:szCs w:val="15"/>
                <w:color w:val="auto"/>
              </w:rPr>
            </w:pPr>
          </w:p>
        </w:tc>
        <w:tc>
          <w:tcPr>
            <w:tcW w:w="14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Life insurance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478,960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4,755,154</w:t>
            </w:r>
          </w:p>
        </w:tc>
        <w:tc>
          <w:tcPr>
            <w:tcW w:w="10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5,234,114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00" w:type="dxa"/>
            <w:vAlign w:val="bottom"/>
          </w:tcPr>
          <w:p>
            <w:pPr>
              <w:spacing w:after="0"/>
              <w:rPr>
                <w:sz w:val="20"/>
                <w:szCs w:val="20"/>
                <w:color w:val="auto"/>
              </w:rPr>
            </w:pPr>
            <w:r>
              <w:rPr>
                <w:rFonts w:ascii="Arial" w:cs="Arial" w:eastAsia="Arial" w:hAnsi="Arial"/>
                <w:sz w:val="16"/>
                <w:szCs w:val="16"/>
                <w:color w:val="auto"/>
              </w:rPr>
              <w:t>Health insurance</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335,818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582,453</w:t>
            </w:r>
          </w:p>
        </w:tc>
        <w:tc>
          <w:tcPr>
            <w:tcW w:w="1340" w:type="dxa"/>
            <w:vAlign w:val="bottom"/>
            <w:gridSpan w:val="3"/>
          </w:tcPr>
          <w:p>
            <w:pPr>
              <w:jc w:val="right"/>
              <w:ind w:right="20"/>
              <w:spacing w:after="0"/>
              <w:rPr>
                <w:sz w:val="20"/>
                <w:szCs w:val="20"/>
                <w:color w:val="auto"/>
              </w:rPr>
            </w:pPr>
            <w:r>
              <w:rPr>
                <w:rFonts w:ascii="Arial" w:cs="Arial" w:eastAsia="Arial" w:hAnsi="Arial"/>
                <w:sz w:val="16"/>
                <w:szCs w:val="16"/>
                <w:color w:val="auto"/>
              </w:rPr>
              <w:t>918,271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Health insurance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64,896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144,346</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209,242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879,674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5,481,953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6,361,627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583" w:right="440" w:hanging="293"/>
        <w:spacing w:after="0" w:line="280" w:lineRule="auto"/>
        <w:tabs>
          <w:tab w:leader="none" w:pos="583" w:val="left"/>
        </w:tabs>
        <w:numPr>
          <w:ilvl w:val="0"/>
          <w:numId w:val="94"/>
        </w:numPr>
        <w:rPr>
          <w:rFonts w:ascii="Arial" w:cs="Arial" w:eastAsia="Arial" w:hAnsi="Arial"/>
          <w:sz w:val="16"/>
          <w:szCs w:val="16"/>
          <w:color w:val="auto"/>
        </w:rPr>
      </w:pPr>
      <w:r>
        <w:rPr>
          <w:rFonts w:ascii="Arial" w:cs="Arial" w:eastAsia="Arial" w:hAnsi="Arial"/>
          <w:sz w:val="16"/>
          <w:szCs w:val="16"/>
          <w:color w:val="auto"/>
        </w:rPr>
        <w:t>At December 31, 2016, the life insurance technical reserves include the mathematic reserves of life annuities amounting to S/3,908.3 million (S/3,692.4 million a December 31, 2015).</w:t>
      </w:r>
    </w:p>
    <w:p>
      <w:pPr>
        <w:spacing w:after="0" w:line="151" w:lineRule="exact"/>
        <w:rPr>
          <w:sz w:val="20"/>
          <w:szCs w:val="20"/>
          <w:color w:val="auto"/>
        </w:rPr>
      </w:pPr>
    </w:p>
    <w:p>
      <w:pPr>
        <w:ind w:left="283" w:right="180"/>
        <w:spacing w:after="0" w:line="280" w:lineRule="auto"/>
        <w:rPr>
          <w:sz w:val="20"/>
          <w:szCs w:val="20"/>
          <w:color w:val="auto"/>
        </w:rPr>
      </w:pPr>
      <w:r>
        <w:rPr>
          <w:rFonts w:ascii="Arial" w:cs="Arial" w:eastAsia="Arial" w:hAnsi="Arial"/>
          <w:sz w:val="16"/>
          <w:szCs w:val="16"/>
          <w:color w:val="auto"/>
        </w:rPr>
        <w:t>Insurance claims reserves represent reported claims and an estimation for incurred but non reported claims (IBNR). Reported claims are adjusted on the basis of technical reports received from independent adjusters</w:t>
      </w:r>
      <w:r>
        <w:rPr>
          <w:rFonts w:ascii="Arial" w:cs="Arial" w:eastAsia="Arial" w:hAnsi="Arial"/>
          <w:sz w:val="16"/>
          <w:szCs w:val="16"/>
          <w:b w:val="1"/>
          <w:bCs w:val="1"/>
          <w:color w:val="auto"/>
        </w:rPr>
        <w:t>.</w:t>
      </w:r>
    </w:p>
    <w:p>
      <w:pPr>
        <w:spacing w:after="0" w:line="151" w:lineRule="exact"/>
        <w:rPr>
          <w:sz w:val="20"/>
          <w:szCs w:val="20"/>
          <w:color w:val="auto"/>
        </w:rPr>
      </w:pPr>
    </w:p>
    <w:p>
      <w:pPr>
        <w:ind w:left="283" w:right="500"/>
        <w:spacing w:after="0" w:line="280" w:lineRule="auto"/>
        <w:rPr>
          <w:sz w:val="20"/>
          <w:szCs w:val="20"/>
          <w:color w:val="auto"/>
        </w:rPr>
      </w:pPr>
      <w:r>
        <w:rPr>
          <w:rFonts w:ascii="Arial" w:cs="Arial" w:eastAsia="Arial" w:hAnsi="Arial"/>
          <w:sz w:val="16"/>
          <w:szCs w:val="16"/>
          <w:color w:val="auto"/>
        </w:rPr>
        <w:t>Insurance claims and technical reserves corresponding to the reinsurers and coinsurers are shown as ceded claims, which are presented in “Accounts receivable from reinsurers and coinsurers” of the consolidated statement of financial position, see note 9.</w:t>
      </w:r>
    </w:p>
    <w:p>
      <w:pPr>
        <w:spacing w:after="0" w:line="151" w:lineRule="exact"/>
        <w:rPr>
          <w:sz w:val="20"/>
          <w:szCs w:val="20"/>
          <w:color w:val="auto"/>
        </w:rPr>
      </w:pPr>
    </w:p>
    <w:p>
      <w:pPr>
        <w:ind w:left="283" w:right="240"/>
        <w:spacing w:after="0" w:line="280" w:lineRule="auto"/>
        <w:rPr>
          <w:sz w:val="20"/>
          <w:szCs w:val="20"/>
          <w:color w:val="auto"/>
        </w:rPr>
      </w:pPr>
      <w:r>
        <w:rPr>
          <w:rFonts w:ascii="Arial" w:cs="Arial" w:eastAsia="Arial" w:hAnsi="Arial"/>
          <w:sz w:val="16"/>
          <w:szCs w:val="16"/>
          <w:color w:val="auto"/>
        </w:rPr>
        <w:t>At December 31, 2016, the reserves for direct claims include reserves for IBNR for life, general and health insurance for an amount of S/231.4, S/9.1 and S/41.1 million, respectively (S/189.6, S/16.8 and S/45.7 million, respectively, at December 31, 2015).</w:t>
      </w:r>
    </w:p>
    <w:p>
      <w:pPr>
        <w:spacing w:after="0" w:line="151" w:lineRule="exact"/>
        <w:rPr>
          <w:sz w:val="20"/>
          <w:szCs w:val="20"/>
          <w:color w:val="auto"/>
        </w:rPr>
      </w:pPr>
    </w:p>
    <w:p>
      <w:pPr>
        <w:ind w:left="283"/>
        <w:spacing w:after="0" w:line="266" w:lineRule="auto"/>
        <w:rPr>
          <w:sz w:val="20"/>
          <w:szCs w:val="20"/>
          <w:color w:val="auto"/>
        </w:rPr>
      </w:pPr>
      <w:r>
        <w:rPr>
          <w:rFonts w:ascii="Arial" w:cs="Arial" w:eastAsia="Arial" w:hAnsi="Arial"/>
          <w:sz w:val="16"/>
          <w:szCs w:val="16"/>
          <w:color w:val="auto"/>
        </w:rPr>
        <w:t>At December 31, 2016 and in previous years, the differences between the estimations for the incurred and non-reported claims and the settled and pending liquidation claims have not been significant. In the case of general risks and health, retrospective analysis indicates that the amounts accrued are adequate and the Management believes that the estimated IBNR reserve is sufficient to cover any liability as of December 31, 2016 and 2015.</w:t>
      </w:r>
    </w:p>
    <w:p>
      <w:pPr>
        <w:spacing w:after="0" w:line="162" w:lineRule="exact"/>
        <w:rPr>
          <w:sz w:val="20"/>
          <w:szCs w:val="20"/>
          <w:color w:val="auto"/>
        </w:rPr>
      </w:pPr>
    </w:p>
    <w:p>
      <w:pPr>
        <w:ind w:left="283" w:right="300"/>
        <w:spacing w:after="0" w:line="354" w:lineRule="auto"/>
        <w:rPr>
          <w:sz w:val="20"/>
          <w:szCs w:val="20"/>
          <w:color w:val="auto"/>
        </w:rPr>
      </w:pPr>
      <w:r>
        <w:rPr>
          <w:rFonts w:ascii="Arial" w:cs="Arial" w:eastAsia="Arial" w:hAnsi="Arial"/>
          <w:sz w:val="14"/>
          <w:szCs w:val="14"/>
          <w:color w:val="auto"/>
        </w:rPr>
        <w:t>Technical reserves comprise reserves for future benefit obligation under its in-force life, annuities and accident insurance policies and the unearned premium reserves in respect of the portion of premiums written that is allocable to the unexpired portion of the related policy periods for general and health insurance products.</w:t>
      </w:r>
    </w:p>
    <w:p>
      <w:pPr>
        <w:spacing w:after="0" w:line="29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4" w:right="239" w:bottom="1440" w:gutter="0" w:footer="0" w:header="0"/>
        </w:sectPr>
      </w:pPr>
    </w:p>
    <w:bookmarkStart w:id="85" w:name="page86"/>
    <w:bookmarkEnd w:id="85"/>
    <w:p>
      <w:pPr>
        <w:spacing w:after="0"/>
        <w:tabs>
          <w:tab w:leader="none" w:pos="2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Movement of insurance claims reserves (direct and assumed), occurred during the years 2016 and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0" w:type="dxa"/>
            <w:vAlign w:val="bottom"/>
            <w:gridSpan w:val="2"/>
          </w:tcPr>
          <w:p>
            <w:pPr>
              <w:ind w:left="780"/>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9"/>
        </w:trPr>
        <w:tc>
          <w:tcPr>
            <w:tcW w:w="2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Life</w:t>
            </w:r>
          </w:p>
        </w:tc>
        <w:tc>
          <w:tcPr>
            <w:tcW w:w="1420" w:type="dxa"/>
            <w:vAlign w:val="bottom"/>
            <w:tcBorders>
              <w:top w:val="single" w:sz="8" w:color="auto"/>
            </w:tcBorders>
            <w:gridSpan w:val="3"/>
          </w:tcPr>
          <w:p>
            <w:pPr>
              <w:ind w:left="80"/>
              <w:spacing w:after="0" w:line="169" w:lineRule="exact"/>
              <w:rPr>
                <w:sz w:val="20"/>
                <w:szCs w:val="20"/>
                <w:color w:val="auto"/>
              </w:rPr>
            </w:pPr>
            <w:r>
              <w:rPr>
                <w:rFonts w:ascii="Arial" w:cs="Arial" w:eastAsia="Arial" w:hAnsi="Arial"/>
                <w:sz w:val="16"/>
                <w:szCs w:val="16"/>
                <w:b w:val="1"/>
                <w:bCs w:val="1"/>
                <w:color w:val="auto"/>
              </w:rPr>
              <w:t>General</w:t>
            </w:r>
          </w:p>
        </w:tc>
        <w:tc>
          <w:tcPr>
            <w:tcW w:w="1500" w:type="dxa"/>
            <w:vAlign w:val="bottom"/>
            <w:tcBorders>
              <w:top w:val="single" w:sz="8" w:color="auto"/>
            </w:tcBorders>
            <w:gridSpan w:val="3"/>
          </w:tcPr>
          <w:p>
            <w:pPr>
              <w:ind w:left="80"/>
              <w:spacing w:after="0" w:line="169" w:lineRule="exact"/>
              <w:rPr>
                <w:sz w:val="20"/>
                <w:szCs w:val="20"/>
                <w:color w:val="auto"/>
              </w:rPr>
            </w:pPr>
            <w:r>
              <w:rPr>
                <w:rFonts w:ascii="Arial" w:cs="Arial" w:eastAsia="Arial" w:hAnsi="Arial"/>
                <w:sz w:val="16"/>
                <w:szCs w:val="16"/>
                <w:b w:val="1"/>
                <w:bCs w:val="1"/>
                <w:color w:val="auto"/>
              </w:rPr>
              <w:t>Health</w:t>
            </w: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insurance</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insurance</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insurance</w:t>
            </w: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8"/>
                <w:szCs w:val="18"/>
                <w:color w:val="auto"/>
              </w:rPr>
            </w:pPr>
          </w:p>
        </w:tc>
      </w:tr>
      <w:tr>
        <w:trPr>
          <w:trHeight w:val="202"/>
        </w:trPr>
        <w:tc>
          <w:tcPr>
            <w:tcW w:w="2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Beginning balance</w:t>
            </w:r>
          </w:p>
        </w:tc>
        <w:tc>
          <w:tcPr>
            <w:tcW w:w="2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478,960</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335,818</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64,896</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879,674</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Claims, note 25</w:t>
            </w:r>
          </w:p>
        </w:tc>
        <w:tc>
          <w:tcPr>
            <w:tcW w:w="2140" w:type="dxa"/>
            <w:vAlign w:val="bottom"/>
            <w:gridSpan w:val="3"/>
          </w:tcPr>
          <w:p>
            <w:pPr>
              <w:jc w:val="right"/>
              <w:ind w:right="140"/>
              <w:spacing w:after="0"/>
              <w:rPr>
                <w:sz w:val="20"/>
                <w:szCs w:val="20"/>
                <w:color w:val="auto"/>
              </w:rPr>
            </w:pPr>
            <w:r>
              <w:rPr>
                <w:rFonts w:ascii="Arial" w:cs="Arial" w:eastAsia="Arial" w:hAnsi="Arial"/>
                <w:sz w:val="16"/>
                <w:szCs w:val="16"/>
                <w:color w:val="auto"/>
              </w:rPr>
              <w:t>618,274</w:t>
            </w: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351,227</w:t>
            </w:r>
          </w:p>
        </w:tc>
        <w:tc>
          <w:tcPr>
            <w:tcW w:w="1500" w:type="dxa"/>
            <w:vAlign w:val="bottom"/>
            <w:gridSpan w:val="3"/>
          </w:tcPr>
          <w:p>
            <w:pPr>
              <w:jc w:val="right"/>
              <w:ind w:right="220"/>
              <w:spacing w:after="0"/>
              <w:rPr>
                <w:sz w:val="20"/>
                <w:szCs w:val="20"/>
                <w:color w:val="auto"/>
              </w:rPr>
            </w:pPr>
            <w:r>
              <w:rPr>
                <w:rFonts w:ascii="Arial" w:cs="Arial" w:eastAsia="Arial" w:hAnsi="Arial"/>
                <w:sz w:val="16"/>
                <w:szCs w:val="16"/>
                <w:color w:val="auto"/>
              </w:rPr>
              <w:t>274,902</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1,244,403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Payments</w:t>
            </w:r>
          </w:p>
        </w:tc>
        <w:tc>
          <w:tcPr>
            <w:tcW w:w="2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(544,934)</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(385,621)</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(243,847)</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(1,174,402)</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Exchange difference</w:t>
            </w:r>
          </w:p>
        </w:tc>
        <w:tc>
          <w:tcPr>
            <w:tcW w:w="2140" w:type="dxa"/>
            <w:vAlign w:val="bottom"/>
            <w:gridSpan w:val="3"/>
          </w:tcPr>
          <w:p>
            <w:pPr>
              <w:jc w:val="right"/>
              <w:ind w:right="80"/>
              <w:spacing w:after="0"/>
              <w:rPr>
                <w:sz w:val="20"/>
                <w:szCs w:val="20"/>
                <w:color w:val="auto"/>
              </w:rPr>
            </w:pPr>
            <w:r>
              <w:rPr>
                <w:rFonts w:ascii="Arial" w:cs="Arial" w:eastAsia="Arial" w:hAnsi="Arial"/>
                <w:sz w:val="16"/>
                <w:szCs w:val="16"/>
                <w:color w:val="auto"/>
              </w:rPr>
              <w:t>(784)</w:t>
            </w: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24,324</w:t>
            </w:r>
          </w:p>
        </w:tc>
        <w:tc>
          <w:tcPr>
            <w:tcW w:w="1500" w:type="dxa"/>
            <w:vAlign w:val="bottom"/>
            <w:gridSpan w:val="3"/>
          </w:tcPr>
          <w:p>
            <w:pPr>
              <w:jc w:val="right"/>
              <w:ind w:right="160"/>
              <w:spacing w:after="0"/>
              <w:rPr>
                <w:sz w:val="20"/>
                <w:szCs w:val="20"/>
                <w:color w:val="auto"/>
              </w:rPr>
            </w:pPr>
            <w:r>
              <w:rPr>
                <w:rFonts w:ascii="Arial" w:cs="Arial" w:eastAsia="Arial" w:hAnsi="Arial"/>
                <w:sz w:val="16"/>
                <w:szCs w:val="16"/>
                <w:color w:val="auto"/>
              </w:rPr>
              <w:t>(35,218)</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(11,678)</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Ending balance</w:t>
            </w:r>
          </w:p>
        </w:tc>
        <w:tc>
          <w:tcPr>
            <w:tcW w:w="7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551,516</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325,748</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60,733</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937,997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391"/>
        </w:trPr>
        <w:tc>
          <w:tcPr>
            <w:tcW w:w="2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00" w:type="dxa"/>
            <w:vAlign w:val="bottom"/>
            <w:gridSpan w:val="2"/>
          </w:tcPr>
          <w:p>
            <w:pPr>
              <w:ind w:left="780"/>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9"/>
        </w:trPr>
        <w:tc>
          <w:tcPr>
            <w:tcW w:w="2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Life</w:t>
            </w:r>
          </w:p>
        </w:tc>
        <w:tc>
          <w:tcPr>
            <w:tcW w:w="1420" w:type="dxa"/>
            <w:vAlign w:val="bottom"/>
            <w:tcBorders>
              <w:top w:val="single" w:sz="8" w:color="auto"/>
            </w:tcBorders>
            <w:gridSpan w:val="3"/>
          </w:tcPr>
          <w:p>
            <w:pPr>
              <w:ind w:left="80"/>
              <w:spacing w:after="0" w:line="169" w:lineRule="exact"/>
              <w:rPr>
                <w:sz w:val="20"/>
                <w:szCs w:val="20"/>
                <w:color w:val="auto"/>
              </w:rPr>
            </w:pPr>
            <w:r>
              <w:rPr>
                <w:rFonts w:ascii="Arial" w:cs="Arial" w:eastAsia="Arial" w:hAnsi="Arial"/>
                <w:sz w:val="16"/>
                <w:szCs w:val="16"/>
                <w:b w:val="1"/>
                <w:bCs w:val="1"/>
                <w:color w:val="auto"/>
              </w:rPr>
              <w:t>General</w:t>
            </w:r>
          </w:p>
        </w:tc>
        <w:tc>
          <w:tcPr>
            <w:tcW w:w="1500" w:type="dxa"/>
            <w:vAlign w:val="bottom"/>
            <w:tcBorders>
              <w:top w:val="single" w:sz="8" w:color="auto"/>
            </w:tcBorders>
            <w:gridSpan w:val="3"/>
          </w:tcPr>
          <w:p>
            <w:pPr>
              <w:ind w:left="80"/>
              <w:spacing w:after="0" w:line="169" w:lineRule="exact"/>
              <w:rPr>
                <w:sz w:val="20"/>
                <w:szCs w:val="20"/>
                <w:color w:val="auto"/>
              </w:rPr>
            </w:pPr>
            <w:r>
              <w:rPr>
                <w:rFonts w:ascii="Arial" w:cs="Arial" w:eastAsia="Arial" w:hAnsi="Arial"/>
                <w:sz w:val="16"/>
                <w:szCs w:val="16"/>
                <w:b w:val="1"/>
                <w:bCs w:val="1"/>
                <w:color w:val="auto"/>
              </w:rPr>
              <w:t>Health</w:t>
            </w: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insurance</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insurance</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insurance</w:t>
            </w: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8"/>
                <w:szCs w:val="18"/>
                <w:color w:val="auto"/>
              </w:rPr>
            </w:pPr>
          </w:p>
        </w:tc>
      </w:tr>
      <w:tr>
        <w:trPr>
          <w:trHeight w:val="202"/>
        </w:trPr>
        <w:tc>
          <w:tcPr>
            <w:tcW w:w="2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140" w:type="dxa"/>
            <w:vAlign w:val="bottom"/>
            <w:gridSpan w:val="3"/>
          </w:tcPr>
          <w:p>
            <w:pPr>
              <w:spacing w:after="0"/>
              <w:rPr>
                <w:sz w:val="15"/>
                <w:szCs w:val="15"/>
                <w:color w:val="auto"/>
              </w:rPr>
            </w:pPr>
          </w:p>
        </w:tc>
        <w:tc>
          <w:tcPr>
            <w:tcW w:w="1420" w:type="dxa"/>
            <w:vAlign w:val="bottom"/>
            <w:gridSpan w:val="3"/>
          </w:tcPr>
          <w:p>
            <w:pPr>
              <w:spacing w:after="0"/>
              <w:rPr>
                <w:sz w:val="15"/>
                <w:szCs w:val="15"/>
                <w:color w:val="auto"/>
              </w:rPr>
            </w:pPr>
          </w:p>
        </w:tc>
        <w:tc>
          <w:tcPr>
            <w:tcW w:w="1500" w:type="dxa"/>
            <w:vAlign w:val="bottom"/>
            <w:gridSpan w:val="3"/>
          </w:tcPr>
          <w:p>
            <w:pPr>
              <w:spacing w:after="0"/>
              <w:rPr>
                <w:sz w:val="15"/>
                <w:szCs w:val="15"/>
                <w:color w:val="auto"/>
              </w:rPr>
            </w:pPr>
          </w:p>
        </w:tc>
        <w:tc>
          <w:tcPr>
            <w:tcW w:w="130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Beginning balance</w:t>
            </w:r>
          </w:p>
        </w:tc>
        <w:tc>
          <w:tcPr>
            <w:tcW w:w="2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345,812</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371,746</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63,309</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780,867</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Claims, note 25</w:t>
            </w:r>
          </w:p>
        </w:tc>
        <w:tc>
          <w:tcPr>
            <w:tcW w:w="2140" w:type="dxa"/>
            <w:vAlign w:val="bottom"/>
            <w:gridSpan w:val="3"/>
          </w:tcPr>
          <w:p>
            <w:pPr>
              <w:jc w:val="right"/>
              <w:ind w:right="140"/>
              <w:spacing w:after="0"/>
              <w:rPr>
                <w:sz w:val="20"/>
                <w:szCs w:val="20"/>
                <w:color w:val="auto"/>
              </w:rPr>
            </w:pPr>
            <w:r>
              <w:rPr>
                <w:rFonts w:ascii="Arial" w:cs="Arial" w:eastAsia="Arial" w:hAnsi="Arial"/>
                <w:sz w:val="16"/>
                <w:szCs w:val="16"/>
                <w:color w:val="auto"/>
              </w:rPr>
              <w:t>546,645</w:t>
            </w: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341,470</w:t>
            </w:r>
          </w:p>
        </w:tc>
        <w:tc>
          <w:tcPr>
            <w:tcW w:w="1500" w:type="dxa"/>
            <w:vAlign w:val="bottom"/>
            <w:gridSpan w:val="3"/>
          </w:tcPr>
          <w:p>
            <w:pPr>
              <w:jc w:val="right"/>
              <w:ind w:right="220"/>
              <w:spacing w:after="0"/>
              <w:rPr>
                <w:sz w:val="20"/>
                <w:szCs w:val="20"/>
                <w:color w:val="auto"/>
              </w:rPr>
            </w:pPr>
            <w:r>
              <w:rPr>
                <w:rFonts w:ascii="Arial" w:cs="Arial" w:eastAsia="Arial" w:hAnsi="Arial"/>
                <w:sz w:val="16"/>
                <w:szCs w:val="16"/>
                <w:color w:val="auto"/>
              </w:rPr>
              <w:t>263,438</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1,151,553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Payments</w:t>
            </w:r>
          </w:p>
        </w:tc>
        <w:tc>
          <w:tcPr>
            <w:tcW w:w="2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(423,057)</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(416,649)</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(266,107)</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(1,105,813)</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Exchange difference</w:t>
            </w:r>
          </w:p>
        </w:tc>
        <w:tc>
          <w:tcPr>
            <w:tcW w:w="2140" w:type="dxa"/>
            <w:vAlign w:val="bottom"/>
            <w:gridSpan w:val="3"/>
          </w:tcPr>
          <w:p>
            <w:pPr>
              <w:jc w:val="right"/>
              <w:ind w:right="140"/>
              <w:spacing w:after="0"/>
              <w:rPr>
                <w:sz w:val="20"/>
                <w:szCs w:val="20"/>
                <w:color w:val="auto"/>
              </w:rPr>
            </w:pPr>
            <w:r>
              <w:rPr>
                <w:rFonts w:ascii="Arial" w:cs="Arial" w:eastAsia="Arial" w:hAnsi="Arial"/>
                <w:sz w:val="16"/>
                <w:szCs w:val="16"/>
                <w:color w:val="auto"/>
              </w:rPr>
              <w:t>9,560</w:t>
            </w: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39,251</w:t>
            </w:r>
          </w:p>
        </w:tc>
        <w:tc>
          <w:tcPr>
            <w:tcW w:w="1500" w:type="dxa"/>
            <w:vAlign w:val="bottom"/>
            <w:gridSpan w:val="3"/>
          </w:tcPr>
          <w:p>
            <w:pPr>
              <w:jc w:val="right"/>
              <w:ind w:right="220"/>
              <w:spacing w:after="0"/>
              <w:rPr>
                <w:sz w:val="20"/>
                <w:szCs w:val="20"/>
                <w:color w:val="auto"/>
              </w:rPr>
            </w:pPr>
            <w:r>
              <w:rPr>
                <w:rFonts w:ascii="Arial" w:cs="Arial" w:eastAsia="Arial" w:hAnsi="Arial"/>
                <w:sz w:val="16"/>
                <w:szCs w:val="16"/>
                <w:color w:val="auto"/>
              </w:rPr>
              <w:t>4,256</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53,067</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Ending balance</w:t>
            </w:r>
          </w:p>
        </w:tc>
        <w:tc>
          <w:tcPr>
            <w:tcW w:w="7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478,960</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335,818</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64,896</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879,674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379"/>
        </w:trPr>
        <w:tc>
          <w:tcPr>
            <w:tcW w:w="4900" w:type="dxa"/>
            <w:vAlign w:val="bottom"/>
            <w:gridSpan w:val="2"/>
          </w:tcPr>
          <w:p>
            <w:pPr>
              <w:spacing w:after="0"/>
              <w:rPr>
                <w:sz w:val="20"/>
                <w:szCs w:val="20"/>
                <w:color w:val="auto"/>
              </w:rPr>
            </w:pPr>
            <w:r>
              <w:rPr>
                <w:rFonts w:ascii="Arial" w:cs="Arial" w:eastAsia="Arial" w:hAnsi="Arial"/>
                <w:sz w:val="16"/>
                <w:szCs w:val="16"/>
                <w:color w:val="auto"/>
              </w:rPr>
              <w:t>c)  Technical reserves occurred during the years 2016 and 2015:</w:t>
            </w: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9"/>
        </w:trPr>
        <w:tc>
          <w:tcPr>
            <w:tcW w:w="2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00" w:type="dxa"/>
            <w:vAlign w:val="bottom"/>
            <w:gridSpan w:val="2"/>
          </w:tcPr>
          <w:p>
            <w:pPr>
              <w:ind w:left="780"/>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9"/>
        </w:trPr>
        <w:tc>
          <w:tcPr>
            <w:tcW w:w="2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Life</w:t>
            </w:r>
          </w:p>
        </w:tc>
        <w:tc>
          <w:tcPr>
            <w:tcW w:w="1420" w:type="dxa"/>
            <w:vAlign w:val="bottom"/>
            <w:tcBorders>
              <w:top w:val="single" w:sz="8" w:color="auto"/>
            </w:tcBorders>
            <w:gridSpan w:val="3"/>
          </w:tcPr>
          <w:p>
            <w:pPr>
              <w:ind w:left="80"/>
              <w:spacing w:after="0" w:line="169" w:lineRule="exact"/>
              <w:rPr>
                <w:sz w:val="20"/>
                <w:szCs w:val="20"/>
                <w:color w:val="auto"/>
              </w:rPr>
            </w:pPr>
            <w:r>
              <w:rPr>
                <w:rFonts w:ascii="Arial" w:cs="Arial" w:eastAsia="Arial" w:hAnsi="Arial"/>
                <w:sz w:val="16"/>
                <w:szCs w:val="16"/>
                <w:b w:val="1"/>
                <w:bCs w:val="1"/>
                <w:color w:val="auto"/>
              </w:rPr>
              <w:t>General</w:t>
            </w:r>
          </w:p>
        </w:tc>
        <w:tc>
          <w:tcPr>
            <w:tcW w:w="1500" w:type="dxa"/>
            <w:vAlign w:val="bottom"/>
            <w:tcBorders>
              <w:top w:val="single" w:sz="8" w:color="auto"/>
            </w:tcBorders>
            <w:gridSpan w:val="3"/>
          </w:tcPr>
          <w:p>
            <w:pPr>
              <w:ind w:left="80"/>
              <w:spacing w:after="0" w:line="169" w:lineRule="exact"/>
              <w:rPr>
                <w:sz w:val="20"/>
                <w:szCs w:val="20"/>
                <w:color w:val="auto"/>
              </w:rPr>
            </w:pPr>
            <w:r>
              <w:rPr>
                <w:rFonts w:ascii="Arial" w:cs="Arial" w:eastAsia="Arial" w:hAnsi="Arial"/>
                <w:sz w:val="16"/>
                <w:szCs w:val="16"/>
                <w:b w:val="1"/>
                <w:bCs w:val="1"/>
                <w:color w:val="auto"/>
              </w:rPr>
              <w:t>Health</w:t>
            </w: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insurance</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insurance</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insurance</w:t>
            </w: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8"/>
                <w:szCs w:val="18"/>
                <w:color w:val="auto"/>
              </w:rPr>
            </w:pPr>
          </w:p>
        </w:tc>
      </w:tr>
      <w:tr>
        <w:trPr>
          <w:trHeight w:val="202"/>
        </w:trPr>
        <w:tc>
          <w:tcPr>
            <w:tcW w:w="2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140" w:type="dxa"/>
            <w:vAlign w:val="bottom"/>
            <w:gridSpan w:val="3"/>
          </w:tcPr>
          <w:p>
            <w:pPr>
              <w:spacing w:after="0"/>
              <w:rPr>
                <w:sz w:val="15"/>
                <w:szCs w:val="15"/>
                <w:color w:val="auto"/>
              </w:rPr>
            </w:pPr>
          </w:p>
        </w:tc>
        <w:tc>
          <w:tcPr>
            <w:tcW w:w="1420" w:type="dxa"/>
            <w:vAlign w:val="bottom"/>
            <w:gridSpan w:val="3"/>
          </w:tcPr>
          <w:p>
            <w:pPr>
              <w:spacing w:after="0"/>
              <w:rPr>
                <w:sz w:val="15"/>
                <w:szCs w:val="15"/>
                <w:color w:val="auto"/>
              </w:rPr>
            </w:pPr>
          </w:p>
        </w:tc>
        <w:tc>
          <w:tcPr>
            <w:tcW w:w="1500" w:type="dxa"/>
            <w:vAlign w:val="bottom"/>
            <w:gridSpan w:val="3"/>
          </w:tcPr>
          <w:p>
            <w:pPr>
              <w:spacing w:after="0"/>
              <w:rPr>
                <w:sz w:val="15"/>
                <w:szCs w:val="15"/>
                <w:color w:val="auto"/>
              </w:rPr>
            </w:pPr>
          </w:p>
        </w:tc>
        <w:tc>
          <w:tcPr>
            <w:tcW w:w="130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Beginning balance</w:t>
            </w:r>
          </w:p>
        </w:tc>
        <w:tc>
          <w:tcPr>
            <w:tcW w:w="2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4,755,154</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582,453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144,346</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5,481,953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Time course expenses and others</w:t>
            </w:r>
          </w:p>
        </w:tc>
        <w:tc>
          <w:tcPr>
            <w:tcW w:w="2140" w:type="dxa"/>
            <w:vAlign w:val="bottom"/>
            <w:gridSpan w:val="3"/>
          </w:tcPr>
          <w:p>
            <w:pPr>
              <w:jc w:val="right"/>
              <w:ind w:right="140"/>
              <w:spacing w:after="0"/>
              <w:rPr>
                <w:sz w:val="20"/>
                <w:szCs w:val="20"/>
                <w:color w:val="auto"/>
              </w:rPr>
            </w:pPr>
            <w:r>
              <w:rPr>
                <w:rFonts w:ascii="Arial" w:cs="Arial" w:eastAsia="Arial" w:hAnsi="Arial"/>
                <w:sz w:val="16"/>
                <w:szCs w:val="16"/>
                <w:color w:val="auto"/>
              </w:rPr>
              <w:t>58,778</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(24,769)</w:t>
            </w:r>
          </w:p>
        </w:tc>
        <w:tc>
          <w:tcPr>
            <w:tcW w:w="1500" w:type="dxa"/>
            <w:vAlign w:val="bottom"/>
            <w:gridSpan w:val="3"/>
          </w:tcPr>
          <w:p>
            <w:pPr>
              <w:jc w:val="right"/>
              <w:ind w:right="220"/>
              <w:spacing w:after="0"/>
              <w:rPr>
                <w:sz w:val="20"/>
                <w:szCs w:val="20"/>
                <w:color w:val="auto"/>
              </w:rPr>
            </w:pPr>
            <w:r>
              <w:rPr>
                <w:rFonts w:ascii="Arial" w:cs="Arial" w:eastAsia="Arial" w:hAnsi="Arial"/>
                <w:sz w:val="16"/>
                <w:szCs w:val="16"/>
                <w:color w:val="auto"/>
              </w:rPr>
              <w:t>13,964</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47,973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Unearned premium and other technical reserves variation, net</w:t>
            </w:r>
          </w:p>
        </w:tc>
        <w:tc>
          <w:tcPr>
            <w:tcW w:w="2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365</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(11,578)</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9,881</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(1,332)</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Insurance subscriptions</w:t>
            </w:r>
          </w:p>
        </w:tc>
        <w:tc>
          <w:tcPr>
            <w:tcW w:w="2140" w:type="dxa"/>
            <w:vAlign w:val="bottom"/>
            <w:gridSpan w:val="3"/>
          </w:tcPr>
          <w:p>
            <w:pPr>
              <w:jc w:val="right"/>
              <w:ind w:right="140"/>
              <w:spacing w:after="0"/>
              <w:rPr>
                <w:sz w:val="20"/>
                <w:szCs w:val="20"/>
                <w:color w:val="auto"/>
              </w:rPr>
            </w:pPr>
            <w:r>
              <w:rPr>
                <w:rFonts w:ascii="Arial" w:cs="Arial" w:eastAsia="Arial" w:hAnsi="Arial"/>
                <w:sz w:val="16"/>
                <w:szCs w:val="16"/>
                <w:color w:val="auto"/>
              </w:rPr>
              <w:t>361,966</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361,966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Payments</w:t>
            </w:r>
          </w:p>
        </w:tc>
        <w:tc>
          <w:tcPr>
            <w:tcW w:w="2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Exchange difference</w:t>
            </w:r>
          </w:p>
        </w:tc>
        <w:tc>
          <w:tcPr>
            <w:tcW w:w="2140" w:type="dxa"/>
            <w:vAlign w:val="bottom"/>
            <w:gridSpan w:val="3"/>
          </w:tcPr>
          <w:p>
            <w:pPr>
              <w:jc w:val="right"/>
              <w:ind w:right="80"/>
              <w:spacing w:after="0"/>
              <w:rPr>
                <w:sz w:val="20"/>
                <w:szCs w:val="20"/>
                <w:color w:val="auto"/>
              </w:rPr>
            </w:pPr>
            <w:r>
              <w:rPr>
                <w:rFonts w:ascii="Arial" w:cs="Arial" w:eastAsia="Arial" w:hAnsi="Arial"/>
                <w:sz w:val="16"/>
                <w:szCs w:val="16"/>
                <w:color w:val="auto"/>
              </w:rPr>
              <w:t>(47,289)</w:t>
            </w: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28,329</w:t>
            </w:r>
          </w:p>
        </w:tc>
        <w:tc>
          <w:tcPr>
            <w:tcW w:w="1500" w:type="dxa"/>
            <w:vAlign w:val="bottom"/>
            <w:gridSpan w:val="3"/>
          </w:tcPr>
          <w:p>
            <w:pPr>
              <w:jc w:val="right"/>
              <w:ind w:right="160"/>
              <w:spacing w:after="0"/>
              <w:rPr>
                <w:sz w:val="20"/>
                <w:szCs w:val="20"/>
                <w:color w:val="auto"/>
              </w:rPr>
            </w:pPr>
            <w:r>
              <w:rPr>
                <w:rFonts w:ascii="Arial" w:cs="Arial" w:eastAsia="Arial" w:hAnsi="Arial"/>
                <w:sz w:val="16"/>
                <w:szCs w:val="16"/>
                <w:color w:val="auto"/>
              </w:rPr>
              <w:t>(23,408)</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(42,368)</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Ending balance</w:t>
            </w:r>
          </w:p>
        </w:tc>
        <w:tc>
          <w:tcPr>
            <w:tcW w:w="7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5,128,974</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574,435</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144,783</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5,848,192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572"/>
        </w:trPr>
        <w:tc>
          <w:tcPr>
            <w:tcW w:w="2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919"/>
              <w:spacing w:after="0"/>
              <w:rPr>
                <w:sz w:val="20"/>
                <w:szCs w:val="20"/>
                <w:color w:val="auto"/>
              </w:rPr>
            </w:pPr>
            <w:r>
              <w:rPr>
                <w:rFonts w:ascii="Arial" w:cs="Arial" w:eastAsia="Arial" w:hAnsi="Arial"/>
                <w:sz w:val="16"/>
                <w:szCs w:val="16"/>
                <w:color w:val="auto"/>
              </w:rPr>
              <w:t>- 81 -</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8" w:right="21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0" w:type="dxa"/>
            <w:vAlign w:val="bottom"/>
            <w:gridSpan w:val="2"/>
          </w:tcPr>
          <w:p>
            <w:pPr>
              <w:ind w:left="780"/>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9"/>
        </w:trPr>
        <w:tc>
          <w:tcPr>
            <w:tcW w:w="2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Life</w:t>
            </w:r>
          </w:p>
        </w:tc>
        <w:tc>
          <w:tcPr>
            <w:tcW w:w="1420" w:type="dxa"/>
            <w:vAlign w:val="bottom"/>
            <w:tcBorders>
              <w:top w:val="single" w:sz="8" w:color="auto"/>
            </w:tcBorders>
            <w:gridSpan w:val="3"/>
          </w:tcPr>
          <w:p>
            <w:pPr>
              <w:ind w:left="80"/>
              <w:spacing w:after="0" w:line="169" w:lineRule="exact"/>
              <w:rPr>
                <w:sz w:val="20"/>
                <w:szCs w:val="20"/>
                <w:color w:val="auto"/>
              </w:rPr>
            </w:pPr>
            <w:r>
              <w:rPr>
                <w:rFonts w:ascii="Arial" w:cs="Arial" w:eastAsia="Arial" w:hAnsi="Arial"/>
                <w:sz w:val="16"/>
                <w:szCs w:val="16"/>
                <w:b w:val="1"/>
                <w:bCs w:val="1"/>
                <w:color w:val="auto"/>
              </w:rPr>
              <w:t>General</w:t>
            </w:r>
          </w:p>
        </w:tc>
        <w:tc>
          <w:tcPr>
            <w:tcW w:w="1500" w:type="dxa"/>
            <w:vAlign w:val="bottom"/>
            <w:tcBorders>
              <w:top w:val="single" w:sz="8" w:color="auto"/>
            </w:tcBorders>
            <w:gridSpan w:val="3"/>
          </w:tcPr>
          <w:p>
            <w:pPr>
              <w:ind w:left="80"/>
              <w:spacing w:after="0" w:line="169" w:lineRule="exact"/>
              <w:rPr>
                <w:sz w:val="20"/>
                <w:szCs w:val="20"/>
                <w:color w:val="auto"/>
              </w:rPr>
            </w:pPr>
            <w:r>
              <w:rPr>
                <w:rFonts w:ascii="Arial" w:cs="Arial" w:eastAsia="Arial" w:hAnsi="Arial"/>
                <w:sz w:val="16"/>
                <w:szCs w:val="16"/>
                <w:b w:val="1"/>
                <w:bCs w:val="1"/>
                <w:color w:val="auto"/>
              </w:rPr>
              <w:t>Health</w:t>
            </w: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insurance</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insurance</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insurance</w:t>
            </w: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8"/>
                <w:szCs w:val="18"/>
                <w:color w:val="auto"/>
              </w:rPr>
            </w:pPr>
          </w:p>
        </w:tc>
      </w:tr>
      <w:tr>
        <w:trPr>
          <w:trHeight w:val="202"/>
        </w:trPr>
        <w:tc>
          <w:tcPr>
            <w:tcW w:w="2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Beginning balance</w:t>
            </w:r>
          </w:p>
        </w:tc>
        <w:tc>
          <w:tcPr>
            <w:tcW w:w="2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3,929,027</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561,622</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125,543</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4,616,192</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Unearned premium and other technical reserves variation, net</w:t>
            </w:r>
          </w:p>
        </w:tc>
        <w:tc>
          <w:tcPr>
            <w:tcW w:w="2140" w:type="dxa"/>
            <w:vAlign w:val="bottom"/>
            <w:gridSpan w:val="3"/>
          </w:tcPr>
          <w:p>
            <w:pPr>
              <w:jc w:val="right"/>
              <w:ind w:right="140"/>
              <w:spacing w:after="0"/>
              <w:rPr>
                <w:sz w:val="20"/>
                <w:szCs w:val="20"/>
                <w:color w:val="auto"/>
              </w:rPr>
            </w:pPr>
            <w:r>
              <w:rPr>
                <w:rFonts w:ascii="Arial" w:cs="Arial" w:eastAsia="Arial" w:hAnsi="Arial"/>
                <w:sz w:val="16"/>
                <w:szCs w:val="16"/>
                <w:color w:val="auto"/>
              </w:rPr>
              <w:t>663,577</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(32,811)</w:t>
            </w:r>
          </w:p>
        </w:tc>
        <w:tc>
          <w:tcPr>
            <w:tcW w:w="1500" w:type="dxa"/>
            <w:vAlign w:val="bottom"/>
            <w:gridSpan w:val="3"/>
          </w:tcPr>
          <w:p>
            <w:pPr>
              <w:jc w:val="right"/>
              <w:ind w:right="220"/>
              <w:spacing w:after="0"/>
              <w:rPr>
                <w:sz w:val="20"/>
                <w:szCs w:val="20"/>
                <w:color w:val="auto"/>
              </w:rPr>
            </w:pPr>
            <w:r>
              <w:rPr>
                <w:rFonts w:ascii="Arial" w:cs="Arial" w:eastAsia="Arial" w:hAnsi="Arial"/>
                <w:sz w:val="16"/>
                <w:szCs w:val="16"/>
                <w:color w:val="auto"/>
              </w:rPr>
              <w:t>13,728</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644,494</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Insurance subscriptions</w:t>
            </w:r>
          </w:p>
        </w:tc>
        <w:tc>
          <w:tcPr>
            <w:tcW w:w="2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Payments</w:t>
            </w:r>
          </w:p>
        </w:tc>
        <w:tc>
          <w:tcPr>
            <w:tcW w:w="2140" w:type="dxa"/>
            <w:vAlign w:val="bottom"/>
            <w:gridSpan w:val="3"/>
          </w:tcPr>
          <w:p>
            <w:pPr>
              <w:jc w:val="right"/>
              <w:ind w:right="80"/>
              <w:spacing w:after="0"/>
              <w:rPr>
                <w:sz w:val="20"/>
                <w:szCs w:val="20"/>
                <w:color w:val="auto"/>
              </w:rPr>
            </w:pPr>
            <w:r>
              <w:rPr>
                <w:rFonts w:ascii="Arial" w:cs="Arial" w:eastAsia="Arial" w:hAnsi="Arial"/>
                <w:sz w:val="16"/>
                <w:szCs w:val="16"/>
                <w:color w:val="auto"/>
              </w:rPr>
              <w:t>(174,735)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(174,735)</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Exchange difference</w:t>
            </w:r>
          </w:p>
        </w:tc>
        <w:tc>
          <w:tcPr>
            <w:tcW w:w="2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337,285</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53,642</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5,075</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396,002</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Arial" w:cs="Arial" w:eastAsia="Arial" w:hAnsi="Arial"/>
                <w:sz w:val="16"/>
                <w:szCs w:val="16"/>
                <w:b w:val="1"/>
                <w:bCs w:val="1"/>
                <w:color w:val="auto"/>
              </w:rPr>
              <w:t>Ending balance</w:t>
            </w:r>
          </w:p>
        </w:tc>
        <w:tc>
          <w:tcPr>
            <w:tcW w:w="78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4,755,154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582,453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144,346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5,481,953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572"/>
        </w:trPr>
        <w:tc>
          <w:tcPr>
            <w:tcW w:w="2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919"/>
              <w:spacing w:after="0"/>
              <w:rPr>
                <w:sz w:val="20"/>
                <w:szCs w:val="20"/>
                <w:color w:val="auto"/>
              </w:rPr>
            </w:pPr>
            <w:r>
              <w:rPr>
                <w:rFonts w:ascii="Arial" w:cs="Arial" w:eastAsia="Arial" w:hAnsi="Arial"/>
                <w:sz w:val="16"/>
                <w:szCs w:val="16"/>
                <w:color w:val="auto"/>
              </w:rPr>
              <w:t>- 82 -</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36" w:right="219" w:bottom="1440" w:gutter="0" w:footer="0" w:header="0"/>
        </w:sectPr>
      </w:pPr>
    </w:p>
    <w:bookmarkStart w:id="87" w:name="page88"/>
    <w:bookmarkEnd w:id="87"/>
    <w:p>
      <w:pPr>
        <w:ind w:left="3" w:right="180"/>
        <w:spacing w:after="0" w:line="280" w:lineRule="auto"/>
        <w:rPr>
          <w:sz w:val="20"/>
          <w:szCs w:val="20"/>
          <w:color w:val="auto"/>
        </w:rPr>
      </w:pPr>
      <w:r>
        <w:rPr>
          <w:rFonts w:ascii="Arial" w:cs="Arial" w:eastAsia="Arial" w:hAnsi="Arial"/>
          <w:sz w:val="16"/>
          <w:szCs w:val="16"/>
          <w:color w:val="auto"/>
        </w:rPr>
        <w:t>At December 31, 2016 and 2015 no additional reserves were needed as a result of the liability adequacy test. The main assumptions used in estimation of retirement, disability and survival annuities and individual life (included unit-linked insurance contracts) reserves as of those dates, were the following:</w:t>
      </w:r>
    </w:p>
    <w:p>
      <w:pPr>
        <w:spacing w:after="0" w:line="147"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2420" w:type="dxa"/>
            <w:vAlign w:val="bottom"/>
            <w:vMerge w:val="restart"/>
          </w:tcPr>
          <w:p>
            <w:pPr>
              <w:spacing w:after="0"/>
              <w:rPr>
                <w:sz w:val="20"/>
                <w:szCs w:val="20"/>
                <w:color w:val="auto"/>
              </w:rPr>
            </w:pPr>
            <w:r>
              <w:rPr>
                <w:rFonts w:ascii="Arial" w:cs="Arial" w:eastAsia="Arial" w:hAnsi="Arial"/>
                <w:sz w:val="16"/>
                <w:szCs w:val="16"/>
                <w:b w:val="1"/>
                <w:bCs w:val="1"/>
                <w:color w:val="auto"/>
              </w:rPr>
              <w:t>Mortality</w:t>
            </w:r>
          </w:p>
        </w:tc>
        <w:tc>
          <w:tcPr>
            <w:tcW w:w="2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At December 31, 2016</w:t>
            </w:r>
          </w:p>
        </w:tc>
        <w:tc>
          <w:tcPr>
            <w:tcW w:w="2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At December 31, 2015</w:t>
            </w:r>
          </w:p>
        </w:tc>
        <w:tc>
          <w:tcPr>
            <w:tcW w:w="5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420" w:type="dxa"/>
            <w:vAlign w:val="bottom"/>
            <w:vMerge w:val="continue"/>
          </w:tcPr>
          <w:p>
            <w:pPr>
              <w:spacing w:after="0"/>
              <w:rPr>
                <w:sz w:val="15"/>
                <w:szCs w:val="15"/>
                <w:color w:val="auto"/>
              </w:rPr>
            </w:pPr>
          </w:p>
        </w:tc>
        <w:tc>
          <w:tcPr>
            <w:tcW w:w="2120" w:type="dxa"/>
            <w:vAlign w:val="bottom"/>
          </w:tcPr>
          <w:p>
            <w:pPr>
              <w:spacing w:after="0" w:line="174" w:lineRule="exact"/>
              <w:rPr>
                <w:sz w:val="20"/>
                <w:szCs w:val="20"/>
                <w:color w:val="auto"/>
              </w:rPr>
            </w:pPr>
            <w:r>
              <w:rPr>
                <w:rFonts w:ascii="Arial" w:cs="Arial" w:eastAsia="Arial" w:hAnsi="Arial"/>
                <w:sz w:val="16"/>
                <w:szCs w:val="16"/>
                <w:b w:val="1"/>
                <w:bCs w:val="1"/>
                <w:color w:val="auto"/>
              </w:rPr>
              <w:t>Mortality table</w:t>
            </w:r>
          </w:p>
        </w:tc>
        <w:tc>
          <w:tcPr>
            <w:tcW w:w="2340" w:type="dxa"/>
            <w:vAlign w:val="bottom"/>
          </w:tcPr>
          <w:p>
            <w:pPr>
              <w:ind w:left="180"/>
              <w:spacing w:after="0" w:line="174" w:lineRule="exact"/>
              <w:rPr>
                <w:sz w:val="20"/>
                <w:szCs w:val="20"/>
                <w:color w:val="auto"/>
              </w:rPr>
            </w:pPr>
            <w:r>
              <w:rPr>
                <w:rFonts w:ascii="Arial" w:cs="Arial" w:eastAsia="Arial" w:hAnsi="Arial"/>
                <w:sz w:val="16"/>
                <w:szCs w:val="16"/>
                <w:b w:val="1"/>
                <w:bCs w:val="1"/>
                <w:color w:val="auto"/>
              </w:rPr>
              <w:t>Technical rates</w:t>
            </w:r>
          </w:p>
        </w:tc>
        <w:tc>
          <w:tcPr>
            <w:tcW w:w="120" w:type="dxa"/>
            <w:vAlign w:val="bottom"/>
          </w:tcPr>
          <w:p>
            <w:pPr>
              <w:spacing w:after="0"/>
              <w:rPr>
                <w:sz w:val="15"/>
                <w:szCs w:val="15"/>
                <w:color w:val="auto"/>
              </w:rPr>
            </w:pPr>
          </w:p>
        </w:tc>
        <w:tc>
          <w:tcPr>
            <w:tcW w:w="2120" w:type="dxa"/>
            <w:vAlign w:val="bottom"/>
          </w:tcPr>
          <w:p>
            <w:pPr>
              <w:spacing w:after="0" w:line="174" w:lineRule="exact"/>
              <w:rPr>
                <w:sz w:val="20"/>
                <w:szCs w:val="20"/>
                <w:color w:val="auto"/>
              </w:rPr>
            </w:pPr>
            <w:r>
              <w:rPr>
                <w:rFonts w:ascii="Arial" w:cs="Arial" w:eastAsia="Arial" w:hAnsi="Arial"/>
                <w:sz w:val="16"/>
                <w:szCs w:val="16"/>
                <w:b w:val="1"/>
                <w:bCs w:val="1"/>
                <w:color w:val="auto"/>
              </w:rPr>
              <w:t>Mortality table</w:t>
            </w:r>
          </w:p>
        </w:tc>
        <w:tc>
          <w:tcPr>
            <w:tcW w:w="2320" w:type="dxa"/>
            <w:vAlign w:val="bottom"/>
            <w:gridSpan w:val="2"/>
          </w:tcPr>
          <w:p>
            <w:pPr>
              <w:ind w:left="140"/>
              <w:spacing w:after="0" w:line="174" w:lineRule="exact"/>
              <w:rPr>
                <w:sz w:val="20"/>
                <w:szCs w:val="20"/>
                <w:color w:val="auto"/>
              </w:rPr>
            </w:pPr>
            <w:r>
              <w:rPr>
                <w:rFonts w:ascii="Arial" w:cs="Arial" w:eastAsia="Arial" w:hAnsi="Arial"/>
                <w:sz w:val="16"/>
                <w:szCs w:val="16"/>
                <w:b w:val="1"/>
                <w:bCs w:val="1"/>
                <w:color w:val="auto"/>
              </w:rPr>
              <w:t>Technical rates</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Arial" w:cs="Arial" w:eastAsia="Arial" w:hAnsi="Arial"/>
                <w:sz w:val="16"/>
                <w:szCs w:val="16"/>
                <w:color w:val="auto"/>
                <w:w w:val="92"/>
              </w:rPr>
              <w:t>5.00%</w:t>
            </w:r>
          </w:p>
        </w:tc>
        <w:tc>
          <w:tcPr>
            <w:tcW w:w="1740" w:type="dxa"/>
            <w:vAlign w:val="bottom"/>
          </w:tcPr>
          <w:p>
            <w:pPr>
              <w:ind w:left="20"/>
              <w:spacing w:after="0"/>
              <w:rPr>
                <w:sz w:val="20"/>
                <w:szCs w:val="20"/>
                <w:color w:val="auto"/>
              </w:rPr>
            </w:pPr>
            <w:r>
              <w:rPr>
                <w:rFonts w:ascii="Arial" w:cs="Arial" w:eastAsia="Arial" w:hAnsi="Arial"/>
                <w:sz w:val="16"/>
                <w:szCs w:val="16"/>
                <w:color w:val="auto"/>
              </w:rPr>
              <w:t>- 6.03% in US$</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320" w:type="dxa"/>
            <w:vAlign w:val="bottom"/>
            <w:gridSpan w:val="2"/>
          </w:tcPr>
          <w:p>
            <w:pPr>
              <w:ind w:left="140"/>
              <w:spacing w:after="0"/>
              <w:rPr>
                <w:sz w:val="20"/>
                <w:szCs w:val="20"/>
                <w:color w:val="auto"/>
              </w:rPr>
            </w:pPr>
            <w:r>
              <w:rPr>
                <w:rFonts w:ascii="Arial" w:cs="Arial" w:eastAsia="Arial" w:hAnsi="Arial"/>
                <w:sz w:val="16"/>
                <w:szCs w:val="16"/>
                <w:color w:val="auto"/>
              </w:rPr>
              <w:t>3.56% in soles VAC</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Arial" w:cs="Arial" w:eastAsia="Arial" w:hAnsi="Arial"/>
                <w:sz w:val="16"/>
                <w:szCs w:val="16"/>
                <w:color w:val="auto"/>
                <w:w w:val="92"/>
              </w:rPr>
              <w:t>5.03%</w:t>
            </w:r>
          </w:p>
        </w:tc>
        <w:tc>
          <w:tcPr>
            <w:tcW w:w="1740" w:type="dxa"/>
            <w:vAlign w:val="bottom"/>
          </w:tcPr>
          <w:p>
            <w:pPr>
              <w:ind w:left="20"/>
              <w:spacing w:after="0"/>
              <w:rPr>
                <w:sz w:val="20"/>
                <w:szCs w:val="20"/>
                <w:color w:val="auto"/>
              </w:rPr>
            </w:pPr>
            <w:r>
              <w:rPr>
                <w:rFonts w:ascii="Arial" w:cs="Arial" w:eastAsia="Arial" w:hAnsi="Arial"/>
                <w:sz w:val="16"/>
                <w:szCs w:val="16"/>
                <w:color w:val="auto"/>
              </w:rPr>
              <w:t>-5.40% adjusted in US$</w:t>
            </w:r>
          </w:p>
        </w:tc>
        <w:tc>
          <w:tcPr>
            <w:tcW w:w="0" w:type="dxa"/>
            <w:vAlign w:val="bottom"/>
          </w:tcPr>
          <w:p>
            <w:pPr>
              <w:spacing w:after="0"/>
              <w:rPr>
                <w:sz w:val="1"/>
                <w:szCs w:val="1"/>
                <w:color w:val="auto"/>
              </w:rPr>
            </w:pPr>
          </w:p>
        </w:tc>
      </w:tr>
      <w:tr>
        <w:trPr>
          <w:trHeight w:val="193"/>
        </w:trPr>
        <w:tc>
          <w:tcPr>
            <w:tcW w:w="2420" w:type="dxa"/>
            <w:vAlign w:val="bottom"/>
            <w:vMerge w:val="restart"/>
          </w:tcPr>
          <w:p>
            <w:pPr>
              <w:spacing w:after="0"/>
              <w:rPr>
                <w:sz w:val="20"/>
                <w:szCs w:val="20"/>
                <w:color w:val="auto"/>
              </w:rPr>
            </w:pPr>
            <w:r>
              <w:rPr>
                <w:rFonts w:ascii="Arial" w:cs="Arial" w:eastAsia="Arial" w:hAnsi="Arial"/>
                <w:sz w:val="16"/>
                <w:szCs w:val="16"/>
                <w:b w:val="1"/>
                <w:bCs w:val="1"/>
                <w:color w:val="auto"/>
              </w:rPr>
              <w:t>Annuities</w:t>
            </w:r>
          </w:p>
        </w:tc>
        <w:tc>
          <w:tcPr>
            <w:tcW w:w="2120" w:type="dxa"/>
            <w:vAlign w:val="bottom"/>
          </w:tcPr>
          <w:p>
            <w:pPr>
              <w:spacing w:after="0"/>
              <w:rPr>
                <w:sz w:val="16"/>
                <w:szCs w:val="16"/>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color w:val="auto"/>
              </w:rPr>
              <w:t>Between 4.21% - 7.69% /</w:t>
            </w:r>
          </w:p>
        </w:tc>
        <w:tc>
          <w:tcPr>
            <w:tcW w:w="212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Arial" w:cs="Arial" w:eastAsia="Arial" w:hAnsi="Arial"/>
                <w:sz w:val="16"/>
                <w:szCs w:val="16"/>
                <w:color w:val="auto"/>
                <w:w w:val="92"/>
              </w:rPr>
              <w:t>5.54%</w:t>
            </w:r>
          </w:p>
        </w:tc>
        <w:tc>
          <w:tcPr>
            <w:tcW w:w="1740" w:type="dxa"/>
            <w:vAlign w:val="bottom"/>
          </w:tcPr>
          <w:p>
            <w:pPr>
              <w:ind w:left="20"/>
              <w:spacing w:after="0"/>
              <w:rPr>
                <w:sz w:val="20"/>
                <w:szCs w:val="20"/>
                <w:color w:val="auto"/>
              </w:rPr>
            </w:pPr>
            <w:r>
              <w:rPr>
                <w:rFonts w:ascii="Arial" w:cs="Arial" w:eastAsia="Arial" w:hAnsi="Arial"/>
                <w:sz w:val="16"/>
                <w:szCs w:val="16"/>
                <w:color w:val="auto"/>
                <w:w w:val="97"/>
              </w:rPr>
              <w:t>-6.57% adjusted in soles</w:t>
            </w:r>
          </w:p>
        </w:tc>
        <w:tc>
          <w:tcPr>
            <w:tcW w:w="0" w:type="dxa"/>
            <w:vAlign w:val="bottom"/>
          </w:tcPr>
          <w:p>
            <w:pPr>
              <w:spacing w:after="0"/>
              <w:rPr>
                <w:sz w:val="1"/>
                <w:szCs w:val="1"/>
                <w:color w:val="auto"/>
              </w:rPr>
            </w:pPr>
          </w:p>
        </w:tc>
      </w:tr>
      <w:tr>
        <w:trPr>
          <w:trHeight w:val="193"/>
        </w:trPr>
        <w:tc>
          <w:tcPr>
            <w:tcW w:w="2420" w:type="dxa"/>
            <w:vAlign w:val="bottom"/>
            <w:vMerge w:val="continue"/>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TAP 2012 and MI 2006</w:t>
            </w:r>
          </w:p>
        </w:tc>
        <w:tc>
          <w:tcPr>
            <w:tcW w:w="2460" w:type="dxa"/>
            <w:vAlign w:val="bottom"/>
            <w:gridSpan w:val="2"/>
          </w:tcPr>
          <w:p>
            <w:pPr>
              <w:ind w:left="180"/>
              <w:spacing w:after="0"/>
              <w:rPr>
                <w:sz w:val="20"/>
                <w:szCs w:val="20"/>
                <w:color w:val="auto"/>
              </w:rPr>
            </w:pPr>
            <w:r>
              <w:rPr>
                <w:rFonts w:ascii="Arial" w:cs="Arial" w:eastAsia="Arial" w:hAnsi="Arial"/>
                <w:sz w:val="16"/>
                <w:szCs w:val="16"/>
                <w:color w:val="auto"/>
              </w:rPr>
              <w:t>Between 2.50% - 5.25%</w:t>
            </w:r>
          </w:p>
        </w:tc>
        <w:tc>
          <w:tcPr>
            <w:tcW w:w="2120" w:type="dxa"/>
            <w:vAlign w:val="bottom"/>
          </w:tcPr>
          <w:p>
            <w:pPr>
              <w:spacing w:after="0"/>
              <w:rPr>
                <w:sz w:val="20"/>
                <w:szCs w:val="20"/>
                <w:color w:val="auto"/>
              </w:rPr>
            </w:pPr>
            <w:r>
              <w:rPr>
                <w:rFonts w:ascii="Arial" w:cs="Arial" w:eastAsia="Arial" w:hAnsi="Arial"/>
                <w:sz w:val="16"/>
                <w:szCs w:val="16"/>
                <w:color w:val="auto"/>
                <w:w w:val="99"/>
              </w:rPr>
              <w:t>RV 2009, B2006 and MI 2006</w:t>
            </w:r>
          </w:p>
        </w:tc>
        <w:tc>
          <w:tcPr>
            <w:tcW w:w="2320" w:type="dxa"/>
            <w:vAlign w:val="bottom"/>
            <w:gridSpan w:val="2"/>
          </w:tcPr>
          <w:p>
            <w:pPr>
              <w:ind w:left="140"/>
              <w:spacing w:after="0"/>
              <w:rPr>
                <w:sz w:val="20"/>
                <w:szCs w:val="20"/>
                <w:color w:val="auto"/>
              </w:rPr>
            </w:pPr>
            <w:r>
              <w:rPr>
                <w:rFonts w:ascii="Arial" w:cs="Arial" w:eastAsia="Arial" w:hAnsi="Arial"/>
                <w:sz w:val="16"/>
                <w:szCs w:val="16"/>
                <w:color w:val="auto"/>
              </w:rPr>
              <w:t>2.24 – Soles VAC</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color w:val="auto"/>
              </w:rPr>
              <w:t>4.12 adjusted in dollars</w:t>
            </w:r>
          </w:p>
        </w:tc>
        <w:tc>
          <w:tcPr>
            <w:tcW w:w="2120" w:type="dxa"/>
            <w:vAlign w:val="bottom"/>
          </w:tcPr>
          <w:p>
            <w:pPr>
              <w:spacing w:after="0"/>
              <w:rPr>
                <w:sz w:val="16"/>
                <w:szCs w:val="16"/>
                <w:color w:val="auto"/>
              </w:rPr>
            </w:pPr>
          </w:p>
        </w:tc>
        <w:tc>
          <w:tcPr>
            <w:tcW w:w="2320" w:type="dxa"/>
            <w:vAlign w:val="bottom"/>
            <w:gridSpan w:val="2"/>
          </w:tcPr>
          <w:p>
            <w:pPr>
              <w:ind w:left="140"/>
              <w:spacing w:after="0"/>
              <w:rPr>
                <w:sz w:val="20"/>
                <w:szCs w:val="20"/>
                <w:color w:val="auto"/>
              </w:rPr>
            </w:pPr>
            <w:r>
              <w:rPr>
                <w:rFonts w:ascii="Arial" w:cs="Arial" w:eastAsia="Arial" w:hAnsi="Arial"/>
                <w:sz w:val="16"/>
                <w:szCs w:val="16"/>
                <w:color w:val="auto"/>
              </w:rPr>
              <w:t>4.12 adjusted in dollars</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B - 85, B – 85 adjusted,</w:t>
            </w:r>
          </w:p>
        </w:tc>
        <w:tc>
          <w:tcPr>
            <w:tcW w:w="2460" w:type="dxa"/>
            <w:vAlign w:val="bottom"/>
            <w:gridSpan w:val="2"/>
          </w:tcPr>
          <w:p>
            <w:pPr>
              <w:ind w:left="180"/>
              <w:spacing w:after="0"/>
              <w:rPr>
                <w:sz w:val="20"/>
                <w:szCs w:val="20"/>
                <w:color w:val="auto"/>
              </w:rPr>
            </w:pPr>
            <w:r>
              <w:rPr>
                <w:rFonts w:ascii="Arial" w:cs="Arial" w:eastAsia="Arial" w:hAnsi="Arial"/>
                <w:sz w:val="16"/>
                <w:szCs w:val="16"/>
                <w:color w:val="auto"/>
              </w:rPr>
              <w:t>5.53% adjusted in soles</w:t>
            </w:r>
          </w:p>
        </w:tc>
        <w:tc>
          <w:tcPr>
            <w:tcW w:w="2120" w:type="dxa"/>
            <w:vAlign w:val="bottom"/>
          </w:tcPr>
          <w:p>
            <w:pPr>
              <w:spacing w:after="0"/>
              <w:rPr>
                <w:sz w:val="20"/>
                <w:szCs w:val="20"/>
                <w:color w:val="auto"/>
              </w:rPr>
            </w:pPr>
            <w:r>
              <w:rPr>
                <w:rFonts w:ascii="Arial" w:cs="Arial" w:eastAsia="Arial" w:hAnsi="Arial"/>
                <w:sz w:val="16"/>
                <w:szCs w:val="16"/>
                <w:color w:val="auto"/>
              </w:rPr>
              <w:t>B - 85, B – 85 adjusted,</w:t>
            </w:r>
          </w:p>
        </w:tc>
        <w:tc>
          <w:tcPr>
            <w:tcW w:w="2320" w:type="dxa"/>
            <w:vAlign w:val="bottom"/>
            <w:gridSpan w:val="2"/>
          </w:tcPr>
          <w:p>
            <w:pPr>
              <w:ind w:left="140"/>
              <w:spacing w:after="0"/>
              <w:rPr>
                <w:sz w:val="20"/>
                <w:szCs w:val="20"/>
                <w:color w:val="auto"/>
              </w:rPr>
            </w:pPr>
            <w:r>
              <w:rPr>
                <w:rFonts w:ascii="Arial" w:cs="Arial" w:eastAsia="Arial" w:hAnsi="Arial"/>
                <w:sz w:val="16"/>
                <w:szCs w:val="16"/>
                <w:color w:val="auto"/>
              </w:rPr>
              <w:t>5.53% adjusted in soles</w:t>
            </w:r>
          </w:p>
        </w:tc>
        <w:tc>
          <w:tcPr>
            <w:tcW w:w="0" w:type="dxa"/>
            <w:vAlign w:val="bottom"/>
          </w:tcPr>
          <w:p>
            <w:pPr>
              <w:spacing w:after="0"/>
              <w:rPr>
                <w:sz w:val="1"/>
                <w:szCs w:val="1"/>
                <w:color w:val="auto"/>
              </w:rPr>
            </w:pPr>
          </w:p>
        </w:tc>
      </w:tr>
      <w:tr>
        <w:trPr>
          <w:trHeight w:val="206"/>
        </w:trPr>
        <w:tc>
          <w:tcPr>
            <w:tcW w:w="2420" w:type="dxa"/>
            <w:vAlign w:val="bottom"/>
          </w:tcPr>
          <w:p>
            <w:pPr>
              <w:spacing w:after="0"/>
              <w:rPr>
                <w:sz w:val="20"/>
                <w:szCs w:val="20"/>
                <w:color w:val="auto"/>
              </w:rPr>
            </w:pPr>
            <w:r>
              <w:rPr>
                <w:rFonts w:ascii="Arial" w:cs="Arial" w:eastAsia="Arial" w:hAnsi="Arial"/>
                <w:sz w:val="16"/>
                <w:szCs w:val="16"/>
                <w:color w:val="auto"/>
              </w:rPr>
              <w:t>Disability and survival (*)</w:t>
            </w:r>
          </w:p>
        </w:tc>
        <w:tc>
          <w:tcPr>
            <w:tcW w:w="2120" w:type="dxa"/>
            <w:vAlign w:val="bottom"/>
          </w:tcPr>
          <w:p>
            <w:pPr>
              <w:spacing w:after="0"/>
              <w:rPr>
                <w:sz w:val="20"/>
                <w:szCs w:val="20"/>
                <w:color w:val="auto"/>
              </w:rPr>
            </w:pPr>
            <w:r>
              <w:rPr>
                <w:rFonts w:ascii="Arial" w:cs="Arial" w:eastAsia="Arial" w:hAnsi="Arial"/>
                <w:sz w:val="16"/>
                <w:szCs w:val="16"/>
                <w:color w:val="auto"/>
              </w:rPr>
              <w:t>MI – 85, B-2006 and MI-2006</w:t>
            </w:r>
          </w:p>
        </w:tc>
        <w:tc>
          <w:tcPr>
            <w:tcW w:w="2340" w:type="dxa"/>
            <w:vAlign w:val="bottom"/>
          </w:tcPr>
          <w:p>
            <w:pPr>
              <w:ind w:left="180"/>
              <w:spacing w:after="0"/>
              <w:rPr>
                <w:sz w:val="20"/>
                <w:szCs w:val="20"/>
                <w:color w:val="auto"/>
              </w:rPr>
            </w:pPr>
            <w:r>
              <w:rPr>
                <w:rFonts w:ascii="Arial" w:cs="Arial" w:eastAsia="Arial" w:hAnsi="Arial"/>
                <w:sz w:val="16"/>
                <w:szCs w:val="16"/>
                <w:color w:val="auto"/>
              </w:rPr>
              <w:t>3.00% - 3.4407 %</w:t>
            </w:r>
          </w:p>
        </w:tc>
        <w:tc>
          <w:tcPr>
            <w:tcW w:w="12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MI – 85, B-2006 and MI-2006</w:t>
            </w:r>
          </w:p>
        </w:tc>
        <w:tc>
          <w:tcPr>
            <w:tcW w:w="580" w:type="dxa"/>
            <w:vAlign w:val="bottom"/>
          </w:tcPr>
          <w:p>
            <w:pPr>
              <w:ind w:left="140"/>
              <w:spacing w:after="0"/>
              <w:rPr>
                <w:sz w:val="20"/>
                <w:szCs w:val="20"/>
                <w:color w:val="auto"/>
              </w:rPr>
            </w:pPr>
            <w:r>
              <w:rPr>
                <w:rFonts w:ascii="Arial" w:cs="Arial" w:eastAsia="Arial" w:hAnsi="Arial"/>
                <w:sz w:val="16"/>
                <w:szCs w:val="16"/>
                <w:color w:val="auto"/>
                <w:w w:val="92"/>
              </w:rPr>
              <w:t>3.00%</w:t>
            </w:r>
          </w:p>
        </w:tc>
        <w:tc>
          <w:tcPr>
            <w:tcW w:w="1740" w:type="dxa"/>
            <w:vAlign w:val="bottom"/>
          </w:tcPr>
          <w:p>
            <w:pPr>
              <w:ind w:left="20"/>
              <w:spacing w:after="0"/>
              <w:rPr>
                <w:sz w:val="20"/>
                <w:szCs w:val="20"/>
                <w:color w:val="auto"/>
              </w:rPr>
            </w:pPr>
            <w:r>
              <w:rPr>
                <w:rFonts w:ascii="Arial" w:cs="Arial" w:eastAsia="Arial" w:hAnsi="Arial"/>
                <w:sz w:val="16"/>
                <w:szCs w:val="16"/>
                <w:color w:val="auto"/>
              </w:rPr>
              <w:t>- 3.4407 %</w:t>
            </w:r>
          </w:p>
        </w:tc>
        <w:tc>
          <w:tcPr>
            <w:tcW w:w="0" w:type="dxa"/>
            <w:vAlign w:val="bottom"/>
          </w:tcPr>
          <w:p>
            <w:pPr>
              <w:spacing w:after="0"/>
              <w:rPr>
                <w:sz w:val="1"/>
                <w:szCs w:val="1"/>
                <w:color w:val="auto"/>
              </w:rPr>
            </w:pPr>
          </w:p>
        </w:tc>
      </w:tr>
      <w:tr>
        <w:trPr>
          <w:trHeight w:val="375"/>
        </w:trPr>
        <w:tc>
          <w:tcPr>
            <w:tcW w:w="2420" w:type="dxa"/>
            <w:vAlign w:val="bottom"/>
          </w:tcPr>
          <w:p>
            <w:pPr>
              <w:spacing w:after="0"/>
              <w:rPr>
                <w:sz w:val="20"/>
                <w:szCs w:val="20"/>
                <w:color w:val="auto"/>
              </w:rPr>
            </w:pPr>
            <w:r>
              <w:rPr>
                <w:rFonts w:ascii="Arial" w:cs="Arial" w:eastAsia="Arial" w:hAnsi="Arial"/>
                <w:sz w:val="16"/>
                <w:szCs w:val="16"/>
                <w:color w:val="auto"/>
              </w:rPr>
              <w:t>Regular life and insurance</w:t>
            </w:r>
          </w:p>
        </w:tc>
        <w:tc>
          <w:tcPr>
            <w:tcW w:w="2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420" w:type="dxa"/>
            <w:vAlign w:val="bottom"/>
          </w:tcPr>
          <w:p>
            <w:pPr>
              <w:spacing w:after="0"/>
              <w:rPr>
                <w:sz w:val="20"/>
                <w:szCs w:val="20"/>
                <w:color w:val="auto"/>
              </w:rPr>
            </w:pPr>
            <w:r>
              <w:rPr>
                <w:rFonts w:ascii="Arial" w:cs="Arial" w:eastAsia="Arial" w:hAnsi="Arial"/>
                <w:sz w:val="16"/>
                <w:szCs w:val="16"/>
                <w:color w:val="auto"/>
              </w:rPr>
              <w:t>contracts</w:t>
            </w:r>
          </w:p>
        </w:tc>
        <w:tc>
          <w:tcPr>
            <w:tcW w:w="21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20" w:type="dxa"/>
            <w:vAlign w:val="bottom"/>
          </w:tcPr>
          <w:p>
            <w:pPr>
              <w:ind w:left="160"/>
              <w:spacing w:after="0"/>
              <w:rPr>
                <w:sz w:val="20"/>
                <w:szCs w:val="20"/>
                <w:color w:val="auto"/>
              </w:rPr>
            </w:pPr>
            <w:r>
              <w:rPr>
                <w:rFonts w:ascii="Arial" w:cs="Arial" w:eastAsia="Arial" w:hAnsi="Arial"/>
                <w:sz w:val="16"/>
                <w:szCs w:val="16"/>
                <w:color w:val="auto"/>
              </w:rPr>
              <w:t>Unit Linked</w:t>
            </w:r>
          </w:p>
        </w:tc>
        <w:tc>
          <w:tcPr>
            <w:tcW w:w="2120" w:type="dxa"/>
            <w:vAlign w:val="bottom"/>
          </w:tcPr>
          <w:p>
            <w:pPr>
              <w:spacing w:after="0"/>
              <w:rPr>
                <w:sz w:val="20"/>
                <w:szCs w:val="20"/>
                <w:color w:val="auto"/>
              </w:rPr>
            </w:pPr>
            <w:r>
              <w:rPr>
                <w:rFonts w:ascii="Arial" w:cs="Arial" w:eastAsia="Arial" w:hAnsi="Arial"/>
                <w:sz w:val="16"/>
                <w:szCs w:val="16"/>
                <w:color w:val="auto"/>
              </w:rPr>
              <w:t>CSO 80 adjusted</w:t>
            </w:r>
          </w:p>
        </w:tc>
        <w:tc>
          <w:tcPr>
            <w:tcW w:w="2460" w:type="dxa"/>
            <w:vAlign w:val="bottom"/>
            <w:gridSpan w:val="2"/>
          </w:tcPr>
          <w:p>
            <w:pPr>
              <w:ind w:left="180"/>
              <w:spacing w:after="0"/>
              <w:rPr>
                <w:sz w:val="20"/>
                <w:szCs w:val="20"/>
                <w:color w:val="auto"/>
              </w:rPr>
            </w:pPr>
            <w:r>
              <w:rPr>
                <w:rFonts w:ascii="Arial" w:cs="Arial" w:eastAsia="Arial" w:hAnsi="Arial"/>
                <w:sz w:val="16"/>
                <w:szCs w:val="16"/>
                <w:color w:val="auto"/>
              </w:rPr>
              <w:t>4.00 – 5.00 %</w:t>
            </w:r>
          </w:p>
        </w:tc>
        <w:tc>
          <w:tcPr>
            <w:tcW w:w="2120" w:type="dxa"/>
            <w:vAlign w:val="bottom"/>
          </w:tcPr>
          <w:p>
            <w:pPr>
              <w:spacing w:after="0"/>
              <w:rPr>
                <w:sz w:val="20"/>
                <w:szCs w:val="20"/>
                <w:color w:val="auto"/>
              </w:rPr>
            </w:pPr>
            <w:r>
              <w:rPr>
                <w:rFonts w:ascii="Arial" w:cs="Arial" w:eastAsia="Arial" w:hAnsi="Arial"/>
                <w:sz w:val="16"/>
                <w:szCs w:val="16"/>
                <w:color w:val="auto"/>
              </w:rPr>
              <w:t>CS0 80 adjusted</w:t>
            </w:r>
          </w:p>
        </w:tc>
        <w:tc>
          <w:tcPr>
            <w:tcW w:w="580" w:type="dxa"/>
            <w:vAlign w:val="bottom"/>
          </w:tcPr>
          <w:p>
            <w:pPr>
              <w:ind w:left="140"/>
              <w:spacing w:after="0"/>
              <w:rPr>
                <w:sz w:val="20"/>
                <w:szCs w:val="20"/>
                <w:color w:val="auto"/>
              </w:rPr>
            </w:pPr>
            <w:r>
              <w:rPr>
                <w:rFonts w:ascii="Arial" w:cs="Arial" w:eastAsia="Arial" w:hAnsi="Arial"/>
                <w:sz w:val="16"/>
                <w:szCs w:val="16"/>
                <w:color w:val="auto"/>
                <w:w w:val="92"/>
              </w:rPr>
              <w:t>4.00%</w:t>
            </w:r>
          </w:p>
        </w:tc>
        <w:tc>
          <w:tcPr>
            <w:tcW w:w="1740" w:type="dxa"/>
            <w:vAlign w:val="bottom"/>
          </w:tcPr>
          <w:p>
            <w:pPr>
              <w:ind w:left="20"/>
              <w:spacing w:after="0"/>
              <w:rPr>
                <w:sz w:val="20"/>
                <w:szCs w:val="20"/>
                <w:color w:val="auto"/>
              </w:rPr>
            </w:pPr>
            <w:r>
              <w:rPr>
                <w:rFonts w:ascii="Arial" w:cs="Arial" w:eastAsia="Arial" w:hAnsi="Arial"/>
                <w:sz w:val="16"/>
                <w:szCs w:val="16"/>
                <w:color w:val="auto"/>
              </w:rPr>
              <w:t>- 5.00% in US$</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223" w:hanging="223"/>
        <w:spacing w:after="0"/>
        <w:tabs>
          <w:tab w:leader="none" w:pos="223"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This item includes retirements for complementary Work Risk Insurance (SCTR the Spanish acronym).</w:t>
      </w:r>
    </w:p>
    <w:p>
      <w:pPr>
        <w:spacing w:after="0" w:line="396" w:lineRule="exact"/>
        <w:rPr>
          <w:rFonts w:ascii="Arial" w:cs="Arial" w:eastAsia="Arial" w:hAnsi="Arial"/>
          <w:sz w:val="16"/>
          <w:szCs w:val="16"/>
          <w:color w:val="auto"/>
        </w:rPr>
      </w:pPr>
    </w:p>
    <w:p>
      <w:pPr>
        <w:ind w:left="5643" w:hanging="94"/>
        <w:spacing w:after="0"/>
        <w:tabs>
          <w:tab w:leader="none" w:pos="5643" w:val="left"/>
        </w:tabs>
        <w:numPr>
          <w:ilvl w:val="1"/>
          <w:numId w:val="95"/>
        </w:numPr>
        <w:rPr>
          <w:rFonts w:ascii="Arial" w:cs="Arial" w:eastAsia="Arial" w:hAnsi="Arial"/>
          <w:sz w:val="16"/>
          <w:szCs w:val="16"/>
          <w:color w:val="auto"/>
        </w:rPr>
      </w:pPr>
      <w:r>
        <w:rPr>
          <w:rFonts w:ascii="Arial" w:cs="Arial" w:eastAsia="Arial" w:hAnsi="Arial"/>
          <w:sz w:val="16"/>
          <w:szCs w:val="16"/>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1046" w:right="219" w:bottom="1440" w:gutter="0" w:footer="0" w:header="0"/>
        </w:sectPr>
      </w:pPr>
    </w:p>
    <w:bookmarkStart w:id="88" w:name="page89"/>
    <w:bookmarkEnd w:id="88"/>
    <w:p>
      <w:pPr>
        <w:jc w:val="both"/>
        <w:ind w:right="80"/>
        <w:spacing w:after="0" w:line="321" w:lineRule="auto"/>
        <w:rPr>
          <w:sz w:val="20"/>
          <w:szCs w:val="20"/>
          <w:color w:val="auto"/>
        </w:rPr>
      </w:pPr>
      <w:r>
        <w:rPr>
          <w:rFonts w:ascii="Arial" w:cs="Arial" w:eastAsia="Arial" w:hAnsi="Arial"/>
          <w:sz w:val="14"/>
          <w:szCs w:val="14"/>
          <w:color w:val="auto"/>
        </w:rPr>
        <w:t>The sensitivity of the estimates used by the Group to measure its insurance risks is represented primarily by the life insurance risks; the main variables as of December 31, 2016 and 2015, are the interest rates and the mortality tables used. The Group has evaluated the changes of the reserves related to its most significant life insurance contracts included in retirement, disability and survival annuities contracts of +/- 100 bps of the interest rates and of +/- 5 bps of the mortality factors, with the following results: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8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At December 31, 2016</w:t>
            </w: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At December 31, 2015</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120" w:type="dxa"/>
            <w:vAlign w:val="bottom"/>
            <w:gridSpan w:val="3"/>
            <w:vMerge w:val="restart"/>
          </w:tcPr>
          <w:p>
            <w:pPr>
              <w:ind w:left="820"/>
              <w:spacing w:after="0"/>
              <w:rPr>
                <w:sz w:val="20"/>
                <w:szCs w:val="20"/>
                <w:color w:val="auto"/>
              </w:rPr>
            </w:pPr>
            <w:r>
              <w:rPr>
                <w:rFonts w:ascii="Arial" w:cs="Arial" w:eastAsia="Arial" w:hAnsi="Arial"/>
                <w:sz w:val="16"/>
                <w:szCs w:val="16"/>
                <w:b w:val="1"/>
                <w:bCs w:val="1"/>
                <w:color w:val="auto"/>
              </w:rPr>
              <w:t>Amount of</w:t>
            </w:r>
          </w:p>
        </w:tc>
        <w:tc>
          <w:tcPr>
            <w:tcW w:w="2320" w:type="dxa"/>
            <w:vAlign w:val="bottom"/>
            <w:gridSpan w:val="3"/>
          </w:tcPr>
          <w:p>
            <w:pPr>
              <w:spacing w:after="0"/>
              <w:rPr>
                <w:sz w:val="20"/>
                <w:szCs w:val="20"/>
                <w:color w:val="auto"/>
              </w:rPr>
            </w:pPr>
            <w:r>
              <w:rPr>
                <w:rFonts w:ascii="Arial" w:cs="Arial" w:eastAsia="Arial" w:hAnsi="Arial"/>
                <w:sz w:val="16"/>
                <w:szCs w:val="16"/>
                <w:b w:val="1"/>
                <w:bCs w:val="1"/>
                <w:color w:val="auto"/>
              </w:rPr>
              <w:t>Variation of the reserve</w:t>
            </w:r>
          </w:p>
        </w:tc>
        <w:tc>
          <w:tcPr>
            <w:tcW w:w="220" w:type="dxa"/>
            <w:vAlign w:val="bottom"/>
          </w:tcPr>
          <w:p>
            <w:pPr>
              <w:spacing w:after="0"/>
              <w:rPr>
                <w:sz w:val="17"/>
                <w:szCs w:val="17"/>
                <w:color w:val="auto"/>
              </w:rPr>
            </w:pPr>
          </w:p>
        </w:tc>
        <w:tc>
          <w:tcPr>
            <w:tcW w:w="11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Amount of</w:t>
            </w:r>
          </w:p>
        </w:tc>
        <w:tc>
          <w:tcPr>
            <w:tcW w:w="2360" w:type="dxa"/>
            <w:vAlign w:val="bottom"/>
            <w:gridSpan w:val="4"/>
          </w:tcPr>
          <w:p>
            <w:pPr>
              <w:ind w:left="120"/>
              <w:spacing w:after="0"/>
              <w:rPr>
                <w:sz w:val="20"/>
                <w:szCs w:val="20"/>
                <w:color w:val="auto"/>
              </w:rPr>
            </w:pPr>
            <w:r>
              <w:rPr>
                <w:rFonts w:ascii="Arial" w:cs="Arial" w:eastAsia="Arial" w:hAnsi="Arial"/>
                <w:sz w:val="16"/>
                <w:szCs w:val="16"/>
                <w:b w:val="1"/>
                <w:bCs w:val="1"/>
                <w:color w:val="auto"/>
              </w:rPr>
              <w:t>Variation of the reserve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1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Variables</w:t>
            </w:r>
          </w:p>
        </w:tc>
        <w:tc>
          <w:tcPr>
            <w:tcW w:w="2120" w:type="dxa"/>
            <w:vAlign w:val="bottom"/>
            <w:gridSpan w:val="3"/>
            <w:vMerge w:val="continue"/>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180" w:type="dxa"/>
            <w:vAlign w:val="bottom"/>
            <w:gridSpan w:val="2"/>
            <w:vMerge w:val="continue"/>
          </w:tcPr>
          <w:p>
            <w:pPr>
              <w:spacing w:after="0"/>
              <w:rPr>
                <w:sz w:val="18"/>
                <w:szCs w:val="18"/>
                <w:color w:val="auto"/>
              </w:rPr>
            </w:pPr>
          </w:p>
        </w:tc>
        <w:tc>
          <w:tcPr>
            <w:tcW w:w="2120" w:type="dxa"/>
            <w:vAlign w:val="bottom"/>
            <w:gridSpan w:val="3"/>
          </w:tcPr>
          <w:p>
            <w:pPr>
              <w:ind w:left="820"/>
              <w:spacing w:after="0"/>
              <w:rPr>
                <w:sz w:val="20"/>
                <w:szCs w:val="20"/>
                <w:color w:val="auto"/>
              </w:rPr>
            </w:pPr>
            <w:r>
              <w:rPr>
                <w:rFonts w:ascii="Arial" w:cs="Arial" w:eastAsia="Arial" w:hAnsi="Arial"/>
                <w:sz w:val="16"/>
                <w:szCs w:val="16"/>
                <w:b w:val="1"/>
                <w:bCs w:val="1"/>
                <w:color w:val="auto"/>
              </w:rPr>
              <w:t>the reserve</w:t>
            </w: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Percentage</w:t>
            </w: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the reserve</w:t>
            </w:r>
          </w:p>
        </w:tc>
        <w:tc>
          <w:tcPr>
            <w:tcW w:w="134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60" w:type="dxa"/>
            <w:vAlign w:val="bottom"/>
          </w:tcPr>
          <w:p>
            <w:pPr>
              <w:spacing w:after="0"/>
              <w:rPr>
                <w:sz w:val="17"/>
                <w:szCs w:val="17"/>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40" w:type="dxa"/>
            <w:vAlign w:val="bottom"/>
          </w:tcPr>
          <w:p>
            <w:pPr>
              <w:spacing w:after="0"/>
              <w:rPr>
                <w:sz w:val="17"/>
                <w:szCs w:val="17"/>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3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Portfolio in S/- Base amount</w:t>
            </w:r>
          </w:p>
        </w:tc>
        <w:tc>
          <w:tcPr>
            <w:tcW w:w="21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508,498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516,986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Changes in interest rates: + 100 bps</w:t>
            </w:r>
          </w:p>
        </w:tc>
        <w:tc>
          <w:tcPr>
            <w:tcW w:w="2120" w:type="dxa"/>
            <w:vAlign w:val="bottom"/>
            <w:gridSpan w:val="3"/>
          </w:tcPr>
          <w:p>
            <w:pPr>
              <w:jc w:val="right"/>
              <w:ind w:right="260"/>
              <w:spacing w:after="0"/>
              <w:rPr>
                <w:sz w:val="20"/>
                <w:szCs w:val="20"/>
                <w:color w:val="auto"/>
              </w:rPr>
            </w:pPr>
            <w:r>
              <w:rPr>
                <w:rFonts w:ascii="Arial" w:cs="Arial" w:eastAsia="Arial" w:hAnsi="Arial"/>
                <w:sz w:val="16"/>
                <w:szCs w:val="16"/>
                <w:color w:val="auto"/>
              </w:rPr>
              <w:t>462,992</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(45,506)</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(8.95)</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470,508</w:t>
            </w: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(46,478)</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(8.99)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Changes in interest rates: - 100 bps</w:t>
            </w:r>
          </w:p>
        </w:tc>
        <w:tc>
          <w:tcPr>
            <w:tcW w:w="21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563,057</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54,559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10.73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572,606</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55,620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Changes in Mortality tables to 105%</w:t>
            </w:r>
          </w:p>
        </w:tc>
        <w:tc>
          <w:tcPr>
            <w:tcW w:w="2120" w:type="dxa"/>
            <w:vAlign w:val="bottom"/>
            <w:gridSpan w:val="3"/>
          </w:tcPr>
          <w:p>
            <w:pPr>
              <w:jc w:val="right"/>
              <w:ind w:right="260"/>
              <w:spacing w:after="0"/>
              <w:rPr>
                <w:sz w:val="20"/>
                <w:szCs w:val="20"/>
                <w:color w:val="auto"/>
              </w:rPr>
            </w:pPr>
            <w:r>
              <w:rPr>
                <w:rFonts w:ascii="Arial" w:cs="Arial" w:eastAsia="Arial" w:hAnsi="Arial"/>
                <w:sz w:val="16"/>
                <w:szCs w:val="16"/>
                <w:color w:val="auto"/>
              </w:rPr>
              <w:t>503,253</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(5,245)</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(1.03)</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510,912</w:t>
            </w: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(6,074)</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Changes in Mortality tables to 95%</w:t>
            </w:r>
          </w:p>
        </w:tc>
        <w:tc>
          <w:tcPr>
            <w:tcW w:w="21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514,003</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5,505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523,401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6,415</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3"/>
        </w:trPr>
        <w:tc>
          <w:tcPr>
            <w:tcW w:w="3180" w:type="dxa"/>
            <w:vAlign w:val="bottom"/>
            <w:gridSpan w:val="2"/>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6"/>
                <w:szCs w:val="16"/>
                <w:b w:val="1"/>
                <w:bCs w:val="1"/>
                <w:color w:val="auto"/>
              </w:rPr>
              <w:t>Portfolio in US$- Base amount</w:t>
            </w:r>
          </w:p>
        </w:tc>
        <w:tc>
          <w:tcPr>
            <w:tcW w:w="2120" w:type="dxa"/>
            <w:vAlign w:val="bottom"/>
            <w:gridSpan w:val="3"/>
          </w:tcPr>
          <w:p>
            <w:pPr>
              <w:jc w:val="right"/>
              <w:ind w:right="260"/>
              <w:spacing w:after="0"/>
              <w:rPr>
                <w:sz w:val="20"/>
                <w:szCs w:val="20"/>
                <w:color w:val="auto"/>
              </w:rPr>
            </w:pPr>
            <w:r>
              <w:rPr>
                <w:rFonts w:ascii="Arial" w:cs="Arial" w:eastAsia="Arial" w:hAnsi="Arial"/>
                <w:sz w:val="16"/>
                <w:szCs w:val="16"/>
                <w:color w:val="auto"/>
              </w:rPr>
              <w:t>2,317,565</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1,312,769</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Changes in interest rates: + 100 bps</w:t>
            </w:r>
          </w:p>
        </w:tc>
        <w:tc>
          <w:tcPr>
            <w:tcW w:w="21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2,089,212</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(228,352)</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(9.85)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1,176,417</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(136,352)</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(10.39)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Changes in interest rates: - 100 bps</w:t>
            </w:r>
          </w:p>
        </w:tc>
        <w:tc>
          <w:tcPr>
            <w:tcW w:w="2120" w:type="dxa"/>
            <w:vAlign w:val="bottom"/>
            <w:gridSpan w:val="3"/>
          </w:tcPr>
          <w:p>
            <w:pPr>
              <w:jc w:val="right"/>
              <w:ind w:right="260"/>
              <w:spacing w:after="0"/>
              <w:rPr>
                <w:sz w:val="20"/>
                <w:szCs w:val="20"/>
                <w:color w:val="auto"/>
              </w:rPr>
            </w:pPr>
            <w:r>
              <w:rPr>
                <w:rFonts w:ascii="Arial" w:cs="Arial" w:eastAsia="Arial" w:hAnsi="Arial"/>
                <w:sz w:val="16"/>
                <w:szCs w:val="16"/>
                <w:color w:val="auto"/>
              </w:rPr>
              <w:t>2,591,011</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273,447</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11.80</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1,478,464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165,695</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12.62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Changes in Mortality tables to 105%</w:t>
            </w:r>
          </w:p>
        </w:tc>
        <w:tc>
          <w:tcPr>
            <w:tcW w:w="21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2,293,403</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(24,161)</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1,300,244</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(12,525)</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Changes in Mortality tables to 95%</w:t>
            </w:r>
          </w:p>
        </w:tc>
        <w:tc>
          <w:tcPr>
            <w:tcW w:w="2120" w:type="dxa"/>
            <w:vAlign w:val="bottom"/>
            <w:gridSpan w:val="3"/>
          </w:tcPr>
          <w:p>
            <w:pPr>
              <w:jc w:val="right"/>
              <w:ind w:right="260"/>
              <w:spacing w:after="0"/>
              <w:rPr>
                <w:sz w:val="20"/>
                <w:szCs w:val="20"/>
                <w:color w:val="auto"/>
              </w:rPr>
            </w:pPr>
            <w:r>
              <w:rPr>
                <w:rFonts w:ascii="Arial" w:cs="Arial" w:eastAsia="Arial" w:hAnsi="Arial"/>
                <w:sz w:val="16"/>
                <w:szCs w:val="16"/>
                <w:color w:val="auto"/>
              </w:rPr>
              <w:t>2,336,095</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18,530</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0.80</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1,326,043</w:t>
            </w: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13,274</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- 84 -</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8" w:right="219" w:bottom="1440" w:gutter="0" w:footer="0" w:header="0"/>
        </w:sectPr>
      </w:pPr>
    </w:p>
    <w:bookmarkStart w:id="89" w:name="page90"/>
    <w:bookmarkEnd w:id="89"/>
    <w:p>
      <w:pPr>
        <w:ind w:left="3"/>
        <w:spacing w:after="0"/>
        <w:tabs>
          <w:tab w:leader="none" w:pos="563" w:val="left"/>
        </w:tabs>
        <w:rPr>
          <w:sz w:val="20"/>
          <w:szCs w:val="20"/>
          <w:color w:val="auto"/>
        </w:rPr>
      </w:pPr>
      <w:r>
        <w:rPr>
          <w:rFonts w:ascii="Arial" w:cs="Arial" w:eastAsia="Arial" w:hAnsi="Arial"/>
          <w:sz w:val="16"/>
          <w:szCs w:val="16"/>
          <w:b w:val="1"/>
          <w:bCs w:val="1"/>
          <w:color w:val="auto"/>
        </w:rPr>
        <w:t>17</w:t>
      </w:r>
      <w:r>
        <w:rPr>
          <w:sz w:val="20"/>
          <w:szCs w:val="20"/>
          <w:color w:val="auto"/>
        </w:rPr>
        <w:tab/>
      </w:r>
      <w:r>
        <w:rPr>
          <w:rFonts w:ascii="Arial" w:cs="Arial" w:eastAsia="Arial" w:hAnsi="Arial"/>
          <w:sz w:val="16"/>
          <w:szCs w:val="16"/>
          <w:b w:val="1"/>
          <w:bCs w:val="1"/>
          <w:color w:val="auto"/>
        </w:rPr>
        <w:t>BONDS AND NOTES ISSUED</w:t>
      </w:r>
    </w:p>
    <w:p>
      <w:pPr>
        <w:spacing w:after="0" w:line="207" w:lineRule="exact"/>
        <w:rPr>
          <w:sz w:val="20"/>
          <w:szCs w:val="20"/>
          <w:color w:val="auto"/>
        </w:rPr>
      </w:pPr>
    </w:p>
    <w:p>
      <w:pPr>
        <w:ind w:left="283" w:hanging="283"/>
        <w:spacing w:after="0"/>
        <w:tabs>
          <w:tab w:leader="none" w:pos="283"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179"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b w:val="1"/>
                <w:bCs w:val="1"/>
                <w:color w:val="auto"/>
              </w:rPr>
              <w:t>Annual</w:t>
            </w:r>
          </w:p>
        </w:tc>
        <w:tc>
          <w:tcPr>
            <w:tcW w:w="11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0"/>
              </w:rPr>
              <w:t>Interest payment</w:t>
            </w:r>
          </w:p>
        </w:tc>
        <w:tc>
          <w:tcPr>
            <w:tcW w:w="1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Maturity</w:t>
            </w:r>
          </w:p>
        </w:tc>
        <w:tc>
          <w:tcPr>
            <w:tcW w:w="900" w:type="dxa"/>
            <w:vAlign w:val="bottom"/>
            <w:vMerge w:val="restart"/>
          </w:tcPr>
          <w:p>
            <w:pPr>
              <w:spacing w:after="0"/>
              <w:rPr>
                <w:sz w:val="20"/>
                <w:szCs w:val="20"/>
                <w:color w:val="auto"/>
              </w:rPr>
            </w:pPr>
            <w:r>
              <w:rPr>
                <w:rFonts w:ascii="Arial" w:cs="Arial" w:eastAsia="Arial" w:hAnsi="Arial"/>
                <w:sz w:val="13"/>
                <w:szCs w:val="13"/>
                <w:b w:val="1"/>
                <w:bCs w:val="1"/>
                <w:color w:val="auto"/>
                <w:w w:val="95"/>
              </w:rPr>
              <w:t>Issued amount</w:t>
            </w:r>
          </w:p>
        </w:tc>
        <w:tc>
          <w:tcPr>
            <w:tcW w:w="1020" w:type="dxa"/>
            <w:vAlign w:val="bottom"/>
            <w:gridSpan w:val="2"/>
            <w:vMerge w:val="restart"/>
          </w:tcPr>
          <w:p>
            <w:pPr>
              <w:jc w:val="right"/>
              <w:ind w:right="596"/>
              <w:spacing w:after="0"/>
              <w:rPr>
                <w:sz w:val="20"/>
                <w:szCs w:val="20"/>
                <w:color w:val="auto"/>
              </w:rPr>
            </w:pPr>
            <w:r>
              <w:rPr>
                <w:rFonts w:ascii="Arial" w:cs="Arial" w:eastAsia="Arial" w:hAnsi="Arial"/>
                <w:sz w:val="13"/>
                <w:szCs w:val="13"/>
                <w:b w:val="1"/>
                <w:bCs w:val="1"/>
                <w:color w:val="auto"/>
              </w:rPr>
              <w:t>2016</w:t>
            </w:r>
          </w:p>
        </w:tc>
        <w:tc>
          <w:tcPr>
            <w:tcW w:w="220" w:type="dxa"/>
            <w:vAlign w:val="bottom"/>
          </w:tcPr>
          <w:p>
            <w:pPr>
              <w:spacing w:after="0"/>
              <w:rPr>
                <w:sz w:val="13"/>
                <w:szCs w:val="13"/>
                <w:color w:val="auto"/>
              </w:rPr>
            </w:pPr>
          </w:p>
        </w:tc>
        <w:tc>
          <w:tcPr>
            <w:tcW w:w="900" w:type="dxa"/>
            <w:vAlign w:val="bottom"/>
            <w:vMerge w:val="restart"/>
          </w:tcPr>
          <w:p>
            <w:pPr>
              <w:spacing w:after="0"/>
              <w:rPr>
                <w:sz w:val="20"/>
                <w:szCs w:val="20"/>
                <w:color w:val="auto"/>
              </w:rPr>
            </w:pPr>
            <w:r>
              <w:rPr>
                <w:rFonts w:ascii="Arial" w:cs="Arial" w:eastAsia="Arial" w:hAnsi="Arial"/>
                <w:sz w:val="13"/>
                <w:szCs w:val="13"/>
                <w:b w:val="1"/>
                <w:bCs w:val="1"/>
                <w:color w:val="auto"/>
              </w:rPr>
              <w:t>2015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b w:val="1"/>
                <w:bCs w:val="1"/>
                <w:color w:val="auto"/>
              </w:rPr>
              <w:t>interest rate</w:t>
            </w:r>
          </w:p>
        </w:tc>
        <w:tc>
          <w:tcPr>
            <w:tcW w:w="1180" w:type="dxa"/>
            <w:vAlign w:val="bottom"/>
            <w:gridSpan w:val="3"/>
            <w:vMerge w:val="continue"/>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top w:val="single" w:sz="8" w:color="auto"/>
            </w:tcBorders>
          </w:tcPr>
          <w:p>
            <w:pPr>
              <w:jc w:val="right"/>
              <w:ind w:right="776"/>
              <w:spacing w:after="0"/>
              <w:rPr>
                <w:sz w:val="20"/>
                <w:szCs w:val="20"/>
                <w:color w:val="auto"/>
              </w:rPr>
            </w:pPr>
            <w:r>
              <w:rPr>
                <w:rFonts w:ascii="Arial" w:cs="Arial" w:eastAsia="Arial" w:hAnsi="Arial"/>
                <w:sz w:val="13"/>
                <w:szCs w:val="13"/>
                <w:b w:val="1"/>
                <w:bCs w:val="1"/>
                <w:color w:val="auto"/>
                <w:w w:val="86"/>
              </w:rPr>
              <w:t>%</w:t>
            </w:r>
          </w:p>
        </w:tc>
        <w:tc>
          <w:tcPr>
            <w:tcW w:w="100" w:type="dxa"/>
            <w:vAlign w:val="bottom"/>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900" w:type="dxa"/>
            <w:vAlign w:val="bottom"/>
            <w:tcBorders>
              <w:top w:val="single" w:sz="8" w:color="auto"/>
            </w:tcBorders>
          </w:tcPr>
          <w:p>
            <w:pPr>
              <w:jc w:val="right"/>
              <w:ind w:right="456"/>
              <w:spacing w:after="0"/>
              <w:rPr>
                <w:sz w:val="20"/>
                <w:szCs w:val="20"/>
                <w:color w:val="auto"/>
              </w:rPr>
            </w:pPr>
            <w:r>
              <w:rPr>
                <w:rFonts w:ascii="Arial" w:cs="Arial" w:eastAsia="Arial" w:hAnsi="Arial"/>
                <w:sz w:val="13"/>
                <w:szCs w:val="13"/>
                <w:b w:val="1"/>
                <w:bCs w:val="1"/>
                <w:color w:val="auto"/>
                <w:w w:val="84"/>
              </w:rPr>
              <w:t>S/(000)</w:t>
            </w: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Senior notes - (i)</w:t>
            </w:r>
          </w:p>
        </w:tc>
        <w:tc>
          <w:tcPr>
            <w:tcW w:w="16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6"/>
              </w:rPr>
              <w:t>5.38</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7"/>
              </w:rPr>
              <w:t>September 2020</w:t>
            </w:r>
          </w:p>
        </w:tc>
        <w:tc>
          <w:tcPr>
            <w:tcW w:w="900" w:type="dxa"/>
            <w:vAlign w:val="bottom"/>
            <w:shd w:val="clear" w:color="auto" w:fill="CCEEFF"/>
          </w:tcPr>
          <w:p>
            <w:pPr>
              <w:ind w:left="120"/>
              <w:spacing w:after="0" w:line="133" w:lineRule="exact"/>
              <w:rPr>
                <w:sz w:val="20"/>
                <w:szCs w:val="20"/>
                <w:color w:val="auto"/>
              </w:rPr>
            </w:pPr>
            <w:r>
              <w:rPr>
                <w:rFonts w:ascii="Arial" w:cs="Arial" w:eastAsia="Arial" w:hAnsi="Arial"/>
                <w:sz w:val="13"/>
                <w:szCs w:val="13"/>
                <w:color w:val="auto"/>
              </w:rPr>
              <w:t>US$800,000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2,755,382</w:t>
            </w:r>
          </w:p>
        </w:tc>
        <w:tc>
          <w:tcPr>
            <w:tcW w:w="9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2,832,041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40" w:type="dxa"/>
            <w:vAlign w:val="bottom"/>
          </w:tcPr>
          <w:p>
            <w:pPr>
              <w:spacing w:after="0" w:line="117" w:lineRule="exact"/>
              <w:rPr>
                <w:sz w:val="20"/>
                <w:szCs w:val="20"/>
                <w:color w:val="auto"/>
              </w:rPr>
            </w:pPr>
            <w:r>
              <w:rPr>
                <w:rFonts w:ascii="Arial" w:cs="Arial" w:eastAsia="Arial" w:hAnsi="Arial"/>
                <w:sz w:val="13"/>
                <w:szCs w:val="13"/>
                <w:b w:val="1"/>
                <w:bCs w:val="1"/>
                <w:color w:val="auto"/>
              </w:rPr>
              <w:t>Senior notes - (i)(x)</w:t>
            </w:r>
          </w:p>
        </w:tc>
        <w:tc>
          <w:tcPr>
            <w:tcW w:w="1600" w:type="dxa"/>
            <w:vAlign w:val="bottom"/>
          </w:tcPr>
          <w:p>
            <w:pPr>
              <w:jc w:val="center"/>
              <w:spacing w:after="0" w:line="117" w:lineRule="exact"/>
              <w:rPr>
                <w:sz w:val="20"/>
                <w:szCs w:val="20"/>
                <w:color w:val="auto"/>
              </w:rPr>
            </w:pPr>
            <w:r>
              <w:rPr>
                <w:rFonts w:ascii="Arial" w:cs="Arial" w:eastAsia="Arial" w:hAnsi="Arial"/>
                <w:sz w:val="13"/>
                <w:szCs w:val="13"/>
                <w:color w:val="auto"/>
                <w:w w:val="88"/>
              </w:rPr>
              <w:t>Between 2.75 and 4.25</w:t>
            </w:r>
          </w:p>
        </w:tc>
        <w:tc>
          <w:tcPr>
            <w:tcW w:w="120" w:type="dxa"/>
            <w:vAlign w:val="bottom"/>
          </w:tcPr>
          <w:p>
            <w:pPr>
              <w:spacing w:after="0"/>
              <w:rPr>
                <w:sz w:val="10"/>
                <w:szCs w:val="10"/>
                <w:color w:val="auto"/>
              </w:rPr>
            </w:pPr>
          </w:p>
        </w:tc>
        <w:tc>
          <w:tcPr>
            <w:tcW w:w="1060" w:type="dxa"/>
            <w:vAlign w:val="bottom"/>
            <w:gridSpan w:val="2"/>
          </w:tcPr>
          <w:p>
            <w:pPr>
              <w:jc w:val="center"/>
              <w:ind w:right="100"/>
              <w:spacing w:after="0" w:line="117"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tcPr>
          <w:p>
            <w:pPr>
              <w:jc w:val="center"/>
              <w:ind w:right="120"/>
              <w:spacing w:after="0" w:line="117" w:lineRule="exact"/>
              <w:rPr>
                <w:sz w:val="20"/>
                <w:szCs w:val="20"/>
                <w:color w:val="auto"/>
              </w:rPr>
            </w:pPr>
            <w:r>
              <w:rPr>
                <w:rFonts w:ascii="Arial" w:cs="Arial" w:eastAsia="Arial" w:hAnsi="Arial"/>
                <w:sz w:val="13"/>
                <w:szCs w:val="13"/>
                <w:color w:val="auto"/>
                <w:w w:val="90"/>
              </w:rPr>
              <w:t>Between January 2018 and April</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89"/>
              </w:rPr>
              <w:t>2023</w:t>
            </w:r>
          </w:p>
        </w:tc>
        <w:tc>
          <w:tcPr>
            <w:tcW w:w="120" w:type="dxa"/>
            <w:vAlign w:val="bottom"/>
          </w:tcPr>
          <w:p>
            <w:pPr>
              <w:spacing w:after="0"/>
              <w:rPr>
                <w:sz w:val="12"/>
                <w:szCs w:val="12"/>
                <w:color w:val="auto"/>
              </w:rPr>
            </w:pPr>
          </w:p>
        </w:tc>
        <w:tc>
          <w:tcPr>
            <w:tcW w:w="900" w:type="dxa"/>
            <w:vAlign w:val="bottom"/>
          </w:tcPr>
          <w:p>
            <w:pPr>
              <w:ind w:left="120"/>
              <w:spacing w:after="0"/>
              <w:rPr>
                <w:sz w:val="20"/>
                <w:szCs w:val="20"/>
                <w:color w:val="auto"/>
              </w:rPr>
            </w:pPr>
            <w:r>
              <w:rPr>
                <w:rFonts w:ascii="Arial" w:cs="Arial" w:eastAsia="Arial" w:hAnsi="Arial"/>
                <w:sz w:val="13"/>
                <w:szCs w:val="13"/>
                <w:color w:val="auto"/>
              </w:rPr>
              <w:t>US$596,455</w:t>
            </w:r>
          </w:p>
        </w:tc>
        <w:tc>
          <w:tcPr>
            <w:tcW w:w="1240" w:type="dxa"/>
            <w:vAlign w:val="bottom"/>
            <w:gridSpan w:val="3"/>
          </w:tcPr>
          <w:p>
            <w:pPr>
              <w:jc w:val="right"/>
              <w:ind w:right="220"/>
              <w:spacing w:after="0"/>
              <w:rPr>
                <w:sz w:val="20"/>
                <w:szCs w:val="20"/>
                <w:color w:val="auto"/>
              </w:rPr>
            </w:pPr>
            <w:r>
              <w:rPr>
                <w:rFonts w:ascii="Arial" w:cs="Arial" w:eastAsia="Arial" w:hAnsi="Arial"/>
                <w:sz w:val="13"/>
                <w:szCs w:val="13"/>
                <w:color w:val="auto"/>
              </w:rPr>
              <w:t>2,082,913</w:t>
            </w: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2,489,795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Senior notes - (ii)</w:t>
            </w:r>
          </w:p>
        </w:tc>
        <w:tc>
          <w:tcPr>
            <w:tcW w:w="16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6"/>
              </w:rPr>
              <w:t>4.25</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95"/>
              </w:rPr>
              <w:t>April 2023</w:t>
            </w:r>
          </w:p>
        </w:tc>
        <w:tc>
          <w:tcPr>
            <w:tcW w:w="900" w:type="dxa"/>
            <w:vAlign w:val="bottom"/>
            <w:shd w:val="clear" w:color="auto" w:fill="CCEEFF"/>
          </w:tcPr>
          <w:p>
            <w:pPr>
              <w:ind w:left="120"/>
              <w:spacing w:after="0" w:line="133" w:lineRule="exact"/>
              <w:rPr>
                <w:sz w:val="20"/>
                <w:szCs w:val="20"/>
                <w:color w:val="auto"/>
              </w:rPr>
            </w:pPr>
            <w:r>
              <w:rPr>
                <w:rFonts w:ascii="Arial" w:cs="Arial" w:eastAsia="Arial" w:hAnsi="Arial"/>
                <w:sz w:val="13"/>
                <w:szCs w:val="13"/>
                <w:color w:val="auto"/>
              </w:rPr>
              <w:t>US$350,000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1,086,997</w:t>
            </w:r>
          </w:p>
        </w:tc>
        <w:tc>
          <w:tcPr>
            <w:tcW w:w="9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1,246,995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b w:val="1"/>
                <w:bCs w:val="1"/>
                <w:color w:val="auto"/>
              </w:rPr>
              <w:t>Senior notes - (xi)</w:t>
            </w:r>
          </w:p>
        </w:tc>
        <w:tc>
          <w:tcPr>
            <w:tcW w:w="1600" w:type="dxa"/>
            <w:vAlign w:val="bottom"/>
          </w:tcPr>
          <w:p>
            <w:pPr>
              <w:jc w:val="center"/>
              <w:spacing w:after="0" w:line="133" w:lineRule="exact"/>
              <w:rPr>
                <w:sz w:val="20"/>
                <w:szCs w:val="20"/>
                <w:color w:val="auto"/>
              </w:rPr>
            </w:pPr>
            <w:r>
              <w:rPr>
                <w:rFonts w:ascii="Arial" w:cs="Arial" w:eastAsia="Arial" w:hAnsi="Arial"/>
                <w:sz w:val="13"/>
                <w:szCs w:val="13"/>
                <w:color w:val="auto"/>
                <w:w w:val="86"/>
              </w:rPr>
              <w:t>2.25</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tcPr>
          <w:p>
            <w:pPr>
              <w:jc w:val="center"/>
              <w:ind w:right="120"/>
              <w:spacing w:after="0" w:line="133" w:lineRule="exact"/>
              <w:rPr>
                <w:sz w:val="20"/>
                <w:szCs w:val="20"/>
                <w:color w:val="auto"/>
              </w:rPr>
            </w:pPr>
            <w:r>
              <w:rPr>
                <w:rFonts w:ascii="Arial" w:cs="Arial" w:eastAsia="Arial" w:hAnsi="Arial"/>
                <w:sz w:val="13"/>
                <w:szCs w:val="13"/>
                <w:color w:val="auto"/>
                <w:w w:val="93"/>
              </w:rPr>
              <w:t>October 2019</w:t>
            </w:r>
          </w:p>
        </w:tc>
        <w:tc>
          <w:tcPr>
            <w:tcW w:w="900" w:type="dxa"/>
            <w:vAlign w:val="bottom"/>
          </w:tcPr>
          <w:p>
            <w:pPr>
              <w:ind w:left="120"/>
              <w:spacing w:after="0" w:line="133" w:lineRule="exact"/>
              <w:rPr>
                <w:sz w:val="20"/>
                <w:szCs w:val="20"/>
                <w:color w:val="auto"/>
              </w:rPr>
            </w:pPr>
            <w:r>
              <w:rPr>
                <w:rFonts w:ascii="Arial" w:cs="Arial" w:eastAsia="Arial" w:hAnsi="Arial"/>
                <w:sz w:val="13"/>
                <w:szCs w:val="13"/>
                <w:color w:val="auto"/>
              </w:rPr>
              <w:t>US$300,000</w:t>
            </w:r>
          </w:p>
        </w:tc>
        <w:tc>
          <w:tcPr>
            <w:tcW w:w="124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1,005,955</w:t>
            </w:r>
          </w:p>
        </w:tc>
        <w:tc>
          <w:tcPr>
            <w:tcW w:w="92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b w:val="1"/>
                <w:bCs w:val="1"/>
                <w:color w:val="auto"/>
              </w:rPr>
              <w:t>CCR Inc. MMT 100 - Secured notes - (iii)</w:t>
            </w: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2006 Series A Floating rate certificates</w:t>
            </w:r>
          </w:p>
        </w:tc>
        <w:tc>
          <w:tcPr>
            <w:tcW w:w="16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3"/>
              </w:rPr>
              <w:t>Libor 1M + 24.0 pb</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96"/>
              </w:rPr>
              <w:t>Monthly</w:t>
            </w:r>
          </w:p>
        </w:tc>
        <w:tc>
          <w:tcPr>
            <w:tcW w:w="1940" w:type="dxa"/>
            <w:vAlign w:val="bottom"/>
            <w:gridSpan w:val="2"/>
            <w:shd w:val="clear" w:color="auto" w:fill="CCEEFF"/>
          </w:tcPr>
          <w:p>
            <w:pPr>
              <w:jc w:val="center"/>
              <w:ind w:right="120"/>
              <w:spacing w:after="0" w:line="133" w:lineRule="exact"/>
              <w:rPr>
                <w:sz w:val="20"/>
                <w:szCs w:val="20"/>
                <w:color w:val="auto"/>
              </w:rPr>
            </w:pPr>
            <w:r>
              <w:rPr>
                <w:rFonts w:ascii="Arial" w:cs="Arial" w:eastAsia="Arial" w:hAnsi="Arial"/>
                <w:sz w:val="13"/>
                <w:szCs w:val="13"/>
                <w:color w:val="auto"/>
                <w:w w:val="90"/>
              </w:rPr>
              <w:t>March 2016</w:t>
            </w:r>
          </w:p>
        </w:tc>
        <w:tc>
          <w:tcPr>
            <w:tcW w:w="900" w:type="dxa"/>
            <w:vAlign w:val="bottom"/>
            <w:shd w:val="clear" w:color="auto" w:fill="CCEEFF"/>
          </w:tcPr>
          <w:p>
            <w:pPr>
              <w:ind w:left="120"/>
              <w:spacing w:after="0" w:line="133" w:lineRule="exact"/>
              <w:rPr>
                <w:sz w:val="20"/>
                <w:szCs w:val="20"/>
                <w:color w:val="auto"/>
              </w:rPr>
            </w:pPr>
            <w:r>
              <w:rPr>
                <w:rFonts w:ascii="Arial" w:cs="Arial" w:eastAsia="Arial" w:hAnsi="Arial"/>
                <w:sz w:val="13"/>
                <w:szCs w:val="13"/>
                <w:color w:val="auto"/>
              </w:rPr>
              <w:t>US$100,000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4,780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color w:val="auto"/>
              </w:rPr>
              <w:t>2010 Series B Floating rate certificates</w:t>
            </w:r>
          </w:p>
        </w:tc>
        <w:tc>
          <w:tcPr>
            <w:tcW w:w="1600" w:type="dxa"/>
            <w:vAlign w:val="bottom"/>
          </w:tcPr>
          <w:p>
            <w:pPr>
              <w:jc w:val="center"/>
              <w:spacing w:after="0" w:line="133" w:lineRule="exact"/>
              <w:rPr>
                <w:sz w:val="20"/>
                <w:szCs w:val="20"/>
                <w:color w:val="auto"/>
              </w:rPr>
            </w:pPr>
            <w:r>
              <w:rPr>
                <w:rFonts w:ascii="Arial" w:cs="Arial" w:eastAsia="Arial" w:hAnsi="Arial"/>
                <w:sz w:val="13"/>
                <w:szCs w:val="13"/>
                <w:color w:val="auto"/>
                <w:w w:val="93"/>
              </w:rPr>
              <w:t>Libor 1M + 57.6 pb</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96"/>
              </w:rPr>
              <w:t>Monthly</w:t>
            </w:r>
          </w:p>
        </w:tc>
        <w:tc>
          <w:tcPr>
            <w:tcW w:w="1940" w:type="dxa"/>
            <w:vAlign w:val="bottom"/>
            <w:gridSpan w:val="2"/>
          </w:tcPr>
          <w:p>
            <w:pPr>
              <w:jc w:val="center"/>
              <w:ind w:right="120"/>
              <w:spacing w:after="0" w:line="133" w:lineRule="exact"/>
              <w:rPr>
                <w:sz w:val="20"/>
                <w:szCs w:val="20"/>
                <w:color w:val="auto"/>
              </w:rPr>
            </w:pPr>
            <w:r>
              <w:rPr>
                <w:rFonts w:ascii="Arial" w:cs="Arial" w:eastAsia="Arial" w:hAnsi="Arial"/>
                <w:sz w:val="13"/>
                <w:szCs w:val="13"/>
                <w:color w:val="auto"/>
                <w:w w:val="90"/>
              </w:rPr>
              <w:t>March 2016</w:t>
            </w:r>
          </w:p>
        </w:tc>
        <w:tc>
          <w:tcPr>
            <w:tcW w:w="900" w:type="dxa"/>
            <w:vAlign w:val="bottom"/>
          </w:tcPr>
          <w:p>
            <w:pPr>
              <w:ind w:left="120"/>
              <w:spacing w:after="0" w:line="133" w:lineRule="exact"/>
              <w:rPr>
                <w:sz w:val="20"/>
                <w:szCs w:val="20"/>
                <w:color w:val="auto"/>
              </w:rPr>
            </w:pPr>
            <w:r>
              <w:rPr>
                <w:rFonts w:ascii="Arial" w:cs="Arial" w:eastAsia="Arial" w:hAnsi="Arial"/>
                <w:sz w:val="13"/>
                <w:szCs w:val="13"/>
                <w:color w:val="auto"/>
              </w:rPr>
              <w:t>US$100,000</w:t>
            </w:r>
          </w:p>
        </w:tc>
        <w:tc>
          <w:tcPr>
            <w:tcW w:w="124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8,878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2010 Series C Floating rate certificates</w:t>
            </w:r>
          </w:p>
        </w:tc>
        <w:tc>
          <w:tcPr>
            <w:tcW w:w="16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3"/>
              </w:rPr>
              <w:t>Libor 1M + 44.5 pb</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96"/>
              </w:rPr>
              <w:t>Monthly</w:t>
            </w:r>
          </w:p>
        </w:tc>
        <w:tc>
          <w:tcPr>
            <w:tcW w:w="1940" w:type="dxa"/>
            <w:vAlign w:val="bottom"/>
            <w:gridSpan w:val="2"/>
            <w:shd w:val="clear" w:color="auto" w:fill="CCEEFF"/>
          </w:tcPr>
          <w:p>
            <w:pPr>
              <w:jc w:val="center"/>
              <w:ind w:right="120"/>
              <w:spacing w:after="0" w:line="133" w:lineRule="exact"/>
              <w:rPr>
                <w:sz w:val="20"/>
                <w:szCs w:val="20"/>
                <w:color w:val="auto"/>
              </w:rPr>
            </w:pPr>
            <w:r>
              <w:rPr>
                <w:rFonts w:ascii="Arial" w:cs="Arial" w:eastAsia="Arial" w:hAnsi="Arial"/>
                <w:sz w:val="13"/>
                <w:szCs w:val="13"/>
                <w:color w:val="auto"/>
                <w:w w:val="89"/>
              </w:rPr>
              <w:t>July 2017</w:t>
            </w:r>
          </w:p>
        </w:tc>
        <w:tc>
          <w:tcPr>
            <w:tcW w:w="900" w:type="dxa"/>
            <w:vAlign w:val="bottom"/>
            <w:shd w:val="clear" w:color="auto" w:fill="CCEEFF"/>
          </w:tcPr>
          <w:p>
            <w:pPr>
              <w:ind w:left="120"/>
              <w:spacing w:after="0" w:line="133" w:lineRule="exact"/>
              <w:rPr>
                <w:sz w:val="20"/>
                <w:szCs w:val="20"/>
                <w:color w:val="auto"/>
              </w:rPr>
            </w:pPr>
            <w:r>
              <w:rPr>
                <w:rFonts w:ascii="Arial" w:cs="Arial" w:eastAsia="Arial" w:hAnsi="Arial"/>
                <w:sz w:val="13"/>
                <w:szCs w:val="13"/>
                <w:color w:val="auto"/>
              </w:rPr>
              <w:t>US$350,000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179,230</w:t>
            </w:r>
          </w:p>
        </w:tc>
        <w:tc>
          <w:tcPr>
            <w:tcW w:w="9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425,493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color w:val="auto"/>
              </w:rPr>
              <w:t>2012 Series A and B Floating rate certificates</w:t>
            </w:r>
          </w:p>
        </w:tc>
        <w:tc>
          <w:tcPr>
            <w:tcW w:w="1600" w:type="dxa"/>
            <w:vAlign w:val="bottom"/>
          </w:tcPr>
          <w:p>
            <w:pPr>
              <w:jc w:val="center"/>
              <w:spacing w:after="0" w:line="133" w:lineRule="exact"/>
              <w:rPr>
                <w:sz w:val="20"/>
                <w:szCs w:val="20"/>
                <w:color w:val="auto"/>
              </w:rPr>
            </w:pPr>
            <w:r>
              <w:rPr>
                <w:rFonts w:ascii="Arial" w:cs="Arial" w:eastAsia="Arial" w:hAnsi="Arial"/>
                <w:sz w:val="13"/>
                <w:szCs w:val="13"/>
                <w:color w:val="auto"/>
                <w:w w:val="93"/>
              </w:rPr>
              <w:t>Libor 1M + 22.5 pb</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96"/>
              </w:rPr>
              <w:t>Monthly</w:t>
            </w:r>
          </w:p>
        </w:tc>
        <w:tc>
          <w:tcPr>
            <w:tcW w:w="1940" w:type="dxa"/>
            <w:vAlign w:val="bottom"/>
            <w:gridSpan w:val="2"/>
          </w:tcPr>
          <w:p>
            <w:pPr>
              <w:jc w:val="center"/>
              <w:ind w:right="120"/>
              <w:spacing w:after="0" w:line="133" w:lineRule="exact"/>
              <w:rPr>
                <w:sz w:val="20"/>
                <w:szCs w:val="20"/>
                <w:color w:val="auto"/>
              </w:rPr>
            </w:pPr>
            <w:r>
              <w:rPr>
                <w:rFonts w:ascii="Arial" w:cs="Arial" w:eastAsia="Arial" w:hAnsi="Arial"/>
                <w:sz w:val="13"/>
                <w:szCs w:val="13"/>
                <w:color w:val="auto"/>
                <w:w w:val="89"/>
              </w:rPr>
              <w:t>July 2017</w:t>
            </w:r>
          </w:p>
        </w:tc>
        <w:tc>
          <w:tcPr>
            <w:tcW w:w="900" w:type="dxa"/>
            <w:vAlign w:val="bottom"/>
          </w:tcPr>
          <w:p>
            <w:pPr>
              <w:ind w:left="120"/>
              <w:spacing w:after="0" w:line="133" w:lineRule="exact"/>
              <w:rPr>
                <w:sz w:val="20"/>
                <w:szCs w:val="20"/>
                <w:color w:val="auto"/>
              </w:rPr>
            </w:pPr>
            <w:r>
              <w:rPr>
                <w:rFonts w:ascii="Arial" w:cs="Arial" w:eastAsia="Arial" w:hAnsi="Arial"/>
                <w:sz w:val="13"/>
                <w:szCs w:val="13"/>
                <w:color w:val="auto"/>
              </w:rPr>
              <w:t>US$150,000</w:t>
            </w:r>
          </w:p>
        </w:tc>
        <w:tc>
          <w:tcPr>
            <w:tcW w:w="124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97,884</w:t>
            </w:r>
          </w:p>
        </w:tc>
        <w:tc>
          <w:tcPr>
            <w:tcW w:w="92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255,825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2012 Series C Floating rate certificates</w:t>
            </w:r>
          </w:p>
        </w:tc>
        <w:tc>
          <w:tcPr>
            <w:tcW w:w="1600" w:type="dxa"/>
            <w:vAlign w:val="bottom"/>
            <w:shd w:val="clear" w:color="auto" w:fill="CCEEFF"/>
          </w:tcPr>
          <w:p>
            <w:pPr>
              <w:jc w:val="center"/>
              <w:spacing w:after="0" w:line="145" w:lineRule="exact"/>
              <w:rPr>
                <w:sz w:val="20"/>
                <w:szCs w:val="20"/>
                <w:color w:val="auto"/>
              </w:rPr>
            </w:pPr>
            <w:r>
              <w:rPr>
                <w:rFonts w:ascii="Arial" w:cs="Arial" w:eastAsia="Arial" w:hAnsi="Arial"/>
                <w:sz w:val="13"/>
                <w:szCs w:val="13"/>
                <w:color w:val="auto"/>
                <w:w w:val="86"/>
              </w:rPr>
              <w:t>4.75</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3"/>
                <w:szCs w:val="13"/>
                <w:color w:val="auto"/>
                <w:w w:val="96"/>
              </w:rPr>
              <w:t>Monthly</w:t>
            </w:r>
          </w:p>
        </w:tc>
        <w:tc>
          <w:tcPr>
            <w:tcW w:w="19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3"/>
                <w:szCs w:val="13"/>
                <w:color w:val="auto"/>
                <w:w w:val="89"/>
              </w:rPr>
              <w:t>July 2022</w:t>
            </w:r>
          </w:p>
        </w:tc>
        <w:tc>
          <w:tcPr>
            <w:tcW w:w="90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US$315,000</w:t>
            </w:r>
          </w:p>
        </w:tc>
        <w:tc>
          <w:tcPr>
            <w:tcW w:w="1240" w:type="dxa"/>
            <w:vAlign w:val="bottom"/>
            <w:gridSpan w:val="3"/>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843,195</w:t>
            </w:r>
          </w:p>
        </w:tc>
        <w:tc>
          <w:tcPr>
            <w:tcW w:w="92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997,717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40" w:type="dxa"/>
            <w:vAlign w:val="bottom"/>
            <w:tcBorders>
              <w:bottom w:val="single" w:sz="8" w:color="CCEEFF"/>
            </w:tcBorders>
          </w:tcPr>
          <w:p>
            <w:pPr>
              <w:spacing w:after="0"/>
              <w:rPr>
                <w:sz w:val="10"/>
                <w:szCs w:val="10"/>
                <w:color w:val="auto"/>
              </w:rPr>
            </w:pPr>
          </w:p>
        </w:tc>
        <w:tc>
          <w:tcPr>
            <w:tcW w:w="16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1,120,309</w:t>
            </w:r>
          </w:p>
        </w:tc>
        <w:tc>
          <w:tcPr>
            <w:tcW w:w="22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1,692,693</w:t>
            </w: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354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b w:val="1"/>
                <w:bCs w:val="1"/>
                <w:color w:val="auto"/>
              </w:rPr>
              <w:t>Corporate bonds -</w:t>
            </w: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Second program</w:t>
            </w: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color w:val="auto"/>
              </w:rPr>
              <w:t>Second issuance (Series A) - Edyficar</w:t>
            </w:r>
          </w:p>
        </w:tc>
        <w:tc>
          <w:tcPr>
            <w:tcW w:w="1600" w:type="dxa"/>
            <w:vAlign w:val="bottom"/>
          </w:tcPr>
          <w:p>
            <w:pPr>
              <w:jc w:val="center"/>
              <w:spacing w:after="0" w:line="133" w:lineRule="exact"/>
              <w:rPr>
                <w:sz w:val="20"/>
                <w:szCs w:val="20"/>
                <w:color w:val="auto"/>
              </w:rPr>
            </w:pPr>
            <w:r>
              <w:rPr>
                <w:rFonts w:ascii="Arial" w:cs="Arial" w:eastAsia="Arial" w:hAnsi="Arial"/>
                <w:sz w:val="13"/>
                <w:szCs w:val="13"/>
                <w:color w:val="auto"/>
                <w:w w:val="88"/>
              </w:rPr>
              <w:t>5.5</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tcPr>
          <w:p>
            <w:pPr>
              <w:jc w:val="center"/>
              <w:ind w:right="120"/>
              <w:spacing w:after="0" w:line="133" w:lineRule="exact"/>
              <w:rPr>
                <w:sz w:val="20"/>
                <w:szCs w:val="20"/>
                <w:color w:val="auto"/>
              </w:rPr>
            </w:pPr>
            <w:r>
              <w:rPr>
                <w:rFonts w:ascii="Arial" w:cs="Arial" w:eastAsia="Arial" w:hAnsi="Arial"/>
                <w:sz w:val="13"/>
                <w:szCs w:val="13"/>
                <w:color w:val="auto"/>
                <w:w w:val="88"/>
              </w:rPr>
              <w:t>January 2016</w:t>
            </w:r>
          </w:p>
        </w:tc>
        <w:tc>
          <w:tcPr>
            <w:tcW w:w="900" w:type="dxa"/>
            <w:vAlign w:val="bottom"/>
          </w:tcPr>
          <w:p>
            <w:pPr>
              <w:jc w:val="center"/>
              <w:spacing w:after="0" w:line="133" w:lineRule="exact"/>
              <w:rPr>
                <w:sz w:val="20"/>
                <w:szCs w:val="20"/>
                <w:color w:val="auto"/>
              </w:rPr>
            </w:pPr>
            <w:r>
              <w:rPr>
                <w:rFonts w:ascii="Arial" w:cs="Arial" w:eastAsia="Arial" w:hAnsi="Arial"/>
                <w:sz w:val="13"/>
                <w:szCs w:val="13"/>
                <w:color w:val="auto"/>
                <w:w w:val="88"/>
              </w:rPr>
              <w:t>S/70,000</w:t>
            </w:r>
          </w:p>
        </w:tc>
        <w:tc>
          <w:tcPr>
            <w:tcW w:w="124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66,500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Third issuance (Series A and B) – BCP</w:t>
            </w:r>
          </w:p>
        </w:tc>
        <w:tc>
          <w:tcPr>
            <w:tcW w:w="16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8"/>
              </w:rPr>
              <w:t>Between 7.47 and 8.50</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20"/>
              <w:spacing w:after="0" w:line="133" w:lineRule="exact"/>
              <w:rPr>
                <w:sz w:val="20"/>
                <w:szCs w:val="20"/>
                <w:color w:val="auto"/>
              </w:rPr>
            </w:pPr>
            <w:r>
              <w:rPr>
                <w:rFonts w:ascii="Arial" w:cs="Arial" w:eastAsia="Arial" w:hAnsi="Arial"/>
                <w:sz w:val="13"/>
                <w:szCs w:val="13"/>
                <w:color w:val="auto"/>
                <w:w w:val="93"/>
              </w:rPr>
              <w:t>Quarterly</w:t>
            </w:r>
          </w:p>
        </w:tc>
        <w:tc>
          <w:tcPr>
            <w:tcW w:w="194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8"/>
              </w:rPr>
              <w:t>Between June and July 2018</w:t>
            </w:r>
          </w:p>
        </w:tc>
        <w:tc>
          <w:tcPr>
            <w:tcW w:w="9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1"/>
              </w:rPr>
              <w:t>S/200,000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200,000</w:t>
            </w:r>
          </w:p>
        </w:tc>
        <w:tc>
          <w:tcPr>
            <w:tcW w:w="9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200,000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Third program</w:t>
            </w: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color w:val="auto"/>
              </w:rPr>
              <w:t>First issuance (Series A) - Edyficar</w:t>
            </w:r>
          </w:p>
        </w:tc>
        <w:tc>
          <w:tcPr>
            <w:tcW w:w="1600" w:type="dxa"/>
            <w:vAlign w:val="bottom"/>
          </w:tcPr>
          <w:p>
            <w:pPr>
              <w:jc w:val="center"/>
              <w:spacing w:after="0" w:line="133" w:lineRule="exact"/>
              <w:rPr>
                <w:sz w:val="20"/>
                <w:szCs w:val="20"/>
                <w:color w:val="auto"/>
              </w:rPr>
            </w:pPr>
            <w:r>
              <w:rPr>
                <w:rFonts w:ascii="Arial" w:cs="Arial" w:eastAsia="Arial" w:hAnsi="Arial"/>
                <w:sz w:val="13"/>
                <w:szCs w:val="13"/>
                <w:color w:val="auto"/>
                <w:w w:val="86"/>
              </w:rPr>
              <w:t>5.28</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90"/>
              </w:rPr>
              <w:t>November 2016</w:t>
            </w:r>
          </w:p>
        </w:tc>
        <w:tc>
          <w:tcPr>
            <w:tcW w:w="900" w:type="dxa"/>
            <w:vAlign w:val="bottom"/>
          </w:tcPr>
          <w:p>
            <w:pPr>
              <w:jc w:val="center"/>
              <w:spacing w:after="0" w:line="133" w:lineRule="exact"/>
              <w:rPr>
                <w:sz w:val="20"/>
                <w:szCs w:val="20"/>
                <w:color w:val="auto"/>
              </w:rPr>
            </w:pPr>
            <w:r>
              <w:rPr>
                <w:rFonts w:ascii="Arial" w:cs="Arial" w:eastAsia="Arial" w:hAnsi="Arial"/>
                <w:sz w:val="13"/>
                <w:szCs w:val="13"/>
                <w:color w:val="auto"/>
                <w:w w:val="88"/>
              </w:rPr>
              <w:t>S/62,108</w:t>
            </w:r>
          </w:p>
        </w:tc>
        <w:tc>
          <w:tcPr>
            <w:tcW w:w="124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54,972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First issuance (Series A and B) - Mibanco</w:t>
            </w:r>
          </w:p>
        </w:tc>
        <w:tc>
          <w:tcPr>
            <w:tcW w:w="16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8"/>
              </w:rPr>
              <w:t>Between 5.38 and 5.41</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91"/>
              </w:rPr>
              <w:t>May and July 2017</w:t>
            </w:r>
          </w:p>
        </w:tc>
        <w:tc>
          <w:tcPr>
            <w:tcW w:w="9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8"/>
              </w:rPr>
              <w:t>S/98,800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20,766</w:t>
            </w:r>
          </w:p>
        </w:tc>
        <w:tc>
          <w:tcPr>
            <w:tcW w:w="9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51,432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color w:val="auto"/>
              </w:rPr>
              <w:t>Fourth issuance (Series A) - Mibanco</w:t>
            </w:r>
          </w:p>
        </w:tc>
        <w:tc>
          <w:tcPr>
            <w:tcW w:w="1600" w:type="dxa"/>
            <w:vAlign w:val="bottom"/>
          </w:tcPr>
          <w:p>
            <w:pPr>
              <w:jc w:val="center"/>
              <w:spacing w:after="0" w:line="133" w:lineRule="exact"/>
              <w:rPr>
                <w:sz w:val="20"/>
                <w:szCs w:val="20"/>
                <w:color w:val="auto"/>
              </w:rPr>
            </w:pPr>
            <w:r>
              <w:rPr>
                <w:rFonts w:ascii="Arial" w:cs="Arial" w:eastAsia="Arial" w:hAnsi="Arial"/>
                <w:sz w:val="13"/>
                <w:szCs w:val="13"/>
                <w:color w:val="auto"/>
                <w:w w:val="86"/>
              </w:rPr>
              <w:t>4.78</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tcPr>
          <w:p>
            <w:pPr>
              <w:jc w:val="center"/>
              <w:ind w:right="120"/>
              <w:spacing w:after="0" w:line="133" w:lineRule="exact"/>
              <w:rPr>
                <w:sz w:val="20"/>
                <w:szCs w:val="20"/>
                <w:color w:val="auto"/>
              </w:rPr>
            </w:pPr>
            <w:r>
              <w:rPr>
                <w:rFonts w:ascii="Arial" w:cs="Arial" w:eastAsia="Arial" w:hAnsi="Arial"/>
                <w:sz w:val="13"/>
                <w:szCs w:val="13"/>
                <w:color w:val="auto"/>
                <w:w w:val="88"/>
              </w:rPr>
              <w:t>December 2017</w:t>
            </w:r>
          </w:p>
        </w:tc>
        <w:tc>
          <w:tcPr>
            <w:tcW w:w="900" w:type="dxa"/>
            <w:vAlign w:val="bottom"/>
          </w:tcPr>
          <w:p>
            <w:pPr>
              <w:jc w:val="center"/>
              <w:spacing w:after="0" w:line="133" w:lineRule="exact"/>
              <w:rPr>
                <w:sz w:val="20"/>
                <w:szCs w:val="20"/>
                <w:color w:val="auto"/>
              </w:rPr>
            </w:pPr>
            <w:r>
              <w:rPr>
                <w:rFonts w:ascii="Arial" w:cs="Arial" w:eastAsia="Arial" w:hAnsi="Arial"/>
                <w:sz w:val="13"/>
                <w:szCs w:val="13"/>
                <w:color w:val="auto"/>
                <w:w w:val="91"/>
              </w:rPr>
              <w:t>S/100,000</w:t>
            </w:r>
          </w:p>
        </w:tc>
        <w:tc>
          <w:tcPr>
            <w:tcW w:w="124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91,505</w:t>
            </w:r>
          </w:p>
        </w:tc>
        <w:tc>
          <w:tcPr>
            <w:tcW w:w="92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91,235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Fifth issuance (Series A and B) - Mibanco</w:t>
            </w:r>
          </w:p>
        </w:tc>
        <w:tc>
          <w:tcPr>
            <w:tcW w:w="16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8"/>
              </w:rPr>
              <w:t>Between 6.59 and 6.97</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8"/>
              </w:rPr>
              <w:t>Between January and March 2017</w:t>
            </w:r>
          </w:p>
        </w:tc>
        <w:tc>
          <w:tcPr>
            <w:tcW w:w="9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8"/>
              </w:rPr>
              <w:t>S/84,660</w:t>
            </w:r>
          </w:p>
        </w:tc>
        <w:tc>
          <w:tcPr>
            <w:tcW w:w="12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78,815</w:t>
            </w:r>
          </w:p>
        </w:tc>
        <w:tc>
          <w:tcPr>
            <w:tcW w:w="9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79,225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Fourth program</w:t>
            </w: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color w:val="auto"/>
              </w:rPr>
              <w:t>Ninth issuance (Series A) - BCP</w:t>
            </w:r>
          </w:p>
        </w:tc>
        <w:tc>
          <w:tcPr>
            <w:tcW w:w="1600" w:type="dxa"/>
            <w:vAlign w:val="bottom"/>
          </w:tcPr>
          <w:p>
            <w:pPr>
              <w:jc w:val="center"/>
              <w:spacing w:after="0" w:line="133" w:lineRule="exact"/>
              <w:rPr>
                <w:sz w:val="20"/>
                <w:szCs w:val="20"/>
                <w:color w:val="auto"/>
              </w:rPr>
            </w:pPr>
            <w:r>
              <w:rPr>
                <w:rFonts w:ascii="Arial" w:cs="Arial" w:eastAsia="Arial" w:hAnsi="Arial"/>
                <w:sz w:val="13"/>
                <w:szCs w:val="13"/>
                <w:color w:val="auto"/>
                <w:w w:val="86"/>
              </w:rPr>
              <w:t>6.22</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90"/>
              </w:rPr>
              <w:t>November 2016</w:t>
            </w:r>
          </w:p>
        </w:tc>
        <w:tc>
          <w:tcPr>
            <w:tcW w:w="900" w:type="dxa"/>
            <w:vAlign w:val="bottom"/>
          </w:tcPr>
          <w:p>
            <w:pPr>
              <w:jc w:val="center"/>
              <w:spacing w:after="0" w:line="133" w:lineRule="exact"/>
              <w:rPr>
                <w:sz w:val="20"/>
                <w:szCs w:val="20"/>
                <w:color w:val="auto"/>
              </w:rPr>
            </w:pPr>
            <w:r>
              <w:rPr>
                <w:rFonts w:ascii="Arial" w:cs="Arial" w:eastAsia="Arial" w:hAnsi="Arial"/>
                <w:sz w:val="13"/>
                <w:szCs w:val="13"/>
                <w:color w:val="auto"/>
                <w:w w:val="91"/>
              </w:rPr>
              <w:t>S/128,000</w:t>
            </w:r>
          </w:p>
        </w:tc>
        <w:tc>
          <w:tcPr>
            <w:tcW w:w="124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127,640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4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Tenth issuance (Series A, B and C) - BCP</w:t>
            </w:r>
          </w:p>
        </w:tc>
        <w:tc>
          <w:tcPr>
            <w:tcW w:w="160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w w:val="88"/>
              </w:rPr>
              <w:t>Between 5.31 and 7.25</w:t>
            </w:r>
          </w:p>
        </w:tc>
        <w:tc>
          <w:tcPr>
            <w:tcW w:w="12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center"/>
              <w:ind w:right="100"/>
              <w:spacing w:after="0" w:line="117"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shd w:val="clear" w:color="auto" w:fill="CCEEFF"/>
          </w:tcPr>
          <w:p>
            <w:pPr>
              <w:jc w:val="center"/>
              <w:ind w:right="100"/>
              <w:spacing w:after="0" w:line="117" w:lineRule="exact"/>
              <w:rPr>
                <w:sz w:val="20"/>
                <w:szCs w:val="20"/>
                <w:color w:val="auto"/>
              </w:rPr>
            </w:pPr>
            <w:r>
              <w:rPr>
                <w:rFonts w:ascii="Arial" w:cs="Arial" w:eastAsia="Arial" w:hAnsi="Arial"/>
                <w:sz w:val="13"/>
                <w:szCs w:val="13"/>
                <w:color w:val="auto"/>
                <w:w w:val="88"/>
              </w:rPr>
              <w:t>Between December 2021 and</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November 2022</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S/550,000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549,400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546,360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color w:val="auto"/>
              </w:rPr>
              <w:t>First issuance (Series A) - Mibanco</w:t>
            </w:r>
          </w:p>
        </w:tc>
        <w:tc>
          <w:tcPr>
            <w:tcW w:w="1600" w:type="dxa"/>
            <w:vAlign w:val="bottom"/>
          </w:tcPr>
          <w:p>
            <w:pPr>
              <w:jc w:val="center"/>
              <w:spacing w:after="0" w:line="133" w:lineRule="exact"/>
              <w:rPr>
                <w:sz w:val="20"/>
                <w:szCs w:val="20"/>
                <w:color w:val="auto"/>
              </w:rPr>
            </w:pPr>
            <w:r>
              <w:rPr>
                <w:rFonts w:ascii="Arial" w:cs="Arial" w:eastAsia="Arial" w:hAnsi="Arial"/>
                <w:sz w:val="13"/>
                <w:szCs w:val="13"/>
                <w:color w:val="auto"/>
                <w:w w:val="86"/>
              </w:rPr>
              <w:t>6.56</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tcPr>
          <w:p>
            <w:pPr>
              <w:jc w:val="center"/>
              <w:ind w:right="120"/>
              <w:spacing w:after="0" w:line="133" w:lineRule="exact"/>
              <w:rPr>
                <w:sz w:val="20"/>
                <w:szCs w:val="20"/>
                <w:color w:val="auto"/>
              </w:rPr>
            </w:pPr>
            <w:r>
              <w:rPr>
                <w:rFonts w:ascii="Arial" w:cs="Arial" w:eastAsia="Arial" w:hAnsi="Arial"/>
                <w:sz w:val="13"/>
                <w:szCs w:val="13"/>
                <w:color w:val="auto"/>
                <w:w w:val="89"/>
              </w:rPr>
              <w:t>July 2018</w:t>
            </w:r>
          </w:p>
        </w:tc>
        <w:tc>
          <w:tcPr>
            <w:tcW w:w="900" w:type="dxa"/>
            <w:vAlign w:val="bottom"/>
          </w:tcPr>
          <w:p>
            <w:pPr>
              <w:jc w:val="center"/>
              <w:spacing w:after="0" w:line="133" w:lineRule="exact"/>
              <w:rPr>
                <w:sz w:val="20"/>
                <w:szCs w:val="20"/>
                <w:color w:val="auto"/>
              </w:rPr>
            </w:pPr>
            <w:r>
              <w:rPr>
                <w:rFonts w:ascii="Arial" w:cs="Arial" w:eastAsia="Arial" w:hAnsi="Arial"/>
                <w:sz w:val="13"/>
                <w:szCs w:val="13"/>
                <w:color w:val="auto"/>
                <w:w w:val="91"/>
              </w:rPr>
              <w:t>S/100,000</w:t>
            </w:r>
          </w:p>
        </w:tc>
        <w:tc>
          <w:tcPr>
            <w:tcW w:w="124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86,950</w:t>
            </w:r>
          </w:p>
        </w:tc>
        <w:tc>
          <w:tcPr>
            <w:tcW w:w="92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87,000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First issuance (Series B) - Mibanco</w:t>
            </w:r>
          </w:p>
        </w:tc>
        <w:tc>
          <w:tcPr>
            <w:tcW w:w="16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6"/>
              </w:rPr>
              <w:t>7.16</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5"/>
              </w:rPr>
              <w:t>June 2019</w:t>
            </w:r>
          </w:p>
        </w:tc>
        <w:tc>
          <w:tcPr>
            <w:tcW w:w="9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1"/>
              </w:rPr>
              <w:t>S/100,000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85,000</w:t>
            </w:r>
          </w:p>
        </w:tc>
        <w:tc>
          <w:tcPr>
            <w:tcW w:w="9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Fifth program</w:t>
            </w: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color w:val="auto"/>
              </w:rPr>
              <w:t>First issuance (Series A) - BCP</w:t>
            </w:r>
          </w:p>
        </w:tc>
        <w:tc>
          <w:tcPr>
            <w:tcW w:w="1600" w:type="dxa"/>
            <w:vAlign w:val="bottom"/>
          </w:tcPr>
          <w:p>
            <w:pPr>
              <w:jc w:val="center"/>
              <w:spacing w:after="0" w:line="133" w:lineRule="exact"/>
              <w:rPr>
                <w:sz w:val="20"/>
                <w:szCs w:val="20"/>
                <w:color w:val="auto"/>
              </w:rPr>
            </w:pPr>
            <w:r>
              <w:rPr>
                <w:rFonts w:ascii="Arial" w:cs="Arial" w:eastAsia="Arial" w:hAnsi="Arial"/>
                <w:sz w:val="13"/>
                <w:szCs w:val="13"/>
                <w:color w:val="auto"/>
                <w:w w:val="86"/>
              </w:rPr>
              <w:t>6.41</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95"/>
              </w:rPr>
              <w:t>April 2019</w:t>
            </w:r>
          </w:p>
        </w:tc>
        <w:tc>
          <w:tcPr>
            <w:tcW w:w="900" w:type="dxa"/>
            <w:vAlign w:val="bottom"/>
          </w:tcPr>
          <w:p>
            <w:pPr>
              <w:jc w:val="center"/>
              <w:spacing w:after="0" w:line="133" w:lineRule="exact"/>
              <w:rPr>
                <w:sz w:val="20"/>
                <w:szCs w:val="20"/>
                <w:color w:val="auto"/>
              </w:rPr>
            </w:pPr>
            <w:r>
              <w:rPr>
                <w:rFonts w:ascii="Arial" w:cs="Arial" w:eastAsia="Arial" w:hAnsi="Arial"/>
                <w:sz w:val="13"/>
                <w:szCs w:val="13"/>
                <w:color w:val="auto"/>
                <w:w w:val="91"/>
              </w:rPr>
              <w:t>S/172,870</w:t>
            </w:r>
          </w:p>
        </w:tc>
        <w:tc>
          <w:tcPr>
            <w:tcW w:w="124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172,391</w:t>
            </w:r>
          </w:p>
        </w:tc>
        <w:tc>
          <w:tcPr>
            <w:tcW w:w="92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First issuance (Series B) - BCP</w:t>
            </w:r>
          </w:p>
        </w:tc>
        <w:tc>
          <w:tcPr>
            <w:tcW w:w="16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6"/>
              </w:rPr>
              <w:t>5.59</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5"/>
              </w:rPr>
              <w:t>June 2019</w:t>
            </w:r>
          </w:p>
        </w:tc>
        <w:tc>
          <w:tcPr>
            <w:tcW w:w="9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1"/>
              </w:rPr>
              <w:t>S/150,000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150,000</w:t>
            </w:r>
          </w:p>
        </w:tc>
        <w:tc>
          <w:tcPr>
            <w:tcW w:w="9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color w:val="auto"/>
              </w:rPr>
              <w:t>First issuance (Series C) - BCP</w:t>
            </w:r>
          </w:p>
        </w:tc>
        <w:tc>
          <w:tcPr>
            <w:tcW w:w="1600" w:type="dxa"/>
            <w:vAlign w:val="bottom"/>
          </w:tcPr>
          <w:p>
            <w:pPr>
              <w:jc w:val="center"/>
              <w:spacing w:after="0" w:line="133" w:lineRule="exact"/>
              <w:rPr>
                <w:sz w:val="20"/>
                <w:szCs w:val="20"/>
                <w:color w:val="auto"/>
              </w:rPr>
            </w:pPr>
            <w:r>
              <w:rPr>
                <w:rFonts w:ascii="Arial" w:cs="Arial" w:eastAsia="Arial" w:hAnsi="Arial"/>
                <w:sz w:val="13"/>
                <w:szCs w:val="13"/>
                <w:color w:val="auto"/>
                <w:w w:val="92"/>
              </w:rPr>
              <w:t>5.625</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90"/>
              </w:rPr>
              <w:t>November 2019</w:t>
            </w:r>
          </w:p>
        </w:tc>
        <w:tc>
          <w:tcPr>
            <w:tcW w:w="900" w:type="dxa"/>
            <w:vAlign w:val="bottom"/>
          </w:tcPr>
          <w:p>
            <w:pPr>
              <w:jc w:val="center"/>
              <w:spacing w:after="0" w:line="133" w:lineRule="exact"/>
              <w:rPr>
                <w:sz w:val="20"/>
                <w:szCs w:val="20"/>
                <w:color w:val="auto"/>
              </w:rPr>
            </w:pPr>
            <w:r>
              <w:rPr>
                <w:rFonts w:ascii="Arial" w:cs="Arial" w:eastAsia="Arial" w:hAnsi="Arial"/>
                <w:sz w:val="13"/>
                <w:szCs w:val="13"/>
                <w:color w:val="auto"/>
                <w:w w:val="91"/>
              </w:rPr>
              <w:t>S/138,410</w:t>
            </w:r>
          </w:p>
        </w:tc>
        <w:tc>
          <w:tcPr>
            <w:tcW w:w="124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138,075</w:t>
            </w:r>
          </w:p>
        </w:tc>
        <w:tc>
          <w:tcPr>
            <w:tcW w:w="92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b w:val="1"/>
                <w:bCs w:val="1"/>
                <w:color w:val="auto"/>
              </w:rPr>
              <w:t>Sixth program</w:t>
            </w: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Third issuance (Series A) - Mibanco</w:t>
            </w:r>
          </w:p>
        </w:tc>
        <w:tc>
          <w:tcPr>
            <w:tcW w:w="1600" w:type="dxa"/>
            <w:vAlign w:val="bottom"/>
            <w:shd w:val="clear" w:color="auto" w:fill="CCEEFF"/>
          </w:tcPr>
          <w:p>
            <w:pPr>
              <w:jc w:val="center"/>
              <w:spacing w:after="0" w:line="145" w:lineRule="exact"/>
              <w:rPr>
                <w:sz w:val="20"/>
                <w:szCs w:val="20"/>
                <w:color w:val="auto"/>
              </w:rPr>
            </w:pPr>
            <w:r>
              <w:rPr>
                <w:rFonts w:ascii="Arial" w:cs="Arial" w:eastAsia="Arial" w:hAnsi="Arial"/>
                <w:sz w:val="13"/>
                <w:szCs w:val="13"/>
                <w:color w:val="auto"/>
                <w:w w:val="86"/>
              </w:rPr>
              <w:t>5.16</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3"/>
                <w:szCs w:val="13"/>
                <w:color w:val="auto"/>
                <w:w w:val="91"/>
              </w:rPr>
              <w:t>May 2017</w:t>
            </w:r>
          </w:p>
        </w:tc>
        <w:tc>
          <w:tcPr>
            <w:tcW w:w="900" w:type="dxa"/>
            <w:vAlign w:val="bottom"/>
            <w:shd w:val="clear" w:color="auto" w:fill="CCEEFF"/>
          </w:tcPr>
          <w:p>
            <w:pPr>
              <w:jc w:val="center"/>
              <w:spacing w:after="0" w:line="145" w:lineRule="exact"/>
              <w:rPr>
                <w:sz w:val="20"/>
                <w:szCs w:val="20"/>
                <w:color w:val="auto"/>
              </w:rPr>
            </w:pPr>
            <w:r>
              <w:rPr>
                <w:rFonts w:ascii="Arial" w:cs="Arial" w:eastAsia="Arial" w:hAnsi="Arial"/>
                <w:sz w:val="13"/>
                <w:szCs w:val="13"/>
                <w:color w:val="auto"/>
                <w:w w:val="88"/>
              </w:rPr>
              <w:t>S/50,000</w:t>
            </w:r>
          </w:p>
        </w:tc>
        <w:tc>
          <w:tcPr>
            <w:tcW w:w="1240" w:type="dxa"/>
            <w:vAlign w:val="bottom"/>
            <w:gridSpan w:val="3"/>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46,165</w:t>
            </w:r>
          </w:p>
        </w:tc>
        <w:tc>
          <w:tcPr>
            <w:tcW w:w="92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46,200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1,619,067</w:t>
            </w:r>
          </w:p>
        </w:tc>
        <w:tc>
          <w:tcPr>
            <w:tcW w:w="220" w:type="dxa"/>
            <w:vAlign w:val="bottom"/>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1,350,564</w:t>
            </w: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4" w:right="2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b w:val="1"/>
                <w:bCs w:val="1"/>
                <w:color w:val="auto"/>
              </w:rPr>
              <w:t>Annual</w:t>
            </w:r>
          </w:p>
        </w:tc>
        <w:tc>
          <w:tcPr>
            <w:tcW w:w="11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0"/>
              </w:rPr>
              <w:t>Interest payment</w:t>
            </w:r>
          </w:p>
        </w:tc>
        <w:tc>
          <w:tcPr>
            <w:tcW w:w="1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Maturity</w:t>
            </w:r>
          </w:p>
        </w:tc>
        <w:tc>
          <w:tcPr>
            <w:tcW w:w="900" w:type="dxa"/>
            <w:vAlign w:val="bottom"/>
            <w:vMerge w:val="restart"/>
          </w:tcPr>
          <w:p>
            <w:pPr>
              <w:spacing w:after="0"/>
              <w:rPr>
                <w:sz w:val="20"/>
                <w:szCs w:val="20"/>
                <w:color w:val="auto"/>
              </w:rPr>
            </w:pPr>
            <w:r>
              <w:rPr>
                <w:rFonts w:ascii="Arial" w:cs="Arial" w:eastAsia="Arial" w:hAnsi="Arial"/>
                <w:sz w:val="13"/>
                <w:szCs w:val="13"/>
                <w:b w:val="1"/>
                <w:bCs w:val="1"/>
                <w:color w:val="auto"/>
                <w:w w:val="95"/>
              </w:rPr>
              <w:t>Issued amount</w:t>
            </w:r>
          </w:p>
        </w:tc>
        <w:tc>
          <w:tcPr>
            <w:tcW w:w="1020" w:type="dxa"/>
            <w:vAlign w:val="bottom"/>
            <w:gridSpan w:val="2"/>
            <w:vMerge w:val="restart"/>
          </w:tcPr>
          <w:p>
            <w:pPr>
              <w:jc w:val="right"/>
              <w:ind w:right="596"/>
              <w:spacing w:after="0"/>
              <w:rPr>
                <w:sz w:val="20"/>
                <w:szCs w:val="20"/>
                <w:color w:val="auto"/>
              </w:rPr>
            </w:pPr>
            <w:r>
              <w:rPr>
                <w:rFonts w:ascii="Arial" w:cs="Arial" w:eastAsia="Arial" w:hAnsi="Arial"/>
                <w:sz w:val="13"/>
                <w:szCs w:val="13"/>
                <w:b w:val="1"/>
                <w:bCs w:val="1"/>
                <w:color w:val="auto"/>
              </w:rPr>
              <w:t>2016</w:t>
            </w:r>
          </w:p>
        </w:tc>
        <w:tc>
          <w:tcPr>
            <w:tcW w:w="220" w:type="dxa"/>
            <w:vAlign w:val="bottom"/>
          </w:tcPr>
          <w:p>
            <w:pPr>
              <w:spacing w:after="0"/>
              <w:rPr>
                <w:sz w:val="13"/>
                <w:szCs w:val="13"/>
                <w:color w:val="auto"/>
              </w:rPr>
            </w:pPr>
          </w:p>
        </w:tc>
        <w:tc>
          <w:tcPr>
            <w:tcW w:w="900" w:type="dxa"/>
            <w:vAlign w:val="bottom"/>
            <w:vMerge w:val="restart"/>
          </w:tcPr>
          <w:p>
            <w:pPr>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3"/>
                <w:szCs w:val="13"/>
                <w:b w:val="1"/>
                <w:bCs w:val="1"/>
                <w:color w:val="auto"/>
              </w:rPr>
              <w:t>interest rate</w:t>
            </w:r>
          </w:p>
        </w:tc>
        <w:tc>
          <w:tcPr>
            <w:tcW w:w="1180" w:type="dxa"/>
            <w:vAlign w:val="bottom"/>
            <w:gridSpan w:val="3"/>
            <w:vMerge w:val="continue"/>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top w:val="single" w:sz="8" w:color="auto"/>
            </w:tcBorders>
          </w:tcPr>
          <w:p>
            <w:pPr>
              <w:jc w:val="right"/>
              <w:ind w:right="776"/>
              <w:spacing w:after="0"/>
              <w:rPr>
                <w:sz w:val="20"/>
                <w:szCs w:val="20"/>
                <w:color w:val="auto"/>
              </w:rPr>
            </w:pPr>
            <w:r>
              <w:rPr>
                <w:rFonts w:ascii="Arial" w:cs="Arial" w:eastAsia="Arial" w:hAnsi="Arial"/>
                <w:sz w:val="13"/>
                <w:szCs w:val="13"/>
                <w:b w:val="1"/>
                <w:bCs w:val="1"/>
                <w:color w:val="auto"/>
                <w:w w:val="86"/>
              </w:rPr>
              <w:t>%</w:t>
            </w:r>
          </w:p>
        </w:tc>
        <w:tc>
          <w:tcPr>
            <w:tcW w:w="100" w:type="dxa"/>
            <w:vAlign w:val="bottom"/>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900" w:type="dxa"/>
            <w:vAlign w:val="bottom"/>
            <w:tcBorders>
              <w:top w:val="single" w:sz="8" w:color="auto"/>
            </w:tcBorders>
          </w:tcPr>
          <w:p>
            <w:pPr>
              <w:jc w:val="right"/>
              <w:ind w:right="456"/>
              <w:spacing w:after="0"/>
              <w:rPr>
                <w:sz w:val="20"/>
                <w:szCs w:val="20"/>
                <w:color w:val="auto"/>
              </w:rPr>
            </w:pPr>
            <w:r>
              <w:rPr>
                <w:rFonts w:ascii="Arial" w:cs="Arial" w:eastAsia="Arial" w:hAnsi="Arial"/>
                <w:sz w:val="13"/>
                <w:szCs w:val="13"/>
                <w:b w:val="1"/>
                <w:bCs w:val="1"/>
                <w:color w:val="auto"/>
                <w:w w:val="84"/>
              </w:rPr>
              <w:t>S/(000)</w:t>
            </w: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Subordinated bonds - BCP (iv)</w:t>
            </w:r>
          </w:p>
        </w:tc>
        <w:tc>
          <w:tcPr>
            <w:tcW w:w="16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6"/>
              </w:rPr>
              <w:t>6.13</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95"/>
              </w:rPr>
              <w:t>April 2027</w:t>
            </w:r>
          </w:p>
        </w:tc>
        <w:tc>
          <w:tcPr>
            <w:tcW w:w="9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1"/>
              </w:rPr>
              <w:t>US$720,000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2,423,720</w:t>
            </w:r>
          </w:p>
        </w:tc>
        <w:tc>
          <w:tcPr>
            <w:tcW w:w="102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2,471,995</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Subordinated bonds - BCP (v)</w:t>
            </w:r>
          </w:p>
        </w:tc>
        <w:tc>
          <w:tcPr>
            <w:tcW w:w="16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6"/>
              </w:rPr>
              <w:t>6.88</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7"/>
              </w:rPr>
              <w:t>September 2026</w:t>
            </w:r>
          </w:p>
        </w:tc>
        <w:tc>
          <w:tcPr>
            <w:tcW w:w="9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1"/>
              </w:rPr>
              <w:t>US$350,000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1,194,773</w:t>
            </w:r>
          </w:p>
        </w:tc>
        <w:tc>
          <w:tcPr>
            <w:tcW w:w="102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1,230,909</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Junior subordinated bonds – BCP (vi)</w:t>
            </w:r>
          </w:p>
        </w:tc>
        <w:tc>
          <w:tcPr>
            <w:tcW w:w="16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6"/>
              </w:rPr>
              <w:t>9.75</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90"/>
              </w:rPr>
              <w:t>November 2069</w:t>
            </w:r>
          </w:p>
        </w:tc>
        <w:tc>
          <w:tcPr>
            <w:tcW w:w="9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1"/>
              </w:rPr>
              <w:t>US$250,000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851,423</w:t>
            </w:r>
          </w:p>
        </w:tc>
        <w:tc>
          <w:tcPr>
            <w:tcW w:w="102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873,100</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Subordinated bonds -</w:t>
            </w: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b w:val="1"/>
                <w:bCs w:val="1"/>
                <w:color w:val="auto"/>
              </w:rPr>
              <w:t>First program</w:t>
            </w: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First issuance (Series A) - BCP</w:t>
            </w:r>
          </w:p>
        </w:tc>
        <w:tc>
          <w:tcPr>
            <w:tcW w:w="16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6"/>
              </w:rPr>
              <w:t>6.22</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91"/>
              </w:rPr>
              <w:t>May 2027</w:t>
            </w:r>
          </w:p>
        </w:tc>
        <w:tc>
          <w:tcPr>
            <w:tcW w:w="9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8"/>
              </w:rPr>
              <w:t>S/15,000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15,000</w:t>
            </w:r>
          </w:p>
        </w:tc>
        <w:tc>
          <w:tcPr>
            <w:tcW w:w="102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color w:val="auto"/>
              </w:rPr>
              <w:t>First issuance (Series A) - PPS</w:t>
            </w:r>
          </w:p>
        </w:tc>
        <w:tc>
          <w:tcPr>
            <w:tcW w:w="1600" w:type="dxa"/>
            <w:vAlign w:val="bottom"/>
          </w:tcPr>
          <w:p>
            <w:pPr>
              <w:jc w:val="center"/>
              <w:spacing w:after="0" w:line="133" w:lineRule="exact"/>
              <w:rPr>
                <w:sz w:val="20"/>
                <w:szCs w:val="20"/>
                <w:color w:val="auto"/>
              </w:rPr>
            </w:pPr>
            <w:r>
              <w:rPr>
                <w:rFonts w:ascii="Arial" w:cs="Arial" w:eastAsia="Arial" w:hAnsi="Arial"/>
                <w:sz w:val="13"/>
                <w:szCs w:val="13"/>
                <w:color w:val="auto"/>
                <w:w w:val="86"/>
              </w:rPr>
              <w:t>6.97</w:t>
            </w:r>
          </w:p>
        </w:tc>
        <w:tc>
          <w:tcPr>
            <w:tcW w:w="120" w:type="dxa"/>
            <w:vAlign w:val="bottom"/>
          </w:tcPr>
          <w:p>
            <w:pPr>
              <w:spacing w:after="0"/>
              <w:rPr>
                <w:sz w:val="11"/>
                <w:szCs w:val="11"/>
                <w:color w:val="auto"/>
              </w:rPr>
            </w:pPr>
          </w:p>
        </w:tc>
        <w:tc>
          <w:tcPr>
            <w:tcW w:w="1060" w:type="dxa"/>
            <w:vAlign w:val="bottom"/>
            <w:gridSpan w:val="2"/>
          </w:tcPr>
          <w:p>
            <w:pPr>
              <w:jc w:val="center"/>
              <w:ind w:right="120"/>
              <w:spacing w:after="0" w:line="133" w:lineRule="exact"/>
              <w:rPr>
                <w:sz w:val="20"/>
                <w:szCs w:val="20"/>
                <w:color w:val="auto"/>
              </w:rPr>
            </w:pPr>
            <w:r>
              <w:rPr>
                <w:rFonts w:ascii="Arial" w:cs="Arial" w:eastAsia="Arial" w:hAnsi="Arial"/>
                <w:sz w:val="13"/>
                <w:szCs w:val="13"/>
                <w:color w:val="auto"/>
                <w:w w:val="93"/>
              </w:rPr>
              <w:t>Quarterly</w:t>
            </w:r>
          </w:p>
        </w:tc>
        <w:tc>
          <w:tcPr>
            <w:tcW w:w="194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90"/>
              </w:rPr>
              <w:t>November 2026</w:t>
            </w:r>
          </w:p>
        </w:tc>
        <w:tc>
          <w:tcPr>
            <w:tcW w:w="900" w:type="dxa"/>
            <w:vAlign w:val="bottom"/>
          </w:tcPr>
          <w:p>
            <w:pPr>
              <w:jc w:val="center"/>
              <w:spacing w:after="0" w:line="133" w:lineRule="exact"/>
              <w:rPr>
                <w:sz w:val="20"/>
                <w:szCs w:val="20"/>
                <w:color w:val="auto"/>
              </w:rPr>
            </w:pPr>
            <w:r>
              <w:rPr>
                <w:rFonts w:ascii="Arial" w:cs="Arial" w:eastAsia="Arial" w:hAnsi="Arial"/>
                <w:sz w:val="13"/>
                <w:szCs w:val="13"/>
                <w:color w:val="auto"/>
                <w:w w:val="89"/>
              </w:rPr>
              <w:t>US$60,000</w:t>
            </w:r>
          </w:p>
        </w:tc>
        <w:tc>
          <w:tcPr>
            <w:tcW w:w="124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200,655</w:t>
            </w:r>
          </w:p>
        </w:tc>
        <w:tc>
          <w:tcPr>
            <w:tcW w:w="1020" w:type="dxa"/>
            <w:vAlign w:val="bottom"/>
            <w:gridSpan w:val="2"/>
          </w:tcPr>
          <w:p>
            <w:pPr>
              <w:jc w:val="right"/>
              <w:ind w:right="120"/>
              <w:spacing w:after="0" w:line="133" w:lineRule="exact"/>
              <w:rPr>
                <w:sz w:val="20"/>
                <w:szCs w:val="20"/>
                <w:color w:val="auto"/>
              </w:rPr>
            </w:pPr>
            <w:r>
              <w:rPr>
                <w:rFonts w:ascii="Arial" w:cs="Arial" w:eastAsia="Arial" w:hAnsi="Arial"/>
                <w:sz w:val="13"/>
                <w:szCs w:val="13"/>
                <w:color w:val="auto"/>
              </w:rPr>
              <w:t>203,828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4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First, second and forth issuance (Series A) - Edyficar</w:t>
            </w:r>
          </w:p>
        </w:tc>
        <w:tc>
          <w:tcPr>
            <w:tcW w:w="160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w w:val="88"/>
              </w:rPr>
              <w:t>Between 6.19 and 8.16</w:t>
            </w:r>
          </w:p>
        </w:tc>
        <w:tc>
          <w:tcPr>
            <w:tcW w:w="12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center"/>
              <w:ind w:right="100"/>
              <w:spacing w:after="0" w:line="117"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shd w:val="clear" w:color="auto" w:fill="CCEEFF"/>
          </w:tcPr>
          <w:p>
            <w:pPr>
              <w:jc w:val="center"/>
              <w:ind w:right="100"/>
              <w:spacing w:after="0" w:line="117" w:lineRule="exact"/>
              <w:rPr>
                <w:sz w:val="20"/>
                <w:szCs w:val="20"/>
                <w:color w:val="auto"/>
              </w:rPr>
            </w:pPr>
            <w:r>
              <w:rPr>
                <w:rFonts w:ascii="Arial" w:cs="Arial" w:eastAsia="Arial" w:hAnsi="Arial"/>
                <w:sz w:val="13"/>
                <w:szCs w:val="13"/>
                <w:color w:val="auto"/>
                <w:w w:val="88"/>
              </w:rPr>
              <w:t>Between October 2021 and</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December 2022</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S/110,000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109,980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108,391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color w:val="auto"/>
              </w:rPr>
              <w:t>Forth issuance (Series A, B, C and D) - BCP</w:t>
            </w:r>
          </w:p>
        </w:tc>
        <w:tc>
          <w:tcPr>
            <w:tcW w:w="1600" w:type="dxa"/>
            <w:vAlign w:val="bottom"/>
          </w:tcPr>
          <w:p>
            <w:pPr>
              <w:jc w:val="center"/>
              <w:spacing w:after="0" w:line="133" w:lineRule="exact"/>
              <w:rPr>
                <w:sz w:val="20"/>
                <w:szCs w:val="20"/>
                <w:color w:val="auto"/>
              </w:rPr>
            </w:pPr>
            <w:r>
              <w:rPr>
                <w:rFonts w:ascii="Arial" w:cs="Arial" w:eastAsia="Arial" w:hAnsi="Arial"/>
                <w:sz w:val="13"/>
                <w:szCs w:val="13"/>
                <w:color w:val="auto"/>
                <w:w w:val="88"/>
              </w:rPr>
              <w:t>Between 6.53 and 8.50</w:t>
            </w:r>
          </w:p>
        </w:tc>
        <w:tc>
          <w:tcPr>
            <w:tcW w:w="120" w:type="dxa"/>
            <w:vAlign w:val="bottom"/>
          </w:tcPr>
          <w:p>
            <w:pPr>
              <w:spacing w:after="0"/>
              <w:rPr>
                <w:sz w:val="11"/>
                <w:szCs w:val="11"/>
                <w:color w:val="auto"/>
              </w:rPr>
            </w:pPr>
          </w:p>
        </w:tc>
        <w:tc>
          <w:tcPr>
            <w:tcW w:w="1060" w:type="dxa"/>
            <w:vAlign w:val="bottom"/>
            <w:gridSpan w:val="2"/>
          </w:tcPr>
          <w:p>
            <w:pPr>
              <w:jc w:val="center"/>
              <w:ind w:right="120"/>
              <w:spacing w:after="0" w:line="133" w:lineRule="exact"/>
              <w:rPr>
                <w:sz w:val="20"/>
                <w:szCs w:val="20"/>
                <w:color w:val="auto"/>
              </w:rPr>
            </w:pPr>
            <w:r>
              <w:rPr>
                <w:rFonts w:ascii="Arial" w:cs="Arial" w:eastAsia="Arial" w:hAnsi="Arial"/>
                <w:sz w:val="13"/>
                <w:szCs w:val="13"/>
                <w:color w:val="auto"/>
                <w:w w:val="93"/>
              </w:rPr>
              <w:t>Quarterly</w:t>
            </w:r>
          </w:p>
        </w:tc>
        <w:tc>
          <w:tcPr>
            <w:tcW w:w="194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89"/>
              </w:rPr>
              <w:t>Between February and May 2016</w:t>
            </w:r>
          </w:p>
        </w:tc>
        <w:tc>
          <w:tcPr>
            <w:tcW w:w="900" w:type="dxa"/>
            <w:vAlign w:val="bottom"/>
          </w:tcPr>
          <w:p>
            <w:pPr>
              <w:jc w:val="center"/>
              <w:spacing w:after="0" w:line="133" w:lineRule="exact"/>
              <w:rPr>
                <w:sz w:val="20"/>
                <w:szCs w:val="20"/>
                <w:color w:val="auto"/>
              </w:rPr>
            </w:pPr>
            <w:r>
              <w:rPr>
                <w:rFonts w:ascii="Arial" w:cs="Arial" w:eastAsia="Arial" w:hAnsi="Arial"/>
                <w:sz w:val="13"/>
                <w:szCs w:val="13"/>
                <w:color w:val="auto"/>
                <w:w w:val="91"/>
              </w:rPr>
              <w:t>US$113,822</w:t>
            </w:r>
          </w:p>
        </w:tc>
        <w:tc>
          <w:tcPr>
            <w:tcW w:w="124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20"/>
              <w:spacing w:after="0" w:line="133" w:lineRule="exact"/>
              <w:rPr>
                <w:sz w:val="20"/>
                <w:szCs w:val="20"/>
                <w:color w:val="auto"/>
              </w:rPr>
            </w:pPr>
            <w:r>
              <w:rPr>
                <w:rFonts w:ascii="Arial" w:cs="Arial" w:eastAsia="Arial" w:hAnsi="Arial"/>
                <w:sz w:val="13"/>
                <w:szCs w:val="13"/>
                <w:color w:val="auto"/>
              </w:rPr>
              <w:t>388,074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Fifth issuance (Series A and B) - Edyficar</w:t>
            </w:r>
          </w:p>
        </w:tc>
        <w:tc>
          <w:tcPr>
            <w:tcW w:w="16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6"/>
              </w:rPr>
              <w:t>7.75</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shd w:val="clear" w:color="auto" w:fill="CCEEFF"/>
          </w:tcPr>
          <w:p>
            <w:pPr>
              <w:jc w:val="center"/>
              <w:ind w:right="120"/>
              <w:spacing w:after="0" w:line="133" w:lineRule="exact"/>
              <w:rPr>
                <w:sz w:val="20"/>
                <w:szCs w:val="20"/>
                <w:color w:val="auto"/>
              </w:rPr>
            </w:pPr>
            <w:r>
              <w:rPr>
                <w:rFonts w:ascii="Arial" w:cs="Arial" w:eastAsia="Arial" w:hAnsi="Arial"/>
                <w:sz w:val="13"/>
                <w:szCs w:val="13"/>
                <w:color w:val="auto"/>
                <w:w w:val="89"/>
              </w:rPr>
              <w:t>July 2024</w:t>
            </w:r>
          </w:p>
        </w:tc>
        <w:tc>
          <w:tcPr>
            <w:tcW w:w="9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8"/>
              </w:rPr>
              <w:t>S/88,009</w:t>
            </w:r>
          </w:p>
        </w:tc>
        <w:tc>
          <w:tcPr>
            <w:tcW w:w="12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88,009</w:t>
            </w:r>
          </w:p>
        </w:tc>
        <w:tc>
          <w:tcPr>
            <w:tcW w:w="102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88,009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b w:val="1"/>
                <w:bCs w:val="1"/>
                <w:color w:val="auto"/>
              </w:rPr>
              <w:t>Second program</w:t>
            </w: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First issuance (Series A) - Mibanco</w:t>
            </w:r>
          </w:p>
        </w:tc>
        <w:tc>
          <w:tcPr>
            <w:tcW w:w="16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8"/>
              </w:rPr>
              <w:t>8.5</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91"/>
              </w:rPr>
              <w:t>May 2026</w:t>
            </w:r>
          </w:p>
        </w:tc>
        <w:tc>
          <w:tcPr>
            <w:tcW w:w="9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1"/>
              </w:rPr>
              <w:t>S/100,000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100,000</w:t>
            </w:r>
          </w:p>
        </w:tc>
        <w:tc>
          <w:tcPr>
            <w:tcW w:w="102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Issuance I - Credit bonds Bolivia</w:t>
            </w:r>
          </w:p>
        </w:tc>
        <w:tc>
          <w:tcPr>
            <w:tcW w:w="16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6"/>
              </w:rPr>
              <w:t>6.25</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shd w:val="clear" w:color="auto" w:fill="CCEEFF"/>
          </w:tcPr>
          <w:p>
            <w:pPr>
              <w:jc w:val="center"/>
              <w:ind w:right="120"/>
              <w:spacing w:after="0" w:line="133" w:lineRule="exact"/>
              <w:rPr>
                <w:sz w:val="20"/>
                <w:szCs w:val="20"/>
                <w:color w:val="auto"/>
              </w:rPr>
            </w:pPr>
            <w:r>
              <w:rPr>
                <w:rFonts w:ascii="Arial" w:cs="Arial" w:eastAsia="Arial" w:hAnsi="Arial"/>
                <w:sz w:val="13"/>
                <w:szCs w:val="13"/>
                <w:color w:val="auto"/>
                <w:w w:val="90"/>
              </w:rPr>
              <w:t>August 2028</w:t>
            </w:r>
          </w:p>
        </w:tc>
        <w:tc>
          <w:tcPr>
            <w:tcW w:w="9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0"/>
              </w:rPr>
              <w:t>Bs70,000</w:t>
            </w:r>
          </w:p>
        </w:tc>
        <w:tc>
          <w:tcPr>
            <w:tcW w:w="12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34,196</w:t>
            </w:r>
          </w:p>
        </w:tc>
        <w:tc>
          <w:tcPr>
            <w:tcW w:w="102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34,857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color w:val="auto"/>
              </w:rPr>
              <w:t>Issuance II - Credit bonds Bolivia</w:t>
            </w:r>
          </w:p>
        </w:tc>
        <w:tc>
          <w:tcPr>
            <w:tcW w:w="1600" w:type="dxa"/>
            <w:vAlign w:val="bottom"/>
          </w:tcPr>
          <w:p>
            <w:pPr>
              <w:jc w:val="center"/>
              <w:spacing w:after="0" w:line="133" w:lineRule="exact"/>
              <w:rPr>
                <w:sz w:val="20"/>
                <w:szCs w:val="20"/>
                <w:color w:val="auto"/>
              </w:rPr>
            </w:pPr>
            <w:r>
              <w:rPr>
                <w:rFonts w:ascii="Arial" w:cs="Arial" w:eastAsia="Arial" w:hAnsi="Arial"/>
                <w:sz w:val="13"/>
                <w:szCs w:val="13"/>
                <w:color w:val="auto"/>
                <w:w w:val="86"/>
              </w:rPr>
              <w:t>5.25</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tcPr>
          <w:p>
            <w:pPr>
              <w:jc w:val="center"/>
              <w:ind w:right="120"/>
              <w:spacing w:after="0" w:line="133" w:lineRule="exact"/>
              <w:rPr>
                <w:sz w:val="20"/>
                <w:szCs w:val="20"/>
                <w:color w:val="auto"/>
              </w:rPr>
            </w:pPr>
            <w:r>
              <w:rPr>
                <w:rFonts w:ascii="Arial" w:cs="Arial" w:eastAsia="Arial" w:hAnsi="Arial"/>
                <w:sz w:val="13"/>
                <w:szCs w:val="13"/>
                <w:color w:val="auto"/>
                <w:w w:val="90"/>
              </w:rPr>
              <w:t>August 2022</w:t>
            </w:r>
          </w:p>
        </w:tc>
        <w:tc>
          <w:tcPr>
            <w:tcW w:w="900" w:type="dxa"/>
            <w:vAlign w:val="bottom"/>
          </w:tcPr>
          <w:p>
            <w:pPr>
              <w:jc w:val="center"/>
              <w:spacing w:after="0" w:line="133" w:lineRule="exact"/>
              <w:rPr>
                <w:sz w:val="20"/>
                <w:szCs w:val="20"/>
                <w:color w:val="auto"/>
              </w:rPr>
            </w:pPr>
            <w:r>
              <w:rPr>
                <w:rFonts w:ascii="Arial" w:cs="Arial" w:eastAsia="Arial" w:hAnsi="Arial"/>
                <w:sz w:val="13"/>
                <w:szCs w:val="13"/>
                <w:color w:val="auto"/>
                <w:w w:val="86"/>
              </w:rPr>
              <w:t>Bs137,200</w:t>
            </w:r>
          </w:p>
        </w:tc>
        <w:tc>
          <w:tcPr>
            <w:tcW w:w="124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68,180</w:t>
            </w:r>
          </w:p>
        </w:tc>
        <w:tc>
          <w:tcPr>
            <w:tcW w:w="1020" w:type="dxa"/>
            <w:vAlign w:val="bottom"/>
            <w:gridSpan w:val="2"/>
          </w:tcPr>
          <w:p>
            <w:pPr>
              <w:jc w:val="right"/>
              <w:ind w:right="120"/>
              <w:spacing w:after="0" w:line="133" w:lineRule="exact"/>
              <w:rPr>
                <w:sz w:val="20"/>
                <w:szCs w:val="20"/>
                <w:color w:val="auto"/>
              </w:rPr>
            </w:pPr>
            <w:r>
              <w:rPr>
                <w:rFonts w:ascii="Arial" w:cs="Arial" w:eastAsia="Arial" w:hAnsi="Arial"/>
                <w:sz w:val="13"/>
                <w:szCs w:val="13"/>
                <w:color w:val="auto"/>
              </w:rPr>
              <w:t>69,696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4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gridSpan w:val="3"/>
          </w:tcPr>
          <w:p>
            <w:pPr>
              <w:jc w:val="right"/>
              <w:ind w:right="220"/>
              <w:spacing w:after="0" w:line="145" w:lineRule="exact"/>
              <w:rPr>
                <w:sz w:val="20"/>
                <w:szCs w:val="20"/>
                <w:color w:val="auto"/>
              </w:rPr>
            </w:pPr>
            <w:r>
              <w:rPr>
                <w:rFonts w:ascii="Arial" w:cs="Arial" w:eastAsia="Arial" w:hAnsi="Arial"/>
                <w:sz w:val="13"/>
                <w:szCs w:val="13"/>
                <w:color w:val="auto"/>
              </w:rPr>
              <w:t>616,020</w:t>
            </w:r>
          </w:p>
        </w:tc>
        <w:tc>
          <w:tcPr>
            <w:tcW w:w="102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907,855</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354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b w:val="1"/>
                <w:bCs w:val="1"/>
                <w:color w:val="auto"/>
              </w:rPr>
              <w:t>Negotiable certificate of deposit - BCP (vii)</w:t>
            </w:r>
          </w:p>
        </w:tc>
        <w:tc>
          <w:tcPr>
            <w:tcW w:w="1600" w:type="dxa"/>
            <w:vAlign w:val="bottom"/>
          </w:tcPr>
          <w:p>
            <w:pPr>
              <w:jc w:val="center"/>
              <w:spacing w:after="0" w:line="133" w:lineRule="exact"/>
              <w:rPr>
                <w:sz w:val="20"/>
                <w:szCs w:val="20"/>
                <w:color w:val="auto"/>
              </w:rPr>
            </w:pPr>
            <w:r>
              <w:rPr>
                <w:rFonts w:ascii="Arial" w:cs="Arial" w:eastAsia="Arial" w:hAnsi="Arial"/>
                <w:sz w:val="13"/>
                <w:szCs w:val="13"/>
                <w:color w:val="auto"/>
                <w:w w:val="86"/>
              </w:rPr>
              <w:t>7.45</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tcPr>
          <w:p>
            <w:pPr>
              <w:jc w:val="center"/>
              <w:ind w:right="120"/>
              <w:spacing w:after="0" w:line="133" w:lineRule="exact"/>
              <w:rPr>
                <w:sz w:val="20"/>
                <w:szCs w:val="20"/>
                <w:color w:val="auto"/>
              </w:rPr>
            </w:pPr>
            <w:r>
              <w:rPr>
                <w:rFonts w:ascii="Arial" w:cs="Arial" w:eastAsia="Arial" w:hAnsi="Arial"/>
                <w:sz w:val="13"/>
                <w:szCs w:val="13"/>
                <w:color w:val="auto"/>
                <w:w w:val="88"/>
              </w:rPr>
              <w:t>October 2022</w:t>
            </w:r>
          </w:p>
        </w:tc>
        <w:tc>
          <w:tcPr>
            <w:tcW w:w="900" w:type="dxa"/>
            <w:vAlign w:val="bottom"/>
          </w:tcPr>
          <w:p>
            <w:pPr>
              <w:jc w:val="center"/>
              <w:spacing w:after="0" w:line="133" w:lineRule="exact"/>
              <w:rPr>
                <w:sz w:val="20"/>
                <w:szCs w:val="20"/>
                <w:color w:val="auto"/>
              </w:rPr>
            </w:pPr>
            <w:r>
              <w:rPr>
                <w:rFonts w:ascii="Arial" w:cs="Arial" w:eastAsia="Arial" w:hAnsi="Arial"/>
                <w:sz w:val="13"/>
                <w:szCs w:val="13"/>
                <w:color w:val="auto"/>
                <w:w w:val="91"/>
              </w:rPr>
              <w:t>S/483,280</w:t>
            </w:r>
          </w:p>
        </w:tc>
        <w:tc>
          <w:tcPr>
            <w:tcW w:w="124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478,837</w:t>
            </w:r>
          </w:p>
        </w:tc>
        <w:tc>
          <w:tcPr>
            <w:tcW w:w="1020" w:type="dxa"/>
            <w:vAlign w:val="bottom"/>
            <w:gridSpan w:val="2"/>
          </w:tcPr>
          <w:p>
            <w:pPr>
              <w:jc w:val="right"/>
              <w:ind w:right="120"/>
              <w:spacing w:after="0" w:line="133" w:lineRule="exact"/>
              <w:rPr>
                <w:sz w:val="20"/>
                <w:szCs w:val="20"/>
                <w:color w:val="auto"/>
              </w:rPr>
            </w:pPr>
            <w:r>
              <w:rPr>
                <w:rFonts w:ascii="Arial" w:cs="Arial" w:eastAsia="Arial" w:hAnsi="Arial"/>
                <w:sz w:val="13"/>
                <w:szCs w:val="13"/>
                <w:color w:val="auto"/>
              </w:rPr>
              <w:t>474,445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4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Negotiable certificate of deposit - Mibanco</w:t>
            </w:r>
          </w:p>
        </w:tc>
        <w:tc>
          <w:tcPr>
            <w:tcW w:w="160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w w:val="88"/>
              </w:rPr>
              <w:t>Between 1.8 and 5.9</w:t>
            </w:r>
          </w:p>
        </w:tc>
        <w:tc>
          <w:tcPr>
            <w:tcW w:w="12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center"/>
              <w:ind w:right="120"/>
              <w:spacing w:after="0" w:line="117" w:lineRule="exact"/>
              <w:rPr>
                <w:sz w:val="20"/>
                <w:szCs w:val="20"/>
                <w:color w:val="auto"/>
              </w:rPr>
            </w:pPr>
            <w:r>
              <w:rPr>
                <w:rFonts w:ascii="Arial" w:cs="Arial" w:eastAsia="Arial" w:hAnsi="Arial"/>
                <w:sz w:val="13"/>
                <w:szCs w:val="13"/>
                <w:color w:val="auto"/>
                <w:w w:val="93"/>
              </w:rPr>
              <w:t>Annual</w:t>
            </w:r>
          </w:p>
        </w:tc>
        <w:tc>
          <w:tcPr>
            <w:tcW w:w="1940" w:type="dxa"/>
            <w:vAlign w:val="bottom"/>
            <w:gridSpan w:val="2"/>
            <w:shd w:val="clear" w:color="auto" w:fill="CCEEFF"/>
          </w:tcPr>
          <w:p>
            <w:pPr>
              <w:jc w:val="center"/>
              <w:ind w:right="100"/>
              <w:spacing w:after="0" w:line="117" w:lineRule="exact"/>
              <w:rPr>
                <w:sz w:val="20"/>
                <w:szCs w:val="20"/>
                <w:color w:val="auto"/>
              </w:rPr>
            </w:pPr>
            <w:r>
              <w:rPr>
                <w:rFonts w:ascii="Arial" w:cs="Arial" w:eastAsia="Arial" w:hAnsi="Arial"/>
                <w:sz w:val="13"/>
                <w:szCs w:val="13"/>
                <w:color w:val="auto"/>
                <w:w w:val="88"/>
              </w:rPr>
              <w:t>Between January 2017 and</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December 2019</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S/2,998</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2,998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8,320</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354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Subordinated negotiable certificates - BCP (viii)</w:t>
            </w:r>
          </w:p>
        </w:tc>
        <w:tc>
          <w:tcPr>
            <w:tcW w:w="160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w w:val="86"/>
              </w:rPr>
              <w:t>6.88</w:t>
            </w:r>
          </w:p>
        </w:tc>
        <w:tc>
          <w:tcPr>
            <w:tcW w:w="12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center"/>
              <w:ind w:right="100"/>
              <w:spacing w:after="0" w:line="117" w:lineRule="exact"/>
              <w:rPr>
                <w:sz w:val="20"/>
                <w:szCs w:val="20"/>
                <w:color w:val="auto"/>
              </w:rPr>
            </w:pPr>
            <w:r>
              <w:rPr>
                <w:rFonts w:ascii="Arial" w:cs="Arial" w:eastAsia="Arial" w:hAnsi="Arial"/>
                <w:sz w:val="13"/>
                <w:szCs w:val="13"/>
                <w:color w:val="auto"/>
                <w:w w:val="87"/>
              </w:rPr>
              <w:t>Semi-annual</w:t>
            </w:r>
          </w:p>
        </w:tc>
        <w:tc>
          <w:tcPr>
            <w:tcW w:w="1940" w:type="dxa"/>
            <w:vAlign w:val="bottom"/>
            <w:gridSpan w:val="2"/>
            <w:shd w:val="clear" w:color="auto" w:fill="CCEEFF"/>
          </w:tcPr>
          <w:p>
            <w:pPr>
              <w:jc w:val="center"/>
              <w:ind w:right="120"/>
              <w:spacing w:after="0" w:line="117" w:lineRule="exact"/>
              <w:rPr>
                <w:sz w:val="20"/>
                <w:szCs w:val="20"/>
                <w:color w:val="auto"/>
              </w:rPr>
            </w:pPr>
            <w:r>
              <w:rPr>
                <w:rFonts w:ascii="Arial" w:cs="Arial" w:eastAsia="Arial" w:hAnsi="Arial"/>
                <w:sz w:val="13"/>
                <w:szCs w:val="13"/>
                <w:color w:val="auto"/>
                <w:w w:val="89"/>
              </w:rPr>
              <w:t>Between November 2021 and</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September 2026</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US$129,080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412,073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415,408</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Leasing bonds</w:t>
            </w: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line="133" w:lineRule="exact"/>
              <w:rPr>
                <w:sz w:val="20"/>
                <w:szCs w:val="20"/>
                <w:color w:val="auto"/>
              </w:rPr>
            </w:pPr>
            <w:r>
              <w:rPr>
                <w:rFonts w:ascii="Arial" w:cs="Arial" w:eastAsia="Arial" w:hAnsi="Arial"/>
                <w:sz w:val="13"/>
                <w:szCs w:val="13"/>
                <w:b w:val="1"/>
                <w:bCs w:val="1"/>
                <w:color w:val="auto"/>
              </w:rPr>
              <w:t>First program (ix)</w:t>
            </w: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Sixth issuance (Series A) – BCP</w:t>
            </w:r>
          </w:p>
        </w:tc>
        <w:tc>
          <w:tcPr>
            <w:tcW w:w="1600" w:type="dxa"/>
            <w:vAlign w:val="bottom"/>
            <w:shd w:val="clear" w:color="auto" w:fill="CCEEFF"/>
          </w:tcPr>
          <w:p>
            <w:pPr>
              <w:jc w:val="center"/>
              <w:spacing w:after="0" w:line="145" w:lineRule="exact"/>
              <w:rPr>
                <w:sz w:val="20"/>
                <w:szCs w:val="20"/>
                <w:color w:val="auto"/>
              </w:rPr>
            </w:pPr>
            <w:r>
              <w:rPr>
                <w:rFonts w:ascii="Arial" w:cs="Arial" w:eastAsia="Arial" w:hAnsi="Arial"/>
                <w:sz w:val="13"/>
                <w:szCs w:val="13"/>
                <w:color w:val="auto"/>
                <w:w w:val="86"/>
              </w:rPr>
              <w:t>8.72</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3"/>
                <w:szCs w:val="13"/>
                <w:color w:val="auto"/>
                <w:w w:val="93"/>
              </w:rPr>
              <w:t>Quarterly</w:t>
            </w:r>
          </w:p>
        </w:tc>
        <w:tc>
          <w:tcPr>
            <w:tcW w:w="19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3"/>
                <w:szCs w:val="13"/>
                <w:color w:val="auto"/>
                <w:w w:val="90"/>
              </w:rPr>
              <w:t>August 2018</w:t>
            </w:r>
          </w:p>
        </w:tc>
        <w:tc>
          <w:tcPr>
            <w:tcW w:w="900" w:type="dxa"/>
            <w:vAlign w:val="bottom"/>
            <w:shd w:val="clear" w:color="auto" w:fill="CCEEFF"/>
          </w:tcPr>
          <w:p>
            <w:pPr>
              <w:jc w:val="center"/>
              <w:spacing w:after="0" w:line="145" w:lineRule="exact"/>
              <w:rPr>
                <w:sz w:val="20"/>
                <w:szCs w:val="20"/>
                <w:color w:val="auto"/>
              </w:rPr>
            </w:pPr>
            <w:r>
              <w:rPr>
                <w:rFonts w:ascii="Arial" w:cs="Arial" w:eastAsia="Arial" w:hAnsi="Arial"/>
                <w:sz w:val="13"/>
                <w:szCs w:val="13"/>
                <w:color w:val="auto"/>
                <w:w w:val="91"/>
              </w:rPr>
              <w:t>S/100,000</w:t>
            </w:r>
          </w:p>
        </w:tc>
        <w:tc>
          <w:tcPr>
            <w:tcW w:w="1240" w:type="dxa"/>
            <w:vAlign w:val="bottom"/>
            <w:gridSpan w:val="3"/>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100,000</w:t>
            </w:r>
          </w:p>
        </w:tc>
        <w:tc>
          <w:tcPr>
            <w:tcW w:w="10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3"/>
                <w:szCs w:val="13"/>
                <w:color w:val="auto"/>
              </w:rPr>
              <w:t>15,750,467</w:t>
            </w:r>
          </w:p>
        </w:tc>
        <w:tc>
          <w:tcPr>
            <w:tcW w:w="220" w:type="dxa"/>
            <w:vAlign w:val="bottom"/>
          </w:tcPr>
          <w:p>
            <w:pPr>
              <w:spacing w:after="0"/>
              <w:rPr>
                <w:sz w:val="10"/>
                <w:szCs w:val="10"/>
                <w:color w:val="auto"/>
              </w:rPr>
            </w:pPr>
          </w:p>
        </w:tc>
        <w:tc>
          <w:tcPr>
            <w:tcW w:w="9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3"/>
                <w:szCs w:val="13"/>
                <w:color w:val="auto"/>
              </w:rPr>
              <w:t>16,094,120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Interest payable</w:t>
            </w: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189,136</w:t>
            </w:r>
          </w:p>
        </w:tc>
        <w:tc>
          <w:tcPr>
            <w:tcW w:w="10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3"/>
                <w:szCs w:val="13"/>
                <w:color w:val="auto"/>
              </w:rPr>
              <w:t>193,842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40" w:type="dxa"/>
            <w:vAlign w:val="bottom"/>
          </w:tcPr>
          <w:p>
            <w:pPr>
              <w:spacing w:after="0" w:line="147" w:lineRule="exact"/>
              <w:rPr>
                <w:sz w:val="20"/>
                <w:szCs w:val="20"/>
                <w:color w:val="auto"/>
              </w:rPr>
            </w:pPr>
            <w:r>
              <w:rPr>
                <w:rFonts w:ascii="Arial" w:cs="Arial" w:eastAsia="Arial" w:hAnsi="Arial"/>
                <w:sz w:val="13"/>
                <w:szCs w:val="13"/>
                <w:b w:val="1"/>
                <w:bCs w:val="1"/>
                <w:color w:val="auto"/>
              </w:rPr>
              <w:t>Total</w:t>
            </w: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15,939,603</w:t>
            </w:r>
          </w:p>
        </w:tc>
        <w:tc>
          <w:tcPr>
            <w:tcW w:w="220" w:type="dxa"/>
            <w:vAlign w:val="bottom"/>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16,287,962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804" w:right="219" w:bottom="1440" w:gutter="0" w:footer="0" w:header="0"/>
        </w:sectPr>
      </w:pPr>
    </w:p>
    <w:bookmarkStart w:id="91" w:name="page92"/>
    <w:bookmarkEnd w:id="91"/>
    <w:p>
      <w:pPr>
        <w:ind w:right="240"/>
        <w:spacing w:after="0" w:line="266" w:lineRule="auto"/>
        <w:rPr>
          <w:sz w:val="20"/>
          <w:szCs w:val="20"/>
          <w:color w:val="auto"/>
        </w:rPr>
      </w:pPr>
      <w:r>
        <w:rPr>
          <w:rFonts w:ascii="Arial" w:cs="Arial" w:eastAsia="Arial" w:hAnsi="Arial"/>
          <w:sz w:val="16"/>
          <w:szCs w:val="16"/>
          <w:color w:val="auto"/>
        </w:rPr>
        <w:t>At December 31, 2016 the Group holds IRS for a nominal amount totaling US$2,442.4 million, equivalent to S/8,196.8 million (US$2,442.4 million, equivalent to S/8,331.1 million at December 31, 2015), see note 12(b), which were designated as fair value hedges of certain corporate bonds, subordinated bonds and notes denominated in U.S. Dollars at fixed rate; through said IRS, these bonds and notes were economically converted to variable interest rate. .</w:t>
      </w:r>
    </w:p>
    <w:p>
      <w:pPr>
        <w:spacing w:after="0" w:line="162" w:lineRule="exact"/>
        <w:rPr>
          <w:sz w:val="20"/>
          <w:szCs w:val="20"/>
          <w:color w:val="auto"/>
        </w:rPr>
      </w:pPr>
    </w:p>
    <w:p>
      <w:pPr>
        <w:ind w:left="680" w:hanging="393"/>
        <w:spacing w:after="0" w:line="280" w:lineRule="auto"/>
        <w:tabs>
          <w:tab w:leader="none" w:pos="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Bank can redeem these notes in whole or in a part at any time, with the penalty of the payment of an interest rate equivalent to that of the American Treasury plus 40 basis points. Payment of principal will take place at the date of maturity or redemption of the bonds.</w:t>
      </w:r>
    </w:p>
    <w:p>
      <w:pPr>
        <w:spacing w:after="0" w:line="150" w:lineRule="exact"/>
        <w:rPr>
          <w:rFonts w:ascii="Arial" w:cs="Arial" w:eastAsia="Arial" w:hAnsi="Arial"/>
          <w:sz w:val="16"/>
          <w:szCs w:val="16"/>
          <w:color w:val="auto"/>
        </w:rPr>
      </w:pPr>
    </w:p>
    <w:p>
      <w:pPr>
        <w:ind w:left="680" w:right="100" w:hanging="393"/>
        <w:spacing w:after="0" w:line="280" w:lineRule="auto"/>
        <w:tabs>
          <w:tab w:leader="none" w:pos="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Bank can redeem these notes in whole or in part at any time, with the penalty of the payment of an interest rate equivalent to that of the American Treasury plus 50 basis points. Payment of principal will take place at the date of maturity or redemption.</w:t>
      </w:r>
    </w:p>
    <w:p>
      <w:pPr>
        <w:spacing w:after="0" w:line="150" w:lineRule="exact"/>
        <w:rPr>
          <w:rFonts w:ascii="Arial" w:cs="Arial" w:eastAsia="Arial" w:hAnsi="Arial"/>
          <w:sz w:val="16"/>
          <w:szCs w:val="16"/>
          <w:color w:val="auto"/>
        </w:rPr>
      </w:pPr>
    </w:p>
    <w:p>
      <w:pPr>
        <w:jc w:val="both"/>
        <w:ind w:left="680" w:right="60" w:hanging="393"/>
        <w:spacing w:after="0" w:line="266" w:lineRule="auto"/>
        <w:tabs>
          <w:tab w:leader="none" w:pos="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All issuances are secured by the collection of BCP's (including its foreign branches) future inflows from electronic messages sent through the Society for Worldwide Interbank Financial Telecommunications (“SWIFT”) network and utilized within the network to instruct correspondent banks to make a payment of a certain amount to a beneficiary that is not a financial institution.</w:t>
      </w:r>
    </w:p>
    <w:p>
      <w:pPr>
        <w:spacing w:after="0" w:line="161" w:lineRule="exact"/>
        <w:rPr>
          <w:rFonts w:ascii="Arial" w:cs="Arial" w:eastAsia="Arial" w:hAnsi="Arial"/>
          <w:sz w:val="16"/>
          <w:szCs w:val="16"/>
          <w:color w:val="auto"/>
        </w:rPr>
      </w:pPr>
    </w:p>
    <w:p>
      <w:pPr>
        <w:ind w:left="680" w:right="240"/>
        <w:spacing w:after="0" w:line="266" w:lineRule="auto"/>
        <w:rPr>
          <w:rFonts w:ascii="Arial" w:cs="Arial" w:eastAsia="Arial" w:hAnsi="Arial"/>
          <w:sz w:val="16"/>
          <w:szCs w:val="16"/>
          <w:color w:val="auto"/>
        </w:rPr>
      </w:pPr>
      <w:r>
        <w:rPr>
          <w:rFonts w:ascii="Arial" w:cs="Arial" w:eastAsia="Arial" w:hAnsi="Arial"/>
          <w:sz w:val="16"/>
          <w:szCs w:val="16"/>
          <w:color w:val="auto"/>
        </w:rPr>
        <w:t>At December 31, 2016, cash flows of issuances in 2010 with series "C", which are subject to variable interest rates, have been hedged using IRS designated as fair value hedges for a nominal amount of S/179.2 million (S/465.4 million as of December 31, 2015), see note 12(b); through IRS, said issuances were economically converted to a fixed interest rate.</w:t>
      </w:r>
    </w:p>
    <w:p>
      <w:pPr>
        <w:spacing w:after="0" w:line="161" w:lineRule="exact"/>
        <w:rPr>
          <w:rFonts w:ascii="Arial" w:cs="Arial" w:eastAsia="Arial" w:hAnsi="Arial"/>
          <w:sz w:val="16"/>
          <w:szCs w:val="16"/>
          <w:color w:val="auto"/>
        </w:rPr>
      </w:pPr>
    </w:p>
    <w:p>
      <w:pPr>
        <w:ind w:left="680" w:right="120" w:hanging="393"/>
        <w:spacing w:after="0" w:line="261" w:lineRule="auto"/>
        <w:tabs>
          <w:tab w:leader="none" w:pos="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From April 24, 2022, the Bank will pay a floating interest rate of 3 month Libor plus 704.3 basis points. Between April 24, 2017 and April 24, 2022, the Group may redeem all or part of the subordinated notes with the penalty of the payment of an interest rate equivalent to that of the American Treasury plus 50 basis points. Additionally, from April 25, 2022 or at any later date of coupon payment, the Bank will be able to redeem all or part of the bonds without penalty. Payment of principal will take place at the date of maturity of bonds or upon redemption.</w:t>
      </w:r>
    </w:p>
    <w:p>
      <w:pPr>
        <w:spacing w:after="0" w:line="166" w:lineRule="exact"/>
        <w:rPr>
          <w:rFonts w:ascii="Arial" w:cs="Arial" w:eastAsia="Arial" w:hAnsi="Arial"/>
          <w:sz w:val="16"/>
          <w:szCs w:val="16"/>
          <w:color w:val="auto"/>
        </w:rPr>
      </w:pPr>
    </w:p>
    <w:p>
      <w:pPr>
        <w:ind w:left="680" w:right="20"/>
        <w:spacing w:after="0" w:line="266" w:lineRule="auto"/>
        <w:rPr>
          <w:rFonts w:ascii="Arial" w:cs="Arial" w:eastAsia="Arial" w:hAnsi="Arial"/>
          <w:sz w:val="16"/>
          <w:szCs w:val="16"/>
          <w:color w:val="auto"/>
        </w:rPr>
      </w:pPr>
      <w:r>
        <w:rPr>
          <w:rFonts w:ascii="Arial" w:cs="Arial" w:eastAsia="Arial" w:hAnsi="Arial"/>
          <w:sz w:val="16"/>
          <w:szCs w:val="16"/>
          <w:color w:val="auto"/>
        </w:rPr>
        <w:t>In January 2014, the Bank, through its Panama Branch increased the issue of its subordinated bonds by an amount of US$200.0 million in the international market, as occurred in April 2013, when it carried out a first increase for an amount of US$170.0 million, with the same characteristics of the issue made in April 2012 for US$350.0 million.</w:t>
      </w:r>
    </w:p>
    <w:p>
      <w:pPr>
        <w:spacing w:after="0" w:line="161" w:lineRule="exact"/>
        <w:rPr>
          <w:rFonts w:ascii="Arial" w:cs="Arial" w:eastAsia="Arial" w:hAnsi="Arial"/>
          <w:sz w:val="16"/>
          <w:szCs w:val="16"/>
          <w:color w:val="auto"/>
        </w:rPr>
      </w:pPr>
    </w:p>
    <w:p>
      <w:pPr>
        <w:jc w:val="both"/>
        <w:ind w:left="680" w:right="80" w:hanging="393"/>
        <w:spacing w:after="0" w:line="261" w:lineRule="auto"/>
        <w:tabs>
          <w:tab w:leader="none" w:pos="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From September 16, 2021, the interest rate becomes a floating rate of 3 month Libor plus 770.8 basis points. Between September 16, 2016 and September 15, 2021, the Group may redeem all or part of the bonds, with the penalty of the payment of an interest equivalent to the American Treasury plus 50 basis points. Additionally, from September 16, 2021 or at any later date of coupon payment, the Group can redeem all or part of the bonds without penalty. Payment of principal will take place at the date of maturity of bonds or upon redemption.</w:t>
      </w:r>
    </w:p>
    <w:p>
      <w:pPr>
        <w:spacing w:after="0" w:line="166" w:lineRule="exact"/>
        <w:rPr>
          <w:rFonts w:ascii="Arial" w:cs="Arial" w:eastAsia="Arial" w:hAnsi="Arial"/>
          <w:sz w:val="16"/>
          <w:szCs w:val="16"/>
          <w:color w:val="auto"/>
        </w:rPr>
      </w:pPr>
    </w:p>
    <w:p>
      <w:pPr>
        <w:ind w:left="680" w:right="60" w:hanging="393"/>
        <w:spacing w:after="0" w:line="280" w:lineRule="auto"/>
        <w:tabs>
          <w:tab w:leader="none" w:pos="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November 2019, interest rate will become a variable rate of three month Libor plus 816.7 basis points. On that date and on any interest payment date the Bank can redeem 100 percent of the bonds without penalty. Payment of principal will take place at the date of maturity or upon redemption.</w:t>
      </w:r>
    </w:p>
    <w:p>
      <w:pPr>
        <w:spacing w:after="0" w:line="150" w:lineRule="exact"/>
        <w:rPr>
          <w:rFonts w:ascii="Arial" w:cs="Arial" w:eastAsia="Arial" w:hAnsi="Arial"/>
          <w:sz w:val="16"/>
          <w:szCs w:val="16"/>
          <w:color w:val="auto"/>
        </w:rPr>
      </w:pPr>
    </w:p>
    <w:p>
      <w:pPr>
        <w:ind w:left="680" w:right="620"/>
        <w:spacing w:after="0" w:line="280" w:lineRule="auto"/>
        <w:rPr>
          <w:rFonts w:ascii="Arial" w:cs="Arial" w:eastAsia="Arial" w:hAnsi="Arial"/>
          <w:sz w:val="16"/>
          <w:szCs w:val="16"/>
          <w:color w:val="auto"/>
        </w:rPr>
      </w:pPr>
      <w:r>
        <w:rPr>
          <w:rFonts w:ascii="Arial" w:cs="Arial" w:eastAsia="Arial" w:hAnsi="Arial"/>
          <w:sz w:val="16"/>
          <w:szCs w:val="16"/>
          <w:color w:val="auto"/>
        </w:rPr>
        <w:t>This issuance, as authorized by the SBS, qualifies as “Tier 1” equity in the determination of the regulatory capital (“patrimonio efectivo”) and has no related guarantees.</w:t>
      </w:r>
    </w:p>
    <w:p>
      <w:pPr>
        <w:spacing w:after="0" w:line="344" w:lineRule="exact"/>
        <w:rPr>
          <w:rFonts w:ascii="Arial" w:cs="Arial" w:eastAsia="Arial" w:hAnsi="Arial"/>
          <w:sz w:val="16"/>
          <w:szCs w:val="16"/>
          <w:color w:val="auto"/>
        </w:rPr>
      </w:pPr>
    </w:p>
    <w:p>
      <w:pPr>
        <w:ind w:left="5640" w:hanging="94"/>
        <w:spacing w:after="0"/>
        <w:tabs>
          <w:tab w:leader="none" w:pos="5640" w:val="left"/>
        </w:tabs>
        <w:numPr>
          <w:ilvl w:val="1"/>
          <w:numId w:val="97"/>
        </w:numPr>
        <w:rPr>
          <w:rFonts w:ascii="Arial" w:cs="Arial" w:eastAsia="Arial" w:hAnsi="Arial"/>
          <w:sz w:val="16"/>
          <w:szCs w:val="16"/>
          <w:color w:val="auto"/>
        </w:rPr>
      </w:pPr>
      <w:r>
        <w:rPr>
          <w:rFonts w:ascii="Arial" w:cs="Arial" w:eastAsia="Arial" w:hAnsi="Arial"/>
          <w:sz w:val="16"/>
          <w:szCs w:val="16"/>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80"/>
          </w:cols>
          <w:pgMar w:left="240" w:top="828" w:right="279" w:bottom="1440" w:gutter="0" w:footer="0" w:header="0"/>
        </w:sectPr>
      </w:pPr>
    </w:p>
    <w:bookmarkStart w:id="92" w:name="page93"/>
    <w:bookmarkEnd w:id="92"/>
    <w:p>
      <w:pPr>
        <w:ind w:left="683" w:right="120" w:hanging="393"/>
        <w:spacing w:after="0" w:line="292" w:lineRule="auto"/>
        <w:tabs>
          <w:tab w:leader="none" w:pos="683" w:val="left"/>
        </w:tabs>
        <w:numPr>
          <w:ilvl w:val="1"/>
          <w:numId w:val="98"/>
        </w:numPr>
        <w:rPr>
          <w:rFonts w:ascii="Arial" w:cs="Arial" w:eastAsia="Arial" w:hAnsi="Arial"/>
          <w:sz w:val="15"/>
          <w:szCs w:val="15"/>
          <w:color w:val="auto"/>
        </w:rPr>
      </w:pPr>
      <w:r>
        <w:rPr>
          <w:rFonts w:ascii="Arial" w:cs="Arial" w:eastAsia="Arial" w:hAnsi="Arial"/>
          <w:sz w:val="15"/>
          <w:szCs w:val="15"/>
          <w:color w:val="auto"/>
        </w:rPr>
        <w:t>In October 2017, the interest rate will become a variable rate, fixed as the average of at least three valuations of the internal rate of return for sovereign bonds issued by the Peruvian Government (with maturity in 2037), plus 150 basis points, with semiannual payments. From said date, the Group can redeem 100 percent of the certificates, without penalties. Payment of principal will take place at the date of maturity of bonds (October 2022) or upon redemption.</w:t>
      </w:r>
    </w:p>
    <w:p>
      <w:pPr>
        <w:spacing w:after="0" w:line="144" w:lineRule="exact"/>
        <w:rPr>
          <w:rFonts w:ascii="Arial" w:cs="Arial" w:eastAsia="Arial" w:hAnsi="Arial"/>
          <w:sz w:val="15"/>
          <w:szCs w:val="15"/>
          <w:color w:val="auto"/>
        </w:rPr>
      </w:pPr>
    </w:p>
    <w:p>
      <w:pPr>
        <w:ind w:left="683" w:right="60" w:hanging="393"/>
        <w:spacing w:after="0" w:line="266" w:lineRule="auto"/>
        <w:tabs>
          <w:tab w:leader="none" w:pos="683" w:val="left"/>
        </w:tabs>
        <w:numPr>
          <w:ilvl w:val="1"/>
          <w:numId w:val="98"/>
        </w:numPr>
        <w:rPr>
          <w:rFonts w:ascii="Arial" w:cs="Arial" w:eastAsia="Arial" w:hAnsi="Arial"/>
          <w:sz w:val="16"/>
          <w:szCs w:val="16"/>
          <w:color w:val="auto"/>
        </w:rPr>
      </w:pPr>
      <w:r>
        <w:rPr>
          <w:rFonts w:ascii="Arial" w:cs="Arial" w:eastAsia="Arial" w:hAnsi="Arial"/>
          <w:sz w:val="16"/>
          <w:szCs w:val="16"/>
          <w:color w:val="auto"/>
        </w:rPr>
        <w:t>Until October 2016, said certificates bore interest at the fixed rate of 6.88 percent per annum. From November 2016, the interest rate will change to a floating interest rate, established as three month Libor plus 2.79 percent, with half yearly payments. Furthermore, from said date, the Group can redeem 100 percent of the debt, without penalties. Payment of principal will take place at the date of maturity of bonds or upon redemption.</w:t>
      </w:r>
    </w:p>
    <w:p>
      <w:pPr>
        <w:spacing w:after="0" w:line="161" w:lineRule="exact"/>
        <w:rPr>
          <w:rFonts w:ascii="Arial" w:cs="Arial" w:eastAsia="Arial" w:hAnsi="Arial"/>
          <w:sz w:val="16"/>
          <w:szCs w:val="16"/>
          <w:color w:val="auto"/>
        </w:rPr>
      </w:pPr>
    </w:p>
    <w:p>
      <w:pPr>
        <w:ind w:left="683" w:hanging="393"/>
        <w:spacing w:after="0"/>
        <w:tabs>
          <w:tab w:leader="none" w:pos="683" w:val="left"/>
        </w:tabs>
        <w:numPr>
          <w:ilvl w:val="1"/>
          <w:numId w:val="98"/>
        </w:numPr>
        <w:rPr>
          <w:rFonts w:ascii="Arial" w:cs="Arial" w:eastAsia="Arial" w:hAnsi="Arial"/>
          <w:sz w:val="16"/>
          <w:szCs w:val="16"/>
          <w:color w:val="auto"/>
        </w:rPr>
      </w:pPr>
      <w:r>
        <w:rPr>
          <w:rFonts w:ascii="Arial" w:cs="Arial" w:eastAsia="Arial" w:hAnsi="Arial"/>
          <w:sz w:val="16"/>
          <w:szCs w:val="16"/>
          <w:color w:val="auto"/>
        </w:rPr>
        <w:t>Leasing bonds are collateralized by the fixed assets financed by the Group.</w:t>
      </w:r>
    </w:p>
    <w:p>
      <w:pPr>
        <w:spacing w:after="0" w:line="202" w:lineRule="exact"/>
        <w:rPr>
          <w:rFonts w:ascii="Arial" w:cs="Arial" w:eastAsia="Arial" w:hAnsi="Arial"/>
          <w:sz w:val="16"/>
          <w:szCs w:val="16"/>
          <w:color w:val="auto"/>
        </w:rPr>
      </w:pPr>
    </w:p>
    <w:p>
      <w:pPr>
        <w:ind w:left="683" w:right="140" w:hanging="393"/>
        <w:spacing w:after="0" w:line="280" w:lineRule="auto"/>
        <w:tabs>
          <w:tab w:leader="none" w:pos="683" w:val="left"/>
        </w:tabs>
        <w:numPr>
          <w:ilvl w:val="1"/>
          <w:numId w:val="98"/>
        </w:numPr>
        <w:rPr>
          <w:rFonts w:ascii="Arial" w:cs="Arial" w:eastAsia="Arial" w:hAnsi="Arial"/>
          <w:sz w:val="16"/>
          <w:szCs w:val="16"/>
          <w:color w:val="auto"/>
        </w:rPr>
      </w:pPr>
      <w:r>
        <w:rPr>
          <w:rFonts w:ascii="Arial" w:cs="Arial" w:eastAsia="Arial" w:hAnsi="Arial"/>
          <w:sz w:val="16"/>
          <w:szCs w:val="16"/>
          <w:color w:val="auto"/>
        </w:rPr>
        <w:t>In June 2014, the Group offered an Exchange to the tenders of senior notes, by which the notes were partially replaced with new notes, at market rate, with the same characteristics of the senior notes indicated in (i) above.</w:t>
      </w:r>
    </w:p>
    <w:p>
      <w:pPr>
        <w:spacing w:after="0" w:line="150" w:lineRule="exact"/>
        <w:rPr>
          <w:rFonts w:ascii="Arial" w:cs="Arial" w:eastAsia="Arial" w:hAnsi="Arial"/>
          <w:sz w:val="16"/>
          <w:szCs w:val="16"/>
          <w:color w:val="auto"/>
        </w:rPr>
      </w:pPr>
    </w:p>
    <w:p>
      <w:pPr>
        <w:ind w:left="683" w:right="20" w:hanging="393"/>
        <w:spacing w:after="0" w:line="280" w:lineRule="auto"/>
        <w:tabs>
          <w:tab w:leader="none" w:pos="683"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Group may redeem all or part of the notes at any time, subject to a penalty of a rate of interest equal to that of the U.S. Treasury plus 20 base points. The payment of principal will take place on the maturity date of the notes or when the Group redeems them.</w:t>
      </w:r>
    </w:p>
    <w:p>
      <w:pPr>
        <w:spacing w:after="0" w:line="150" w:lineRule="exact"/>
        <w:rPr>
          <w:rFonts w:ascii="Arial" w:cs="Arial" w:eastAsia="Arial" w:hAnsi="Arial"/>
          <w:sz w:val="16"/>
          <w:szCs w:val="16"/>
          <w:color w:val="auto"/>
        </w:rPr>
      </w:pPr>
    </w:p>
    <w:p>
      <w:pPr>
        <w:ind w:left="683"/>
        <w:spacing w:after="0" w:line="266" w:lineRule="auto"/>
        <w:rPr>
          <w:rFonts w:ascii="Arial" w:cs="Arial" w:eastAsia="Arial" w:hAnsi="Arial"/>
          <w:sz w:val="16"/>
          <w:szCs w:val="16"/>
          <w:color w:val="auto"/>
        </w:rPr>
      </w:pPr>
      <w:r>
        <w:rPr>
          <w:rFonts w:ascii="Arial" w:cs="Arial" w:eastAsia="Arial" w:hAnsi="Arial"/>
          <w:sz w:val="16"/>
          <w:szCs w:val="16"/>
          <w:color w:val="auto"/>
        </w:rPr>
        <w:t>At December 31, 2016, the cash flows of the bond issued in U.S. dollars, subject to exchange rate risk have been hedged by means of three CCS designated as a cash flow hedge for a nominal amount of US$300.0 million, equivalent to S/1,006.8 million, see note 12(b). By means of the CCs, the bond was economically converted to soles.</w:t>
      </w:r>
    </w:p>
    <w:p>
      <w:pPr>
        <w:spacing w:after="0" w:line="161" w:lineRule="exact"/>
        <w:rPr>
          <w:rFonts w:ascii="Arial" w:cs="Arial" w:eastAsia="Arial" w:hAnsi="Arial"/>
          <w:sz w:val="16"/>
          <w:szCs w:val="16"/>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table below shows the bonds and notes issued, classified by maturity:</w:t>
      </w:r>
    </w:p>
    <w:p>
      <w:pPr>
        <w:spacing w:after="0" w:line="211"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8400" w:type="dxa"/>
            <w:vAlign w:val="bottom"/>
            <w:gridSpan w:val="2"/>
          </w:tcPr>
          <w:p>
            <w:pPr>
              <w:ind w:left="7820"/>
              <w:spacing w:after="0"/>
              <w:rPr>
                <w:sz w:val="20"/>
                <w:szCs w:val="20"/>
                <w:color w:val="auto"/>
              </w:rPr>
            </w:pPr>
            <w:r>
              <w:rPr>
                <w:rFonts w:ascii="Arial" w:cs="Arial" w:eastAsia="Arial" w:hAnsi="Arial"/>
                <w:sz w:val="16"/>
                <w:szCs w:val="16"/>
                <w:b w:val="1"/>
                <w:bCs w:val="1"/>
                <w:color w:val="auto"/>
              </w:rPr>
              <w:t>2016</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r>
      <w:tr>
        <w:trPr>
          <w:trHeight w:val="202"/>
        </w:trPr>
        <w:tc>
          <w:tcPr>
            <w:tcW w:w="28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Up to 3 months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251,751</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802,786</w:t>
            </w:r>
          </w:p>
        </w:tc>
      </w:tr>
      <w:tr>
        <w:trPr>
          <w:trHeight w:val="193"/>
        </w:trPr>
        <w:tc>
          <w:tcPr>
            <w:tcW w:w="28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Arial" w:cs="Arial" w:eastAsia="Arial" w:hAnsi="Arial"/>
                <w:sz w:val="16"/>
                <w:szCs w:val="16"/>
                <w:color w:val="auto"/>
              </w:rPr>
              <w:t>From 3 months to 1 year</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407,200</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182,611</w:t>
            </w:r>
          </w:p>
        </w:tc>
      </w:tr>
      <w:tr>
        <w:trPr>
          <w:trHeight w:val="193"/>
        </w:trPr>
        <w:tc>
          <w:tcPr>
            <w:tcW w:w="280" w:type="dxa"/>
            <w:vAlign w:val="bottom"/>
          </w:tcPr>
          <w:p>
            <w:pPr>
              <w:spacing w:after="0"/>
              <w:rPr>
                <w:sz w:val="16"/>
                <w:szCs w:val="16"/>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From 1 to 3 years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3,009,004</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2,270,325</w:t>
            </w:r>
          </w:p>
        </w:tc>
      </w:tr>
      <w:tr>
        <w:trPr>
          <w:trHeight w:val="193"/>
        </w:trPr>
        <w:tc>
          <w:tcPr>
            <w:tcW w:w="280" w:type="dxa"/>
            <w:vAlign w:val="bottom"/>
          </w:tcPr>
          <w:p>
            <w:pPr>
              <w:spacing w:after="0"/>
              <w:rPr>
                <w:sz w:val="16"/>
                <w:szCs w:val="16"/>
                <w:color w:val="auto"/>
              </w:rPr>
            </w:pPr>
          </w:p>
        </w:tc>
        <w:tc>
          <w:tcPr>
            <w:tcW w:w="8400" w:type="dxa"/>
            <w:vAlign w:val="bottom"/>
            <w:gridSpan w:val="2"/>
          </w:tcPr>
          <w:p>
            <w:pPr>
              <w:spacing w:after="0"/>
              <w:rPr>
                <w:sz w:val="20"/>
                <w:szCs w:val="20"/>
                <w:color w:val="auto"/>
              </w:rPr>
            </w:pPr>
            <w:r>
              <w:rPr>
                <w:rFonts w:ascii="Arial" w:cs="Arial" w:eastAsia="Arial" w:hAnsi="Arial"/>
                <w:sz w:val="16"/>
                <w:szCs w:val="16"/>
                <w:color w:val="auto"/>
              </w:rPr>
              <w:t>From 3 to 5 years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3,271,925</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3,255,769</w:t>
            </w:r>
          </w:p>
        </w:tc>
      </w:tr>
      <w:tr>
        <w:trPr>
          <w:trHeight w:val="205"/>
        </w:trPr>
        <w:tc>
          <w:tcPr>
            <w:tcW w:w="280" w:type="dxa"/>
            <w:vAlign w:val="bottom"/>
          </w:tcPr>
          <w:p>
            <w:pPr>
              <w:spacing w:after="0"/>
              <w:rPr>
                <w:sz w:val="17"/>
                <w:szCs w:val="17"/>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More than 5 years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8,810,587</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9,582,629</w:t>
            </w:r>
          </w:p>
        </w:tc>
      </w:tr>
      <w:tr>
        <w:trPr>
          <w:trHeight w:val="185"/>
        </w:trPr>
        <w:tc>
          <w:tcPr>
            <w:tcW w:w="280" w:type="dxa"/>
            <w:vAlign w:val="bottom"/>
          </w:tcPr>
          <w:p>
            <w:pPr>
              <w:spacing w:after="0"/>
              <w:rPr>
                <w:sz w:val="16"/>
                <w:szCs w:val="16"/>
                <w:color w:val="auto"/>
              </w:rPr>
            </w:pPr>
          </w:p>
        </w:tc>
        <w:tc>
          <w:tcPr>
            <w:tcW w:w="7820" w:type="dxa"/>
            <w:vAlign w:val="bottom"/>
          </w:tcPr>
          <w:p>
            <w:pPr>
              <w:spacing w:after="0"/>
              <w:rPr>
                <w:sz w:val="20"/>
                <w:szCs w:val="20"/>
                <w:color w:val="auto"/>
              </w:rPr>
            </w:pPr>
            <w:r>
              <w:rPr>
                <w:rFonts w:ascii="Arial" w:cs="Arial" w:eastAsia="Arial" w:hAnsi="Arial"/>
                <w:sz w:val="16"/>
                <w:szCs w:val="16"/>
                <w:color w:val="auto"/>
              </w:rPr>
              <w:t>Total</w:t>
            </w:r>
          </w:p>
        </w:tc>
        <w:tc>
          <w:tcPr>
            <w:tcW w:w="5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15,750,467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16,094,120</w:t>
            </w:r>
          </w:p>
        </w:tc>
        <w:tc>
          <w:tcPr>
            <w:tcW w:w="100" w:type="dxa"/>
            <w:vAlign w:val="bottom"/>
          </w:tcPr>
          <w:p>
            <w:pPr>
              <w:spacing w:after="0"/>
              <w:rPr>
                <w:sz w:val="16"/>
                <w:szCs w:val="16"/>
                <w:color w:val="auto"/>
              </w:rPr>
            </w:pPr>
          </w:p>
        </w:tc>
      </w:tr>
      <w:tr>
        <w:trPr>
          <w:trHeight w:val="379"/>
        </w:trPr>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auto"/>
                <w:w w:val="78"/>
              </w:rPr>
              <w:t>18</w:t>
            </w:r>
          </w:p>
        </w:tc>
        <w:tc>
          <w:tcPr>
            <w:tcW w:w="8400" w:type="dxa"/>
            <w:vAlign w:val="bottom"/>
            <w:gridSpan w:val="2"/>
          </w:tcPr>
          <w:p>
            <w:pPr>
              <w:ind w:left="300"/>
              <w:spacing w:after="0"/>
              <w:rPr>
                <w:sz w:val="20"/>
                <w:szCs w:val="20"/>
                <w:color w:val="auto"/>
              </w:rPr>
            </w:pPr>
            <w:r>
              <w:rPr>
                <w:rFonts w:ascii="Arial" w:cs="Arial" w:eastAsia="Arial" w:hAnsi="Arial"/>
                <w:sz w:val="16"/>
                <w:szCs w:val="16"/>
                <w:b w:val="1"/>
                <w:bCs w:val="1"/>
                <w:color w:val="auto"/>
              </w:rPr>
              <w:t>EQUITY</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81" w:lineRule="exact"/>
        <w:rPr>
          <w:sz w:val="20"/>
          <w:szCs w:val="20"/>
          <w:color w:val="auto"/>
        </w:rPr>
      </w:pPr>
    </w:p>
    <w:p>
      <w:pPr>
        <w:ind w:left="283" w:hanging="283"/>
        <w:spacing w:after="0"/>
        <w:tabs>
          <w:tab w:leader="none" w:pos="28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Share capital -</w:t>
      </w:r>
    </w:p>
    <w:p>
      <w:pPr>
        <w:spacing w:after="0" w:line="202"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At December 31, 2016, 2015 and 2014 a total of 94,382,317 shares have been issued at US$5 par value each.</w:t>
      </w:r>
    </w:p>
    <w:p>
      <w:pPr>
        <w:spacing w:after="0" w:line="202" w:lineRule="exact"/>
        <w:rPr>
          <w:rFonts w:ascii="Arial" w:cs="Arial" w:eastAsia="Arial" w:hAnsi="Arial"/>
          <w:sz w:val="16"/>
          <w:szCs w:val="16"/>
          <w:color w:val="auto"/>
        </w:rPr>
      </w:pPr>
    </w:p>
    <w:p>
      <w:pPr>
        <w:ind w:left="283" w:hanging="283"/>
        <w:spacing w:after="0"/>
        <w:tabs>
          <w:tab w:leader="none" w:pos="28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Treasury stock -</w:t>
      </w:r>
    </w:p>
    <w:p>
      <w:pPr>
        <w:spacing w:after="0" w:line="202" w:lineRule="exact"/>
        <w:rPr>
          <w:rFonts w:ascii="Arial" w:cs="Arial" w:eastAsia="Arial" w:hAnsi="Arial"/>
          <w:sz w:val="16"/>
          <w:szCs w:val="16"/>
          <w:color w:val="auto"/>
        </w:rPr>
      </w:pPr>
    </w:p>
    <w:p>
      <w:pPr>
        <w:ind w:left="283" w:right="300"/>
        <w:spacing w:after="0" w:line="280" w:lineRule="auto"/>
        <w:rPr>
          <w:rFonts w:ascii="Arial" w:cs="Arial" w:eastAsia="Arial" w:hAnsi="Arial"/>
          <w:sz w:val="16"/>
          <w:szCs w:val="16"/>
          <w:color w:val="auto"/>
        </w:rPr>
      </w:pPr>
      <w:r>
        <w:rPr>
          <w:rFonts w:ascii="Arial" w:cs="Arial" w:eastAsia="Arial" w:hAnsi="Arial"/>
          <w:sz w:val="16"/>
          <w:szCs w:val="16"/>
          <w:color w:val="auto"/>
        </w:rPr>
        <w:t>At December 31, 2016, treasury stock comprises the par value of 14,915,537 shares of Credicorp Ltd. (14,903,833 and 14,894,664 shares of Credicorp at December 31, 2015 and 2014, respectively) that are owned by Group companies.</w:t>
      </w:r>
    </w:p>
    <w:p>
      <w:pPr>
        <w:spacing w:after="0" w:line="344" w:lineRule="exact"/>
        <w:rPr>
          <w:rFonts w:ascii="Arial" w:cs="Arial" w:eastAsia="Arial" w:hAnsi="Arial"/>
          <w:sz w:val="16"/>
          <w:szCs w:val="16"/>
          <w:color w:val="auto"/>
        </w:rPr>
      </w:pPr>
    </w:p>
    <w:p>
      <w:pPr>
        <w:ind w:left="5643" w:hanging="94"/>
        <w:spacing w:after="0"/>
        <w:tabs>
          <w:tab w:leader="none" w:pos="5643" w:val="left"/>
        </w:tabs>
        <w:numPr>
          <w:ilvl w:val="1"/>
          <w:numId w:val="100"/>
        </w:numPr>
        <w:rPr>
          <w:rFonts w:ascii="Arial" w:cs="Arial" w:eastAsia="Arial" w:hAnsi="Arial"/>
          <w:sz w:val="16"/>
          <w:szCs w:val="16"/>
          <w:color w:val="auto"/>
        </w:rPr>
      </w:pPr>
      <w:r>
        <w:rPr>
          <w:rFonts w:ascii="Arial" w:cs="Arial" w:eastAsia="Arial" w:hAnsi="Arial"/>
          <w:sz w:val="16"/>
          <w:szCs w:val="16"/>
          <w:color w:val="auto"/>
        </w:rPr>
        <w:t>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8" w:right="259" w:bottom="1440" w:gutter="0" w:footer="0" w:header="0"/>
        </w:sectPr>
      </w:pPr>
    </w:p>
    <w:bookmarkStart w:id="93" w:name="page94"/>
    <w:bookmarkEnd w:id="93"/>
    <w:p>
      <w:pPr>
        <w:ind w:left="283" w:right="240"/>
        <w:spacing w:after="0" w:line="280" w:lineRule="auto"/>
        <w:rPr>
          <w:sz w:val="20"/>
          <w:szCs w:val="20"/>
          <w:color w:val="auto"/>
        </w:rPr>
      </w:pPr>
      <w:r>
        <w:rPr>
          <w:rFonts w:ascii="Arial" w:cs="Arial" w:eastAsia="Arial" w:hAnsi="Arial"/>
          <w:sz w:val="16"/>
          <w:szCs w:val="16"/>
          <w:color w:val="auto"/>
        </w:rPr>
        <w:t>During 2016, 2015 and 2014, the Group bought 156,603, 145,871 and 144,898 shares of Credicorp Ltd., respectively, for a total of US$20.0 million (equivalent to S/66.5 million ), US$21.7million (equivalent to S/72.9 million ) and US$18.6 million (equivalent to S/45.6 million), respectively.</w:t>
      </w:r>
    </w:p>
    <w:p>
      <w:pPr>
        <w:spacing w:after="0" w:line="151" w:lineRule="exact"/>
        <w:rPr>
          <w:sz w:val="20"/>
          <w:szCs w:val="20"/>
          <w:color w:val="auto"/>
        </w:rPr>
      </w:pPr>
    </w:p>
    <w:p>
      <w:pPr>
        <w:ind w:left="283" w:hanging="283"/>
        <w:spacing w:after="0"/>
        <w:tabs>
          <w:tab w:leader="none" w:pos="2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Reserves -</w:t>
      </w:r>
    </w:p>
    <w:p>
      <w:pPr>
        <w:spacing w:after="0" w:line="202" w:lineRule="exact"/>
        <w:rPr>
          <w:rFonts w:ascii="Arial" w:cs="Arial" w:eastAsia="Arial" w:hAnsi="Arial"/>
          <w:sz w:val="16"/>
          <w:szCs w:val="16"/>
          <w:color w:val="auto"/>
        </w:rPr>
      </w:pPr>
    </w:p>
    <w:p>
      <w:pPr>
        <w:ind w:left="283" w:right="180"/>
        <w:spacing w:after="0" w:line="266" w:lineRule="auto"/>
        <w:rPr>
          <w:rFonts w:ascii="Arial" w:cs="Arial" w:eastAsia="Arial" w:hAnsi="Arial"/>
          <w:sz w:val="16"/>
          <w:szCs w:val="16"/>
          <w:color w:val="auto"/>
        </w:rPr>
      </w:pPr>
      <w:r>
        <w:rPr>
          <w:rFonts w:ascii="Arial" w:cs="Arial" w:eastAsia="Arial" w:hAnsi="Arial"/>
          <w:sz w:val="16"/>
          <w:szCs w:val="16"/>
          <w:color w:val="auto"/>
        </w:rPr>
        <w:t>Certain of the Group´ subsidiaries are required to keep a reserve that equals a percentage of paid-in capital (20, 30 or 50 percent, depending on its activities and country in which production takes place); this reserve must be constituted with annual transfers of not less than 10 percent of net profits. At December 31, 2016, 2015 and 2014, the balance of reserves amounts to approximately S/3,987.5, S/2,996.7 million and S/2,731.7 million, respectively.</w:t>
      </w:r>
    </w:p>
    <w:p>
      <w:pPr>
        <w:spacing w:after="0" w:line="161" w:lineRule="exact"/>
        <w:rPr>
          <w:rFonts w:ascii="Arial" w:cs="Arial" w:eastAsia="Arial" w:hAnsi="Arial"/>
          <w:sz w:val="16"/>
          <w:szCs w:val="16"/>
          <w:color w:val="auto"/>
        </w:rPr>
      </w:pPr>
    </w:p>
    <w:p>
      <w:pPr>
        <w:ind w:left="283" w:right="340"/>
        <w:spacing w:after="0" w:line="280" w:lineRule="auto"/>
        <w:rPr>
          <w:rFonts w:ascii="Arial" w:cs="Arial" w:eastAsia="Arial" w:hAnsi="Arial"/>
          <w:sz w:val="16"/>
          <w:szCs w:val="16"/>
          <w:color w:val="auto"/>
        </w:rPr>
      </w:pPr>
      <w:r>
        <w:rPr>
          <w:rFonts w:ascii="Arial" w:cs="Arial" w:eastAsia="Arial" w:hAnsi="Arial"/>
          <w:sz w:val="16"/>
          <w:szCs w:val="16"/>
          <w:color w:val="auto"/>
        </w:rPr>
        <w:t>At the Board meetings held on February 24, 2016, February 25, 2015 and February 25, 2014, the decision was made to transfer from “Retained earnings” to “Reserves” S/2,316.4 million , S/1,820.5 million and S/1,200.9 million, respectively.</w:t>
      </w:r>
    </w:p>
    <w:p>
      <w:pPr>
        <w:spacing w:after="0" w:line="150" w:lineRule="exact"/>
        <w:rPr>
          <w:rFonts w:ascii="Arial" w:cs="Arial" w:eastAsia="Arial" w:hAnsi="Arial"/>
          <w:sz w:val="16"/>
          <w:szCs w:val="16"/>
          <w:color w:val="auto"/>
        </w:rPr>
      </w:pPr>
    </w:p>
    <w:p>
      <w:pPr>
        <w:ind w:left="283" w:right="460"/>
        <w:spacing w:after="0" w:line="280" w:lineRule="auto"/>
        <w:rPr>
          <w:rFonts w:ascii="Arial" w:cs="Arial" w:eastAsia="Arial" w:hAnsi="Arial"/>
          <w:sz w:val="16"/>
          <w:szCs w:val="16"/>
          <w:color w:val="auto"/>
        </w:rPr>
      </w:pPr>
      <w:r>
        <w:rPr>
          <w:rFonts w:ascii="Arial" w:cs="Arial" w:eastAsia="Arial" w:hAnsi="Arial"/>
          <w:sz w:val="16"/>
          <w:szCs w:val="16"/>
          <w:color w:val="auto"/>
        </w:rPr>
        <w:t>“Other reserves” include unrealized gains (losses) on Available-for-sale investments and on cash flow hedges, net of deferred income tax and non-controlling interest. Movement was as follows:</w:t>
      </w:r>
    </w:p>
    <w:p>
      <w:pPr>
        <w:spacing w:after="0" w:line="159"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Net unrealized gains (losses):</w:t>
            </w: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9"/>
        </w:trPr>
        <w:tc>
          <w:tcPr>
            <w:tcW w:w="2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Reserve for</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3"/>
        </w:trPr>
        <w:tc>
          <w:tcPr>
            <w:tcW w:w="2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available-</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Reserve for</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Foreign</w:t>
            </w: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for-sale</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cash flow</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exchange</w:t>
            </w: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2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investments</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hedges</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translation</w:t>
            </w: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8"/>
                <w:szCs w:val="18"/>
                <w:color w:val="auto"/>
              </w:rPr>
            </w:pPr>
          </w:p>
        </w:tc>
      </w:tr>
      <w:tr>
        <w:trPr>
          <w:trHeight w:val="202"/>
        </w:trPr>
        <w:tc>
          <w:tcPr>
            <w:tcW w:w="2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January 1, 2014</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1,027,763</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(11,935)</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(154,683)</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861,145</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Increase in net unrealized gains on Available-for-sale investments</w:t>
            </w:r>
          </w:p>
        </w:tc>
        <w:tc>
          <w:tcPr>
            <w:tcW w:w="1500" w:type="dxa"/>
            <w:vAlign w:val="bottom"/>
            <w:gridSpan w:val="3"/>
          </w:tcPr>
          <w:p>
            <w:pPr>
              <w:jc w:val="right"/>
              <w:ind w:right="140"/>
              <w:spacing w:after="0"/>
              <w:rPr>
                <w:sz w:val="20"/>
                <w:szCs w:val="20"/>
                <w:color w:val="auto"/>
              </w:rPr>
            </w:pPr>
            <w:r>
              <w:rPr>
                <w:rFonts w:ascii="Arial" w:cs="Arial" w:eastAsia="Arial" w:hAnsi="Arial"/>
                <w:sz w:val="16"/>
                <w:szCs w:val="16"/>
                <w:color w:val="auto"/>
              </w:rPr>
              <w:t>292,418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292,418</w:t>
            </w:r>
          </w:p>
        </w:tc>
        <w:tc>
          <w:tcPr>
            <w:tcW w:w="180" w:type="dxa"/>
            <w:vAlign w:val="bottom"/>
          </w:tcPr>
          <w:p>
            <w:pPr>
              <w:spacing w:after="0"/>
              <w:rPr>
                <w:sz w:val="16"/>
                <w:szCs w:val="16"/>
                <w:color w:val="auto"/>
              </w:rPr>
            </w:pPr>
          </w:p>
        </w:tc>
      </w:tr>
      <w:tr>
        <w:trPr>
          <w:trHeight w:val="181"/>
        </w:trPr>
        <w:tc>
          <w:tcPr>
            <w:tcW w:w="280" w:type="dxa"/>
            <w:vAlign w:val="bottom"/>
          </w:tcPr>
          <w:p>
            <w:pPr>
              <w:spacing w:after="0"/>
              <w:rPr>
                <w:sz w:val="15"/>
                <w:szCs w:val="15"/>
                <w:color w:val="auto"/>
              </w:rPr>
            </w:pPr>
          </w:p>
        </w:tc>
        <w:tc>
          <w:tcPr>
            <w:tcW w:w="52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3"/>
              </w:rPr>
              <w:t>Transfer of net realized gains on Available-for-sale investments to profit or loss,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r>
      <w:tr>
        <w:trPr>
          <w:trHeight w:val="206"/>
        </w:trPr>
        <w:tc>
          <w:tcPr>
            <w:tcW w:w="28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net of realized loss</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(104,360)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(104,360)</w:t>
            </w:r>
          </w:p>
        </w:tc>
        <w:tc>
          <w:tcPr>
            <w:tcW w:w="180" w:type="dxa"/>
            <w:vAlign w:val="bottom"/>
          </w:tcPr>
          <w:p>
            <w:pPr>
              <w:spacing w:after="0"/>
              <w:rPr>
                <w:sz w:val="17"/>
                <w:szCs w:val="17"/>
                <w:color w:val="auto"/>
              </w:rPr>
            </w:pPr>
          </w:p>
        </w:tc>
      </w:tr>
      <w:tr>
        <w:trPr>
          <w:trHeight w:val="181"/>
        </w:trPr>
        <w:tc>
          <w:tcPr>
            <w:tcW w:w="280" w:type="dxa"/>
            <w:vAlign w:val="bottom"/>
          </w:tcPr>
          <w:p>
            <w:pPr>
              <w:spacing w:after="0"/>
              <w:rPr>
                <w:sz w:val="15"/>
                <w:szCs w:val="15"/>
                <w:color w:val="auto"/>
              </w:rPr>
            </w:pPr>
          </w:p>
        </w:tc>
        <w:tc>
          <w:tcPr>
            <w:tcW w:w="5260" w:type="dxa"/>
            <w:vAlign w:val="bottom"/>
          </w:tcPr>
          <w:p>
            <w:pPr>
              <w:spacing w:after="0" w:line="181" w:lineRule="exact"/>
              <w:rPr>
                <w:sz w:val="20"/>
                <w:szCs w:val="20"/>
                <w:color w:val="auto"/>
              </w:rPr>
            </w:pPr>
            <w:r>
              <w:rPr>
                <w:rFonts w:ascii="Arial" w:cs="Arial" w:eastAsia="Arial" w:hAnsi="Arial"/>
                <w:sz w:val="16"/>
                <w:szCs w:val="16"/>
                <w:color w:val="auto"/>
                <w:w w:val="97"/>
              </w:rPr>
              <w:t>Transfer of the impairment loss on Available-for-sale investments to profit or</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6"/>
        </w:trPr>
        <w:tc>
          <w:tcPr>
            <w:tcW w:w="28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loss, Note 6(c)</w:t>
            </w:r>
          </w:p>
        </w:tc>
        <w:tc>
          <w:tcPr>
            <w:tcW w:w="1500" w:type="dxa"/>
            <w:vAlign w:val="bottom"/>
            <w:gridSpan w:val="3"/>
          </w:tcPr>
          <w:p>
            <w:pPr>
              <w:jc w:val="right"/>
              <w:ind w:right="140"/>
              <w:spacing w:after="0"/>
              <w:rPr>
                <w:sz w:val="20"/>
                <w:szCs w:val="20"/>
                <w:color w:val="auto"/>
              </w:rPr>
            </w:pPr>
            <w:r>
              <w:rPr>
                <w:rFonts w:ascii="Arial" w:cs="Arial" w:eastAsia="Arial" w:hAnsi="Arial"/>
                <w:sz w:val="16"/>
                <w:szCs w:val="16"/>
                <w:color w:val="auto"/>
              </w:rPr>
              <w:t>7,794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7,794</w:t>
            </w:r>
          </w:p>
        </w:tc>
        <w:tc>
          <w:tcPr>
            <w:tcW w:w="180" w:type="dxa"/>
            <w:vAlign w:val="bottom"/>
          </w:tcPr>
          <w:p>
            <w:pPr>
              <w:spacing w:after="0"/>
              <w:rPr>
                <w:sz w:val="17"/>
                <w:szCs w:val="17"/>
                <w:color w:val="auto"/>
              </w:rPr>
            </w:pPr>
          </w:p>
        </w:tc>
      </w:tr>
      <w:tr>
        <w:trPr>
          <w:trHeight w:val="194"/>
        </w:trPr>
        <w:tc>
          <w:tcPr>
            <w:tcW w:w="280" w:type="dxa"/>
            <w:vAlign w:val="bottom"/>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Change from net unrealized gains on cash flow hedges, Note 12(b)(ii)</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(38,943)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(38,943)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260" w:type="dxa"/>
            <w:vAlign w:val="bottom"/>
          </w:tcPr>
          <w:p>
            <w:pPr>
              <w:spacing w:after="0"/>
              <w:rPr>
                <w:sz w:val="20"/>
                <w:szCs w:val="20"/>
                <w:color w:val="auto"/>
              </w:rPr>
            </w:pPr>
            <w:r>
              <w:rPr>
                <w:rFonts w:ascii="Arial" w:cs="Arial" w:eastAsia="Arial" w:hAnsi="Arial"/>
                <w:sz w:val="16"/>
                <w:szCs w:val="16"/>
                <w:color w:val="auto"/>
                <w:w w:val="92"/>
              </w:rPr>
              <w:t>Transfer of net realized gains on cash flow hedges to profit or loss, Note 12(b)(ii)</w:t>
            </w:r>
          </w:p>
        </w:tc>
        <w:tc>
          <w:tcPr>
            <w:tcW w:w="15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56,815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56,815</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translation</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(51,483)</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(51,483)</w:t>
            </w:r>
          </w:p>
        </w:tc>
        <w:tc>
          <w:tcPr>
            <w:tcW w:w="180" w:type="dxa"/>
            <w:vAlign w:val="bottom"/>
          </w:tcPr>
          <w:p>
            <w:pPr>
              <w:spacing w:after="0"/>
              <w:rPr>
                <w:sz w:val="17"/>
                <w:szCs w:val="17"/>
                <w:color w:val="auto"/>
              </w:rPr>
            </w:pPr>
          </w:p>
        </w:tc>
      </w:tr>
      <w:tr>
        <w:trPr>
          <w:trHeight w:val="198"/>
        </w:trPr>
        <w:tc>
          <w:tcPr>
            <w:tcW w:w="28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Balances at December 31, 2014</w:t>
            </w:r>
          </w:p>
        </w:tc>
        <w:tc>
          <w:tcPr>
            <w:tcW w:w="14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1,223,615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(206,166)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1,023,386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68"/>
        </w:trPr>
        <w:tc>
          <w:tcPr>
            <w:tcW w:w="2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919"/>
              <w:spacing w:after="0"/>
              <w:rPr>
                <w:sz w:val="20"/>
                <w:szCs w:val="20"/>
                <w:color w:val="auto"/>
              </w:rPr>
            </w:pPr>
            <w:r>
              <w:rPr>
                <w:rFonts w:ascii="Arial" w:cs="Arial" w:eastAsia="Arial" w:hAnsi="Arial"/>
                <w:sz w:val="16"/>
                <w:szCs w:val="16"/>
                <w:color w:val="auto"/>
                <w:w w:val="90"/>
              </w:rPr>
              <w:t>- 89 -</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3"/>
          </w:cols>
          <w:pgMar w:left="237" w:top="828" w:right="21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27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Net unrealized gains (losses):</w:t>
            </w: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69"/>
        </w:trPr>
        <w:tc>
          <w:tcPr>
            <w:tcW w:w="5400" w:type="dxa"/>
            <w:vAlign w:val="bottom"/>
          </w:tcPr>
          <w:p>
            <w:pPr>
              <w:spacing w:after="0"/>
              <w:rPr>
                <w:sz w:val="14"/>
                <w:szCs w:val="14"/>
                <w:color w:val="auto"/>
              </w:rPr>
            </w:pPr>
          </w:p>
        </w:tc>
        <w:tc>
          <w:tcPr>
            <w:tcW w:w="136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Reserve for</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54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available-</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Reserve for</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Foreign</w:t>
            </w: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54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for-sale</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cash flow</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exchange</w:t>
            </w: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54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investments</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hedges</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translation</w:t>
            </w: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r>
      <w:tr>
        <w:trPr>
          <w:trHeight w:val="202"/>
        </w:trPr>
        <w:tc>
          <w:tcPr>
            <w:tcW w:w="540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r>
      <w:tr>
        <w:trPr>
          <w:trHeight w:val="177"/>
        </w:trPr>
        <w:tc>
          <w:tcPr>
            <w:tcW w:w="5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5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2014</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1,223,615</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5,937</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(206,166)</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1,023,386</w:t>
            </w:r>
          </w:p>
        </w:tc>
      </w:tr>
      <w:tr>
        <w:trPr>
          <w:trHeight w:val="193"/>
        </w:trPr>
        <w:tc>
          <w:tcPr>
            <w:tcW w:w="5400" w:type="dxa"/>
            <w:vAlign w:val="bottom"/>
          </w:tcPr>
          <w:p>
            <w:pPr>
              <w:spacing w:after="0"/>
              <w:rPr>
                <w:sz w:val="20"/>
                <w:szCs w:val="20"/>
                <w:color w:val="auto"/>
              </w:rPr>
            </w:pPr>
            <w:r>
              <w:rPr>
                <w:rFonts w:ascii="Arial" w:cs="Arial" w:eastAsia="Arial" w:hAnsi="Arial"/>
                <w:sz w:val="16"/>
                <w:szCs w:val="16"/>
                <w:color w:val="auto"/>
              </w:rPr>
              <w:t>Decrease in net unrealized gains on Available-for-sale investments</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(323,348)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(323,348)</w:t>
            </w:r>
          </w:p>
        </w:tc>
      </w:tr>
      <w:tr>
        <w:trPr>
          <w:trHeight w:val="181"/>
        </w:trPr>
        <w:tc>
          <w:tcPr>
            <w:tcW w:w="54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5"/>
              </w:rPr>
              <w:t>Transfer of net realized gains on Available-for-sale investments to profit or loss,</w:t>
            </w: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6"/>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net of realized loss</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(191,716)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(191,716)</w:t>
            </w:r>
          </w:p>
        </w:tc>
      </w:tr>
      <w:tr>
        <w:trPr>
          <w:trHeight w:val="181"/>
        </w:trPr>
        <w:tc>
          <w:tcPr>
            <w:tcW w:w="5400" w:type="dxa"/>
            <w:vAlign w:val="bottom"/>
          </w:tcPr>
          <w:p>
            <w:pPr>
              <w:spacing w:after="0" w:line="181" w:lineRule="exact"/>
              <w:rPr>
                <w:sz w:val="20"/>
                <w:szCs w:val="20"/>
                <w:color w:val="auto"/>
              </w:rPr>
            </w:pPr>
            <w:r>
              <w:rPr>
                <w:rFonts w:ascii="Arial" w:cs="Arial" w:eastAsia="Arial" w:hAnsi="Arial"/>
                <w:sz w:val="16"/>
                <w:szCs w:val="16"/>
                <w:color w:val="auto"/>
                <w:w w:val="94"/>
              </w:rPr>
              <w:t>Transfer of the impairment loss on Available-for-sale investments to profit or loss</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6"/>
        </w:trPr>
        <w:tc>
          <w:tcPr>
            <w:tcW w:w="5400" w:type="dxa"/>
            <w:vAlign w:val="bottom"/>
          </w:tcPr>
          <w:p>
            <w:pPr>
              <w:spacing w:after="0"/>
              <w:rPr>
                <w:sz w:val="20"/>
                <w:szCs w:val="20"/>
                <w:color w:val="auto"/>
              </w:rPr>
            </w:pPr>
            <w:r>
              <w:rPr>
                <w:rFonts w:ascii="Arial" w:cs="Arial" w:eastAsia="Arial" w:hAnsi="Arial"/>
                <w:sz w:val="16"/>
                <w:szCs w:val="16"/>
                <w:color w:val="auto"/>
              </w:rPr>
              <w:t>Note 6(c)</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(55,647)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(55,647)</w:t>
            </w:r>
          </w:p>
        </w:tc>
      </w:tr>
      <w:tr>
        <w:trPr>
          <w:trHeight w:val="194"/>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Change in net unrealized gains on cash flow hedges, Note 12(b)(ii)</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50,273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50,273</w:t>
            </w:r>
          </w:p>
        </w:tc>
      </w:tr>
      <w:tr>
        <w:trPr>
          <w:trHeight w:val="181"/>
        </w:trPr>
        <w:tc>
          <w:tcPr>
            <w:tcW w:w="5400" w:type="dxa"/>
            <w:vAlign w:val="bottom"/>
          </w:tcPr>
          <w:p>
            <w:pPr>
              <w:spacing w:after="0" w:line="181" w:lineRule="exact"/>
              <w:rPr>
                <w:sz w:val="20"/>
                <w:szCs w:val="20"/>
                <w:color w:val="auto"/>
              </w:rPr>
            </w:pPr>
            <w:r>
              <w:rPr>
                <w:rFonts w:ascii="Arial" w:cs="Arial" w:eastAsia="Arial" w:hAnsi="Arial"/>
                <w:sz w:val="16"/>
                <w:szCs w:val="16"/>
                <w:color w:val="auto"/>
                <w:w w:val="96"/>
              </w:rPr>
              <w:t>Transfer of net realized losses on cash flow hedges to profit or loss, Note 12(b)</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6"/>
        </w:trPr>
        <w:tc>
          <w:tcPr>
            <w:tcW w:w="5400" w:type="dxa"/>
            <w:vAlign w:val="bottom"/>
          </w:tcPr>
          <w:p>
            <w:pPr>
              <w:spacing w:after="0"/>
              <w:rPr>
                <w:sz w:val="20"/>
                <w:szCs w:val="20"/>
                <w:color w:val="auto"/>
              </w:rPr>
            </w:pPr>
            <w:r>
              <w:rPr>
                <w:rFonts w:ascii="Arial" w:cs="Arial" w:eastAsia="Arial" w:hAnsi="Arial"/>
                <w:sz w:val="16"/>
                <w:szCs w:val="16"/>
                <w:color w:val="auto"/>
              </w:rPr>
              <w:t>(ii)</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(11,160)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(11,160)</w:t>
            </w:r>
          </w:p>
        </w:tc>
      </w:tr>
      <w:tr>
        <w:trPr>
          <w:trHeight w:val="206"/>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translation</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270,907</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270,907</w:t>
            </w:r>
          </w:p>
        </w:tc>
      </w:tr>
      <w:tr>
        <w:trPr>
          <w:trHeight w:val="185"/>
        </w:trPr>
        <w:tc>
          <w:tcPr>
            <w:tcW w:w="5400" w:type="dxa"/>
            <w:vAlign w:val="bottom"/>
          </w:tcPr>
          <w:p>
            <w:pPr>
              <w:spacing w:after="0"/>
              <w:rPr>
                <w:sz w:val="20"/>
                <w:szCs w:val="20"/>
                <w:color w:val="auto"/>
              </w:rPr>
            </w:pPr>
            <w:r>
              <w:rPr>
                <w:rFonts w:ascii="Arial" w:cs="Arial" w:eastAsia="Arial" w:hAnsi="Arial"/>
                <w:sz w:val="16"/>
                <w:szCs w:val="16"/>
                <w:b w:val="1"/>
                <w:bCs w:val="1"/>
                <w:color w:val="auto"/>
              </w:rPr>
              <w:t>Balance at December 31, 2015</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652,904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45,050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64,741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762,695</w:t>
            </w:r>
          </w:p>
        </w:tc>
        <w:tc>
          <w:tcPr>
            <w:tcW w:w="100" w:type="dxa"/>
            <w:vAlign w:val="bottom"/>
          </w:tcPr>
          <w:p>
            <w:pPr>
              <w:spacing w:after="0"/>
              <w:rPr>
                <w:sz w:val="16"/>
                <w:szCs w:val="16"/>
                <w:color w:val="auto"/>
              </w:rPr>
            </w:pPr>
          </w:p>
        </w:tc>
      </w:tr>
      <w:tr>
        <w:trPr>
          <w:trHeight w:val="193"/>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Increase in net unrealized gains on Available-for-sale investments</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554,869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554,869</w:t>
            </w:r>
          </w:p>
        </w:tc>
      </w:tr>
      <w:tr>
        <w:trPr>
          <w:trHeight w:val="181"/>
        </w:trPr>
        <w:tc>
          <w:tcPr>
            <w:tcW w:w="5400" w:type="dxa"/>
            <w:vAlign w:val="bottom"/>
          </w:tcPr>
          <w:p>
            <w:pPr>
              <w:spacing w:after="0" w:line="181" w:lineRule="exact"/>
              <w:rPr>
                <w:sz w:val="20"/>
                <w:szCs w:val="20"/>
                <w:color w:val="auto"/>
              </w:rPr>
            </w:pPr>
            <w:r>
              <w:rPr>
                <w:rFonts w:ascii="Arial" w:cs="Arial" w:eastAsia="Arial" w:hAnsi="Arial"/>
                <w:sz w:val="16"/>
                <w:szCs w:val="16"/>
                <w:color w:val="auto"/>
                <w:w w:val="95"/>
              </w:rPr>
              <w:t>Transfer of net realized gains on Available-for-sale investments to profit or loss,</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6"/>
        </w:trPr>
        <w:tc>
          <w:tcPr>
            <w:tcW w:w="5400" w:type="dxa"/>
            <w:vAlign w:val="bottom"/>
          </w:tcPr>
          <w:p>
            <w:pPr>
              <w:spacing w:after="0"/>
              <w:rPr>
                <w:sz w:val="20"/>
                <w:szCs w:val="20"/>
                <w:color w:val="auto"/>
              </w:rPr>
            </w:pPr>
            <w:r>
              <w:rPr>
                <w:rFonts w:ascii="Arial" w:cs="Arial" w:eastAsia="Arial" w:hAnsi="Arial"/>
                <w:sz w:val="16"/>
                <w:szCs w:val="16"/>
                <w:color w:val="auto"/>
              </w:rPr>
              <w:t>net of realized loss</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(75,444)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(75,444)</w:t>
            </w:r>
          </w:p>
        </w:tc>
      </w:tr>
      <w:tr>
        <w:trPr>
          <w:trHeight w:val="181"/>
        </w:trPr>
        <w:tc>
          <w:tcPr>
            <w:tcW w:w="54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4"/>
              </w:rPr>
              <w:t>Transfer of the impairment loss on Available-for-sale investments to profit or loss</w:t>
            </w: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6"/>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Note 6(c)</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14,459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14,459</w:t>
            </w:r>
          </w:p>
        </w:tc>
      </w:tr>
      <w:tr>
        <w:trPr>
          <w:trHeight w:val="193"/>
        </w:trPr>
        <w:tc>
          <w:tcPr>
            <w:tcW w:w="5400" w:type="dxa"/>
            <w:vAlign w:val="bottom"/>
          </w:tcPr>
          <w:p>
            <w:pPr>
              <w:spacing w:after="0"/>
              <w:rPr>
                <w:sz w:val="20"/>
                <w:szCs w:val="20"/>
                <w:color w:val="auto"/>
              </w:rPr>
            </w:pPr>
            <w:r>
              <w:rPr>
                <w:rFonts w:ascii="Arial" w:cs="Arial" w:eastAsia="Arial" w:hAnsi="Arial"/>
                <w:sz w:val="16"/>
                <w:szCs w:val="16"/>
                <w:color w:val="auto"/>
              </w:rPr>
              <w:t>Change in net unrealized gains on cash flow hedges, Note 12(b)(ii)</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(16,724)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(16,724)</w:t>
            </w:r>
          </w:p>
        </w:tc>
      </w:tr>
      <w:tr>
        <w:trPr>
          <w:trHeight w:val="181"/>
        </w:trPr>
        <w:tc>
          <w:tcPr>
            <w:tcW w:w="54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6"/>
              </w:rPr>
              <w:t>Transfer of net realized losses on cash flow hedges to profit or loss, Note 12(b)</w:t>
            </w: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6"/>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(ii)</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(3,676)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(3,676)</w:t>
            </w:r>
          </w:p>
        </w:tc>
      </w:tr>
      <w:tr>
        <w:trPr>
          <w:trHeight w:val="205"/>
        </w:trPr>
        <w:tc>
          <w:tcPr>
            <w:tcW w:w="5400" w:type="dxa"/>
            <w:vAlign w:val="bottom"/>
          </w:tcPr>
          <w:p>
            <w:pPr>
              <w:spacing w:after="0"/>
              <w:rPr>
                <w:sz w:val="20"/>
                <w:szCs w:val="20"/>
                <w:color w:val="auto"/>
              </w:rPr>
            </w:pPr>
            <w:r>
              <w:rPr>
                <w:rFonts w:ascii="Arial" w:cs="Arial" w:eastAsia="Arial" w:hAnsi="Arial"/>
                <w:sz w:val="16"/>
                <w:szCs w:val="16"/>
                <w:color w:val="auto"/>
              </w:rPr>
              <w:t>Foreign exchange translation</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6"/>
                <w:szCs w:val="16"/>
                <w:color w:val="auto"/>
              </w:rPr>
              <w:t>(26,448)</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(26,448)</w:t>
            </w:r>
          </w:p>
        </w:tc>
      </w:tr>
      <w:tr>
        <w:trPr>
          <w:trHeight w:val="185"/>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2016</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1,146,788</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24,650</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38,293</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1,209,731</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37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13970</wp:posOffset>
            </wp:positionV>
            <wp:extent cx="7261225" cy="762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980"/>
          </w:cols>
          <w:pgMar w:left="520" w:top="836" w:right="399" w:bottom="1440" w:gutter="0" w:footer="0" w:header="0"/>
        </w:sectPr>
      </w:pPr>
    </w:p>
    <w:bookmarkStart w:id="95" w:name="page96"/>
    <w:bookmarkEnd w:id="95"/>
    <w:p>
      <w:pPr>
        <w:ind w:left="283" w:hanging="283"/>
        <w:spacing w:after="0"/>
        <w:tabs>
          <w:tab w:leader="none" w:pos="28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Components of other comprehensive income -</w:t>
      </w:r>
    </w:p>
    <w:p>
      <w:pPr>
        <w:spacing w:after="0" w:line="202" w:lineRule="exact"/>
        <w:rPr>
          <w:rFonts w:ascii="Arial" w:cs="Arial" w:eastAsia="Arial" w:hAnsi="Arial"/>
          <w:sz w:val="16"/>
          <w:szCs w:val="16"/>
          <w:color w:val="auto"/>
        </w:rPr>
      </w:pPr>
    </w:p>
    <w:p>
      <w:pPr>
        <w:ind w:left="283" w:right="180"/>
        <w:spacing w:after="0" w:line="280" w:lineRule="auto"/>
        <w:rPr>
          <w:rFonts w:ascii="Arial" w:cs="Arial" w:eastAsia="Arial" w:hAnsi="Arial"/>
          <w:sz w:val="16"/>
          <w:szCs w:val="16"/>
          <w:color w:val="auto"/>
        </w:rPr>
      </w:pPr>
      <w:r>
        <w:rPr>
          <w:rFonts w:ascii="Arial" w:cs="Arial" w:eastAsia="Arial" w:hAnsi="Arial"/>
          <w:sz w:val="16"/>
          <w:szCs w:val="16"/>
          <w:color w:val="auto"/>
        </w:rPr>
        <w:t>The consolidated statement of comprehensive income includes other comprehensive income from available-for-sale investments and from derivative financial instruments used as cash flow hedges; their movements are as follows:</w:t>
      </w:r>
    </w:p>
    <w:p>
      <w:pPr>
        <w:spacing w:after="0" w:line="159"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480" w:type="dxa"/>
            <w:vAlign w:val="bottom"/>
            <w:gridSpan w:val="2"/>
          </w:tcPr>
          <w:p>
            <w:pPr>
              <w:ind w:left="260"/>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86"/>
        </w:trPr>
        <w:tc>
          <w:tcPr>
            <w:tcW w:w="28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6"/>
                <w:szCs w:val="16"/>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Available-for-sale investments: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Arial" w:cs="Arial" w:eastAsia="Arial" w:hAnsi="Arial"/>
                <w:sz w:val="16"/>
                <w:szCs w:val="16"/>
                <w:color w:val="auto"/>
              </w:rPr>
              <w:t>Unrealized gains (losses) on available-for-sale investments</w:t>
            </w:r>
          </w:p>
        </w:tc>
        <w:tc>
          <w:tcPr>
            <w:tcW w:w="1620" w:type="dxa"/>
            <w:vAlign w:val="bottom"/>
            <w:gridSpan w:val="3"/>
          </w:tcPr>
          <w:p>
            <w:pPr>
              <w:jc w:val="right"/>
              <w:ind w:right="59"/>
              <w:spacing w:after="0"/>
              <w:rPr>
                <w:sz w:val="20"/>
                <w:szCs w:val="20"/>
                <w:color w:val="auto"/>
              </w:rPr>
            </w:pPr>
            <w:r>
              <w:rPr>
                <w:rFonts w:ascii="Arial" w:cs="Arial" w:eastAsia="Arial" w:hAnsi="Arial"/>
                <w:sz w:val="16"/>
                <w:szCs w:val="16"/>
                <w:color w:val="auto"/>
              </w:rPr>
              <w:t>554,869</w:t>
            </w:r>
          </w:p>
        </w:tc>
        <w:tc>
          <w:tcPr>
            <w:tcW w:w="1500" w:type="dxa"/>
            <w:vAlign w:val="bottom"/>
            <w:gridSpan w:val="3"/>
          </w:tcPr>
          <w:p>
            <w:pPr>
              <w:jc w:val="right"/>
              <w:ind w:right="79"/>
              <w:spacing w:after="0"/>
              <w:rPr>
                <w:sz w:val="20"/>
                <w:szCs w:val="20"/>
                <w:color w:val="auto"/>
              </w:rPr>
            </w:pPr>
            <w:r>
              <w:rPr>
                <w:rFonts w:ascii="Arial" w:cs="Arial" w:eastAsia="Arial" w:hAnsi="Arial"/>
                <w:sz w:val="16"/>
                <w:szCs w:val="16"/>
                <w:color w:val="auto"/>
              </w:rPr>
              <w:t>(323,348)</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292,418</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w w:val="95"/>
              </w:rPr>
              <w:t>Transfer of realized gains on available-for-sale investments to profit or loss, net of realized losses</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(75,444)</w:t>
            </w:r>
          </w:p>
        </w:tc>
        <w:tc>
          <w:tcPr>
            <w:tcW w:w="150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(191,716)</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(104,360)</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6"/>
                <w:szCs w:val="16"/>
                <w:color w:val="auto"/>
              </w:rPr>
              <w:t>Transfer of impairment losses on available-for-sale investments to profit or loss</w:t>
            </w:r>
          </w:p>
        </w:tc>
        <w:tc>
          <w:tcPr>
            <w:tcW w:w="1620" w:type="dxa"/>
            <w:vAlign w:val="bottom"/>
            <w:gridSpan w:val="3"/>
          </w:tcPr>
          <w:p>
            <w:pPr>
              <w:jc w:val="right"/>
              <w:ind w:right="59"/>
              <w:spacing w:after="0"/>
              <w:rPr>
                <w:sz w:val="20"/>
                <w:szCs w:val="20"/>
                <w:color w:val="auto"/>
              </w:rPr>
            </w:pPr>
            <w:r>
              <w:rPr>
                <w:rFonts w:ascii="Arial" w:cs="Arial" w:eastAsia="Arial" w:hAnsi="Arial"/>
                <w:sz w:val="16"/>
                <w:szCs w:val="16"/>
                <w:color w:val="auto"/>
              </w:rPr>
              <w:t>14,459</w:t>
            </w:r>
          </w:p>
        </w:tc>
        <w:tc>
          <w:tcPr>
            <w:tcW w:w="1500" w:type="dxa"/>
            <w:vAlign w:val="bottom"/>
            <w:gridSpan w:val="3"/>
          </w:tcPr>
          <w:p>
            <w:pPr>
              <w:jc w:val="right"/>
              <w:ind w:right="79"/>
              <w:spacing w:after="0"/>
              <w:rPr>
                <w:sz w:val="20"/>
                <w:szCs w:val="20"/>
                <w:color w:val="auto"/>
              </w:rPr>
            </w:pPr>
            <w:r>
              <w:rPr>
                <w:rFonts w:ascii="Arial" w:cs="Arial" w:eastAsia="Arial" w:hAnsi="Arial"/>
                <w:sz w:val="16"/>
                <w:szCs w:val="16"/>
                <w:color w:val="auto"/>
              </w:rPr>
              <w:t>(55,647)</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7,794</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Sub total</w:t>
            </w:r>
          </w:p>
        </w:tc>
        <w:tc>
          <w:tcPr>
            <w:tcW w:w="2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493,884</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(570,711)</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195,852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20" w:type="dxa"/>
            <w:vAlign w:val="bottom"/>
            <w:gridSpan w:val="3"/>
          </w:tcPr>
          <w:p>
            <w:pPr>
              <w:jc w:val="right"/>
              <w:ind w:right="59"/>
              <w:spacing w:after="0"/>
              <w:rPr>
                <w:sz w:val="20"/>
                <w:szCs w:val="20"/>
                <w:color w:val="auto"/>
              </w:rPr>
            </w:pPr>
            <w:r>
              <w:rPr>
                <w:rFonts w:ascii="Arial" w:cs="Arial" w:eastAsia="Arial" w:hAnsi="Arial"/>
                <w:sz w:val="16"/>
                <w:szCs w:val="16"/>
                <w:color w:val="auto"/>
              </w:rPr>
              <w:t>1,799</w:t>
            </w:r>
          </w:p>
        </w:tc>
        <w:tc>
          <w:tcPr>
            <w:tcW w:w="1500" w:type="dxa"/>
            <w:vAlign w:val="bottom"/>
            <w:gridSpan w:val="3"/>
          </w:tcPr>
          <w:p>
            <w:pPr>
              <w:jc w:val="right"/>
              <w:ind w:right="79"/>
              <w:spacing w:after="0"/>
              <w:rPr>
                <w:sz w:val="20"/>
                <w:szCs w:val="20"/>
                <w:color w:val="auto"/>
              </w:rPr>
            </w:pPr>
            <w:r>
              <w:rPr>
                <w:rFonts w:ascii="Arial" w:cs="Arial" w:eastAsia="Arial" w:hAnsi="Arial"/>
                <w:sz w:val="16"/>
                <w:szCs w:val="16"/>
                <w:color w:val="auto"/>
              </w:rPr>
              <w:t>(46,529)</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8,398</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Income tax</w:t>
            </w:r>
          </w:p>
        </w:tc>
        <w:tc>
          <w:tcPr>
            <w:tcW w:w="162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22,975</w:t>
            </w:r>
          </w:p>
        </w:tc>
        <w:tc>
          <w:tcPr>
            <w:tcW w:w="150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(18,503)</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(6,853)</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518,658</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(635,743</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197,397</w:t>
            </w:r>
          </w:p>
        </w:tc>
        <w:tc>
          <w:tcPr>
            <w:tcW w:w="100" w:type="dxa"/>
            <w:vAlign w:val="bottom"/>
            <w:tcBorders>
              <w:bottom w:val="single" w:sz="8" w:color="CCEEFF"/>
            </w:tcBorders>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6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Arial" w:cs="Arial" w:eastAsia="Arial" w:hAnsi="Arial"/>
                <w:sz w:val="16"/>
                <w:szCs w:val="16"/>
                <w:b w:val="1"/>
                <w:bCs w:val="1"/>
                <w:color w:val="auto"/>
              </w:rPr>
              <w:t>Cash flow hedge:</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Net (loss) gains on cash flow hedges</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(16,724)</w:t>
            </w:r>
          </w:p>
        </w:tc>
        <w:tc>
          <w:tcPr>
            <w:tcW w:w="150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50,273</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(38,943)</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6"/>
                <w:szCs w:val="16"/>
                <w:color w:val="auto"/>
              </w:rPr>
              <w:t>Transfer of net realized losses (gains) on cash flow hedges to profit or loss</w:t>
            </w: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(3,676)</w:t>
            </w:r>
          </w:p>
        </w:tc>
        <w:tc>
          <w:tcPr>
            <w:tcW w:w="1500" w:type="dxa"/>
            <w:vAlign w:val="bottom"/>
            <w:gridSpan w:val="3"/>
          </w:tcPr>
          <w:p>
            <w:pPr>
              <w:jc w:val="right"/>
              <w:ind w:right="79"/>
              <w:spacing w:after="0"/>
              <w:rPr>
                <w:sz w:val="20"/>
                <w:szCs w:val="20"/>
                <w:color w:val="auto"/>
              </w:rPr>
            </w:pPr>
            <w:r>
              <w:rPr>
                <w:rFonts w:ascii="Arial" w:cs="Arial" w:eastAsia="Arial" w:hAnsi="Arial"/>
                <w:sz w:val="16"/>
                <w:szCs w:val="16"/>
                <w:color w:val="auto"/>
              </w:rPr>
              <w:t>(11,160)</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56,815</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Sub total</w:t>
            </w:r>
          </w:p>
        </w:tc>
        <w:tc>
          <w:tcPr>
            <w:tcW w:w="2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(20,400)</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39,113</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20" w:type="dxa"/>
            <w:vAlign w:val="bottom"/>
            <w:gridSpan w:val="3"/>
          </w:tcPr>
          <w:p>
            <w:pPr>
              <w:jc w:val="right"/>
              <w:ind w:right="59"/>
              <w:spacing w:after="0"/>
              <w:rPr>
                <w:sz w:val="20"/>
                <w:szCs w:val="20"/>
                <w:color w:val="auto"/>
              </w:rPr>
            </w:pPr>
            <w:r>
              <w:rPr>
                <w:rFonts w:ascii="Arial" w:cs="Arial" w:eastAsia="Arial" w:hAnsi="Arial"/>
                <w:sz w:val="16"/>
                <w:szCs w:val="16"/>
                <w:color w:val="auto"/>
              </w:rPr>
              <w:t>585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Income tax</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150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1,956</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1,016</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(22,109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41,069</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18,888</w:t>
            </w:r>
          </w:p>
        </w:tc>
        <w:tc>
          <w:tcPr>
            <w:tcW w:w="100" w:type="dxa"/>
            <w:vAlign w:val="bottom"/>
            <w:tcBorders>
              <w:bottom w:val="single" w:sz="8" w:color="CCEEFF"/>
            </w:tcBorders>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6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Arial" w:cs="Arial" w:eastAsia="Arial" w:hAnsi="Arial"/>
                <w:sz w:val="16"/>
                <w:szCs w:val="16"/>
                <w:b w:val="1"/>
                <w:bCs w:val="1"/>
                <w:color w:val="auto"/>
              </w:rPr>
              <w:t>Foreign exchange translation:</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Exchange gains or losses</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(26,448)</w:t>
            </w:r>
          </w:p>
        </w:tc>
        <w:tc>
          <w:tcPr>
            <w:tcW w:w="150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270,907</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(51,483)</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(123)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(2,522)</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65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(26,571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270,907</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(54,005</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6"/>
                <w:szCs w:val="16"/>
                <w:color w:val="auto"/>
              </w:rPr>
            </w:pPr>
          </w:p>
        </w:tc>
      </w:tr>
      <w:tr>
        <w:trPr>
          <w:trHeight w:val="572"/>
        </w:trPr>
        <w:tc>
          <w:tcPr>
            <w:tcW w:w="2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5260"/>
              <w:spacing w:after="0"/>
              <w:rPr>
                <w:sz w:val="20"/>
                <w:szCs w:val="20"/>
                <w:color w:val="auto"/>
              </w:rPr>
            </w:pPr>
            <w:r>
              <w:rPr>
                <w:rFonts w:ascii="Arial" w:cs="Arial" w:eastAsia="Arial" w:hAnsi="Arial"/>
                <w:sz w:val="16"/>
                <w:szCs w:val="16"/>
                <w:color w:val="auto"/>
              </w:rPr>
              <w:t>- 91 -</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3"/>
          </w:cols>
          <w:pgMar w:left="237" w:top="828" w:right="219" w:bottom="1440" w:gutter="0" w:footer="0" w:header="0"/>
        </w:sectPr>
      </w:pPr>
    </w:p>
    <w:bookmarkStart w:id="96" w:name="page97"/>
    <w:bookmarkEnd w:id="96"/>
    <w:p>
      <w:pPr>
        <w:ind w:left="283" w:hanging="283"/>
        <w:spacing w:after="0"/>
        <w:tabs>
          <w:tab w:leader="none" w:pos="28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Dividend distribution -</w:t>
      </w:r>
    </w:p>
    <w:p>
      <w:pPr>
        <w:spacing w:after="0" w:line="202" w:lineRule="exact"/>
        <w:rPr>
          <w:rFonts w:ascii="Arial" w:cs="Arial" w:eastAsia="Arial" w:hAnsi="Arial"/>
          <w:sz w:val="16"/>
          <w:szCs w:val="16"/>
          <w:color w:val="auto"/>
        </w:rPr>
      </w:pPr>
    </w:p>
    <w:p>
      <w:pPr>
        <w:jc w:val="both"/>
        <w:ind w:left="283" w:right="140"/>
        <w:spacing w:after="0" w:line="266" w:lineRule="auto"/>
        <w:rPr>
          <w:rFonts w:ascii="Arial" w:cs="Arial" w:eastAsia="Arial" w:hAnsi="Arial"/>
          <w:sz w:val="16"/>
          <w:szCs w:val="16"/>
          <w:color w:val="auto"/>
        </w:rPr>
      </w:pPr>
      <w:r>
        <w:rPr>
          <w:rFonts w:ascii="Arial" w:cs="Arial" w:eastAsia="Arial" w:hAnsi="Arial"/>
          <w:sz w:val="16"/>
          <w:szCs w:val="16"/>
          <w:color w:val="auto"/>
        </w:rPr>
        <w:t>At December 31, 2016, 2015 and 2014, Credicorp paid cash dividends, net of the effect of treasury shares, for approximately US$184.7, US$174.4 and US$151.5 million, respectively (equivalent to approximately S/653.3, S/540.0 and S/429.4 million, respectively). In this sense, at December 31, 2016, 2015 and 2014, cash dividend payouts per share totaled US$2.3 US$1.8 and US$1.9, respectively.</w:t>
      </w:r>
    </w:p>
    <w:p>
      <w:pPr>
        <w:spacing w:after="0" w:line="161" w:lineRule="exact"/>
        <w:rPr>
          <w:rFonts w:ascii="Arial" w:cs="Arial" w:eastAsia="Arial" w:hAnsi="Arial"/>
          <w:sz w:val="16"/>
          <w:szCs w:val="16"/>
          <w:color w:val="auto"/>
        </w:rPr>
      </w:pPr>
    </w:p>
    <w:p>
      <w:pPr>
        <w:ind w:left="283" w:right="60"/>
        <w:spacing w:after="0" w:line="266" w:lineRule="auto"/>
        <w:rPr>
          <w:rFonts w:ascii="Arial" w:cs="Arial" w:eastAsia="Arial" w:hAnsi="Arial"/>
          <w:sz w:val="16"/>
          <w:szCs w:val="16"/>
          <w:color w:val="auto"/>
        </w:rPr>
      </w:pPr>
      <w:r>
        <w:rPr>
          <w:rFonts w:ascii="Arial" w:cs="Arial" w:eastAsia="Arial" w:hAnsi="Arial"/>
          <w:sz w:val="16"/>
          <w:szCs w:val="16"/>
          <w:color w:val="auto"/>
        </w:rPr>
        <w:t>In accordance with current Peruvian legislation, there is no restriction for overseas remittance of dividends or the repatriation of foreign investment. At December 31, 2016 and 2015 dividends paid by the Peruvian subsidiaries to Credicorp are subject to a 6.8 percent withholding tax and at December 31, 2014, the withholding rate was 4.1 percent.</w:t>
      </w:r>
    </w:p>
    <w:p>
      <w:pPr>
        <w:spacing w:after="0" w:line="161"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With effect from 2017, dividends will be subject to a withholding rate of 5.0 percent.</w:t>
      </w:r>
    </w:p>
    <w:p>
      <w:pPr>
        <w:spacing w:after="0" w:line="202" w:lineRule="exact"/>
        <w:rPr>
          <w:rFonts w:ascii="Arial" w:cs="Arial" w:eastAsia="Arial" w:hAnsi="Arial"/>
          <w:sz w:val="16"/>
          <w:szCs w:val="16"/>
          <w:color w:val="auto"/>
        </w:rPr>
      </w:pPr>
    </w:p>
    <w:p>
      <w:pPr>
        <w:ind w:left="283" w:hanging="283"/>
        <w:spacing w:after="0"/>
        <w:tabs>
          <w:tab w:leader="none" w:pos="28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Regulatory capital -</w:t>
      </w:r>
    </w:p>
    <w:p>
      <w:pPr>
        <w:spacing w:after="0" w:line="203" w:lineRule="exact"/>
        <w:rPr>
          <w:sz w:val="20"/>
          <w:szCs w:val="20"/>
          <w:color w:val="auto"/>
        </w:rPr>
      </w:pPr>
    </w:p>
    <w:p>
      <w:pPr>
        <w:ind w:left="283" w:right="60"/>
        <w:spacing w:after="0" w:line="261" w:lineRule="auto"/>
        <w:rPr>
          <w:sz w:val="20"/>
          <w:szCs w:val="20"/>
          <w:color w:val="auto"/>
        </w:rPr>
      </w:pPr>
      <w:r>
        <w:rPr>
          <w:rFonts w:ascii="Arial" w:cs="Arial" w:eastAsia="Arial" w:hAnsi="Arial"/>
          <w:sz w:val="16"/>
          <w:szCs w:val="16"/>
          <w:color w:val="auto"/>
        </w:rPr>
        <w:t>At December 31, 2016 and 2015, the regulatory capital requirement (“patrimonio efectivo” in Peru) applicable to Credicorp subsidiaries engaged in financial services and insurance activities in Peru, determined under the provisions of the Peruvian banking and insurance regulator, SBS, totals approximately S/21,174.7 million and S/18,614.7 million, respectively. At those dates, the Group’s regulatory requirement exceeds by approximately S/3.915.7 million and S/1,834.4 million, respectively, the minimum regulatory capital required by the SBS.</w:t>
      </w:r>
    </w:p>
    <w:p>
      <w:pPr>
        <w:spacing w:after="0" w:line="163" w:lineRule="exact"/>
        <w:rPr>
          <w:sz w:val="20"/>
          <w:szCs w:val="20"/>
          <w:color w:val="auto"/>
        </w:rPr>
      </w:pPr>
    </w:p>
    <w:p>
      <w:pPr>
        <w:ind w:left="3"/>
        <w:spacing w:after="0"/>
        <w:tabs>
          <w:tab w:leader="none" w:pos="563" w:val="left"/>
        </w:tabs>
        <w:rPr>
          <w:sz w:val="20"/>
          <w:szCs w:val="20"/>
          <w:color w:val="auto"/>
        </w:rPr>
      </w:pPr>
      <w:r>
        <w:rPr>
          <w:rFonts w:ascii="Arial" w:cs="Arial" w:eastAsia="Arial" w:hAnsi="Arial"/>
          <w:sz w:val="16"/>
          <w:szCs w:val="16"/>
          <w:b w:val="1"/>
          <w:bCs w:val="1"/>
          <w:color w:val="auto"/>
        </w:rPr>
        <w:t>19</w:t>
      </w:r>
      <w:r>
        <w:rPr>
          <w:sz w:val="20"/>
          <w:szCs w:val="20"/>
          <w:color w:val="auto"/>
        </w:rPr>
        <w:tab/>
      </w:r>
      <w:r>
        <w:rPr>
          <w:rFonts w:ascii="Arial" w:cs="Arial" w:eastAsia="Arial" w:hAnsi="Arial"/>
          <w:sz w:val="16"/>
          <w:szCs w:val="16"/>
          <w:b w:val="1"/>
          <w:bCs w:val="1"/>
          <w:color w:val="auto"/>
        </w:rPr>
        <w:t>TAX SITUATION</w:t>
      </w:r>
    </w:p>
    <w:p>
      <w:pPr>
        <w:spacing w:after="0" w:line="207" w:lineRule="exact"/>
        <w:rPr>
          <w:sz w:val="20"/>
          <w:szCs w:val="20"/>
          <w:color w:val="auto"/>
        </w:rPr>
      </w:pPr>
    </w:p>
    <w:p>
      <w:pPr>
        <w:ind w:left="283" w:hanging="283"/>
        <w:spacing w:after="0"/>
        <w:tabs>
          <w:tab w:leader="none" w:pos="283"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Credicorp is not subject to income tax or any taxes on capital gains, equity or property in Bermuda. Credicorp’s Peruvian subsidiaries are subject to the Peruvian tax regime.</w:t>
      </w:r>
    </w:p>
    <w:p>
      <w:pPr>
        <w:spacing w:after="0" w:line="225" w:lineRule="exact"/>
        <w:rPr>
          <w:rFonts w:ascii="Arial" w:cs="Arial" w:eastAsia="Arial" w:hAnsi="Arial"/>
          <w:sz w:val="14"/>
          <w:szCs w:val="14"/>
          <w:color w:val="auto"/>
        </w:rPr>
      </w:pPr>
    </w:p>
    <w:p>
      <w:pPr>
        <w:ind w:left="283" w:right="320"/>
        <w:spacing w:after="0" w:line="280" w:lineRule="auto"/>
        <w:rPr>
          <w:rFonts w:ascii="Arial" w:cs="Arial" w:eastAsia="Arial" w:hAnsi="Arial"/>
          <w:sz w:val="14"/>
          <w:szCs w:val="14"/>
          <w:color w:val="auto"/>
        </w:rPr>
      </w:pPr>
      <w:r>
        <w:rPr>
          <w:rFonts w:ascii="Arial" w:cs="Arial" w:eastAsia="Arial" w:hAnsi="Arial"/>
          <w:sz w:val="16"/>
          <w:szCs w:val="16"/>
          <w:color w:val="auto"/>
        </w:rPr>
        <w:t>At December 31, 2016 and 2015, Peruvian statutory Income Tax rate was 28 percent on taxable profit after calculating the workers’ profit sharing, which is determined using a 5 percent rate.</w:t>
      </w:r>
    </w:p>
    <w:p>
      <w:pPr>
        <w:spacing w:after="0" w:line="150" w:lineRule="exact"/>
        <w:rPr>
          <w:rFonts w:ascii="Arial" w:cs="Arial" w:eastAsia="Arial" w:hAnsi="Arial"/>
          <w:sz w:val="14"/>
          <w:szCs w:val="14"/>
          <w:color w:val="auto"/>
        </w:rPr>
      </w:pPr>
    </w:p>
    <w:p>
      <w:pPr>
        <w:ind w:left="283"/>
        <w:spacing w:after="0"/>
        <w:rPr>
          <w:rFonts w:ascii="Arial" w:cs="Arial" w:eastAsia="Arial" w:hAnsi="Arial"/>
          <w:sz w:val="14"/>
          <w:szCs w:val="14"/>
          <w:color w:val="auto"/>
        </w:rPr>
      </w:pPr>
      <w:r>
        <w:rPr>
          <w:rFonts w:ascii="Arial" w:cs="Arial" w:eastAsia="Arial" w:hAnsi="Arial"/>
          <w:sz w:val="15"/>
          <w:szCs w:val="15"/>
          <w:color w:val="auto"/>
        </w:rPr>
        <w:t>As established by Legislative Decree N° 1261, published on December 10, 2016, the income tax rate in Peru with effect from fiscal year 2017, will be 29.5 percent.</w:t>
      </w:r>
    </w:p>
    <w:p>
      <w:pPr>
        <w:spacing w:after="0" w:line="214" w:lineRule="exact"/>
        <w:rPr>
          <w:rFonts w:ascii="Arial" w:cs="Arial" w:eastAsia="Arial" w:hAnsi="Arial"/>
          <w:sz w:val="14"/>
          <w:szCs w:val="14"/>
          <w:color w:val="auto"/>
        </w:rPr>
      </w:pPr>
    </w:p>
    <w:p>
      <w:pPr>
        <w:ind w:left="283" w:right="120"/>
        <w:spacing w:after="0" w:line="280" w:lineRule="auto"/>
        <w:rPr>
          <w:rFonts w:ascii="Arial" w:cs="Arial" w:eastAsia="Arial" w:hAnsi="Arial"/>
          <w:sz w:val="14"/>
          <w:szCs w:val="14"/>
          <w:color w:val="auto"/>
        </w:rPr>
      </w:pPr>
      <w:r>
        <w:rPr>
          <w:rFonts w:ascii="Arial" w:cs="Arial" w:eastAsia="Arial" w:hAnsi="Arial"/>
          <w:sz w:val="16"/>
          <w:szCs w:val="16"/>
          <w:color w:val="auto"/>
        </w:rPr>
        <w:t>The Bolivian statutory Income Tax rate is 25 percent. Financial entities have an additional rate if the ROE exceeds 6 percent. In that case, an additional 22 percent must be considered, with which the rate becomes 47 percent.</w:t>
      </w:r>
    </w:p>
    <w:p>
      <w:pPr>
        <w:spacing w:after="0" w:line="150" w:lineRule="exact"/>
        <w:rPr>
          <w:rFonts w:ascii="Arial" w:cs="Arial" w:eastAsia="Arial" w:hAnsi="Arial"/>
          <w:sz w:val="14"/>
          <w:szCs w:val="14"/>
          <w:color w:val="auto"/>
        </w:rPr>
      </w:pPr>
    </w:p>
    <w:p>
      <w:pPr>
        <w:ind w:left="283" w:right="60"/>
        <w:spacing w:after="0" w:line="261" w:lineRule="auto"/>
        <w:rPr>
          <w:rFonts w:ascii="Arial" w:cs="Arial" w:eastAsia="Arial" w:hAnsi="Arial"/>
          <w:sz w:val="14"/>
          <w:szCs w:val="14"/>
          <w:color w:val="auto"/>
        </w:rPr>
      </w:pPr>
      <w:r>
        <w:rPr>
          <w:rFonts w:ascii="Arial" w:cs="Arial" w:eastAsia="Arial" w:hAnsi="Arial"/>
          <w:sz w:val="16"/>
          <w:szCs w:val="16"/>
          <w:color w:val="auto"/>
        </w:rPr>
        <w:t>Also, for the years 2016 and 2015, the Chilean statutory Income Tax rate (First Category Tax) for resident legal entities is 24 percent and 22.5 percent, respectively. In the last quarter of 2016, companies domiciled in Chile had to choose between the imputed income system or the semi-integrated system in order to determine Income Tax with effect from fiscal year 2017. The additional tax rate is maintained at 35 percent. For the years 2017 and 2018 the first category income tax rate will be 25 percent and 25.5 percent, respectively.</w:t>
      </w:r>
    </w:p>
    <w:p>
      <w:pPr>
        <w:spacing w:after="0" w:line="166" w:lineRule="exact"/>
        <w:rPr>
          <w:rFonts w:ascii="Arial" w:cs="Arial" w:eastAsia="Arial" w:hAnsi="Arial"/>
          <w:sz w:val="14"/>
          <w:szCs w:val="14"/>
          <w:color w:val="auto"/>
        </w:rPr>
      </w:pPr>
    </w:p>
    <w:p>
      <w:pPr>
        <w:ind w:left="283" w:right="240"/>
        <w:spacing w:after="0" w:line="354" w:lineRule="auto"/>
        <w:rPr>
          <w:rFonts w:ascii="Arial" w:cs="Arial" w:eastAsia="Arial" w:hAnsi="Arial"/>
          <w:sz w:val="14"/>
          <w:szCs w:val="14"/>
          <w:color w:val="auto"/>
        </w:rPr>
      </w:pPr>
      <w:r>
        <w:rPr>
          <w:rFonts w:ascii="Arial" w:cs="Arial" w:eastAsia="Arial" w:hAnsi="Arial"/>
          <w:sz w:val="14"/>
          <w:szCs w:val="14"/>
          <w:color w:val="auto"/>
        </w:rPr>
        <w:t>In the case of Colombia, the income tax rate for the years 2016 and 2015 was 25 percent. With the tax reform of December 2016, the income tax rate for 2017 will be 34 percent plus a surcharge of 6 percent. In 2018, it will be 33 percent plus a surcharge of 4 percent. Finally, with effect from 2019, the rate will be only 33 percent.</w:t>
      </w:r>
    </w:p>
    <w:p>
      <w:pPr>
        <w:spacing w:after="0" w:line="105" w:lineRule="exact"/>
        <w:rPr>
          <w:rFonts w:ascii="Arial" w:cs="Arial" w:eastAsia="Arial" w:hAnsi="Arial"/>
          <w:sz w:val="14"/>
          <w:szCs w:val="14"/>
          <w:color w:val="auto"/>
        </w:rPr>
      </w:pPr>
    </w:p>
    <w:p>
      <w:pPr>
        <w:ind w:left="283" w:right="420"/>
        <w:spacing w:after="0" w:line="280" w:lineRule="auto"/>
        <w:rPr>
          <w:rFonts w:ascii="Arial" w:cs="Arial" w:eastAsia="Arial" w:hAnsi="Arial"/>
          <w:sz w:val="14"/>
          <w:szCs w:val="14"/>
          <w:color w:val="auto"/>
        </w:rPr>
      </w:pPr>
      <w:r>
        <w:rPr>
          <w:rFonts w:ascii="Arial" w:cs="Arial" w:eastAsia="Arial" w:hAnsi="Arial"/>
          <w:sz w:val="16"/>
          <w:szCs w:val="16"/>
          <w:color w:val="auto"/>
        </w:rPr>
        <w:t>ASHC and its Subsidiaries are not subject to taxes in the Cayman Islands or Panama. For the years ended December 31, 2016, 2015 and 2014, no taxable income was generated from their operations in the United States of America.</w:t>
      </w:r>
    </w:p>
    <w:p>
      <w:pPr>
        <w:spacing w:after="0" w:line="344" w:lineRule="exact"/>
        <w:rPr>
          <w:rFonts w:ascii="Arial" w:cs="Arial" w:eastAsia="Arial" w:hAnsi="Arial"/>
          <w:sz w:val="14"/>
          <w:szCs w:val="14"/>
          <w:color w:val="auto"/>
        </w:rPr>
      </w:pPr>
    </w:p>
    <w:p>
      <w:pPr>
        <w:ind w:left="5643" w:hanging="94"/>
        <w:spacing w:after="0"/>
        <w:tabs>
          <w:tab w:leader="none" w:pos="5643" w:val="left"/>
        </w:tabs>
        <w:numPr>
          <w:ilvl w:val="1"/>
          <w:numId w:val="104"/>
        </w:numPr>
        <w:rPr>
          <w:rFonts w:ascii="Arial" w:cs="Arial" w:eastAsia="Arial" w:hAnsi="Arial"/>
          <w:sz w:val="16"/>
          <w:szCs w:val="16"/>
          <w:color w:val="auto"/>
        </w:rPr>
      </w:pPr>
      <w:r>
        <w:rPr>
          <w:rFonts w:ascii="Arial" w:cs="Arial" w:eastAsia="Arial" w:hAnsi="Arial"/>
          <w:sz w:val="16"/>
          <w:szCs w:val="16"/>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8" w:right="259" w:bottom="1440" w:gutter="0" w:footer="0" w:header="0"/>
        </w:sectPr>
      </w:pPr>
    </w:p>
    <w:bookmarkStart w:id="97" w:name="page98"/>
    <w:bookmarkEnd w:id="97"/>
    <w:p>
      <w:pPr>
        <w:ind w:left="280"/>
        <w:spacing w:after="0"/>
        <w:rPr>
          <w:sz w:val="20"/>
          <w:szCs w:val="20"/>
          <w:color w:val="auto"/>
        </w:rPr>
      </w:pPr>
      <w:r>
        <w:rPr>
          <w:rFonts w:ascii="Arial" w:cs="Arial" w:eastAsia="Arial" w:hAnsi="Arial"/>
          <w:sz w:val="16"/>
          <w:szCs w:val="16"/>
          <w:color w:val="auto"/>
        </w:rPr>
        <w:t>The reconciliation between the statutory income tax rate and the effective tax rate for the Group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800" w:type="dxa"/>
            <w:vAlign w:val="bottom"/>
            <w:gridSpan w:val="2"/>
          </w:tcPr>
          <w:p>
            <w:pPr>
              <w:ind w:left="580"/>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r>
      <w:tr>
        <w:trPr>
          <w:trHeight w:val="202"/>
        </w:trPr>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624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Peruvian statutory income tax rate</w:t>
            </w:r>
          </w:p>
        </w:tc>
        <w:tc>
          <w:tcPr>
            <w:tcW w:w="1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28.00</w:t>
            </w:r>
          </w:p>
        </w:tc>
        <w:tc>
          <w:tcPr>
            <w:tcW w:w="150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28.00</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30.00</w:t>
            </w:r>
          </w:p>
        </w:tc>
      </w:tr>
      <w:tr>
        <w:trPr>
          <w:trHeight w:val="193"/>
        </w:trPr>
        <w:tc>
          <w:tcPr>
            <w:tcW w:w="280" w:type="dxa"/>
            <w:vAlign w:val="bottom"/>
          </w:tcPr>
          <w:p>
            <w:pPr>
              <w:spacing w:after="0"/>
              <w:rPr>
                <w:sz w:val="16"/>
                <w:szCs w:val="16"/>
                <w:color w:val="auto"/>
              </w:rPr>
            </w:pPr>
          </w:p>
        </w:tc>
        <w:tc>
          <w:tcPr>
            <w:tcW w:w="6240" w:type="dxa"/>
            <w:vAlign w:val="bottom"/>
            <w:gridSpan w:val="2"/>
          </w:tcPr>
          <w:p>
            <w:pPr>
              <w:spacing w:after="0"/>
              <w:rPr>
                <w:sz w:val="20"/>
                <w:szCs w:val="20"/>
                <w:color w:val="auto"/>
              </w:rPr>
            </w:pPr>
            <w:r>
              <w:rPr>
                <w:rFonts w:ascii="Arial" w:cs="Arial" w:eastAsia="Arial" w:hAnsi="Arial"/>
                <w:sz w:val="16"/>
                <w:szCs w:val="16"/>
                <w:b w:val="1"/>
                <w:bCs w:val="1"/>
                <w:color w:val="auto"/>
              </w:rPr>
              <w:t>Increase (decrease) in the statutory tax rate due to:</w:t>
            </w: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(i)</w:t>
            </w:r>
          </w:p>
        </w:tc>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(decrease) arising from net income of subsidiaries not domiciled in Peru</w:t>
            </w:r>
          </w:p>
        </w:tc>
        <w:tc>
          <w:tcPr>
            <w:tcW w:w="1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(0.04)</w:t>
            </w:r>
          </w:p>
        </w:tc>
        <w:tc>
          <w:tcPr>
            <w:tcW w:w="150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(0.37)</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0.39</w:t>
            </w:r>
          </w:p>
        </w:tc>
      </w:tr>
      <w:tr>
        <w:trPr>
          <w:trHeight w:val="193"/>
        </w:trPr>
        <w:tc>
          <w:tcPr>
            <w:tcW w:w="280" w:type="dxa"/>
            <w:vAlign w:val="bottom"/>
          </w:tcPr>
          <w:p>
            <w:pPr>
              <w:spacing w:after="0"/>
              <w:rPr>
                <w:sz w:val="16"/>
                <w:szCs w:val="16"/>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(ii)</w:t>
            </w:r>
          </w:p>
        </w:tc>
        <w:tc>
          <w:tcPr>
            <w:tcW w:w="5860" w:type="dxa"/>
            <w:vAlign w:val="bottom"/>
          </w:tcPr>
          <w:p>
            <w:pPr>
              <w:ind w:left="20"/>
              <w:spacing w:after="0"/>
              <w:rPr>
                <w:sz w:val="20"/>
                <w:szCs w:val="20"/>
                <w:color w:val="auto"/>
              </w:rPr>
            </w:pPr>
            <w:r>
              <w:rPr>
                <w:rFonts w:ascii="Arial" w:cs="Arial" w:eastAsia="Arial" w:hAnsi="Arial"/>
                <w:sz w:val="16"/>
                <w:szCs w:val="16"/>
                <w:color w:val="auto"/>
              </w:rPr>
              <w:t>Non-taxable income, net</w:t>
            </w:r>
          </w:p>
        </w:tc>
        <w:tc>
          <w:tcPr>
            <w:tcW w:w="1940" w:type="dxa"/>
            <w:vAlign w:val="bottom"/>
            <w:gridSpan w:val="3"/>
          </w:tcPr>
          <w:p>
            <w:pPr>
              <w:jc w:val="right"/>
              <w:ind w:right="80"/>
              <w:spacing w:after="0"/>
              <w:rPr>
                <w:sz w:val="20"/>
                <w:szCs w:val="20"/>
                <w:color w:val="auto"/>
              </w:rPr>
            </w:pPr>
            <w:r>
              <w:rPr>
                <w:rFonts w:ascii="Arial" w:cs="Arial" w:eastAsia="Arial" w:hAnsi="Arial"/>
                <w:sz w:val="16"/>
                <w:szCs w:val="16"/>
                <w:color w:val="auto"/>
              </w:rPr>
              <w:t>(1.23)</w:t>
            </w:r>
          </w:p>
        </w:tc>
        <w:tc>
          <w:tcPr>
            <w:tcW w:w="1500" w:type="dxa"/>
            <w:vAlign w:val="bottom"/>
            <w:gridSpan w:val="3"/>
          </w:tcPr>
          <w:p>
            <w:pPr>
              <w:jc w:val="right"/>
              <w:ind w:right="79"/>
              <w:spacing w:after="0"/>
              <w:rPr>
                <w:sz w:val="20"/>
                <w:szCs w:val="20"/>
                <w:color w:val="auto"/>
              </w:rPr>
            </w:pPr>
            <w:r>
              <w:rPr>
                <w:rFonts w:ascii="Arial" w:cs="Arial" w:eastAsia="Arial" w:hAnsi="Arial"/>
                <w:sz w:val="16"/>
                <w:szCs w:val="16"/>
                <w:color w:val="auto"/>
              </w:rPr>
              <w:t>(0.18)</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(1.95)</w:t>
            </w:r>
          </w:p>
        </w:tc>
      </w:tr>
      <w:tr>
        <w:trPr>
          <w:trHeight w:val="193"/>
        </w:trPr>
        <w:tc>
          <w:tcPr>
            <w:tcW w:w="280" w:type="dxa"/>
            <w:vAlign w:val="bottom"/>
          </w:tcPr>
          <w:p>
            <w:pPr>
              <w:spacing w:after="0"/>
              <w:rPr>
                <w:sz w:val="16"/>
                <w:szCs w:val="16"/>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(iii)  Translation results not considered for tax purposes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0.11</w:t>
            </w:r>
          </w:p>
        </w:tc>
      </w:tr>
      <w:tr>
        <w:trPr>
          <w:trHeight w:val="205"/>
        </w:trPr>
        <w:tc>
          <w:tcPr>
            <w:tcW w:w="28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6"/>
                <w:szCs w:val="16"/>
                <w:color w:val="auto"/>
              </w:rPr>
              <w:t>(iv)  Effect of change in Peruvian tax rates</w:t>
            </w:r>
          </w:p>
        </w:tc>
        <w:tc>
          <w:tcPr>
            <w:tcW w:w="1940" w:type="dxa"/>
            <w:vAlign w:val="bottom"/>
            <w:gridSpan w:val="3"/>
          </w:tcPr>
          <w:p>
            <w:pPr>
              <w:jc w:val="right"/>
              <w:ind w:right="80"/>
              <w:spacing w:after="0"/>
              <w:rPr>
                <w:sz w:val="20"/>
                <w:szCs w:val="20"/>
                <w:color w:val="auto"/>
              </w:rPr>
            </w:pPr>
            <w:r>
              <w:rPr>
                <w:rFonts w:ascii="Arial" w:cs="Arial" w:eastAsia="Arial" w:hAnsi="Arial"/>
                <w:sz w:val="16"/>
                <w:szCs w:val="16"/>
                <w:color w:val="auto"/>
              </w:rPr>
              <w:t>(0.53)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0.02</w:t>
            </w:r>
          </w:p>
        </w:tc>
      </w:tr>
      <w:tr>
        <w:trPr>
          <w:trHeight w:val="185"/>
        </w:trPr>
        <w:tc>
          <w:tcPr>
            <w:tcW w:w="280" w:type="dxa"/>
            <w:vAlign w:val="bottom"/>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58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6"/>
                <w:szCs w:val="16"/>
                <w:b w:val="1"/>
                <w:bCs w:val="1"/>
                <w:color w:val="auto"/>
              </w:rPr>
              <w:t>Effective income tax rate</w:t>
            </w:r>
          </w:p>
        </w:tc>
        <w:tc>
          <w:tcPr>
            <w:tcW w:w="1940" w:type="dxa"/>
            <w:vAlign w:val="bottom"/>
            <w:gridSpan w:val="3"/>
          </w:tcPr>
          <w:p>
            <w:pPr>
              <w:jc w:val="right"/>
              <w:ind w:right="140"/>
              <w:spacing w:after="0"/>
              <w:rPr>
                <w:sz w:val="20"/>
                <w:szCs w:val="20"/>
                <w:color w:val="auto"/>
              </w:rPr>
            </w:pPr>
            <w:r>
              <w:rPr>
                <w:rFonts w:ascii="Arial" w:cs="Arial" w:eastAsia="Arial" w:hAnsi="Arial"/>
                <w:sz w:val="16"/>
                <w:szCs w:val="16"/>
                <w:color w:val="auto"/>
              </w:rPr>
              <w:t>26.20</w:t>
            </w:r>
          </w:p>
        </w:tc>
        <w:tc>
          <w:tcPr>
            <w:tcW w:w="1500" w:type="dxa"/>
            <w:vAlign w:val="bottom"/>
            <w:gridSpan w:val="3"/>
          </w:tcPr>
          <w:p>
            <w:pPr>
              <w:jc w:val="right"/>
              <w:ind w:right="139"/>
              <w:spacing w:after="0"/>
              <w:rPr>
                <w:sz w:val="20"/>
                <w:szCs w:val="20"/>
                <w:color w:val="auto"/>
              </w:rPr>
            </w:pPr>
            <w:r>
              <w:rPr>
                <w:rFonts w:ascii="Arial" w:cs="Arial" w:eastAsia="Arial" w:hAnsi="Arial"/>
                <w:sz w:val="16"/>
                <w:szCs w:val="16"/>
                <w:color w:val="auto"/>
              </w:rPr>
              <w:t>27.45</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28.57</w:t>
            </w:r>
          </w:p>
        </w:tc>
      </w:tr>
      <w:tr>
        <w:trPr>
          <w:trHeight w:val="379"/>
        </w:trPr>
        <w:tc>
          <w:tcPr>
            <w:tcW w:w="6520" w:type="dxa"/>
            <w:vAlign w:val="bottom"/>
            <w:gridSpan w:val="3"/>
          </w:tcPr>
          <w:p>
            <w:pPr>
              <w:spacing w:after="0"/>
              <w:rPr>
                <w:sz w:val="20"/>
                <w:szCs w:val="20"/>
                <w:color w:val="auto"/>
              </w:rPr>
            </w:pPr>
            <w:r>
              <w:rPr>
                <w:rFonts w:ascii="Arial" w:cs="Arial" w:eastAsia="Arial" w:hAnsi="Arial"/>
                <w:sz w:val="16"/>
                <w:szCs w:val="16"/>
                <w:color w:val="auto"/>
                <w:w w:val="99"/>
              </w:rPr>
              <w:t>b)  Income tax expense for the years ended December 31, 2016, 2015 and 2014 comprises:</w:t>
            </w:r>
          </w:p>
        </w:tc>
        <w:tc>
          <w:tcPr>
            <w:tcW w:w="58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99"/>
        </w:trPr>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800" w:type="dxa"/>
            <w:vAlign w:val="bottom"/>
            <w:gridSpan w:val="2"/>
          </w:tcPr>
          <w:p>
            <w:pPr>
              <w:ind w:left="580"/>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4"/>
                <w:szCs w:val="24"/>
                <w:color w:val="auto"/>
              </w:rPr>
            </w:pPr>
          </w:p>
        </w:tc>
      </w:tr>
      <w:tr>
        <w:trPr>
          <w:trHeight w:val="186"/>
        </w:trPr>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6"/>
                <w:szCs w:val="16"/>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w:t>
            </w:r>
          </w:p>
        </w:tc>
        <w:tc>
          <w:tcPr>
            <w:tcW w:w="5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240" w:type="dxa"/>
            <w:vAlign w:val="bottom"/>
            <w:gridSpan w:val="2"/>
          </w:tcPr>
          <w:p>
            <w:pPr>
              <w:spacing w:after="0"/>
              <w:rPr>
                <w:sz w:val="20"/>
                <w:szCs w:val="20"/>
                <w:color w:val="auto"/>
              </w:rPr>
            </w:pPr>
            <w:r>
              <w:rPr>
                <w:rFonts w:ascii="Arial" w:cs="Arial" w:eastAsia="Arial" w:hAnsi="Arial"/>
                <w:sz w:val="16"/>
                <w:szCs w:val="16"/>
                <w:color w:val="auto"/>
              </w:rPr>
              <w:t>In Peru</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1,098,125</w:t>
            </w:r>
          </w:p>
        </w:tc>
        <w:tc>
          <w:tcPr>
            <w:tcW w:w="1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1,217,907</w:t>
            </w:r>
          </w:p>
        </w:tc>
        <w:tc>
          <w:tcPr>
            <w:tcW w:w="22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1,188,552</w:t>
            </w:r>
          </w:p>
        </w:tc>
      </w:tr>
      <w:tr>
        <w:trPr>
          <w:trHeight w:val="205"/>
        </w:trPr>
        <w:tc>
          <w:tcPr>
            <w:tcW w:w="280" w:type="dxa"/>
            <w:vAlign w:val="bottom"/>
          </w:tcPr>
          <w:p>
            <w:pPr>
              <w:spacing w:after="0"/>
              <w:rPr>
                <w:sz w:val="17"/>
                <w:szCs w:val="17"/>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 other countries</w:t>
            </w:r>
          </w:p>
        </w:tc>
        <w:tc>
          <w:tcPr>
            <w:tcW w:w="1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155,095</w:t>
            </w:r>
          </w:p>
        </w:tc>
        <w:tc>
          <w:tcPr>
            <w:tcW w:w="150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96,495</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32,382</w:t>
            </w:r>
          </w:p>
        </w:tc>
      </w:tr>
      <w:tr>
        <w:trPr>
          <w:trHeight w:val="185"/>
        </w:trPr>
        <w:tc>
          <w:tcPr>
            <w:tcW w:w="280" w:type="dxa"/>
            <w:vAlign w:val="bottom"/>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58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1,253,220</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1,314,402</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1,220,934</w:t>
            </w:r>
          </w:p>
        </w:tc>
        <w:tc>
          <w:tcPr>
            <w:tcW w:w="100" w:type="dxa"/>
            <w:vAlign w:val="bottom"/>
            <w:tcBorders>
              <w:bottom w:val="single" w:sz="8" w:color="CCEEFF"/>
            </w:tcBorders>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240" w:type="dxa"/>
            <w:vAlign w:val="bottom"/>
            <w:gridSpan w:val="2"/>
          </w:tcPr>
          <w:p>
            <w:pPr>
              <w:spacing w:after="0"/>
              <w:rPr>
                <w:sz w:val="20"/>
                <w:szCs w:val="20"/>
                <w:color w:val="auto"/>
              </w:rPr>
            </w:pPr>
            <w:r>
              <w:rPr>
                <w:rFonts w:ascii="Arial" w:cs="Arial" w:eastAsia="Arial" w:hAnsi="Arial"/>
                <w:sz w:val="16"/>
                <w:szCs w:val="16"/>
                <w:b w:val="1"/>
                <w:bCs w:val="1"/>
                <w:color w:val="auto"/>
              </w:rPr>
              <w:t>Deferred -</w:t>
            </w: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 Peru</w:t>
            </w:r>
          </w:p>
        </w:tc>
        <w:tc>
          <w:tcPr>
            <w:tcW w:w="1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31,472</w:t>
            </w:r>
          </w:p>
        </w:tc>
        <w:tc>
          <w:tcPr>
            <w:tcW w:w="150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22,667</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(182,465)</w:t>
            </w:r>
          </w:p>
        </w:tc>
      </w:tr>
      <w:tr>
        <w:trPr>
          <w:trHeight w:val="193"/>
        </w:trPr>
        <w:tc>
          <w:tcPr>
            <w:tcW w:w="280" w:type="dxa"/>
            <w:vAlign w:val="bottom"/>
          </w:tcPr>
          <w:p>
            <w:pPr>
              <w:spacing w:after="0"/>
              <w:rPr>
                <w:sz w:val="16"/>
                <w:szCs w:val="16"/>
                <w:color w:val="auto"/>
              </w:rPr>
            </w:pPr>
          </w:p>
        </w:tc>
        <w:tc>
          <w:tcPr>
            <w:tcW w:w="6240" w:type="dxa"/>
            <w:vAlign w:val="bottom"/>
            <w:gridSpan w:val="2"/>
          </w:tcPr>
          <w:p>
            <w:pPr>
              <w:spacing w:after="0"/>
              <w:rPr>
                <w:sz w:val="20"/>
                <w:szCs w:val="20"/>
                <w:color w:val="auto"/>
              </w:rPr>
            </w:pPr>
            <w:r>
              <w:rPr>
                <w:rFonts w:ascii="Arial" w:cs="Arial" w:eastAsia="Arial" w:hAnsi="Arial"/>
                <w:sz w:val="16"/>
                <w:szCs w:val="16"/>
                <w:color w:val="auto"/>
              </w:rPr>
              <w:t>In other countries</w:t>
            </w:r>
          </w:p>
        </w:tc>
        <w:tc>
          <w:tcPr>
            <w:tcW w:w="1940" w:type="dxa"/>
            <w:vAlign w:val="bottom"/>
            <w:gridSpan w:val="3"/>
          </w:tcPr>
          <w:p>
            <w:pPr>
              <w:jc w:val="right"/>
              <w:ind w:right="140"/>
              <w:spacing w:after="0"/>
              <w:rPr>
                <w:sz w:val="20"/>
                <w:szCs w:val="20"/>
                <w:color w:val="auto"/>
              </w:rPr>
            </w:pPr>
            <w:r>
              <w:rPr>
                <w:rFonts w:ascii="Arial" w:cs="Arial" w:eastAsia="Arial" w:hAnsi="Arial"/>
                <w:sz w:val="16"/>
                <w:szCs w:val="16"/>
                <w:color w:val="auto"/>
              </w:rPr>
              <w:t>10,748</w:t>
            </w:r>
          </w:p>
        </w:tc>
        <w:tc>
          <w:tcPr>
            <w:tcW w:w="1500" w:type="dxa"/>
            <w:vAlign w:val="bottom"/>
            <w:gridSpan w:val="3"/>
          </w:tcPr>
          <w:p>
            <w:pPr>
              <w:jc w:val="right"/>
              <w:ind w:right="79"/>
              <w:spacing w:after="0"/>
              <w:rPr>
                <w:sz w:val="20"/>
                <w:szCs w:val="20"/>
                <w:color w:val="auto"/>
              </w:rPr>
            </w:pPr>
            <w:r>
              <w:rPr>
                <w:rFonts w:ascii="Arial" w:cs="Arial" w:eastAsia="Arial" w:hAnsi="Arial"/>
                <w:sz w:val="16"/>
                <w:szCs w:val="16"/>
                <w:color w:val="auto"/>
              </w:rPr>
              <w:t>(139,862)</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(53,819)</w:t>
            </w:r>
          </w:p>
        </w:tc>
      </w:tr>
      <w:tr>
        <w:trPr>
          <w:trHeight w:val="205"/>
        </w:trPr>
        <w:tc>
          <w:tcPr>
            <w:tcW w:w="280" w:type="dxa"/>
            <w:vAlign w:val="bottom"/>
          </w:tcPr>
          <w:p>
            <w:pPr>
              <w:spacing w:after="0"/>
              <w:rPr>
                <w:sz w:val="17"/>
                <w:szCs w:val="17"/>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 of change in Peruvian tax rates</w:t>
            </w:r>
          </w:p>
        </w:tc>
        <w:tc>
          <w:tcPr>
            <w:tcW w:w="1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(13,992)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(16,426)</w:t>
            </w:r>
          </w:p>
        </w:tc>
      </w:tr>
      <w:tr>
        <w:trPr>
          <w:trHeight w:val="185"/>
        </w:trPr>
        <w:tc>
          <w:tcPr>
            <w:tcW w:w="280" w:type="dxa"/>
            <w:vAlign w:val="bottom"/>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58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28,228</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(117,195</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(252,710</w:t>
            </w:r>
          </w:p>
        </w:tc>
        <w:tc>
          <w:tcPr>
            <w:tcW w:w="100" w:type="dxa"/>
            <w:vAlign w:val="bottom"/>
            <w:tcBorders>
              <w:bottom w:val="single" w:sz="8" w:color="CCEEFF"/>
            </w:tcBorders>
          </w:tcPr>
          <w:p>
            <w:pPr>
              <w:jc w:val="right"/>
              <w:ind w:right="20"/>
              <w:spacing w:after="0"/>
              <w:rPr>
                <w:sz w:val="20"/>
                <w:szCs w:val="20"/>
                <w:color w:val="auto"/>
              </w:rPr>
            </w:pPr>
            <w:r>
              <w:rPr>
                <w:rFonts w:ascii="Arial" w:cs="Arial" w:eastAsia="Arial" w:hAnsi="Arial"/>
                <w:sz w:val="8"/>
                <w:szCs w:val="8"/>
                <w:color w:val="auto"/>
                <w:w w:val="73"/>
              </w:rPr>
              <w:t>)</w:t>
            </w:r>
          </w:p>
        </w:tc>
      </w:tr>
      <w:tr>
        <w:trPr>
          <w:trHeight w:val="185"/>
        </w:trPr>
        <w:tc>
          <w:tcPr>
            <w:tcW w:w="280" w:type="dxa"/>
            <w:vAlign w:val="bottom"/>
          </w:tcPr>
          <w:p>
            <w:pPr>
              <w:spacing w:after="0"/>
              <w:rPr>
                <w:sz w:val="16"/>
                <w:szCs w:val="16"/>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4"/>
              </w:rPr>
              <w:t>Total</w:t>
            </w:r>
          </w:p>
        </w:tc>
        <w:tc>
          <w:tcPr>
            <w:tcW w:w="5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1,281,448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1,197,207</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968,224</w:t>
            </w:r>
          </w:p>
        </w:tc>
        <w:tc>
          <w:tcPr>
            <w:tcW w:w="100" w:type="dxa"/>
            <w:vAlign w:val="bottom"/>
            <w:shd w:val="clear" w:color="auto" w:fill="CCEEFF"/>
          </w:tcPr>
          <w:p>
            <w:pPr>
              <w:spacing w:after="0"/>
              <w:rPr>
                <w:sz w:val="16"/>
                <w:szCs w:val="16"/>
                <w:color w:val="auto"/>
              </w:rPr>
            </w:pPr>
          </w:p>
        </w:tc>
      </w:tr>
    </w:tbl>
    <w:p>
      <w:pPr>
        <w:spacing w:after="0" w:line="18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deferred income tax has been calculated on all temporary differences, considering the income tax rates effective where Credicorp’s subsidiaries are located.</w:t>
      </w: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60"/>
          </w:cols>
          <w:pgMar w:left="240" w:top="828" w:right="39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6"/>
        </w:trPr>
        <w:tc>
          <w:tcPr>
            <w:tcW w:w="9080" w:type="dxa"/>
            <w:vAlign w:val="bottom"/>
            <w:gridSpan w:val="3"/>
          </w:tcPr>
          <w:p>
            <w:pPr>
              <w:spacing w:after="0"/>
              <w:rPr>
                <w:sz w:val="20"/>
                <w:szCs w:val="20"/>
                <w:color w:val="auto"/>
              </w:rPr>
            </w:pPr>
            <w:r>
              <w:rPr>
                <w:rFonts w:ascii="Arial" w:cs="Arial" w:eastAsia="Arial" w:hAnsi="Arial"/>
                <w:sz w:val="16"/>
                <w:szCs w:val="16"/>
                <w:color w:val="auto"/>
              </w:rPr>
              <w:t>c)  The following table presents a summary of the Group’s deferred income tax:</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99"/>
        </w:trPr>
        <w:tc>
          <w:tcPr>
            <w:tcW w:w="9080" w:type="dxa"/>
            <w:vAlign w:val="bottom"/>
            <w:gridSpan w:val="3"/>
          </w:tcPr>
          <w:p>
            <w:pPr>
              <w:ind w:left="8540"/>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6"/>
        </w:trPr>
        <w:tc>
          <w:tcPr>
            <w:tcW w:w="28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w w:val="99"/>
              </w:rPr>
              <w:t>S/(000)</w:t>
            </w: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Deferred income tax asset, net</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b w:val="1"/>
                <w:bCs w:val="1"/>
                <w:color w:val="auto"/>
              </w:rPr>
              <w:t>Deferred asset</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for doubtful loan accounts</w:t>
            </w:r>
          </w:p>
        </w:tc>
        <w:tc>
          <w:tcPr>
            <w:tcW w:w="8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545,716</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490,466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Unrealized loss on hedged bonds</w:t>
            </w:r>
          </w:p>
        </w:tc>
        <w:tc>
          <w:tcPr>
            <w:tcW w:w="880" w:type="dxa"/>
            <w:vAlign w:val="bottom"/>
            <w:gridSpan w:val="2"/>
          </w:tcPr>
          <w:p>
            <w:pPr>
              <w:jc w:val="right"/>
              <w:ind w:right="139"/>
              <w:spacing w:after="0"/>
              <w:rPr>
                <w:sz w:val="20"/>
                <w:szCs w:val="20"/>
                <w:color w:val="auto"/>
              </w:rPr>
            </w:pPr>
            <w:r>
              <w:rPr>
                <w:rFonts w:ascii="Arial" w:cs="Arial" w:eastAsia="Arial" w:hAnsi="Arial"/>
                <w:sz w:val="16"/>
                <w:szCs w:val="16"/>
                <w:color w:val="auto"/>
              </w:rPr>
              <w:t>43,252</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71,367</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loss carry forward</w:t>
            </w:r>
          </w:p>
        </w:tc>
        <w:tc>
          <w:tcPr>
            <w:tcW w:w="8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38,856</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32,999</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Provision for sundry expenses</w:t>
            </w:r>
          </w:p>
        </w:tc>
        <w:tc>
          <w:tcPr>
            <w:tcW w:w="880" w:type="dxa"/>
            <w:vAlign w:val="bottom"/>
            <w:gridSpan w:val="2"/>
          </w:tcPr>
          <w:p>
            <w:pPr>
              <w:jc w:val="right"/>
              <w:ind w:right="139"/>
              <w:spacing w:after="0"/>
              <w:rPr>
                <w:sz w:val="20"/>
                <w:szCs w:val="20"/>
                <w:color w:val="auto"/>
              </w:rPr>
            </w:pPr>
            <w:r>
              <w:rPr>
                <w:rFonts w:ascii="Arial" w:cs="Arial" w:eastAsia="Arial" w:hAnsi="Arial"/>
                <w:sz w:val="16"/>
                <w:szCs w:val="16"/>
                <w:color w:val="auto"/>
              </w:rPr>
              <w:t>38,326</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30,893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for adjudicated assets</w:t>
            </w:r>
          </w:p>
        </w:tc>
        <w:tc>
          <w:tcPr>
            <w:tcW w:w="8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18,641</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22,940</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Provision for sundry risks</w:t>
            </w:r>
          </w:p>
        </w:tc>
        <w:tc>
          <w:tcPr>
            <w:tcW w:w="880" w:type="dxa"/>
            <w:vAlign w:val="bottom"/>
            <w:gridSpan w:val="2"/>
          </w:tcPr>
          <w:p>
            <w:pPr>
              <w:jc w:val="right"/>
              <w:ind w:right="139"/>
              <w:spacing w:after="0"/>
              <w:rPr>
                <w:sz w:val="20"/>
                <w:szCs w:val="20"/>
                <w:color w:val="auto"/>
              </w:rPr>
            </w:pPr>
            <w:r>
              <w:rPr>
                <w:rFonts w:ascii="Arial" w:cs="Arial" w:eastAsia="Arial" w:hAnsi="Arial"/>
                <w:sz w:val="16"/>
                <w:szCs w:val="16"/>
                <w:color w:val="auto"/>
              </w:rPr>
              <w:t>17,731</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31,730</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Unrealized loss due to valuation of cash flow hedge derivatives</w:t>
            </w:r>
          </w:p>
        </w:tc>
        <w:tc>
          <w:tcPr>
            <w:tcW w:w="8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2,105</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4,774</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Unrealized loss due to valuation of available-for-sale investments</w:t>
            </w:r>
          </w:p>
        </w:tc>
        <w:tc>
          <w:tcPr>
            <w:tcW w:w="880" w:type="dxa"/>
            <w:vAlign w:val="bottom"/>
            <w:gridSpan w:val="2"/>
          </w:tcPr>
          <w:p>
            <w:pPr>
              <w:jc w:val="right"/>
              <w:ind w:right="139"/>
              <w:spacing w:after="0"/>
              <w:rPr>
                <w:sz w:val="20"/>
                <w:szCs w:val="20"/>
                <w:color w:val="auto"/>
              </w:rPr>
            </w:pPr>
            <w:r>
              <w:rPr>
                <w:rFonts w:ascii="Arial" w:cs="Arial" w:eastAsia="Arial" w:hAnsi="Arial"/>
                <w:sz w:val="16"/>
                <w:szCs w:val="16"/>
                <w:color w:val="auto"/>
              </w:rPr>
              <w:t>6,001</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5,511</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Others</w:t>
            </w:r>
          </w:p>
        </w:tc>
        <w:tc>
          <w:tcPr>
            <w:tcW w:w="8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65,329</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58,749</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Deferred liabilities</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Intangibles, net</w:t>
            </w:r>
          </w:p>
        </w:tc>
        <w:tc>
          <w:tcPr>
            <w:tcW w:w="880" w:type="dxa"/>
            <w:vAlign w:val="bottom"/>
            <w:gridSpan w:val="2"/>
          </w:tcPr>
          <w:p>
            <w:pPr>
              <w:jc w:val="right"/>
              <w:ind w:right="79"/>
              <w:spacing w:after="0"/>
              <w:rPr>
                <w:sz w:val="20"/>
                <w:szCs w:val="20"/>
                <w:color w:val="auto"/>
              </w:rPr>
            </w:pPr>
            <w:r>
              <w:rPr>
                <w:rFonts w:ascii="Arial" w:cs="Arial" w:eastAsia="Arial" w:hAnsi="Arial"/>
                <w:sz w:val="16"/>
                <w:szCs w:val="16"/>
                <w:color w:val="auto"/>
              </w:rPr>
              <w:t>(107,317)</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(98,220)</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Buildings</w:t>
            </w:r>
          </w:p>
        </w:tc>
        <w:tc>
          <w:tcPr>
            <w:tcW w:w="8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(72,381)</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(58,361)</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Ajdustment for difference in exchange of SUNAT and SBS</w:t>
            </w:r>
          </w:p>
        </w:tc>
        <w:tc>
          <w:tcPr>
            <w:tcW w:w="880" w:type="dxa"/>
            <w:vAlign w:val="bottom"/>
            <w:gridSpan w:val="2"/>
          </w:tcPr>
          <w:p>
            <w:pPr>
              <w:jc w:val="right"/>
              <w:ind w:right="79"/>
              <w:spacing w:after="0"/>
              <w:rPr>
                <w:sz w:val="20"/>
                <w:szCs w:val="20"/>
                <w:color w:val="auto"/>
              </w:rPr>
            </w:pPr>
            <w:r>
              <w:rPr>
                <w:rFonts w:ascii="Arial" w:cs="Arial" w:eastAsia="Arial" w:hAnsi="Arial"/>
                <w:sz w:val="16"/>
                <w:szCs w:val="16"/>
                <w:color w:val="auto"/>
              </w:rPr>
              <w:t>(40,096)</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(25,009)</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Unrealized profit due to valuation of derivative financial instruments for hedging purposes</w:t>
            </w:r>
          </w:p>
        </w:tc>
        <w:tc>
          <w:tcPr>
            <w:tcW w:w="8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(7,216)</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(36,897)</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Unrealized profit from the valuation of held-for-sale investments</w:t>
            </w:r>
          </w:p>
        </w:tc>
        <w:tc>
          <w:tcPr>
            <w:tcW w:w="880" w:type="dxa"/>
            <w:vAlign w:val="bottom"/>
            <w:gridSpan w:val="2"/>
          </w:tcPr>
          <w:p>
            <w:pPr>
              <w:jc w:val="right"/>
              <w:ind w:right="79"/>
              <w:spacing w:after="0"/>
              <w:rPr>
                <w:sz w:val="20"/>
                <w:szCs w:val="20"/>
                <w:color w:val="auto"/>
              </w:rPr>
            </w:pPr>
            <w:r>
              <w:rPr>
                <w:rFonts w:ascii="Arial" w:cs="Arial" w:eastAsia="Arial" w:hAnsi="Arial"/>
                <w:sz w:val="16"/>
                <w:szCs w:val="16"/>
                <w:color w:val="auto"/>
              </w:rPr>
              <w:t>(6,142)</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(4,264)</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Others</w:t>
            </w:r>
          </w:p>
        </w:tc>
        <w:tc>
          <w:tcPr>
            <w:tcW w:w="8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(36,761)</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(2,058)</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82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w:t>
            </w:r>
          </w:p>
        </w:tc>
        <w:tc>
          <w:tcPr>
            <w:tcW w:w="5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506,044</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524,620</w:t>
            </w:r>
          </w:p>
        </w:tc>
        <w:tc>
          <w:tcPr>
            <w:tcW w:w="100" w:type="dxa"/>
            <w:vAlign w:val="bottom"/>
            <w:tcBorders>
              <w:bottom w:val="single" w:sz="8" w:color="CCEEFF"/>
            </w:tcBorders>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8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b w:val="1"/>
                <w:bCs w:val="1"/>
                <w:color w:val="auto"/>
              </w:rPr>
              <w:t>Deferred income tax liability, net</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Deferred asset</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Provision for sundry risks, net</w:t>
            </w:r>
          </w:p>
        </w:tc>
        <w:tc>
          <w:tcPr>
            <w:tcW w:w="880" w:type="dxa"/>
            <w:vAlign w:val="bottom"/>
            <w:gridSpan w:val="2"/>
          </w:tcPr>
          <w:p>
            <w:pPr>
              <w:jc w:val="right"/>
              <w:ind w:right="139"/>
              <w:spacing w:after="0"/>
              <w:rPr>
                <w:sz w:val="20"/>
                <w:szCs w:val="20"/>
                <w:color w:val="auto"/>
              </w:rPr>
            </w:pPr>
            <w:r>
              <w:rPr>
                <w:rFonts w:ascii="Arial" w:cs="Arial" w:eastAsia="Arial" w:hAnsi="Arial"/>
                <w:sz w:val="16"/>
                <w:szCs w:val="16"/>
                <w:color w:val="auto"/>
              </w:rPr>
              <w:t>4,560</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4,486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Others</w:t>
            </w:r>
          </w:p>
        </w:tc>
        <w:tc>
          <w:tcPr>
            <w:tcW w:w="8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32,436</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42,333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Deferred liability</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Unrealized profit due to valuation of investments available for sale.</w:t>
            </w:r>
          </w:p>
        </w:tc>
        <w:tc>
          <w:tcPr>
            <w:tcW w:w="880" w:type="dxa"/>
            <w:vAlign w:val="bottom"/>
            <w:gridSpan w:val="2"/>
          </w:tcPr>
          <w:p>
            <w:pPr>
              <w:jc w:val="right"/>
              <w:ind w:right="79"/>
              <w:spacing w:after="0"/>
              <w:rPr>
                <w:sz w:val="20"/>
                <w:szCs w:val="20"/>
                <w:color w:val="auto"/>
              </w:rPr>
            </w:pPr>
            <w:r>
              <w:rPr>
                <w:rFonts w:ascii="Arial" w:cs="Arial" w:eastAsia="Arial" w:hAnsi="Arial"/>
                <w:sz w:val="16"/>
                <w:szCs w:val="16"/>
                <w:color w:val="auto"/>
              </w:rPr>
              <w:t>(36,721)</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(20,333)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Intangibles, net</w:t>
            </w:r>
          </w:p>
        </w:tc>
        <w:tc>
          <w:tcPr>
            <w:tcW w:w="8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(80,081)</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(82,794)</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Depreciation of buildings</w:t>
            </w:r>
          </w:p>
        </w:tc>
        <w:tc>
          <w:tcPr>
            <w:tcW w:w="880" w:type="dxa"/>
            <w:vAlign w:val="bottom"/>
            <w:gridSpan w:val="2"/>
          </w:tcPr>
          <w:p>
            <w:pPr>
              <w:jc w:val="right"/>
              <w:ind w:right="79"/>
              <w:spacing w:after="0"/>
              <w:rPr>
                <w:sz w:val="20"/>
                <w:szCs w:val="20"/>
                <w:color w:val="auto"/>
              </w:rPr>
            </w:pPr>
            <w:r>
              <w:rPr>
                <w:rFonts w:ascii="Arial" w:cs="Arial" w:eastAsia="Arial" w:hAnsi="Arial"/>
                <w:sz w:val="16"/>
                <w:szCs w:val="16"/>
                <w:color w:val="auto"/>
              </w:rPr>
              <w:t>(2,736)</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(4,749)</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Profit generated in the reorganization of Pacífico EPS</w:t>
            </w:r>
          </w:p>
        </w:tc>
        <w:tc>
          <w:tcPr>
            <w:tcW w:w="8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(39,515)</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(34,826)</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Others</w:t>
            </w:r>
          </w:p>
        </w:tc>
        <w:tc>
          <w:tcPr>
            <w:tcW w:w="880" w:type="dxa"/>
            <w:vAlign w:val="bottom"/>
            <w:gridSpan w:val="2"/>
          </w:tcPr>
          <w:p>
            <w:pPr>
              <w:jc w:val="right"/>
              <w:ind w:right="79"/>
              <w:spacing w:after="0"/>
              <w:rPr>
                <w:sz w:val="20"/>
                <w:szCs w:val="20"/>
                <w:color w:val="auto"/>
              </w:rPr>
            </w:pPr>
            <w:r>
              <w:rPr>
                <w:rFonts w:ascii="Arial" w:cs="Arial" w:eastAsia="Arial" w:hAnsi="Arial"/>
                <w:sz w:val="16"/>
                <w:szCs w:val="16"/>
                <w:color w:val="auto"/>
              </w:rPr>
              <w:t>(50,584)</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(43,003)</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8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54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(172,641</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(138,886</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6"/>
                <w:szCs w:val="16"/>
                <w:color w:val="auto"/>
              </w:rPr>
            </w:pPr>
          </w:p>
        </w:tc>
      </w:tr>
      <w:tr>
        <w:trPr>
          <w:trHeight w:val="572"/>
        </w:trPr>
        <w:tc>
          <w:tcPr>
            <w:tcW w:w="8540" w:type="dxa"/>
            <w:vAlign w:val="bottom"/>
            <w:tcBorders>
              <w:bottom w:val="single" w:sz="8" w:color="auto"/>
            </w:tcBorders>
            <w:gridSpan w:val="2"/>
          </w:tcPr>
          <w:p>
            <w:pPr>
              <w:jc w:val="right"/>
              <w:ind w:right="2559"/>
              <w:spacing w:after="0"/>
              <w:rPr>
                <w:sz w:val="20"/>
                <w:szCs w:val="20"/>
                <w:color w:val="auto"/>
              </w:rPr>
            </w:pPr>
            <w:r>
              <w:rPr>
                <w:rFonts w:ascii="Arial" w:cs="Arial" w:eastAsia="Arial" w:hAnsi="Arial"/>
                <w:sz w:val="16"/>
                <w:szCs w:val="16"/>
                <w:color w:val="auto"/>
              </w:rPr>
              <w:t>- 94 -</w:t>
            </w: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8" w:right="219" w:bottom="1440" w:gutter="0" w:footer="0" w:header="0"/>
        </w:sectPr>
      </w:pPr>
    </w:p>
    <w:bookmarkStart w:id="99" w:name="page100"/>
    <w:bookmarkEnd w:id="99"/>
    <w:p>
      <w:pPr>
        <w:ind w:left="283" w:right="320"/>
        <w:spacing w:after="0" w:line="280" w:lineRule="auto"/>
        <w:rPr>
          <w:sz w:val="20"/>
          <w:szCs w:val="20"/>
          <w:color w:val="auto"/>
        </w:rPr>
      </w:pPr>
      <w:r>
        <w:rPr>
          <w:rFonts w:ascii="Arial" w:cs="Arial" w:eastAsia="Arial" w:hAnsi="Arial"/>
          <w:sz w:val="16"/>
          <w:szCs w:val="16"/>
          <w:color w:val="auto"/>
        </w:rPr>
        <w:t>At December 31, 2016, 2015 and 2014, Credicorp and its Subsidiaries have recorded deferred income tax balance of S/5.3 millones, S/30.9 million , S/27.8 million and S/87.2 million, respectively,resulting from unrealized gains and losses on available-for-sale investments and cash flow hedges.</w:t>
      </w:r>
    </w:p>
    <w:p>
      <w:pPr>
        <w:spacing w:after="0" w:line="151" w:lineRule="exact"/>
        <w:rPr>
          <w:sz w:val="20"/>
          <w:szCs w:val="20"/>
          <w:color w:val="auto"/>
        </w:rPr>
      </w:pPr>
    </w:p>
    <w:p>
      <w:pPr>
        <w:ind w:left="283" w:hanging="283"/>
        <w:spacing w:after="0" w:line="280" w:lineRule="auto"/>
        <w:tabs>
          <w:tab w:leader="none" w:pos="28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Peruvian Tax Authorities have the right to review and, if necessary, amend the annual income tax returns filed by Peruvian subsidiaries up to four years after their filing date. Income tax returns of the major subsidiaries open for examination by the tax authorities are as follows:</w:t>
      </w:r>
    </w:p>
    <w:p>
      <w:pPr>
        <w:spacing w:after="0" w:line="151" w:lineRule="exact"/>
        <w:rPr>
          <w:sz w:val="20"/>
          <w:szCs w:val="20"/>
          <w:color w:val="auto"/>
        </w:rPr>
      </w:pPr>
    </w:p>
    <w:tbl>
      <w:tblPr>
        <w:tblLayout w:type="fixed"/>
        <w:tblInd w:w="283" w:type="dxa"/>
        <w:tblCellMar>
          <w:top w:w="0" w:type="dxa"/>
          <w:left w:w="0" w:type="dxa"/>
          <w:bottom w:w="0" w:type="dxa"/>
          <w:right w:w="0" w:type="dxa"/>
        </w:tblCellMar>
      </w:tblP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Banco de Crédito del Perú</w:t>
            </w:r>
          </w:p>
        </w:tc>
        <w:tc>
          <w:tcPr>
            <w:tcW w:w="3440" w:type="dxa"/>
            <w:vAlign w:val="bottom"/>
          </w:tcPr>
          <w:p>
            <w:pPr>
              <w:ind w:left="2580"/>
              <w:spacing w:after="0"/>
              <w:rPr>
                <w:sz w:val="20"/>
                <w:szCs w:val="20"/>
                <w:color w:val="auto"/>
              </w:rPr>
            </w:pPr>
            <w:r>
              <w:rPr>
                <w:rFonts w:ascii="Arial" w:cs="Arial" w:eastAsia="Arial" w:hAnsi="Arial"/>
                <w:sz w:val="16"/>
                <w:szCs w:val="16"/>
                <w:color w:val="auto"/>
                <w:w w:val="89"/>
              </w:rPr>
              <w:t>2012 to 2016</w:t>
            </w:r>
          </w:p>
        </w:tc>
      </w:t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Edyficar</w:t>
            </w:r>
          </w:p>
        </w:tc>
        <w:tc>
          <w:tcPr>
            <w:tcW w:w="3440" w:type="dxa"/>
            <w:vAlign w:val="bottom"/>
          </w:tcPr>
          <w:p>
            <w:pPr>
              <w:ind w:left="2580"/>
              <w:spacing w:after="0"/>
              <w:rPr>
                <w:sz w:val="20"/>
                <w:szCs w:val="20"/>
                <w:color w:val="auto"/>
              </w:rPr>
            </w:pPr>
            <w:r>
              <w:rPr>
                <w:rFonts w:ascii="Arial" w:cs="Arial" w:eastAsia="Arial" w:hAnsi="Arial"/>
                <w:sz w:val="16"/>
                <w:szCs w:val="16"/>
                <w:color w:val="auto"/>
                <w:w w:val="89"/>
              </w:rPr>
              <w:t>2012 to 2016</w:t>
            </w:r>
          </w:p>
        </w:tc>
      </w:t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Prima AFP</w:t>
            </w:r>
          </w:p>
        </w:tc>
        <w:tc>
          <w:tcPr>
            <w:tcW w:w="3440" w:type="dxa"/>
            <w:vAlign w:val="bottom"/>
          </w:tcPr>
          <w:p>
            <w:pPr>
              <w:ind w:left="2580"/>
              <w:spacing w:after="0"/>
              <w:rPr>
                <w:sz w:val="20"/>
                <w:szCs w:val="20"/>
                <w:color w:val="auto"/>
              </w:rPr>
            </w:pPr>
            <w:r>
              <w:rPr>
                <w:rFonts w:ascii="Arial" w:cs="Arial" w:eastAsia="Arial" w:hAnsi="Arial"/>
                <w:sz w:val="16"/>
                <w:szCs w:val="16"/>
                <w:color w:val="auto"/>
                <w:w w:val="89"/>
              </w:rPr>
              <w:t>2012 to 2016</w:t>
            </w:r>
          </w:p>
        </w:tc>
      </w:t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Pacífico Peruano Suiza</w:t>
            </w:r>
          </w:p>
        </w:tc>
        <w:tc>
          <w:tcPr>
            <w:tcW w:w="3440" w:type="dxa"/>
            <w:vAlign w:val="bottom"/>
          </w:tcPr>
          <w:p>
            <w:pPr>
              <w:ind w:left="2580"/>
              <w:spacing w:after="0"/>
              <w:rPr>
                <w:sz w:val="20"/>
                <w:szCs w:val="20"/>
                <w:color w:val="auto"/>
              </w:rPr>
            </w:pPr>
            <w:r>
              <w:rPr>
                <w:rFonts w:ascii="Arial" w:cs="Arial" w:eastAsia="Arial" w:hAnsi="Arial"/>
                <w:sz w:val="16"/>
                <w:szCs w:val="16"/>
                <w:color w:val="auto"/>
                <w:w w:val="89"/>
              </w:rPr>
              <w:t>2012 to 2016</w:t>
            </w:r>
          </w:p>
        </w:tc>
      </w:tr>
      <w:tr>
        <w:trPr>
          <w:trHeight w:val="206"/>
        </w:trPr>
        <w:tc>
          <w:tcPr>
            <w:tcW w:w="4280" w:type="dxa"/>
            <w:vAlign w:val="bottom"/>
          </w:tcPr>
          <w:p>
            <w:pPr>
              <w:spacing w:after="0"/>
              <w:rPr>
                <w:sz w:val="20"/>
                <w:szCs w:val="20"/>
                <w:color w:val="auto"/>
              </w:rPr>
            </w:pPr>
            <w:r>
              <w:rPr>
                <w:rFonts w:ascii="Arial" w:cs="Arial" w:eastAsia="Arial" w:hAnsi="Arial"/>
                <w:sz w:val="16"/>
                <w:szCs w:val="16"/>
                <w:color w:val="auto"/>
              </w:rPr>
              <w:t>Pacífico Vida</w:t>
            </w:r>
          </w:p>
        </w:tc>
        <w:tc>
          <w:tcPr>
            <w:tcW w:w="3440" w:type="dxa"/>
            <w:vAlign w:val="bottom"/>
          </w:tcPr>
          <w:p>
            <w:pPr>
              <w:ind w:left="2580"/>
              <w:spacing w:after="0"/>
              <w:rPr>
                <w:sz w:val="20"/>
                <w:szCs w:val="20"/>
                <w:color w:val="auto"/>
              </w:rPr>
            </w:pPr>
            <w:r>
              <w:rPr>
                <w:rFonts w:ascii="Arial" w:cs="Arial" w:eastAsia="Arial" w:hAnsi="Arial"/>
                <w:sz w:val="16"/>
                <w:szCs w:val="16"/>
                <w:color w:val="auto"/>
                <w:w w:val="89"/>
              </w:rPr>
              <w:t>2012 to 2016</w:t>
            </w:r>
          </w:p>
        </w:tc>
      </w:tr>
    </w:tbl>
    <w:p>
      <w:pPr>
        <w:spacing w:after="0" w:line="181" w:lineRule="exact"/>
        <w:rPr>
          <w:sz w:val="20"/>
          <w:szCs w:val="20"/>
          <w:color w:val="auto"/>
        </w:rPr>
      </w:pPr>
    </w:p>
    <w:p>
      <w:pPr>
        <w:ind w:left="283"/>
        <w:spacing w:after="0"/>
        <w:rPr>
          <w:sz w:val="20"/>
          <w:szCs w:val="20"/>
          <w:color w:val="auto"/>
        </w:rPr>
      </w:pPr>
      <w:r>
        <w:rPr>
          <w:rFonts w:ascii="Arial" w:cs="Arial" w:eastAsia="Arial" w:hAnsi="Arial"/>
          <w:sz w:val="16"/>
          <w:szCs w:val="16"/>
          <w:color w:val="auto"/>
        </w:rPr>
        <w:t>At December 31, 2016 Peruvian tax authorities are currently examining BCP’s income tax returns for fiscal 2010.</w:t>
      </w:r>
    </w:p>
    <w:p>
      <w:pPr>
        <w:spacing w:after="0" w:line="203" w:lineRule="exact"/>
        <w:rPr>
          <w:sz w:val="20"/>
          <w:szCs w:val="20"/>
          <w:color w:val="auto"/>
        </w:rPr>
      </w:pPr>
    </w:p>
    <w:p>
      <w:pPr>
        <w:jc w:val="both"/>
        <w:ind w:left="283" w:right="480"/>
        <w:spacing w:after="0" w:line="266" w:lineRule="auto"/>
        <w:rPr>
          <w:sz w:val="20"/>
          <w:szCs w:val="20"/>
          <w:color w:val="auto"/>
        </w:rPr>
      </w:pPr>
      <w:r>
        <w:rPr>
          <w:rFonts w:ascii="Arial" w:cs="Arial" w:eastAsia="Arial" w:hAnsi="Arial"/>
          <w:sz w:val="16"/>
          <w:szCs w:val="16"/>
          <w:color w:val="auto"/>
        </w:rPr>
        <w:t>The Bolivian, Chilean and Colombian tax authorities have the right to review and, if necessary, amend the annual income tax returns filed by the foreign subsidiaries operating in those countries for the last four, three and two fiscal years, respectively, after their filing date. Income tax returns of the subsidiaries below remain to be examined by the respective tax authorities for the following fiscal years:</w:t>
      </w:r>
    </w:p>
    <w:p>
      <w:pPr>
        <w:spacing w:after="0" w:line="162" w:lineRule="exact"/>
        <w:rPr>
          <w:sz w:val="20"/>
          <w:szCs w:val="20"/>
          <w:color w:val="auto"/>
        </w:rPr>
      </w:pPr>
    </w:p>
    <w:tbl>
      <w:tblPr>
        <w:tblLayout w:type="fixed"/>
        <w:tblInd w:w="283" w:type="dxa"/>
        <w:tblCellMar>
          <w:top w:w="0" w:type="dxa"/>
          <w:left w:w="0" w:type="dxa"/>
          <w:bottom w:w="0" w:type="dxa"/>
          <w:right w:w="0" w:type="dxa"/>
        </w:tblCellMar>
      </w:tblPr>
      <w:tr>
        <w:trPr>
          <w:trHeight w:val="193"/>
        </w:trPr>
        <w:tc>
          <w:tcPr>
            <w:tcW w:w="3900" w:type="dxa"/>
            <w:vAlign w:val="bottom"/>
          </w:tcPr>
          <w:p>
            <w:pPr>
              <w:spacing w:after="0"/>
              <w:rPr>
                <w:sz w:val="20"/>
                <w:szCs w:val="20"/>
                <w:color w:val="auto"/>
              </w:rPr>
            </w:pPr>
            <w:r>
              <w:rPr>
                <w:rFonts w:ascii="Arial" w:cs="Arial" w:eastAsia="Arial" w:hAnsi="Arial"/>
                <w:sz w:val="16"/>
                <w:szCs w:val="16"/>
                <w:color w:val="auto"/>
              </w:rPr>
              <w:t>Banco de Crédito de Bolivia</w:t>
            </w:r>
          </w:p>
        </w:tc>
        <w:tc>
          <w:tcPr>
            <w:tcW w:w="3820" w:type="dxa"/>
            <w:vAlign w:val="bottom"/>
            <w:gridSpan w:val="2"/>
          </w:tcPr>
          <w:p>
            <w:pPr>
              <w:jc w:val="right"/>
              <w:spacing w:after="0"/>
              <w:rPr>
                <w:sz w:val="20"/>
                <w:szCs w:val="20"/>
                <w:color w:val="auto"/>
              </w:rPr>
            </w:pPr>
            <w:r>
              <w:rPr>
                <w:rFonts w:ascii="Arial" w:cs="Arial" w:eastAsia="Arial" w:hAnsi="Arial"/>
                <w:sz w:val="16"/>
                <w:szCs w:val="16"/>
                <w:color w:val="auto"/>
              </w:rPr>
              <w:t>2012, 2014, 2015 and 2016</w:t>
            </w:r>
          </w:p>
        </w:tc>
      </w:tr>
      <w:tr>
        <w:trPr>
          <w:trHeight w:val="193"/>
        </w:trPr>
        <w:tc>
          <w:tcPr>
            <w:tcW w:w="3900" w:type="dxa"/>
            <w:vAlign w:val="bottom"/>
          </w:tcPr>
          <w:p>
            <w:pPr>
              <w:spacing w:after="0"/>
              <w:rPr>
                <w:sz w:val="20"/>
                <w:szCs w:val="20"/>
                <w:color w:val="auto"/>
              </w:rPr>
            </w:pPr>
            <w:r>
              <w:rPr>
                <w:rFonts w:ascii="Arial" w:cs="Arial" w:eastAsia="Arial" w:hAnsi="Arial"/>
                <w:sz w:val="16"/>
                <w:szCs w:val="16"/>
                <w:color w:val="auto"/>
              </w:rPr>
              <w:t>Credicorp Capital Colombia</w:t>
            </w:r>
          </w:p>
        </w:tc>
        <w:tc>
          <w:tcPr>
            <w:tcW w:w="2840" w:type="dxa"/>
            <w:vAlign w:val="bottom"/>
          </w:tcPr>
          <w:p>
            <w:pPr>
              <w:jc w:val="right"/>
              <w:spacing w:after="0"/>
              <w:rPr>
                <w:sz w:val="20"/>
                <w:szCs w:val="20"/>
                <w:color w:val="auto"/>
              </w:rPr>
            </w:pPr>
            <w:r>
              <w:rPr>
                <w:rFonts w:ascii="Arial" w:cs="Arial" w:eastAsia="Arial" w:hAnsi="Arial"/>
                <w:sz w:val="16"/>
                <w:szCs w:val="16"/>
                <w:color w:val="auto"/>
              </w:rPr>
              <w:t>2014,</w:t>
            </w:r>
          </w:p>
        </w:tc>
        <w:tc>
          <w:tcPr>
            <w:tcW w:w="980" w:type="dxa"/>
            <w:vAlign w:val="bottom"/>
          </w:tcPr>
          <w:p>
            <w:pPr>
              <w:jc w:val="right"/>
              <w:spacing w:after="0"/>
              <w:rPr>
                <w:sz w:val="20"/>
                <w:szCs w:val="20"/>
                <w:color w:val="auto"/>
              </w:rPr>
            </w:pPr>
            <w:r>
              <w:rPr>
                <w:rFonts w:ascii="Arial" w:cs="Arial" w:eastAsia="Arial" w:hAnsi="Arial"/>
                <w:sz w:val="16"/>
                <w:szCs w:val="16"/>
                <w:color w:val="auto"/>
                <w:w w:val="89"/>
              </w:rPr>
              <w:t>2015 and 2016</w:t>
            </w:r>
          </w:p>
        </w:tc>
      </w:tr>
      <w:tr>
        <w:trPr>
          <w:trHeight w:val="206"/>
        </w:trPr>
        <w:tc>
          <w:tcPr>
            <w:tcW w:w="3900" w:type="dxa"/>
            <w:vAlign w:val="bottom"/>
          </w:tcPr>
          <w:p>
            <w:pPr>
              <w:spacing w:after="0"/>
              <w:rPr>
                <w:sz w:val="20"/>
                <w:szCs w:val="20"/>
                <w:color w:val="auto"/>
              </w:rPr>
            </w:pPr>
            <w:r>
              <w:rPr>
                <w:rFonts w:ascii="Arial" w:cs="Arial" w:eastAsia="Arial" w:hAnsi="Arial"/>
                <w:sz w:val="16"/>
                <w:szCs w:val="16"/>
                <w:color w:val="auto"/>
              </w:rPr>
              <w:t>Inversiones IMT S.A.</w:t>
            </w:r>
          </w:p>
        </w:tc>
        <w:tc>
          <w:tcPr>
            <w:tcW w:w="2840" w:type="dxa"/>
            <w:vAlign w:val="bottom"/>
          </w:tcPr>
          <w:p>
            <w:pPr>
              <w:jc w:val="right"/>
              <w:spacing w:after="0"/>
              <w:rPr>
                <w:sz w:val="20"/>
                <w:szCs w:val="20"/>
                <w:color w:val="auto"/>
              </w:rPr>
            </w:pPr>
            <w:r>
              <w:rPr>
                <w:rFonts w:ascii="Arial" w:cs="Arial" w:eastAsia="Arial" w:hAnsi="Arial"/>
                <w:sz w:val="16"/>
                <w:szCs w:val="16"/>
                <w:color w:val="auto"/>
              </w:rPr>
              <w:t>2013, 2014</w:t>
            </w:r>
          </w:p>
        </w:tc>
        <w:tc>
          <w:tcPr>
            <w:tcW w:w="980" w:type="dxa"/>
            <w:vAlign w:val="bottom"/>
          </w:tcPr>
          <w:p>
            <w:pPr>
              <w:jc w:val="right"/>
              <w:spacing w:after="0"/>
              <w:rPr>
                <w:sz w:val="20"/>
                <w:szCs w:val="20"/>
                <w:color w:val="auto"/>
              </w:rPr>
            </w:pPr>
            <w:r>
              <w:rPr>
                <w:rFonts w:ascii="Arial" w:cs="Arial" w:eastAsia="Arial" w:hAnsi="Arial"/>
                <w:sz w:val="16"/>
                <w:szCs w:val="16"/>
                <w:color w:val="auto"/>
                <w:w w:val="89"/>
              </w:rPr>
              <w:t>2015 and 2016</w:t>
            </w:r>
          </w:p>
        </w:tc>
      </w:tr>
    </w:tbl>
    <w:p>
      <w:pPr>
        <w:spacing w:after="0" w:line="181" w:lineRule="exact"/>
        <w:rPr>
          <w:sz w:val="20"/>
          <w:szCs w:val="20"/>
          <w:color w:val="auto"/>
        </w:rPr>
      </w:pPr>
    </w:p>
    <w:p>
      <w:pPr>
        <w:ind w:left="283" w:right="80"/>
        <w:spacing w:after="0" w:line="310" w:lineRule="auto"/>
        <w:rPr>
          <w:sz w:val="20"/>
          <w:szCs w:val="20"/>
          <w:color w:val="auto"/>
        </w:rPr>
      </w:pPr>
      <w:r>
        <w:rPr>
          <w:rFonts w:ascii="Arial" w:cs="Arial" w:eastAsia="Arial" w:hAnsi="Arial"/>
          <w:sz w:val="14"/>
          <w:szCs w:val="14"/>
          <w:color w:val="auto"/>
        </w:rPr>
        <w:t>Since tax regulations are subject to interpretation by the different Tax Authorities where Credicorp’s subsidiaries are located, it is not possible to determine at the present date whether any significant additional liabilities may arise from any eventual tax examinations of the Credicorp’s subsidiaries. Any resulting unpaid taxes, tax penalties or interest that may arise will be recognized as expenses in the year in which they are determined. However, Management of Credicorp and its Subsidiaries and their legal counsel consider that any additional tax assessments would not have a significant impact on the consolidated financial statements as of December 31, 2016 and 2015.</w:t>
      </w:r>
    </w:p>
    <w:p>
      <w:pPr>
        <w:spacing w:after="0" w:line="131" w:lineRule="exact"/>
        <w:rPr>
          <w:sz w:val="20"/>
          <w:szCs w:val="20"/>
          <w:color w:val="auto"/>
        </w:rPr>
      </w:pPr>
    </w:p>
    <w:p>
      <w:pPr>
        <w:ind w:left="3"/>
        <w:spacing w:after="0"/>
        <w:tabs>
          <w:tab w:leader="none" w:pos="563" w:val="left"/>
        </w:tabs>
        <w:rPr>
          <w:sz w:val="20"/>
          <w:szCs w:val="20"/>
          <w:color w:val="auto"/>
        </w:rPr>
      </w:pPr>
      <w:r>
        <w:rPr>
          <w:rFonts w:ascii="Arial" w:cs="Arial" w:eastAsia="Arial" w:hAnsi="Arial"/>
          <w:sz w:val="16"/>
          <w:szCs w:val="16"/>
          <w:b w:val="1"/>
          <w:bCs w:val="1"/>
          <w:color w:val="auto"/>
        </w:rPr>
        <w:t>20</w:t>
      </w:r>
      <w:r>
        <w:rPr>
          <w:sz w:val="20"/>
          <w:szCs w:val="20"/>
          <w:color w:val="auto"/>
        </w:rPr>
        <w:tab/>
      </w:r>
      <w:r>
        <w:rPr>
          <w:rFonts w:ascii="Arial" w:cs="Arial" w:eastAsia="Arial" w:hAnsi="Arial"/>
          <w:sz w:val="16"/>
          <w:szCs w:val="16"/>
          <w:b w:val="1"/>
          <w:bCs w:val="1"/>
          <w:color w:val="auto"/>
        </w:rPr>
        <w:t>SHARE-BASED COMPENSATION PLANS</w:t>
      </w:r>
    </w:p>
    <w:p>
      <w:pPr>
        <w:spacing w:after="0" w:line="207" w:lineRule="exact"/>
        <w:rPr>
          <w:sz w:val="20"/>
          <w:szCs w:val="20"/>
          <w:color w:val="auto"/>
        </w:rPr>
      </w:pPr>
    </w:p>
    <w:p>
      <w:pPr>
        <w:ind w:left="3"/>
        <w:spacing w:after="0"/>
        <w:rPr>
          <w:sz w:val="20"/>
          <w:szCs w:val="20"/>
          <w:color w:val="auto"/>
        </w:rPr>
      </w:pPr>
      <w:r>
        <w:rPr>
          <w:rFonts w:ascii="Arial" w:cs="Arial" w:eastAsia="Arial" w:hAnsi="Arial"/>
          <w:sz w:val="16"/>
          <w:szCs w:val="16"/>
          <w:color w:val="auto"/>
        </w:rPr>
        <w:t>Stock awards (“equity-settled transaction”) -</w:t>
      </w:r>
    </w:p>
    <w:p>
      <w:pPr>
        <w:spacing w:after="0" w:line="203" w:lineRule="exact"/>
        <w:rPr>
          <w:sz w:val="20"/>
          <w:szCs w:val="20"/>
          <w:color w:val="auto"/>
        </w:rPr>
      </w:pPr>
    </w:p>
    <w:p>
      <w:pPr>
        <w:ind w:left="3" w:right="40"/>
        <w:spacing w:after="0" w:line="266" w:lineRule="auto"/>
        <w:rPr>
          <w:sz w:val="20"/>
          <w:szCs w:val="20"/>
          <w:color w:val="auto"/>
        </w:rPr>
      </w:pPr>
      <w:r>
        <w:rPr>
          <w:rFonts w:ascii="Arial" w:cs="Arial" w:eastAsia="Arial" w:hAnsi="Arial"/>
          <w:sz w:val="16"/>
          <w:szCs w:val="16"/>
          <w:color w:val="auto"/>
        </w:rPr>
        <w:t>As indicated in Note 3(y), on March of each year, the Group grants its own shares to certain key employees. The awarded shares are liberated in the three following years for up to 33.3 percent of the shares granted in each of the three previous years. The Group assumes the payment of the related income tax on behalf of its employees, which corresponds to 30 percent of the benefit.</w:t>
      </w:r>
    </w:p>
    <w:p>
      <w:pPr>
        <w:spacing w:after="0" w:line="162" w:lineRule="exact"/>
        <w:rPr>
          <w:sz w:val="20"/>
          <w:szCs w:val="20"/>
          <w:color w:val="auto"/>
        </w:rPr>
      </w:pPr>
    </w:p>
    <w:p>
      <w:pPr>
        <w:ind w:left="3" w:right="120"/>
        <w:spacing w:after="0" w:line="354" w:lineRule="auto"/>
        <w:rPr>
          <w:sz w:val="20"/>
          <w:szCs w:val="20"/>
          <w:color w:val="auto"/>
        </w:rPr>
      </w:pPr>
      <w:r>
        <w:rPr>
          <w:rFonts w:ascii="Arial" w:cs="Arial" w:eastAsia="Arial" w:hAnsi="Arial"/>
          <w:sz w:val="14"/>
          <w:szCs w:val="14"/>
          <w:color w:val="auto"/>
        </w:rPr>
        <w:t>At December 31, 2016, 2015 and 2014, the Group has granted 145,476, 129,091 and 126,750 Credicorp shares, of which 273,587 and 252,778 shares were pending delivery as of December 31, 2016 and 2015, respectively. During those years, the recorded expense amounted to approximately S/94.9 million and S/73.2 million, respectively.</w:t>
      </w:r>
    </w:p>
    <w:p>
      <w:pPr>
        <w:spacing w:after="0" w:line="299"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8" w:right="259" w:bottom="1440" w:gutter="0" w:footer="0" w:header="0"/>
        </w:sectPr>
      </w:pPr>
    </w:p>
    <w:bookmarkStart w:id="100" w:name="page101"/>
    <w:bookmarkEnd w:id="100"/>
    <w:p>
      <w:pPr>
        <w:ind w:left="3"/>
        <w:spacing w:after="0"/>
        <w:tabs>
          <w:tab w:leader="none" w:pos="563" w:val="left"/>
        </w:tabs>
        <w:rPr>
          <w:sz w:val="20"/>
          <w:szCs w:val="20"/>
          <w:color w:val="auto"/>
        </w:rPr>
      </w:pPr>
      <w:r>
        <w:rPr>
          <w:rFonts w:ascii="Arial" w:cs="Arial" w:eastAsia="Arial" w:hAnsi="Arial"/>
          <w:sz w:val="16"/>
          <w:szCs w:val="16"/>
          <w:b w:val="1"/>
          <w:bCs w:val="1"/>
          <w:color w:val="auto"/>
        </w:rPr>
        <w:t>21</w:t>
      </w:r>
      <w:r>
        <w:rPr>
          <w:sz w:val="20"/>
          <w:szCs w:val="20"/>
          <w:color w:val="auto"/>
        </w:rPr>
        <w:tab/>
      </w:r>
      <w:r>
        <w:rPr>
          <w:rFonts w:ascii="Arial" w:cs="Arial" w:eastAsia="Arial" w:hAnsi="Arial"/>
          <w:sz w:val="16"/>
          <w:szCs w:val="16"/>
          <w:b w:val="1"/>
          <w:bCs w:val="1"/>
          <w:color w:val="auto"/>
        </w:rPr>
        <w:t>OFF-BALANCE SHEET ACCOUNTS</w:t>
      </w:r>
    </w:p>
    <w:p>
      <w:pPr>
        <w:spacing w:after="0" w:line="207" w:lineRule="exact"/>
        <w:rPr>
          <w:sz w:val="20"/>
          <w:szCs w:val="20"/>
          <w:color w:val="auto"/>
        </w:rPr>
      </w:pPr>
    </w:p>
    <w:p>
      <w:pPr>
        <w:ind w:left="283" w:hanging="283"/>
        <w:spacing w:after="0"/>
        <w:tabs>
          <w:tab w:leader="none" w:pos="28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283" w:right="4220"/>
        <w:spacing w:after="0" w:line="262" w:lineRule="auto"/>
        <w:rPr>
          <w:rFonts w:ascii="Arial" w:cs="Arial" w:eastAsia="Arial" w:hAnsi="Arial"/>
          <w:sz w:val="16"/>
          <w:szCs w:val="16"/>
          <w:color w:val="auto"/>
        </w:rPr>
      </w:pPr>
      <w:r>
        <w:rPr>
          <w:rFonts w:ascii="Arial" w:cs="Arial" w:eastAsia="Arial" w:hAnsi="Arial"/>
          <w:sz w:val="16"/>
          <w:szCs w:val="16"/>
          <w:b w:val="1"/>
          <w:bCs w:val="1"/>
          <w:color w:val="auto"/>
        </w:rPr>
        <w:t xml:space="preserve">Contingent credits – indirect loans (b), Note 7(a) </w:t>
      </w:r>
      <w:r>
        <w:rPr>
          <w:rFonts w:ascii="Arial" w:cs="Arial" w:eastAsia="Arial" w:hAnsi="Arial"/>
          <w:sz w:val="16"/>
          <w:szCs w:val="16"/>
          <w:color w:val="auto"/>
        </w:rPr>
        <w:t>Guarantees and standby letters</w:t>
      </w:r>
    </w:p>
    <w:p>
      <w:pPr>
        <w:spacing w:after="0" w:line="1" w:lineRule="exact"/>
        <w:rPr>
          <w:rFonts w:ascii="Arial" w:cs="Arial" w:eastAsia="Arial" w:hAnsi="Arial"/>
          <w:sz w:val="16"/>
          <w:szCs w:val="16"/>
          <w:color w:val="auto"/>
        </w:rPr>
      </w:pPr>
    </w:p>
    <w:p>
      <w:pPr>
        <w:ind w:left="283" w:right="4640"/>
        <w:spacing w:after="0" w:line="747" w:lineRule="auto"/>
        <w:rPr>
          <w:rFonts w:ascii="Arial" w:cs="Arial" w:eastAsia="Arial" w:hAnsi="Arial"/>
          <w:sz w:val="16"/>
          <w:szCs w:val="16"/>
          <w:color w:val="auto"/>
        </w:rPr>
      </w:pPr>
      <w:r>
        <w:rPr>
          <w:rFonts w:ascii="Arial" w:cs="Arial" w:eastAsia="Arial" w:hAnsi="Arial"/>
          <w:sz w:val="14"/>
          <w:szCs w:val="14"/>
          <w:color w:val="auto"/>
        </w:rPr>
        <w:t>Import and export letters of credit Responsibilities under credit line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-881380</wp:posOffset>
            </wp:positionV>
            <wp:extent cx="6969125" cy="1225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969125" cy="12255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-635635</wp:posOffset>
            </wp:positionV>
            <wp:extent cx="6969125" cy="13017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969125" cy="13017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-374650</wp:posOffset>
            </wp:positionV>
            <wp:extent cx="6969125" cy="1225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6969125" cy="1225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2015</w:t>
            </w:r>
          </w:p>
        </w:tc>
      </w:tr>
      <w:tr>
        <w:trPr>
          <w:trHeight w:val="202"/>
        </w:trPr>
        <w:tc>
          <w:tcPr>
            <w:tcW w:w="12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S/(000)</w:t>
            </w:r>
          </w:p>
        </w:tc>
      </w:tr>
    </w:tbl>
    <w:p>
      <w:pPr>
        <w:spacing w:after="0" w:line="358" w:lineRule="exact"/>
        <w:rPr>
          <w:sz w:val="20"/>
          <w:szCs w:val="20"/>
          <w:color w:val="auto"/>
        </w:rPr>
      </w:pPr>
    </w:p>
    <w:p>
      <w:pPr>
        <w:jc w:val="both"/>
        <w:ind w:left="480"/>
        <w:spacing w:after="0"/>
        <w:tabs>
          <w:tab w:leader="none" w:pos="1860" w:val="left"/>
        </w:tabs>
        <w:rPr>
          <w:sz w:val="20"/>
          <w:szCs w:val="20"/>
          <w:color w:val="auto"/>
        </w:rPr>
      </w:pPr>
      <w:r>
        <w:rPr>
          <w:rFonts w:ascii="Arial" w:cs="Arial" w:eastAsia="Arial" w:hAnsi="Arial"/>
          <w:sz w:val="16"/>
          <w:szCs w:val="16"/>
          <w:color w:val="auto"/>
        </w:rPr>
        <w:t>18,000,311</w:t>
      </w:r>
      <w:r>
        <w:rPr>
          <w:sz w:val="20"/>
          <w:szCs w:val="20"/>
          <w:color w:val="auto"/>
        </w:rPr>
        <w:tab/>
      </w:r>
      <w:r>
        <w:rPr>
          <w:rFonts w:ascii="Arial" w:cs="Arial" w:eastAsia="Arial" w:hAnsi="Arial"/>
          <w:sz w:val="16"/>
          <w:szCs w:val="16"/>
          <w:color w:val="auto"/>
        </w:rPr>
        <w:t>17,415,674</w:t>
      </w:r>
    </w:p>
    <w:p>
      <w:pPr>
        <w:spacing w:after="0" w:line="22" w:lineRule="exact"/>
        <w:rPr>
          <w:sz w:val="20"/>
          <w:szCs w:val="20"/>
          <w:color w:val="auto"/>
        </w:rPr>
      </w:pPr>
    </w:p>
    <w:p>
      <w:pPr>
        <w:jc w:val="both"/>
        <w:ind w:left="560"/>
        <w:spacing w:after="0"/>
        <w:tabs>
          <w:tab w:leader="none" w:pos="1940" w:val="left"/>
        </w:tabs>
        <w:rPr>
          <w:sz w:val="20"/>
          <w:szCs w:val="20"/>
          <w:color w:val="auto"/>
        </w:rPr>
      </w:pPr>
      <w:r>
        <w:rPr>
          <w:rFonts w:ascii="Arial" w:cs="Arial" w:eastAsia="Arial" w:hAnsi="Arial"/>
          <w:sz w:val="16"/>
          <w:szCs w:val="16"/>
          <w:color w:val="auto"/>
        </w:rPr>
        <w:t>1,831,674</w:t>
      </w:r>
      <w:r>
        <w:rPr>
          <w:sz w:val="20"/>
          <w:szCs w:val="20"/>
          <w:color w:val="auto"/>
        </w:rPr>
        <w:tab/>
      </w:r>
      <w:r>
        <w:rPr>
          <w:rFonts w:ascii="Arial" w:cs="Arial" w:eastAsia="Arial" w:hAnsi="Arial"/>
          <w:sz w:val="16"/>
          <w:szCs w:val="16"/>
          <w:color w:val="auto"/>
        </w:rPr>
        <w:t>1,589,006</w:t>
      </w:r>
    </w:p>
    <w:p>
      <w:pPr>
        <w:spacing w:after="0" w:line="21" w:lineRule="exact"/>
        <w:rPr>
          <w:sz w:val="20"/>
          <w:szCs w:val="20"/>
          <w:color w:val="auto"/>
        </w:rPr>
      </w:pPr>
    </w:p>
    <w:p>
      <w:pPr>
        <w:jc w:val="both"/>
        <w:ind w:left="480"/>
        <w:spacing w:after="0"/>
        <w:tabs>
          <w:tab w:leader="none" w:pos="1860" w:val="left"/>
        </w:tabs>
        <w:rPr>
          <w:sz w:val="20"/>
          <w:szCs w:val="20"/>
          <w:color w:val="auto"/>
        </w:rPr>
      </w:pPr>
      <w:r>
        <w:rPr>
          <w:rFonts w:ascii="Arial" w:cs="Arial" w:eastAsia="Arial" w:hAnsi="Arial"/>
          <w:sz w:val="16"/>
          <w:szCs w:val="16"/>
          <w:color w:val="auto"/>
        </w:rPr>
        <w:t>19,831,985</w:t>
      </w:r>
      <w:r>
        <w:rPr>
          <w:sz w:val="20"/>
          <w:szCs w:val="20"/>
          <w:color w:val="auto"/>
        </w:rPr>
        <w:tab/>
      </w:r>
      <w:r>
        <w:rPr>
          <w:rFonts w:ascii="Arial" w:cs="Arial" w:eastAsia="Arial" w:hAnsi="Arial"/>
          <w:sz w:val="16"/>
          <w:szCs w:val="16"/>
          <w:color w:val="auto"/>
        </w:rPr>
        <w:t>19,004,680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1665605" cy="762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665605" cy="7620"/>
                    </a:xfrm>
                    <a:prstGeom prst="rect">
                      <a:avLst/>
                    </a:prstGeom>
                    <a:noFill/>
                  </pic:spPr>
                </pic:pic>
              </a:graphicData>
            </a:graphic>
          </wp:anchor>
        </w:drawing>
      </w:r>
    </w:p>
    <w:p>
      <w:pPr>
        <w:spacing w:after="0" w:line="195" w:lineRule="exact"/>
        <w:rPr>
          <w:sz w:val="20"/>
          <w:szCs w:val="20"/>
          <w:color w:val="auto"/>
        </w:rPr>
      </w:pPr>
    </w:p>
    <w:p>
      <w:pPr>
        <w:jc w:val="both"/>
        <w:ind w:left="480"/>
        <w:spacing w:after="0"/>
        <w:tabs>
          <w:tab w:leader="none" w:pos="1860" w:val="left"/>
        </w:tabs>
        <w:rPr>
          <w:sz w:val="20"/>
          <w:szCs w:val="20"/>
          <w:color w:val="auto"/>
        </w:rPr>
      </w:pPr>
      <w:r>
        <w:rPr>
          <w:rFonts w:ascii="Arial" w:cs="Arial" w:eastAsia="Arial" w:hAnsi="Arial"/>
          <w:sz w:val="16"/>
          <w:szCs w:val="16"/>
          <w:color w:val="auto"/>
        </w:rPr>
        <w:t>25,812,963</w:t>
      </w:r>
      <w:r>
        <w:rPr>
          <w:sz w:val="20"/>
          <w:szCs w:val="20"/>
          <w:color w:val="auto"/>
        </w:rPr>
        <w:tab/>
      </w:r>
      <w:r>
        <w:rPr>
          <w:rFonts w:ascii="Arial" w:cs="Arial" w:eastAsia="Arial" w:hAnsi="Arial"/>
          <w:sz w:val="16"/>
          <w:szCs w:val="16"/>
          <w:color w:val="auto"/>
        </w:rPr>
        <w:t>23,002,691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1665605" cy="762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665605" cy="762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7823" w:space="720"/>
            <w:col w:w="2880"/>
          </w:cols>
          <w:pgMar w:left="237" w:top="824" w:right="239" w:bottom="1440" w:gutter="0" w:footer="0" w:header="0"/>
        </w:sectPr>
      </w:pPr>
    </w:p>
    <w:p>
      <w:pPr>
        <w:ind w:left="283"/>
        <w:spacing w:after="0"/>
        <w:rPr>
          <w:sz w:val="20"/>
          <w:szCs w:val="20"/>
          <w:color w:val="auto"/>
        </w:rPr>
      </w:pPr>
      <w:r>
        <w:rPr>
          <w:rFonts w:ascii="Arial" w:cs="Arial" w:eastAsia="Arial" w:hAnsi="Arial"/>
          <w:sz w:val="16"/>
          <w:szCs w:val="16"/>
          <w:color w:val="auto"/>
        </w:rPr>
        <w:t>Reference value of operations with derivatives are recorded in off-balance sheet accounts in the committed currency, as shown in note 12 (b).</w:t>
      </w:r>
    </w:p>
    <w:p>
      <w:pPr>
        <w:spacing w:after="0" w:line="203" w:lineRule="exact"/>
        <w:rPr>
          <w:sz w:val="20"/>
          <w:szCs w:val="20"/>
          <w:color w:val="auto"/>
        </w:rPr>
      </w:pPr>
    </w:p>
    <w:p>
      <w:pPr>
        <w:ind w:left="283" w:hanging="283"/>
        <w:spacing w:after="0" w:line="280" w:lineRule="auto"/>
        <w:tabs>
          <w:tab w:leader="none" w:pos="28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the normal course of its business, the Group’s banking subsidiaries are party to transactions with off-balance sheet risk. These transactions expose them to credit risk in addition to the amounts recognized in the consolidated statement of financial position.</w:t>
      </w:r>
    </w:p>
    <w:p>
      <w:pPr>
        <w:spacing w:after="0" w:line="150" w:lineRule="exact"/>
        <w:rPr>
          <w:rFonts w:ascii="Arial" w:cs="Arial" w:eastAsia="Arial" w:hAnsi="Arial"/>
          <w:sz w:val="16"/>
          <w:szCs w:val="16"/>
          <w:color w:val="auto"/>
        </w:rPr>
      </w:pPr>
    </w:p>
    <w:p>
      <w:pPr>
        <w:ind w:left="283" w:right="20"/>
        <w:spacing w:after="0" w:line="321" w:lineRule="auto"/>
        <w:rPr>
          <w:rFonts w:ascii="Arial" w:cs="Arial" w:eastAsia="Arial" w:hAnsi="Arial"/>
          <w:sz w:val="16"/>
          <w:szCs w:val="16"/>
          <w:color w:val="auto"/>
        </w:rPr>
      </w:pPr>
      <w:r>
        <w:rPr>
          <w:rFonts w:ascii="Arial" w:cs="Arial" w:eastAsia="Arial" w:hAnsi="Arial"/>
          <w:sz w:val="14"/>
          <w:szCs w:val="14"/>
          <w:color w:val="auto"/>
        </w:rPr>
        <w:t>Credit risk for contingent transactions is defined as the possibility of sustaining a loss because one of the parties to a financial instrument fails to comply with the terms of the contract. The risk of credit losses is represented by the contractual amounts specified in the related contracts. The Group applies the same credit policies in making commitments and conditional obligations as it does for on-balance sheet instruments (Note 7(a)), including the requirement to obtain collateral when it is deemed necessary.</w:t>
      </w:r>
    </w:p>
    <w:p>
      <w:pPr>
        <w:spacing w:after="0" w:line="127" w:lineRule="exact"/>
        <w:rPr>
          <w:rFonts w:ascii="Arial" w:cs="Arial" w:eastAsia="Arial" w:hAnsi="Arial"/>
          <w:sz w:val="16"/>
          <w:szCs w:val="16"/>
          <w:color w:val="auto"/>
        </w:rPr>
      </w:pPr>
    </w:p>
    <w:p>
      <w:pPr>
        <w:ind w:left="283" w:right="720"/>
        <w:spacing w:after="0" w:line="280" w:lineRule="auto"/>
        <w:rPr>
          <w:rFonts w:ascii="Arial" w:cs="Arial" w:eastAsia="Arial" w:hAnsi="Arial"/>
          <w:sz w:val="16"/>
          <w:szCs w:val="16"/>
          <w:color w:val="auto"/>
        </w:rPr>
      </w:pPr>
      <w:r>
        <w:rPr>
          <w:rFonts w:ascii="Arial" w:cs="Arial" w:eastAsia="Arial" w:hAnsi="Arial"/>
          <w:sz w:val="16"/>
          <w:szCs w:val="16"/>
          <w:color w:val="auto"/>
        </w:rPr>
        <w:t>Collateral held varies, but may include deposits in financial institutions, securities or other assets. Many of the contingent transactions reach maturity without any performance being required; therefore, the total committed amounts do not necessarily represent future cash requirements.</w:t>
      </w:r>
    </w:p>
    <w:p>
      <w:pPr>
        <w:spacing w:after="0" w:line="150" w:lineRule="exact"/>
        <w:rPr>
          <w:rFonts w:ascii="Arial" w:cs="Arial" w:eastAsia="Arial" w:hAnsi="Arial"/>
          <w:sz w:val="16"/>
          <w:szCs w:val="16"/>
          <w:color w:val="auto"/>
        </w:rPr>
      </w:pPr>
    </w:p>
    <w:p>
      <w:pPr>
        <w:ind w:left="283" w:hanging="283"/>
        <w:spacing w:after="0" w:line="280" w:lineRule="auto"/>
        <w:tabs>
          <w:tab w:leader="none" w:pos="28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Lines of credit conceded include consumer loans and other consumer loan facilities (credit card receivables) granted to clients and are cancelable upon related notice to the customer.</w:t>
      </w:r>
    </w:p>
    <w:p>
      <w:pPr>
        <w:spacing w:after="0" w:line="344" w:lineRule="exact"/>
        <w:rPr>
          <w:rFonts w:ascii="Arial" w:cs="Arial" w:eastAsia="Arial" w:hAnsi="Arial"/>
          <w:sz w:val="16"/>
          <w:szCs w:val="16"/>
          <w:color w:val="auto"/>
        </w:rPr>
      </w:pPr>
    </w:p>
    <w:p>
      <w:pPr>
        <w:ind w:left="5643" w:hanging="94"/>
        <w:spacing w:after="0"/>
        <w:tabs>
          <w:tab w:leader="none" w:pos="5643" w:val="left"/>
        </w:tabs>
        <w:numPr>
          <w:ilvl w:val="1"/>
          <w:numId w:val="107"/>
        </w:numPr>
        <w:rPr>
          <w:rFonts w:ascii="Arial" w:cs="Arial" w:eastAsia="Arial" w:hAnsi="Arial"/>
          <w:sz w:val="16"/>
          <w:szCs w:val="16"/>
          <w:color w:val="auto"/>
        </w:rPr>
      </w:pPr>
      <w:r>
        <w:rPr>
          <w:rFonts w:ascii="Arial" w:cs="Arial" w:eastAsia="Arial" w:hAnsi="Arial"/>
          <w:sz w:val="16"/>
          <w:szCs w:val="16"/>
          <w:color w:val="auto"/>
        </w:rPr>
        <w:t>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4" w:right="2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10"/>
        </w:trPr>
        <w:tc>
          <w:tcPr>
            <w:tcW w:w="500" w:type="dxa"/>
            <w:vAlign w:val="bottom"/>
            <w:gridSpan w:val="2"/>
          </w:tcPr>
          <w:p>
            <w:pPr>
              <w:spacing w:after="0"/>
              <w:rPr>
                <w:sz w:val="20"/>
                <w:szCs w:val="20"/>
                <w:color w:val="auto"/>
              </w:rPr>
            </w:pPr>
            <w:r>
              <w:rPr>
                <w:rFonts w:ascii="Arial" w:cs="Arial" w:eastAsia="Arial" w:hAnsi="Arial"/>
                <w:sz w:val="16"/>
                <w:szCs w:val="16"/>
                <w:b w:val="1"/>
                <w:bCs w:val="1"/>
                <w:color w:val="auto"/>
              </w:rPr>
              <w:t>22</w:t>
            </w:r>
          </w:p>
        </w:tc>
        <w:tc>
          <w:tcPr>
            <w:tcW w:w="682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INTEREST AND SIMILAR INCOME AND INTEREST AND SIMILAR EXPENSE</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7320" w:type="dxa"/>
            <w:vAlign w:val="bottom"/>
            <w:gridSpan w:val="4"/>
          </w:tcPr>
          <w:p>
            <w:pPr>
              <w:spacing w:after="0"/>
              <w:rPr>
                <w:sz w:val="20"/>
                <w:szCs w:val="20"/>
                <w:color w:val="auto"/>
              </w:rPr>
            </w:pPr>
            <w:r>
              <w:rPr>
                <w:rFonts w:ascii="Arial" w:cs="Arial" w:eastAsia="Arial" w:hAnsi="Arial"/>
                <w:sz w:val="16"/>
                <w:szCs w:val="16"/>
                <w:color w:val="auto"/>
              </w:rPr>
              <w:t>This item consists of the following:</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20" w:type="dxa"/>
            <w:vAlign w:val="bottom"/>
            <w:gridSpan w:val="2"/>
          </w:tcPr>
          <w:p>
            <w:pPr>
              <w:ind w:left="6260"/>
              <w:spacing w:after="0"/>
              <w:rPr>
                <w:sz w:val="20"/>
                <w:szCs w:val="20"/>
                <w:color w:val="auto"/>
              </w:rPr>
            </w:pPr>
            <w:r>
              <w:rPr>
                <w:rFonts w:ascii="Arial" w:cs="Arial" w:eastAsia="Arial" w:hAnsi="Arial"/>
                <w:sz w:val="16"/>
                <w:szCs w:val="16"/>
                <w:b w:val="1"/>
                <w:bCs w:val="1"/>
                <w:color w:val="auto"/>
              </w:rPr>
              <w:t>2016</w:t>
            </w:r>
          </w:p>
        </w:tc>
        <w:tc>
          <w:tcPr>
            <w:tcW w:w="1620" w:type="dxa"/>
            <w:vAlign w:val="bottom"/>
            <w:gridSpan w:val="3"/>
          </w:tcPr>
          <w:p>
            <w:pPr>
              <w:ind w:left="1060"/>
              <w:spacing w:after="0"/>
              <w:rPr>
                <w:sz w:val="20"/>
                <w:szCs w:val="20"/>
                <w:color w:val="auto"/>
              </w:rPr>
            </w:pPr>
            <w:r>
              <w:rPr>
                <w:rFonts w:ascii="Arial" w:cs="Arial" w:eastAsia="Arial" w:hAnsi="Arial"/>
                <w:sz w:val="16"/>
                <w:szCs w:val="16"/>
                <w:b w:val="1"/>
                <w:bCs w:val="1"/>
                <w:color w:val="auto"/>
              </w:rPr>
              <w:t>2015</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Interest and similar income</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tcPr>
          <w:p>
            <w:pPr>
              <w:spacing w:after="0"/>
              <w:rPr>
                <w:sz w:val="20"/>
                <w:szCs w:val="20"/>
                <w:color w:val="auto"/>
              </w:rPr>
            </w:pPr>
            <w:r>
              <w:rPr>
                <w:rFonts w:ascii="Arial" w:cs="Arial" w:eastAsia="Arial" w:hAnsi="Arial"/>
                <w:sz w:val="16"/>
                <w:szCs w:val="16"/>
                <w:color w:val="auto"/>
              </w:rPr>
              <w:t>Interest on loans</w:t>
            </w: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9,479,867</w:t>
            </w:r>
          </w:p>
        </w:tc>
        <w:tc>
          <w:tcPr>
            <w:tcW w:w="5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8,706,372</w:t>
            </w:r>
          </w:p>
        </w:tc>
        <w:tc>
          <w:tcPr>
            <w:tcW w:w="220" w:type="dxa"/>
            <w:vAlign w:val="bottom"/>
          </w:tcPr>
          <w:p>
            <w:pPr>
              <w:spacing w:after="0"/>
              <w:rPr>
                <w:sz w:val="16"/>
                <w:szCs w:val="16"/>
                <w:color w:val="auto"/>
              </w:rPr>
            </w:pPr>
          </w:p>
        </w:tc>
        <w:tc>
          <w:tcPr>
            <w:tcW w:w="1480" w:type="dxa"/>
            <w:vAlign w:val="bottom"/>
            <w:gridSpan w:val="3"/>
          </w:tcPr>
          <w:p>
            <w:pPr>
              <w:jc w:val="right"/>
              <w:ind w:right="39"/>
              <w:spacing w:after="0"/>
              <w:rPr>
                <w:sz w:val="20"/>
                <w:szCs w:val="20"/>
                <w:color w:val="auto"/>
              </w:rPr>
            </w:pPr>
            <w:r>
              <w:rPr>
                <w:rFonts w:ascii="Arial" w:cs="Arial" w:eastAsia="Arial" w:hAnsi="Arial"/>
                <w:sz w:val="16"/>
                <w:szCs w:val="16"/>
                <w:color w:val="auto"/>
              </w:rPr>
              <w:t>7,667,485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on available-for-sale investments</w:t>
            </w: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1,018,470</w:t>
            </w:r>
          </w:p>
        </w:tc>
        <w:tc>
          <w:tcPr>
            <w:tcW w:w="5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853,365</w:t>
            </w:r>
          </w:p>
        </w:tc>
        <w:tc>
          <w:tcPr>
            <w:tcW w:w="14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690,605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tcPr>
          <w:p>
            <w:pPr>
              <w:spacing w:after="0"/>
              <w:rPr>
                <w:sz w:val="20"/>
                <w:szCs w:val="20"/>
                <w:color w:val="auto"/>
              </w:rPr>
            </w:pPr>
            <w:r>
              <w:rPr>
                <w:rFonts w:ascii="Arial" w:cs="Arial" w:eastAsia="Arial" w:hAnsi="Arial"/>
                <w:sz w:val="16"/>
                <w:szCs w:val="16"/>
                <w:color w:val="auto"/>
              </w:rPr>
              <w:t>Interest on due from banks</w:t>
            </w: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48,626</w:t>
            </w:r>
          </w:p>
        </w:tc>
        <w:tc>
          <w:tcPr>
            <w:tcW w:w="560" w:type="dxa"/>
            <w:vAlign w:val="bottom"/>
          </w:tcPr>
          <w:p>
            <w:pPr>
              <w:spacing w:after="0"/>
              <w:rPr>
                <w:sz w:val="16"/>
                <w:szCs w:val="16"/>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32,818</w:t>
            </w:r>
          </w:p>
        </w:tc>
        <w:tc>
          <w:tcPr>
            <w:tcW w:w="1480" w:type="dxa"/>
            <w:vAlign w:val="bottom"/>
            <w:gridSpan w:val="3"/>
          </w:tcPr>
          <w:p>
            <w:pPr>
              <w:jc w:val="right"/>
              <w:ind w:right="39"/>
              <w:spacing w:after="0"/>
              <w:rPr>
                <w:sz w:val="20"/>
                <w:szCs w:val="20"/>
                <w:color w:val="auto"/>
              </w:rPr>
            </w:pPr>
            <w:r>
              <w:rPr>
                <w:rFonts w:ascii="Arial" w:cs="Arial" w:eastAsia="Arial" w:hAnsi="Arial"/>
                <w:sz w:val="16"/>
                <w:szCs w:val="16"/>
                <w:color w:val="auto"/>
              </w:rPr>
              <w:t>52,243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Dividends received</w:t>
            </w: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51,831</w:t>
            </w:r>
          </w:p>
        </w:tc>
        <w:tc>
          <w:tcPr>
            <w:tcW w:w="5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55,594</w:t>
            </w:r>
          </w:p>
        </w:tc>
        <w:tc>
          <w:tcPr>
            <w:tcW w:w="14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60,145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tcPr>
          <w:p>
            <w:pPr>
              <w:spacing w:after="0"/>
              <w:rPr>
                <w:sz w:val="20"/>
                <w:szCs w:val="20"/>
                <w:color w:val="auto"/>
              </w:rPr>
            </w:pPr>
            <w:r>
              <w:rPr>
                <w:rFonts w:ascii="Arial" w:cs="Arial" w:eastAsia="Arial" w:hAnsi="Arial"/>
                <w:sz w:val="16"/>
                <w:szCs w:val="16"/>
                <w:color w:val="auto"/>
              </w:rPr>
              <w:t>Interest on trading securities</w:t>
            </w: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86,568</w:t>
            </w:r>
          </w:p>
        </w:tc>
        <w:tc>
          <w:tcPr>
            <w:tcW w:w="560" w:type="dxa"/>
            <w:vAlign w:val="bottom"/>
          </w:tcPr>
          <w:p>
            <w:pPr>
              <w:spacing w:after="0"/>
              <w:rPr>
                <w:sz w:val="16"/>
                <w:szCs w:val="16"/>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68,538</w:t>
            </w:r>
          </w:p>
        </w:tc>
        <w:tc>
          <w:tcPr>
            <w:tcW w:w="1480" w:type="dxa"/>
            <w:vAlign w:val="bottom"/>
            <w:gridSpan w:val="3"/>
          </w:tcPr>
          <w:p>
            <w:pPr>
              <w:jc w:val="right"/>
              <w:ind w:right="39"/>
              <w:spacing w:after="0"/>
              <w:rPr>
                <w:sz w:val="20"/>
                <w:szCs w:val="20"/>
                <w:color w:val="auto"/>
              </w:rPr>
            </w:pPr>
            <w:r>
              <w:rPr>
                <w:rFonts w:ascii="Arial" w:cs="Arial" w:eastAsia="Arial" w:hAnsi="Arial"/>
                <w:sz w:val="16"/>
                <w:szCs w:val="16"/>
                <w:color w:val="auto"/>
              </w:rPr>
              <w:t>70,542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Fluctuation for derivative financial instruments</w:t>
            </w: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44,500</w:t>
            </w:r>
          </w:p>
        </w:tc>
        <w:tc>
          <w:tcPr>
            <w:tcW w:w="5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207,938</w:t>
            </w:r>
          </w:p>
        </w:tc>
        <w:tc>
          <w:tcPr>
            <w:tcW w:w="14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22,202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gridSpan w:val="3"/>
          </w:tcPr>
          <w:p>
            <w:pPr>
              <w:spacing w:after="0"/>
              <w:rPr>
                <w:sz w:val="20"/>
                <w:szCs w:val="20"/>
                <w:color w:val="auto"/>
              </w:rPr>
            </w:pPr>
            <w:r>
              <w:rPr>
                <w:rFonts w:ascii="Arial" w:cs="Arial" w:eastAsia="Arial" w:hAnsi="Arial"/>
                <w:sz w:val="16"/>
                <w:szCs w:val="16"/>
                <w:color w:val="auto"/>
              </w:rPr>
              <w:t>Other interest and similar income</w:t>
            </w: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87,693</w:t>
            </w:r>
          </w:p>
        </w:tc>
        <w:tc>
          <w:tcPr>
            <w:tcW w:w="560" w:type="dxa"/>
            <w:vAlign w:val="bottom"/>
          </w:tcPr>
          <w:p>
            <w:pPr>
              <w:spacing w:after="0"/>
              <w:rPr>
                <w:sz w:val="17"/>
                <w:szCs w:val="17"/>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67,402</w:t>
            </w:r>
          </w:p>
        </w:tc>
        <w:tc>
          <w:tcPr>
            <w:tcW w:w="1480" w:type="dxa"/>
            <w:vAlign w:val="bottom"/>
            <w:gridSpan w:val="3"/>
          </w:tcPr>
          <w:p>
            <w:pPr>
              <w:jc w:val="right"/>
              <w:ind w:right="39"/>
              <w:spacing w:after="0"/>
              <w:rPr>
                <w:sz w:val="20"/>
                <w:szCs w:val="20"/>
                <w:color w:val="auto"/>
              </w:rPr>
            </w:pPr>
            <w:r>
              <w:rPr>
                <w:rFonts w:ascii="Arial" w:cs="Arial" w:eastAsia="Arial" w:hAnsi="Arial"/>
                <w:sz w:val="16"/>
                <w:szCs w:val="16"/>
                <w:color w:val="auto"/>
              </w:rPr>
              <w:t>37,644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62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10,817,555</w:t>
            </w:r>
          </w:p>
        </w:tc>
        <w:tc>
          <w:tcPr>
            <w:tcW w:w="2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9,992,027</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8,600,866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8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Interest and similar expense</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tcPr>
          <w:p>
            <w:pPr>
              <w:spacing w:after="0"/>
              <w:rPr>
                <w:sz w:val="20"/>
                <w:szCs w:val="20"/>
                <w:color w:val="auto"/>
              </w:rPr>
            </w:pPr>
            <w:r>
              <w:rPr>
                <w:rFonts w:ascii="Arial" w:cs="Arial" w:eastAsia="Arial" w:hAnsi="Arial"/>
                <w:sz w:val="16"/>
                <w:szCs w:val="16"/>
                <w:color w:val="auto"/>
              </w:rPr>
              <w:t>Interest on deposits and obligations</w:t>
            </w:r>
          </w:p>
        </w:tc>
        <w:tc>
          <w:tcPr>
            <w:tcW w:w="1060" w:type="dxa"/>
            <w:vAlign w:val="bottom"/>
            <w:gridSpan w:val="2"/>
          </w:tcPr>
          <w:p>
            <w:pPr>
              <w:jc w:val="right"/>
              <w:ind w:right="99"/>
              <w:spacing w:after="0"/>
              <w:rPr>
                <w:sz w:val="20"/>
                <w:szCs w:val="20"/>
                <w:color w:val="auto"/>
              </w:rPr>
            </w:pPr>
            <w:r>
              <w:rPr>
                <w:rFonts w:ascii="Arial" w:cs="Arial" w:eastAsia="Arial" w:hAnsi="Arial"/>
                <w:sz w:val="16"/>
                <w:szCs w:val="16"/>
                <w:color w:val="auto"/>
              </w:rPr>
              <w:t>(1,062,751)</w:t>
            </w:r>
          </w:p>
        </w:tc>
        <w:tc>
          <w:tcPr>
            <w:tcW w:w="560" w:type="dxa"/>
            <w:vAlign w:val="bottom"/>
          </w:tcPr>
          <w:p>
            <w:pPr>
              <w:spacing w:after="0"/>
              <w:rPr>
                <w:sz w:val="16"/>
                <w:szCs w:val="16"/>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(859,797)</w:t>
            </w: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(831,350)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on bonds and notes issued</w:t>
            </w:r>
          </w:p>
        </w:tc>
        <w:tc>
          <w:tcPr>
            <w:tcW w:w="10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(805,351)</w:t>
            </w:r>
          </w:p>
        </w:tc>
        <w:tc>
          <w:tcPr>
            <w:tcW w:w="5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(753,174)</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(749,691)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tcPr>
          <w:p>
            <w:pPr>
              <w:spacing w:after="0"/>
              <w:rPr>
                <w:sz w:val="20"/>
                <w:szCs w:val="20"/>
                <w:color w:val="auto"/>
              </w:rPr>
            </w:pPr>
            <w:r>
              <w:rPr>
                <w:rFonts w:ascii="Arial" w:cs="Arial" w:eastAsia="Arial" w:hAnsi="Arial"/>
                <w:sz w:val="16"/>
                <w:szCs w:val="16"/>
                <w:color w:val="auto"/>
              </w:rPr>
              <w:t>Interest on due to banks and correspondents</w:t>
            </w:r>
          </w:p>
        </w:tc>
        <w:tc>
          <w:tcPr>
            <w:tcW w:w="1060" w:type="dxa"/>
            <w:vAlign w:val="bottom"/>
            <w:gridSpan w:val="2"/>
          </w:tcPr>
          <w:p>
            <w:pPr>
              <w:jc w:val="right"/>
              <w:ind w:right="99"/>
              <w:spacing w:after="0"/>
              <w:rPr>
                <w:sz w:val="20"/>
                <w:szCs w:val="20"/>
                <w:color w:val="auto"/>
              </w:rPr>
            </w:pPr>
            <w:r>
              <w:rPr>
                <w:rFonts w:ascii="Arial" w:cs="Arial" w:eastAsia="Arial" w:hAnsi="Arial"/>
                <w:sz w:val="16"/>
                <w:szCs w:val="16"/>
                <w:color w:val="auto"/>
              </w:rPr>
              <w:t>(822,514)</w:t>
            </w:r>
          </w:p>
        </w:tc>
        <w:tc>
          <w:tcPr>
            <w:tcW w:w="560" w:type="dxa"/>
            <w:vAlign w:val="bottom"/>
          </w:tcPr>
          <w:p>
            <w:pPr>
              <w:spacing w:after="0"/>
              <w:rPr>
                <w:sz w:val="16"/>
                <w:szCs w:val="16"/>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(758,396)</w:t>
            </w: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(420,617)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interest and similar expense</w:t>
            </w:r>
          </w:p>
        </w:tc>
        <w:tc>
          <w:tcPr>
            <w:tcW w:w="10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(224,098)</w:t>
            </w:r>
          </w:p>
        </w:tc>
        <w:tc>
          <w:tcPr>
            <w:tcW w:w="5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(155,766)</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(189,404)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6260" w:type="dxa"/>
            <w:vAlign w:val="bottom"/>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(2,914,714</w:t>
            </w:r>
          </w:p>
        </w:tc>
        <w:tc>
          <w:tcPr>
            <w:tcW w:w="240" w:type="dxa"/>
            <w:vAlign w:val="bottom"/>
          </w:tcPr>
          <w:p>
            <w:pPr>
              <w:jc w:val="right"/>
              <w:ind w:right="99"/>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(2,527,133</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(2,191,062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379"/>
        </w:trPr>
        <w:tc>
          <w:tcPr>
            <w:tcW w:w="500" w:type="dxa"/>
            <w:vAlign w:val="bottom"/>
            <w:gridSpan w:val="2"/>
          </w:tcPr>
          <w:p>
            <w:pPr>
              <w:spacing w:after="0"/>
              <w:rPr>
                <w:sz w:val="20"/>
                <w:szCs w:val="20"/>
                <w:color w:val="auto"/>
              </w:rPr>
            </w:pPr>
            <w:r>
              <w:rPr>
                <w:rFonts w:ascii="Arial" w:cs="Arial" w:eastAsia="Arial" w:hAnsi="Arial"/>
                <w:sz w:val="16"/>
                <w:szCs w:val="16"/>
                <w:b w:val="1"/>
                <w:bCs w:val="1"/>
                <w:color w:val="auto"/>
              </w:rPr>
              <w:t>23</w:t>
            </w:r>
          </w:p>
        </w:tc>
        <w:tc>
          <w:tcPr>
            <w:tcW w:w="6820" w:type="dxa"/>
            <w:vAlign w:val="bottom"/>
            <w:gridSpan w:val="2"/>
          </w:tcPr>
          <w:p>
            <w:pPr>
              <w:ind w:left="80"/>
              <w:spacing w:after="0"/>
              <w:rPr>
                <w:sz w:val="20"/>
                <w:szCs w:val="20"/>
                <w:color w:val="auto"/>
              </w:rPr>
            </w:pPr>
            <w:r>
              <w:rPr>
                <w:rFonts w:ascii="Arial" w:cs="Arial" w:eastAsia="Arial" w:hAnsi="Arial"/>
                <w:sz w:val="16"/>
                <w:szCs w:val="16"/>
                <w:b w:val="1"/>
                <w:bCs w:val="1"/>
                <w:color w:val="auto"/>
              </w:rPr>
              <w:t>COMMISSIONS AND FEES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320" w:type="dxa"/>
            <w:vAlign w:val="bottom"/>
            <w:gridSpan w:val="4"/>
          </w:tcPr>
          <w:p>
            <w:pPr>
              <w:spacing w:after="0"/>
              <w:rPr>
                <w:sz w:val="20"/>
                <w:szCs w:val="20"/>
                <w:color w:val="auto"/>
              </w:rPr>
            </w:pPr>
            <w:r>
              <w:rPr>
                <w:rFonts w:ascii="Arial" w:cs="Arial" w:eastAsia="Arial" w:hAnsi="Arial"/>
                <w:sz w:val="16"/>
                <w:szCs w:val="16"/>
                <w:color w:val="auto"/>
              </w:rPr>
              <w:t>This item consists of the following:</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20" w:type="dxa"/>
            <w:vAlign w:val="bottom"/>
            <w:gridSpan w:val="2"/>
          </w:tcPr>
          <w:p>
            <w:pPr>
              <w:ind w:left="6260"/>
              <w:spacing w:after="0"/>
              <w:rPr>
                <w:sz w:val="20"/>
                <w:szCs w:val="20"/>
                <w:color w:val="auto"/>
              </w:rPr>
            </w:pPr>
            <w:r>
              <w:rPr>
                <w:rFonts w:ascii="Arial" w:cs="Arial" w:eastAsia="Arial" w:hAnsi="Arial"/>
                <w:sz w:val="16"/>
                <w:szCs w:val="16"/>
                <w:b w:val="1"/>
                <w:bCs w:val="1"/>
                <w:color w:val="auto"/>
              </w:rPr>
              <w:t>2016</w:t>
            </w:r>
          </w:p>
        </w:tc>
        <w:tc>
          <w:tcPr>
            <w:tcW w:w="1620" w:type="dxa"/>
            <w:vAlign w:val="bottom"/>
            <w:gridSpan w:val="3"/>
          </w:tcPr>
          <w:p>
            <w:pPr>
              <w:ind w:left="1060"/>
              <w:spacing w:after="0"/>
              <w:rPr>
                <w:sz w:val="20"/>
                <w:szCs w:val="20"/>
                <w:color w:val="auto"/>
              </w:rPr>
            </w:pPr>
            <w:r>
              <w:rPr>
                <w:rFonts w:ascii="Arial" w:cs="Arial" w:eastAsia="Arial" w:hAnsi="Arial"/>
                <w:sz w:val="16"/>
                <w:szCs w:val="16"/>
                <w:b w:val="1"/>
                <w:bCs w:val="1"/>
                <w:color w:val="auto"/>
              </w:rPr>
              <w:t>2015</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7300" w:type="dxa"/>
            <w:vAlign w:val="bottom"/>
            <w:gridSpan w:val="3"/>
          </w:tcPr>
          <w:p>
            <w:pPr>
              <w:spacing w:after="0"/>
              <w:rPr>
                <w:sz w:val="15"/>
                <w:szCs w:val="15"/>
                <w:color w:val="auto"/>
              </w:rPr>
            </w:pPr>
          </w:p>
        </w:tc>
        <w:tc>
          <w:tcPr>
            <w:tcW w:w="106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Maintenance of accounts, transfers and credit and debit card services</w:t>
            </w: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1,146,082</w:t>
            </w: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1,128,067</w:t>
            </w:r>
          </w:p>
        </w:tc>
        <w:tc>
          <w:tcPr>
            <w:tcW w:w="22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1,236,722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tcPr>
          <w:p>
            <w:pPr>
              <w:spacing w:after="0"/>
              <w:rPr>
                <w:sz w:val="20"/>
                <w:szCs w:val="20"/>
                <w:color w:val="auto"/>
              </w:rPr>
            </w:pPr>
            <w:r>
              <w:rPr>
                <w:rFonts w:ascii="Arial" w:cs="Arial" w:eastAsia="Arial" w:hAnsi="Arial"/>
                <w:sz w:val="16"/>
                <w:szCs w:val="16"/>
                <w:color w:val="auto"/>
              </w:rPr>
              <w:t>Funds management</w:t>
            </w: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467,558</w:t>
            </w:r>
          </w:p>
        </w:tc>
        <w:tc>
          <w:tcPr>
            <w:tcW w:w="560" w:type="dxa"/>
            <w:vAlign w:val="bottom"/>
          </w:tcPr>
          <w:p>
            <w:pPr>
              <w:spacing w:after="0"/>
              <w:rPr>
                <w:sz w:val="16"/>
                <w:szCs w:val="16"/>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476,277</w:t>
            </w:r>
          </w:p>
        </w:tc>
        <w:tc>
          <w:tcPr>
            <w:tcW w:w="1480" w:type="dxa"/>
            <w:vAlign w:val="bottom"/>
            <w:gridSpan w:val="3"/>
          </w:tcPr>
          <w:p>
            <w:pPr>
              <w:jc w:val="right"/>
              <w:ind w:right="39"/>
              <w:spacing w:after="0"/>
              <w:rPr>
                <w:sz w:val="20"/>
                <w:szCs w:val="20"/>
                <w:color w:val="auto"/>
              </w:rPr>
            </w:pPr>
            <w:r>
              <w:rPr>
                <w:rFonts w:ascii="Arial" w:cs="Arial" w:eastAsia="Arial" w:hAnsi="Arial"/>
                <w:sz w:val="16"/>
                <w:szCs w:val="16"/>
                <w:color w:val="auto"/>
              </w:rPr>
              <w:t>452,956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Contingent loan and foreign trade fees</w:t>
            </w: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260,704</w:t>
            </w:r>
          </w:p>
        </w:tc>
        <w:tc>
          <w:tcPr>
            <w:tcW w:w="5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214,501</w:t>
            </w:r>
          </w:p>
        </w:tc>
        <w:tc>
          <w:tcPr>
            <w:tcW w:w="14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195,565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tcPr>
          <w:p>
            <w:pPr>
              <w:spacing w:after="0"/>
              <w:rPr>
                <w:sz w:val="20"/>
                <w:szCs w:val="20"/>
                <w:color w:val="auto"/>
              </w:rPr>
            </w:pPr>
            <w:r>
              <w:rPr>
                <w:rFonts w:ascii="Arial" w:cs="Arial" w:eastAsia="Arial" w:hAnsi="Arial"/>
                <w:sz w:val="16"/>
                <w:szCs w:val="16"/>
                <w:color w:val="auto"/>
              </w:rPr>
              <w:t>Collection services</w:t>
            </w: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331,885</w:t>
            </w:r>
          </w:p>
        </w:tc>
        <w:tc>
          <w:tcPr>
            <w:tcW w:w="560" w:type="dxa"/>
            <w:vAlign w:val="bottom"/>
          </w:tcPr>
          <w:p>
            <w:pPr>
              <w:spacing w:after="0"/>
              <w:rPr>
                <w:sz w:val="16"/>
                <w:szCs w:val="16"/>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344,375</w:t>
            </w:r>
          </w:p>
        </w:tc>
        <w:tc>
          <w:tcPr>
            <w:tcW w:w="1480" w:type="dxa"/>
            <w:vAlign w:val="bottom"/>
            <w:gridSpan w:val="3"/>
          </w:tcPr>
          <w:p>
            <w:pPr>
              <w:jc w:val="right"/>
              <w:ind w:right="39"/>
              <w:spacing w:after="0"/>
              <w:rPr>
                <w:sz w:val="20"/>
                <w:szCs w:val="20"/>
                <w:color w:val="auto"/>
              </w:rPr>
            </w:pPr>
            <w:r>
              <w:rPr>
                <w:rFonts w:ascii="Arial" w:cs="Arial" w:eastAsia="Arial" w:hAnsi="Arial"/>
                <w:sz w:val="16"/>
                <w:szCs w:val="16"/>
                <w:color w:val="auto"/>
              </w:rPr>
              <w:t>262,689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Commissions for banking services</w:t>
            </w: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202,863</w:t>
            </w:r>
          </w:p>
        </w:tc>
        <w:tc>
          <w:tcPr>
            <w:tcW w:w="5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215,478</w:t>
            </w:r>
          </w:p>
        </w:tc>
        <w:tc>
          <w:tcPr>
            <w:tcW w:w="14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117,634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gridSpan w:val="3"/>
          </w:tcPr>
          <w:p>
            <w:pPr>
              <w:spacing w:after="0"/>
              <w:rPr>
                <w:sz w:val="20"/>
                <w:szCs w:val="20"/>
                <w:color w:val="auto"/>
              </w:rPr>
            </w:pPr>
            <w:r>
              <w:rPr>
                <w:rFonts w:ascii="Arial" w:cs="Arial" w:eastAsia="Arial" w:hAnsi="Arial"/>
                <w:sz w:val="16"/>
                <w:szCs w:val="16"/>
                <w:color w:val="auto"/>
              </w:rPr>
              <w:t>Brokerage, securities and custody services</w:t>
            </w: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166,581</w:t>
            </w:r>
          </w:p>
        </w:tc>
        <w:tc>
          <w:tcPr>
            <w:tcW w:w="560" w:type="dxa"/>
            <w:vAlign w:val="bottom"/>
          </w:tcPr>
          <w:p>
            <w:pPr>
              <w:spacing w:after="0"/>
              <w:rPr>
                <w:sz w:val="16"/>
                <w:szCs w:val="16"/>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70,437</w:t>
            </w:r>
          </w:p>
        </w:tc>
        <w:tc>
          <w:tcPr>
            <w:tcW w:w="1480" w:type="dxa"/>
            <w:vAlign w:val="bottom"/>
            <w:gridSpan w:val="3"/>
          </w:tcPr>
          <w:p>
            <w:pPr>
              <w:jc w:val="right"/>
              <w:ind w:right="39"/>
              <w:spacing w:after="0"/>
              <w:rPr>
                <w:sz w:val="20"/>
                <w:szCs w:val="20"/>
                <w:color w:val="auto"/>
              </w:rPr>
            </w:pPr>
            <w:r>
              <w:rPr>
                <w:rFonts w:ascii="Arial" w:cs="Arial" w:eastAsia="Arial" w:hAnsi="Arial"/>
                <w:sz w:val="16"/>
                <w:szCs w:val="16"/>
                <w:color w:val="auto"/>
              </w:rPr>
              <w:t>137,159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6"/>
                <w:szCs w:val="16"/>
                <w:color w:val="auto"/>
                <w:w w:val="95"/>
              </w:rPr>
              <w:t>Others</w:t>
            </w:r>
          </w:p>
        </w:tc>
        <w:tc>
          <w:tcPr>
            <w:tcW w:w="6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195,888</w:t>
            </w:r>
          </w:p>
        </w:tc>
        <w:tc>
          <w:tcPr>
            <w:tcW w:w="5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195,056</w:t>
            </w:r>
          </w:p>
        </w:tc>
        <w:tc>
          <w:tcPr>
            <w:tcW w:w="14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119,104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Total</w:t>
            </w:r>
          </w:p>
        </w:tc>
        <w:tc>
          <w:tcPr>
            <w:tcW w:w="6260" w:type="dxa"/>
            <w:vAlign w:val="bottom"/>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2,771,561</w:t>
            </w:r>
          </w:p>
        </w:tc>
        <w:tc>
          <w:tcPr>
            <w:tcW w:w="240" w:type="dxa"/>
            <w:vAlign w:val="bottom"/>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2,644,191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2,521,829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ind w:left="5040"/>
              <w:spacing w:after="0"/>
              <w:rPr>
                <w:sz w:val="20"/>
                <w:szCs w:val="20"/>
                <w:color w:val="auto"/>
              </w:rPr>
            </w:pPr>
            <w:r>
              <w:rPr>
                <w:rFonts w:ascii="Arial" w:cs="Arial" w:eastAsia="Arial" w:hAnsi="Arial"/>
                <w:sz w:val="16"/>
                <w:szCs w:val="16"/>
                <w:color w:val="auto"/>
              </w:rPr>
              <w:t>- 97 -</w:t>
            </w: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4" w:right="219" w:bottom="1440" w:gutter="0" w:footer="0" w:header="0"/>
        </w:sectPr>
      </w:pPr>
    </w:p>
    <w:bookmarkStart w:id="102" w:name="page103"/>
    <w:bookmarkEnd w:id="102"/>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360" w:type="dxa"/>
            <w:vAlign w:val="bottom"/>
          </w:tcPr>
          <w:p>
            <w:pPr>
              <w:spacing w:after="0"/>
              <w:rPr>
                <w:sz w:val="20"/>
                <w:szCs w:val="20"/>
                <w:color w:val="auto"/>
              </w:rPr>
            </w:pPr>
            <w:r>
              <w:rPr>
                <w:rFonts w:ascii="Arial" w:cs="Arial" w:eastAsia="Arial" w:hAnsi="Arial"/>
                <w:sz w:val="16"/>
                <w:szCs w:val="16"/>
                <w:b w:val="1"/>
                <w:bCs w:val="1"/>
                <w:color w:val="auto"/>
              </w:rPr>
              <w:t>24</w:t>
            </w:r>
          </w:p>
        </w:tc>
        <w:tc>
          <w:tcPr>
            <w:tcW w:w="4820" w:type="dxa"/>
            <w:vAlign w:val="bottom"/>
            <w:gridSpan w:val="3"/>
          </w:tcPr>
          <w:p>
            <w:pPr>
              <w:ind w:left="220"/>
              <w:spacing w:after="0"/>
              <w:rPr>
                <w:sz w:val="20"/>
                <w:szCs w:val="20"/>
                <w:color w:val="auto"/>
              </w:rPr>
            </w:pPr>
            <w:r>
              <w:rPr>
                <w:rFonts w:ascii="Arial" w:cs="Arial" w:eastAsia="Arial" w:hAnsi="Arial"/>
                <w:sz w:val="16"/>
                <w:szCs w:val="16"/>
                <w:b w:val="1"/>
                <w:bCs w:val="1"/>
                <w:color w:val="auto"/>
              </w:rPr>
              <w:t>NET PREMIUMS EARNED</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87"/>
        </w:trPr>
        <w:tc>
          <w:tcPr>
            <w:tcW w:w="5180" w:type="dxa"/>
            <w:vAlign w:val="bottom"/>
            <w:gridSpan w:val="4"/>
          </w:tcPr>
          <w:p>
            <w:pPr>
              <w:spacing w:after="0"/>
              <w:rPr>
                <w:sz w:val="20"/>
                <w:szCs w:val="20"/>
                <w:color w:val="auto"/>
              </w:rPr>
            </w:pPr>
            <w:r>
              <w:rPr>
                <w:rFonts w:ascii="Arial" w:cs="Arial" w:eastAsia="Arial" w:hAnsi="Arial"/>
                <w:sz w:val="16"/>
                <w:szCs w:val="16"/>
                <w:color w:val="auto"/>
              </w:rPr>
              <w:t>This item consists of the following:</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1"/>
        </w:trPr>
        <w:tc>
          <w:tcPr>
            <w:tcW w:w="3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Premiums ceded</w:t>
            </w:r>
          </w:p>
        </w:tc>
        <w:tc>
          <w:tcPr>
            <w:tcW w:w="1380" w:type="dxa"/>
            <w:vAlign w:val="bottom"/>
          </w:tcPr>
          <w:p>
            <w:pPr>
              <w:spacing w:after="0"/>
              <w:rPr>
                <w:sz w:val="20"/>
                <w:szCs w:val="20"/>
                <w:color w:val="auto"/>
              </w:rPr>
            </w:pPr>
            <w:r>
              <w:rPr>
                <w:rFonts w:ascii="Arial" w:cs="Arial" w:eastAsia="Arial" w:hAnsi="Arial"/>
                <w:sz w:val="16"/>
                <w:szCs w:val="16"/>
                <w:b w:val="1"/>
                <w:bCs w:val="1"/>
                <w:color w:val="auto"/>
              </w:rPr>
              <w:t>Assumed from</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6"/>
                <w:szCs w:val="16"/>
                <w:b w:val="1"/>
                <w:bCs w:val="1"/>
                <w:color w:val="auto"/>
              </w:rPr>
              <w:t>Percentage of</w:t>
            </w:r>
          </w:p>
        </w:tc>
      </w:tr>
      <w:tr>
        <w:trPr>
          <w:trHeight w:val="193"/>
        </w:trPr>
        <w:tc>
          <w:tcPr>
            <w:tcW w:w="3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to reinsurers, net</w:t>
            </w:r>
          </w:p>
        </w:tc>
        <w:tc>
          <w:tcPr>
            <w:tcW w:w="1380" w:type="dxa"/>
            <w:vAlign w:val="bottom"/>
          </w:tcPr>
          <w:p>
            <w:pPr>
              <w:spacing w:after="0"/>
              <w:rPr>
                <w:sz w:val="20"/>
                <w:szCs w:val="20"/>
                <w:color w:val="auto"/>
              </w:rPr>
            </w:pPr>
            <w:r>
              <w:rPr>
                <w:rFonts w:ascii="Arial" w:cs="Arial" w:eastAsia="Arial" w:hAnsi="Arial"/>
                <w:sz w:val="16"/>
                <w:szCs w:val="16"/>
                <w:b w:val="1"/>
                <w:bCs w:val="1"/>
                <w:color w:val="auto"/>
              </w:rPr>
              <w:t>other</w:t>
            </w:r>
          </w:p>
        </w:tc>
        <w:tc>
          <w:tcPr>
            <w:tcW w:w="1800" w:type="dxa"/>
            <w:vAlign w:val="bottom"/>
            <w:gridSpan w:val="3"/>
          </w:tcPr>
          <w:p>
            <w:pPr>
              <w:ind w:left="220"/>
              <w:spacing w:after="0"/>
              <w:rPr>
                <w:sz w:val="20"/>
                <w:szCs w:val="20"/>
                <w:color w:val="auto"/>
              </w:rPr>
            </w:pPr>
            <w:r>
              <w:rPr>
                <w:rFonts w:ascii="Arial" w:cs="Arial" w:eastAsia="Arial" w:hAnsi="Arial"/>
                <w:sz w:val="16"/>
                <w:szCs w:val="16"/>
                <w:b w:val="1"/>
                <w:bCs w:val="1"/>
                <w:color w:val="auto"/>
              </w:rPr>
              <w:t>Net premiums</w:t>
            </w:r>
          </w:p>
        </w:tc>
        <w:tc>
          <w:tcPr>
            <w:tcW w:w="1360" w:type="dxa"/>
            <w:vAlign w:val="bottom"/>
          </w:tcPr>
          <w:p>
            <w:pPr>
              <w:spacing w:after="0"/>
              <w:rPr>
                <w:sz w:val="20"/>
                <w:szCs w:val="20"/>
                <w:color w:val="auto"/>
              </w:rPr>
            </w:pPr>
            <w:r>
              <w:rPr>
                <w:rFonts w:ascii="Arial" w:cs="Arial" w:eastAsia="Arial" w:hAnsi="Arial"/>
                <w:sz w:val="16"/>
                <w:szCs w:val="16"/>
                <w:b w:val="1"/>
                <w:bCs w:val="1"/>
                <w:color w:val="auto"/>
              </w:rPr>
              <w:t>assumed net</w:t>
            </w:r>
          </w:p>
        </w:tc>
      </w:tr>
      <w:tr>
        <w:trPr>
          <w:trHeight w:val="210"/>
        </w:trPr>
        <w:tc>
          <w:tcPr>
            <w:tcW w:w="3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6"/>
                <w:szCs w:val="16"/>
                <w:b w:val="1"/>
                <w:bCs w:val="1"/>
                <w:color w:val="auto"/>
              </w:rPr>
              <w:t>Gross premiums (*)</w:t>
            </w:r>
          </w:p>
        </w:tc>
        <w:tc>
          <w:tcPr>
            <w:tcW w:w="1400" w:type="dxa"/>
            <w:vAlign w:val="bottom"/>
          </w:tcPr>
          <w:p>
            <w:pPr>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6"/>
                <w:szCs w:val="16"/>
                <w:b w:val="1"/>
                <w:bCs w:val="1"/>
                <w:color w:val="auto"/>
              </w:rPr>
              <w:t>companies, net</w:t>
            </w:r>
          </w:p>
        </w:tc>
        <w:tc>
          <w:tcPr>
            <w:tcW w:w="1800" w:type="dxa"/>
            <w:vAlign w:val="bottom"/>
            <w:gridSpan w:val="3"/>
          </w:tcPr>
          <w:p>
            <w:pPr>
              <w:ind w:left="220"/>
              <w:spacing w:after="0"/>
              <w:rPr>
                <w:sz w:val="20"/>
                <w:szCs w:val="20"/>
                <w:color w:val="auto"/>
              </w:rPr>
            </w:pPr>
            <w:r>
              <w:rPr>
                <w:rFonts w:ascii="Arial" w:cs="Arial" w:eastAsia="Arial" w:hAnsi="Arial"/>
                <w:sz w:val="16"/>
                <w:szCs w:val="16"/>
                <w:b w:val="1"/>
                <w:bCs w:val="1"/>
                <w:color w:val="auto"/>
              </w:rPr>
              <w:t>earned</w:t>
            </w:r>
          </w:p>
        </w:tc>
        <w:tc>
          <w:tcPr>
            <w:tcW w:w="1360" w:type="dxa"/>
            <w:vAlign w:val="bottom"/>
          </w:tcPr>
          <w:p>
            <w:pPr>
              <w:spacing w:after="0"/>
              <w:rPr>
                <w:sz w:val="20"/>
                <w:szCs w:val="20"/>
                <w:color w:val="auto"/>
              </w:rPr>
            </w:pPr>
            <w:r>
              <w:rPr>
                <w:rFonts w:ascii="Arial" w:cs="Arial" w:eastAsia="Arial" w:hAnsi="Arial"/>
                <w:sz w:val="16"/>
                <w:szCs w:val="16"/>
                <w:b w:val="1"/>
                <w:bCs w:val="1"/>
                <w:color w:val="auto"/>
              </w:rPr>
              <w:t>premiums</w:t>
            </w:r>
          </w:p>
        </w:tc>
      </w:tr>
      <w:tr>
        <w:trPr>
          <w:trHeight w:val="186"/>
        </w:trPr>
        <w:tc>
          <w:tcPr>
            <w:tcW w:w="3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40" w:type="dxa"/>
            <w:vAlign w:val="bottom"/>
          </w:tcPr>
          <w:p>
            <w:pPr>
              <w:spacing w:after="0"/>
              <w:rPr>
                <w:sz w:val="16"/>
                <w:szCs w:val="16"/>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6"/>
                <w:szCs w:val="16"/>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r>
    </w:tbl>
    <w:p>
      <w:pPr>
        <w:spacing w:after="0" w:line="9"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2016</w:t>
            </w: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Life insurance</w:t>
            </w:r>
          </w:p>
        </w:tc>
        <w:tc>
          <w:tcPr>
            <w:tcW w:w="1380" w:type="dxa"/>
            <w:vAlign w:val="bottom"/>
          </w:tcPr>
          <w:p>
            <w:pPr>
              <w:jc w:val="right"/>
              <w:spacing w:after="0"/>
              <w:rPr>
                <w:sz w:val="20"/>
                <w:szCs w:val="20"/>
                <w:color w:val="auto"/>
              </w:rPr>
            </w:pPr>
            <w:r>
              <w:rPr>
                <w:rFonts w:ascii="Arial" w:cs="Arial" w:eastAsia="Arial" w:hAnsi="Arial"/>
                <w:sz w:val="16"/>
                <w:szCs w:val="16"/>
                <w:color w:val="auto"/>
              </w:rPr>
              <w:t>876,315</w:t>
            </w:r>
          </w:p>
        </w:tc>
        <w:tc>
          <w:tcPr>
            <w:tcW w:w="240" w:type="dxa"/>
            <w:vAlign w:val="bottom"/>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(37,725)</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838,590</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Health insurance</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415,152</w:t>
            </w:r>
          </w:p>
        </w:tc>
        <w:tc>
          <w:tcPr>
            <w:tcW w:w="2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(10,011)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405,329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General insurance</w:t>
            </w:r>
          </w:p>
        </w:tc>
        <w:tc>
          <w:tcPr>
            <w:tcW w:w="1380" w:type="dxa"/>
            <w:vAlign w:val="bottom"/>
          </w:tcPr>
          <w:p>
            <w:pPr>
              <w:jc w:val="right"/>
              <w:spacing w:after="0"/>
              <w:rPr>
                <w:sz w:val="20"/>
                <w:szCs w:val="20"/>
                <w:color w:val="auto"/>
              </w:rPr>
            </w:pPr>
            <w:r>
              <w:rPr>
                <w:rFonts w:ascii="Arial" w:cs="Arial" w:eastAsia="Arial" w:hAnsi="Arial"/>
                <w:sz w:val="16"/>
                <w:szCs w:val="16"/>
                <w:color w:val="auto"/>
              </w:rPr>
              <w:t>1,005,426</w:t>
            </w:r>
          </w:p>
        </w:tc>
        <w:tc>
          <w:tcPr>
            <w:tcW w:w="24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(455,850)</w:t>
            </w:r>
          </w:p>
        </w:tc>
        <w:tc>
          <w:tcPr>
            <w:tcW w:w="1380" w:type="dxa"/>
            <w:vAlign w:val="bottom"/>
          </w:tcPr>
          <w:p>
            <w:pPr>
              <w:jc w:val="right"/>
              <w:spacing w:after="0"/>
              <w:rPr>
                <w:sz w:val="20"/>
                <w:szCs w:val="20"/>
                <w:color w:val="auto"/>
              </w:rPr>
            </w:pPr>
            <w:r>
              <w:rPr>
                <w:rFonts w:ascii="Arial" w:cs="Arial" w:eastAsia="Arial" w:hAnsi="Arial"/>
                <w:sz w:val="16"/>
                <w:szCs w:val="16"/>
                <w:color w:val="auto"/>
              </w:rPr>
              <w:t>5,620</w:t>
            </w:r>
          </w:p>
        </w:tc>
        <w:tc>
          <w:tcPr>
            <w:tcW w:w="22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555,196</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2,296,893</w:t>
            </w:r>
          </w:p>
        </w:tc>
        <w:tc>
          <w:tcPr>
            <w:tcW w:w="24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(503,586</w:t>
            </w:r>
          </w:p>
        </w:tc>
        <w:tc>
          <w:tcPr>
            <w:tcW w:w="200" w:type="dxa"/>
            <w:vAlign w:val="bottom"/>
            <w:tcBorders>
              <w:top w:val="single" w:sz="8" w:color="CCEEFF"/>
            </w:tcBorders>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5,808</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1,799,115</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b w:val="1"/>
                <w:bCs w:val="1"/>
                <w:color w:val="auto"/>
              </w:rPr>
              <w:t>2015</w:t>
            </w: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Life insurance</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857,576</w:t>
            </w:r>
          </w:p>
        </w:tc>
        <w:tc>
          <w:tcPr>
            <w:tcW w:w="2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(36,971)</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820,605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Health insurance</w:t>
            </w:r>
          </w:p>
        </w:tc>
        <w:tc>
          <w:tcPr>
            <w:tcW w:w="1380" w:type="dxa"/>
            <w:vAlign w:val="bottom"/>
          </w:tcPr>
          <w:p>
            <w:pPr>
              <w:jc w:val="right"/>
              <w:spacing w:after="0"/>
              <w:rPr>
                <w:sz w:val="20"/>
                <w:szCs w:val="20"/>
                <w:color w:val="auto"/>
              </w:rPr>
            </w:pPr>
            <w:r>
              <w:rPr>
                <w:rFonts w:ascii="Arial" w:cs="Arial" w:eastAsia="Arial" w:hAnsi="Arial"/>
                <w:sz w:val="16"/>
                <w:szCs w:val="16"/>
                <w:color w:val="auto"/>
              </w:rPr>
              <w:t>388,002</w:t>
            </w:r>
          </w:p>
        </w:tc>
        <w:tc>
          <w:tcPr>
            <w:tcW w:w="240" w:type="dxa"/>
            <w:vAlign w:val="bottom"/>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(9,186)</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700</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379,516</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General insurance</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948,177</w:t>
            </w:r>
          </w:p>
        </w:tc>
        <w:tc>
          <w:tcPr>
            <w:tcW w:w="2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(423,955)</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9,635</w:t>
            </w:r>
          </w:p>
        </w:tc>
        <w:tc>
          <w:tcPr>
            <w:tcW w:w="2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533,857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2,193,755</w:t>
            </w:r>
          </w:p>
        </w:tc>
        <w:tc>
          <w:tcPr>
            <w:tcW w:w="240" w:type="dxa"/>
            <w:vAlign w:val="bottom"/>
            <w:tcBorders>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(470,112</w:t>
            </w:r>
          </w:p>
        </w:tc>
        <w:tc>
          <w:tcPr>
            <w:tcW w:w="200" w:type="dxa"/>
            <w:vAlign w:val="bottom"/>
            <w:tcBorders>
              <w:bottom w:val="single" w:sz="8" w:color="CCEEFF"/>
            </w:tcBorders>
          </w:tcPr>
          <w:p>
            <w:pPr>
              <w:jc w:val="right"/>
              <w:ind w:right="120"/>
              <w:spacing w:after="0"/>
              <w:rPr>
                <w:sz w:val="20"/>
                <w:szCs w:val="20"/>
                <w:color w:val="auto"/>
              </w:rPr>
            </w:pPr>
            <w:r>
              <w:rPr>
                <w:rFonts w:ascii="Arial" w:cs="Arial" w:eastAsia="Arial" w:hAnsi="Arial"/>
                <w:sz w:val="8"/>
                <w:szCs w:val="8"/>
                <w:color w:val="auto"/>
                <w:w w:val="7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10,335</w:t>
            </w:r>
          </w:p>
        </w:tc>
        <w:tc>
          <w:tcPr>
            <w:tcW w:w="22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1,733,978</w:t>
            </w:r>
          </w:p>
        </w:tc>
        <w:tc>
          <w:tcPr>
            <w:tcW w:w="22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3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2014</w:t>
            </w: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Life insurance</w:t>
            </w:r>
          </w:p>
        </w:tc>
        <w:tc>
          <w:tcPr>
            <w:tcW w:w="1380" w:type="dxa"/>
            <w:vAlign w:val="bottom"/>
          </w:tcPr>
          <w:p>
            <w:pPr>
              <w:jc w:val="right"/>
              <w:spacing w:after="0"/>
              <w:rPr>
                <w:sz w:val="20"/>
                <w:szCs w:val="20"/>
                <w:color w:val="auto"/>
              </w:rPr>
            </w:pPr>
            <w:r>
              <w:rPr>
                <w:rFonts w:ascii="Arial" w:cs="Arial" w:eastAsia="Arial" w:hAnsi="Arial"/>
                <w:sz w:val="16"/>
                <w:szCs w:val="16"/>
                <w:color w:val="auto"/>
              </w:rPr>
              <w:t>671,380</w:t>
            </w:r>
          </w:p>
        </w:tc>
        <w:tc>
          <w:tcPr>
            <w:tcW w:w="240" w:type="dxa"/>
            <w:vAlign w:val="bottom"/>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(33,626)</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637,754</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Health insurance</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1,078,211</w:t>
            </w:r>
          </w:p>
        </w:tc>
        <w:tc>
          <w:tcPr>
            <w:tcW w:w="2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(8,426)</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1,070,899</w:t>
            </w:r>
          </w:p>
        </w:tc>
        <w:tc>
          <w:tcPr>
            <w:tcW w:w="2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General insurance</w:t>
            </w:r>
          </w:p>
        </w:tc>
        <w:tc>
          <w:tcPr>
            <w:tcW w:w="1380" w:type="dxa"/>
            <w:vAlign w:val="bottom"/>
          </w:tcPr>
          <w:p>
            <w:pPr>
              <w:jc w:val="right"/>
              <w:spacing w:after="0"/>
              <w:rPr>
                <w:sz w:val="20"/>
                <w:szCs w:val="20"/>
                <w:color w:val="auto"/>
              </w:rPr>
            </w:pPr>
            <w:r>
              <w:rPr>
                <w:rFonts w:ascii="Arial" w:cs="Arial" w:eastAsia="Arial" w:hAnsi="Arial"/>
                <w:sz w:val="16"/>
                <w:szCs w:val="16"/>
                <w:color w:val="auto"/>
              </w:rPr>
              <w:t>909,207</w:t>
            </w:r>
          </w:p>
        </w:tc>
        <w:tc>
          <w:tcPr>
            <w:tcW w:w="24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(450,964)</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22,770</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481,013</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2,658,798</w:t>
            </w:r>
          </w:p>
        </w:tc>
        <w:tc>
          <w:tcPr>
            <w:tcW w:w="24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(493,016</w:t>
            </w:r>
          </w:p>
        </w:tc>
        <w:tc>
          <w:tcPr>
            <w:tcW w:w="200" w:type="dxa"/>
            <w:vAlign w:val="bottom"/>
            <w:tcBorders>
              <w:top w:val="single" w:sz="8" w:color="CCEEFF"/>
            </w:tcBorders>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23,884</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2,189,666</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283" w:hanging="283"/>
        <w:spacing w:after="0"/>
        <w:tabs>
          <w:tab w:leader="none" w:pos="28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Includes the annual variation of the unearned premiums and other technical reserves.</w:t>
      </w:r>
    </w:p>
    <w:p>
      <w:pPr>
        <w:spacing w:after="0" w:line="396" w:lineRule="exact"/>
        <w:rPr>
          <w:rFonts w:ascii="Arial" w:cs="Arial" w:eastAsia="Arial" w:hAnsi="Arial"/>
          <w:sz w:val="16"/>
          <w:szCs w:val="16"/>
          <w:color w:val="auto"/>
        </w:rPr>
      </w:pPr>
    </w:p>
    <w:p>
      <w:pPr>
        <w:ind w:left="5643" w:hanging="94"/>
        <w:spacing w:after="0"/>
        <w:tabs>
          <w:tab w:leader="none" w:pos="5643" w:val="left"/>
        </w:tabs>
        <w:numPr>
          <w:ilvl w:val="1"/>
          <w:numId w:val="108"/>
        </w:numPr>
        <w:rPr>
          <w:rFonts w:ascii="Arial" w:cs="Arial" w:eastAsia="Arial" w:hAnsi="Arial"/>
          <w:sz w:val="16"/>
          <w:szCs w:val="16"/>
          <w:color w:val="auto"/>
        </w:rPr>
      </w:pPr>
      <w:r>
        <w:rPr>
          <w:rFonts w:ascii="Arial" w:cs="Arial" w:eastAsia="Arial" w:hAnsi="Arial"/>
          <w:sz w:val="16"/>
          <w:szCs w:val="16"/>
          <w:color w:val="auto"/>
        </w:rPr>
        <w:t>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4" w:right="2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6"/>
        </w:trPr>
        <w:tc>
          <w:tcPr>
            <w:tcW w:w="5660" w:type="dxa"/>
            <w:vAlign w:val="bottom"/>
            <w:gridSpan w:val="2"/>
          </w:tcPr>
          <w:p>
            <w:pPr>
              <w:spacing w:after="0"/>
              <w:rPr>
                <w:sz w:val="20"/>
                <w:szCs w:val="20"/>
                <w:color w:val="auto"/>
              </w:rPr>
            </w:pPr>
            <w:r>
              <w:rPr>
                <w:rFonts w:ascii="Arial" w:cs="Arial" w:eastAsia="Arial" w:hAnsi="Arial"/>
                <w:sz w:val="16"/>
                <w:szCs w:val="16"/>
                <w:color w:val="auto"/>
              </w:rPr>
              <w:t>(**) “Premiums ceded to reinsurers, net” includes: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99"/>
        </w:trPr>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2015</w:t>
            </w:r>
          </w:p>
        </w:tc>
        <w:tc>
          <w:tcPr>
            <w:tcW w:w="16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24"/>
                <w:szCs w:val="24"/>
                <w:color w:val="auto"/>
              </w:rPr>
            </w:pPr>
          </w:p>
        </w:tc>
      </w:tr>
      <w:tr>
        <w:trPr>
          <w:trHeight w:val="186"/>
        </w:trPr>
        <w:tc>
          <w:tcPr>
            <w:tcW w:w="5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60" w:type="dxa"/>
            <w:vAlign w:val="bottom"/>
          </w:tcPr>
          <w:p>
            <w:pPr>
              <w:spacing w:after="0"/>
              <w:rPr>
                <w:sz w:val="16"/>
                <w:szCs w:val="16"/>
                <w:color w:val="auto"/>
              </w:rPr>
            </w:pP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6"/>
                <w:szCs w:val="16"/>
                <w:color w:val="auto"/>
              </w:rPr>
            </w:pPr>
          </w:p>
        </w:tc>
      </w:tr>
      <w:tr>
        <w:trPr>
          <w:trHeight w:val="193"/>
        </w:trPr>
        <w:tc>
          <w:tcPr>
            <w:tcW w:w="58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w w:val="96"/>
              </w:rPr>
              <w:t>Premiums ceded for automatic contracts (mainly excess of loss), note 9(b)</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(201,892)</w:t>
            </w:r>
          </w:p>
        </w:tc>
        <w:tc>
          <w:tcPr>
            <w:tcW w:w="12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(145,618)</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(143,041)</w:t>
            </w:r>
          </w:p>
        </w:tc>
      </w:tr>
      <w:tr>
        <w:trPr>
          <w:trHeight w:val="193"/>
        </w:trPr>
        <w:tc>
          <w:tcPr>
            <w:tcW w:w="58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Arial" w:cs="Arial" w:eastAsia="Arial" w:hAnsi="Arial"/>
                <w:sz w:val="16"/>
                <w:szCs w:val="16"/>
                <w:color w:val="auto"/>
              </w:rPr>
              <w:t>Premiums ceded for facultative contracts, note 9(b)</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(292,555)</w:t>
            </w:r>
          </w:p>
        </w:tc>
        <w:tc>
          <w:tcPr>
            <w:tcW w:w="1240" w:type="dxa"/>
            <w:vAlign w:val="bottom"/>
            <w:gridSpan w:val="3"/>
          </w:tcPr>
          <w:p>
            <w:pPr>
              <w:jc w:val="right"/>
              <w:ind w:right="19"/>
              <w:spacing w:after="0"/>
              <w:rPr>
                <w:sz w:val="20"/>
                <w:szCs w:val="20"/>
                <w:color w:val="auto"/>
              </w:rPr>
            </w:pPr>
            <w:r>
              <w:rPr>
                <w:rFonts w:ascii="Arial" w:cs="Arial" w:eastAsia="Arial" w:hAnsi="Arial"/>
                <w:sz w:val="16"/>
                <w:szCs w:val="16"/>
                <w:color w:val="auto"/>
              </w:rPr>
              <w:t>(331,329)</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(314,624)</w:t>
            </w:r>
          </w:p>
        </w:tc>
      </w:tr>
      <w:tr>
        <w:trPr>
          <w:trHeight w:val="205"/>
        </w:trPr>
        <w:tc>
          <w:tcPr>
            <w:tcW w:w="58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Annual variation for unearned premiums ceded reserves, note 9(b)</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(9,139)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6,835</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(35,351)</w:t>
            </w:r>
          </w:p>
        </w:tc>
      </w:tr>
      <w:tr>
        <w:trPr>
          <w:trHeight w:val="185"/>
        </w:trPr>
        <w:tc>
          <w:tcPr>
            <w:tcW w:w="5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(503,586</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(470,112</w:t>
            </w:r>
          </w:p>
        </w:tc>
        <w:tc>
          <w:tcPr>
            <w:tcW w:w="160" w:type="dxa"/>
            <w:vAlign w:val="bottom"/>
          </w:tcPr>
          <w:p>
            <w:pPr>
              <w:jc w:val="right"/>
              <w:ind w:right="19"/>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(493,016</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5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Gross premiums earned by insurance type and their participation in total gross premiums are described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0" w:type="dxa"/>
            <w:vAlign w:val="bottom"/>
            <w:gridSpan w:val="2"/>
          </w:tcPr>
          <w:p>
            <w:pPr>
              <w:ind w:left="120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100" w:type="dxa"/>
            <w:vAlign w:val="bottom"/>
            <w:tcBorders>
              <w:top w:val="single" w:sz="8" w:color="auto"/>
            </w:tcBorders>
            <w:gridSpan w:val="2"/>
          </w:tcPr>
          <w:p>
            <w:pPr>
              <w:jc w:val="right"/>
              <w:ind w:right="7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3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8"/>
              </w:rPr>
              <w:t>%</w:t>
            </w: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100" w:type="dxa"/>
            <w:vAlign w:val="bottom"/>
            <w:tcBorders>
              <w:top w:val="single" w:sz="8" w:color="auto"/>
            </w:tcBorders>
            <w:gridSpan w:val="2"/>
          </w:tcPr>
          <w:p>
            <w:pPr>
              <w:jc w:val="right"/>
              <w:ind w:right="7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Life insurance (i)</w:t>
            </w:r>
          </w:p>
        </w:tc>
        <w:tc>
          <w:tcPr>
            <w:tcW w:w="2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876,315</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38.16</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857,576</w:t>
            </w: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39.09</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671,380</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25.25</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Arial" w:cs="Arial" w:eastAsia="Arial" w:hAnsi="Arial"/>
                <w:sz w:val="16"/>
                <w:szCs w:val="16"/>
                <w:color w:val="auto"/>
              </w:rPr>
              <w:t>Health insurance (ii)</w:t>
            </w:r>
          </w:p>
        </w:tc>
        <w:tc>
          <w:tcPr>
            <w:tcW w:w="2320" w:type="dxa"/>
            <w:vAlign w:val="bottom"/>
            <w:gridSpan w:val="3"/>
          </w:tcPr>
          <w:p>
            <w:pPr>
              <w:jc w:val="right"/>
              <w:ind w:right="120"/>
              <w:spacing w:after="0"/>
              <w:rPr>
                <w:sz w:val="20"/>
                <w:szCs w:val="20"/>
                <w:color w:val="auto"/>
              </w:rPr>
            </w:pPr>
            <w:r>
              <w:rPr>
                <w:rFonts w:ascii="Arial" w:cs="Arial" w:eastAsia="Arial" w:hAnsi="Arial"/>
                <w:sz w:val="16"/>
                <w:szCs w:val="16"/>
                <w:color w:val="auto"/>
              </w:rPr>
              <w:t>415,152</w:t>
            </w:r>
          </w:p>
        </w:tc>
        <w:tc>
          <w:tcPr>
            <w:tcW w:w="1220" w:type="dxa"/>
            <w:vAlign w:val="bottom"/>
            <w:gridSpan w:val="3"/>
          </w:tcPr>
          <w:p>
            <w:pPr>
              <w:jc w:val="right"/>
              <w:ind w:right="120"/>
              <w:spacing w:after="0"/>
              <w:rPr>
                <w:sz w:val="20"/>
                <w:szCs w:val="20"/>
                <w:color w:val="auto"/>
              </w:rPr>
            </w:pPr>
            <w:r>
              <w:rPr>
                <w:rFonts w:ascii="Arial" w:cs="Arial" w:eastAsia="Arial" w:hAnsi="Arial"/>
                <w:sz w:val="16"/>
                <w:szCs w:val="16"/>
                <w:color w:val="auto"/>
              </w:rPr>
              <w:t>18.07</w:t>
            </w:r>
          </w:p>
        </w:tc>
        <w:tc>
          <w:tcPr>
            <w:tcW w:w="1300" w:type="dxa"/>
            <w:vAlign w:val="bottom"/>
            <w:gridSpan w:val="3"/>
          </w:tcPr>
          <w:p>
            <w:pPr>
              <w:jc w:val="right"/>
              <w:ind w:right="220"/>
              <w:spacing w:after="0"/>
              <w:rPr>
                <w:sz w:val="20"/>
                <w:szCs w:val="20"/>
                <w:color w:val="auto"/>
              </w:rPr>
            </w:pPr>
            <w:r>
              <w:rPr>
                <w:rFonts w:ascii="Arial" w:cs="Arial" w:eastAsia="Arial" w:hAnsi="Arial"/>
                <w:sz w:val="16"/>
                <w:szCs w:val="16"/>
                <w:color w:val="auto"/>
              </w:rPr>
              <w:t>388,002</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17.69</w:t>
            </w:r>
          </w:p>
        </w:tc>
        <w:tc>
          <w:tcPr>
            <w:tcW w:w="22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1,078,211</w:t>
            </w:r>
          </w:p>
        </w:tc>
        <w:tc>
          <w:tcPr>
            <w:tcW w:w="1200" w:type="dxa"/>
            <w:vAlign w:val="bottom"/>
            <w:gridSpan w:val="3"/>
          </w:tcPr>
          <w:p>
            <w:pPr>
              <w:jc w:val="right"/>
              <w:ind w:right="100"/>
              <w:spacing w:after="0"/>
              <w:rPr>
                <w:sz w:val="20"/>
                <w:szCs w:val="20"/>
                <w:color w:val="auto"/>
              </w:rPr>
            </w:pPr>
            <w:r>
              <w:rPr>
                <w:rFonts w:ascii="Arial" w:cs="Arial" w:eastAsia="Arial" w:hAnsi="Arial"/>
                <w:sz w:val="16"/>
                <w:szCs w:val="16"/>
                <w:color w:val="auto"/>
              </w:rPr>
              <w:t>40.55</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General insurance (iii)</w:t>
            </w:r>
          </w:p>
        </w:tc>
        <w:tc>
          <w:tcPr>
            <w:tcW w:w="2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1,005,426</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43.77</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948,177</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43.22</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909,207</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34.20</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2,296,893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2,193,755</w:t>
            </w:r>
          </w:p>
        </w:tc>
        <w:tc>
          <w:tcPr>
            <w:tcW w:w="2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2,658,798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572"/>
        </w:trPr>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6"/>
                <w:szCs w:val="16"/>
                <w:color w:val="auto"/>
              </w:rPr>
              <w:t>- 99 -</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8" w:right="219" w:bottom="1440" w:gutter="0" w:footer="0" w:header="0"/>
        </w:sectPr>
      </w:pPr>
    </w:p>
    <w:bookmarkStart w:id="104" w:name="page105"/>
    <w:bookmarkEnd w:id="104"/>
    <w:p>
      <w:pPr>
        <w:spacing w:after="0"/>
        <w:tabs>
          <w:tab w:leader="none" w:pos="28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4"/>
          <w:szCs w:val="14"/>
          <w:color w:val="auto"/>
        </w:rPr>
        <w:t>The breakdown of life insurance gross premiums earned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1600" w:type="dxa"/>
            <w:vAlign w:val="bottom"/>
            <w:gridSpan w:val="2"/>
          </w:tcPr>
          <w:p>
            <w:pPr>
              <w:ind w:left="60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4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3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8"/>
              </w:rPr>
              <w:t>%</w:t>
            </w: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100" w:type="dxa"/>
            <w:vAlign w:val="bottom"/>
            <w:tcBorders>
              <w:top w:val="single" w:sz="8" w:color="auto"/>
            </w:tcBorders>
            <w:gridSpan w:val="2"/>
          </w:tcPr>
          <w:p>
            <w:pPr>
              <w:jc w:val="right"/>
              <w:ind w:right="73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7"/>
        </w:trPr>
        <w:tc>
          <w:tcPr>
            <w:tcW w:w="3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Credit life</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366,623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41.83</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343,643</w:t>
            </w: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40.07</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271,269</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40.40</w:t>
            </w:r>
          </w:p>
        </w:tc>
        <w:tc>
          <w:tcPr>
            <w:tcW w:w="80" w:type="dxa"/>
            <w:vAlign w:val="bottom"/>
            <w:shd w:val="clear" w:color="auto" w:fill="CCEEFF"/>
          </w:tcPr>
          <w:p>
            <w:pPr>
              <w:spacing w:after="0"/>
              <w:rPr>
                <w:sz w:val="16"/>
                <w:szCs w:val="16"/>
                <w:color w:val="auto"/>
              </w:rPr>
            </w:pPr>
          </w:p>
        </w:tc>
      </w:tr>
      <w:tr>
        <w:trPr>
          <w:trHeight w:val="193"/>
        </w:trPr>
        <w:tc>
          <w:tcPr>
            <w:tcW w:w="3260" w:type="dxa"/>
            <w:vAlign w:val="bottom"/>
          </w:tcPr>
          <w:p>
            <w:pPr>
              <w:spacing w:after="0"/>
              <w:rPr>
                <w:sz w:val="20"/>
                <w:szCs w:val="20"/>
                <w:color w:val="auto"/>
              </w:rPr>
            </w:pPr>
            <w:r>
              <w:rPr>
                <w:rFonts w:ascii="Arial" w:cs="Arial" w:eastAsia="Arial" w:hAnsi="Arial"/>
                <w:sz w:val="16"/>
                <w:szCs w:val="16"/>
                <w:color w:val="auto"/>
              </w:rPr>
              <w:t>Group life</w:t>
            </w:r>
          </w:p>
        </w:tc>
        <w:tc>
          <w:tcPr>
            <w:tcW w:w="1720" w:type="dxa"/>
            <w:vAlign w:val="bottom"/>
            <w:gridSpan w:val="3"/>
          </w:tcPr>
          <w:p>
            <w:pPr>
              <w:jc w:val="right"/>
              <w:ind w:right="120"/>
              <w:spacing w:after="0"/>
              <w:rPr>
                <w:sz w:val="20"/>
                <w:szCs w:val="20"/>
                <w:color w:val="auto"/>
              </w:rPr>
            </w:pPr>
            <w:r>
              <w:rPr>
                <w:rFonts w:ascii="Arial" w:cs="Arial" w:eastAsia="Arial" w:hAnsi="Arial"/>
                <w:sz w:val="16"/>
                <w:szCs w:val="16"/>
                <w:color w:val="auto"/>
              </w:rPr>
              <w:t>118,634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13.54</w:t>
            </w:r>
          </w:p>
        </w:tc>
        <w:tc>
          <w:tcPr>
            <w:tcW w:w="1300" w:type="dxa"/>
            <w:vAlign w:val="bottom"/>
            <w:gridSpan w:val="3"/>
          </w:tcPr>
          <w:p>
            <w:pPr>
              <w:jc w:val="right"/>
              <w:ind w:right="220"/>
              <w:spacing w:after="0"/>
              <w:rPr>
                <w:sz w:val="20"/>
                <w:szCs w:val="20"/>
                <w:color w:val="auto"/>
              </w:rPr>
            </w:pPr>
            <w:r>
              <w:rPr>
                <w:rFonts w:ascii="Arial" w:cs="Arial" w:eastAsia="Arial" w:hAnsi="Arial"/>
                <w:sz w:val="16"/>
                <w:szCs w:val="16"/>
                <w:color w:val="auto"/>
              </w:rPr>
              <w:t>187,857</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21.91</w:t>
            </w:r>
          </w:p>
        </w:tc>
        <w:tc>
          <w:tcPr>
            <w:tcW w:w="22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168,912</w:t>
            </w: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25.16</w:t>
            </w:r>
          </w:p>
        </w:tc>
        <w:tc>
          <w:tcPr>
            <w:tcW w:w="80" w:type="dxa"/>
            <w:vAlign w:val="bottom"/>
          </w:tcPr>
          <w:p>
            <w:pPr>
              <w:spacing w:after="0"/>
              <w:rPr>
                <w:sz w:val="16"/>
                <w:szCs w:val="16"/>
                <w:color w:val="auto"/>
              </w:rPr>
            </w:pPr>
          </w:p>
        </w:tc>
      </w:tr>
      <w:tr>
        <w:trPr>
          <w:trHeight w:val="193"/>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Retirement, disability and survival (*)</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214,310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24.46</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116,251</w:t>
            </w: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2,344</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0.35</w:t>
            </w:r>
          </w:p>
        </w:tc>
        <w:tc>
          <w:tcPr>
            <w:tcW w:w="80" w:type="dxa"/>
            <w:vAlign w:val="bottom"/>
            <w:shd w:val="clear" w:color="auto" w:fill="CCEEFF"/>
          </w:tcPr>
          <w:p>
            <w:pPr>
              <w:spacing w:after="0"/>
              <w:rPr>
                <w:sz w:val="16"/>
                <w:szCs w:val="16"/>
                <w:color w:val="auto"/>
              </w:rPr>
            </w:pPr>
          </w:p>
        </w:tc>
      </w:tr>
      <w:tr>
        <w:trPr>
          <w:trHeight w:val="193"/>
        </w:trPr>
        <w:tc>
          <w:tcPr>
            <w:tcW w:w="3260" w:type="dxa"/>
            <w:vAlign w:val="bottom"/>
          </w:tcPr>
          <w:p>
            <w:pPr>
              <w:spacing w:after="0"/>
              <w:rPr>
                <w:sz w:val="20"/>
                <w:szCs w:val="20"/>
                <w:color w:val="auto"/>
              </w:rPr>
            </w:pPr>
            <w:r>
              <w:rPr>
                <w:rFonts w:ascii="Arial" w:cs="Arial" w:eastAsia="Arial" w:hAnsi="Arial"/>
                <w:sz w:val="16"/>
                <w:szCs w:val="16"/>
                <w:color w:val="auto"/>
              </w:rPr>
              <w:t>Annuities</w:t>
            </w:r>
          </w:p>
        </w:tc>
        <w:tc>
          <w:tcPr>
            <w:tcW w:w="1720" w:type="dxa"/>
            <w:vAlign w:val="bottom"/>
            <w:gridSpan w:val="3"/>
          </w:tcPr>
          <w:p>
            <w:pPr>
              <w:jc w:val="right"/>
              <w:ind w:right="120"/>
              <w:spacing w:after="0"/>
              <w:rPr>
                <w:sz w:val="20"/>
                <w:szCs w:val="20"/>
                <w:color w:val="auto"/>
              </w:rPr>
            </w:pPr>
            <w:r>
              <w:rPr>
                <w:rFonts w:ascii="Arial" w:cs="Arial" w:eastAsia="Arial" w:hAnsi="Arial"/>
                <w:sz w:val="16"/>
                <w:szCs w:val="16"/>
                <w:color w:val="auto"/>
              </w:rPr>
              <w:t>28,799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3.29</w:t>
            </w:r>
          </w:p>
        </w:tc>
        <w:tc>
          <w:tcPr>
            <w:tcW w:w="1300" w:type="dxa"/>
            <w:vAlign w:val="bottom"/>
            <w:gridSpan w:val="3"/>
          </w:tcPr>
          <w:p>
            <w:pPr>
              <w:jc w:val="right"/>
              <w:ind w:right="220"/>
              <w:spacing w:after="0"/>
              <w:rPr>
                <w:sz w:val="20"/>
                <w:szCs w:val="20"/>
                <w:color w:val="auto"/>
              </w:rPr>
            </w:pPr>
            <w:r>
              <w:rPr>
                <w:rFonts w:ascii="Arial" w:cs="Arial" w:eastAsia="Arial" w:hAnsi="Arial"/>
                <w:sz w:val="16"/>
                <w:szCs w:val="16"/>
                <w:color w:val="auto"/>
              </w:rPr>
              <w:t>16,853</w:t>
            </w:r>
          </w:p>
        </w:tc>
        <w:tc>
          <w:tcPr>
            <w:tcW w:w="3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1.96</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10,194</w:t>
            </w: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16"/>
                <w:szCs w:val="16"/>
                <w:color w:val="auto"/>
              </w:rPr>
            </w:pPr>
          </w:p>
        </w:tc>
      </w:tr>
      <w:tr>
        <w:trPr>
          <w:trHeight w:val="205"/>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Individual life and personal accident (**)</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147,949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16.88</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192,972</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218,661</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32.57</w:t>
            </w:r>
          </w:p>
        </w:tc>
        <w:tc>
          <w:tcPr>
            <w:tcW w:w="80" w:type="dxa"/>
            <w:vAlign w:val="bottom"/>
            <w:shd w:val="clear" w:color="auto" w:fill="CCEEFF"/>
          </w:tcPr>
          <w:p>
            <w:pPr>
              <w:spacing w:after="0"/>
              <w:rPr>
                <w:sz w:val="17"/>
                <w:szCs w:val="17"/>
                <w:color w:val="auto"/>
              </w:rPr>
            </w:pPr>
          </w:p>
        </w:tc>
      </w:tr>
      <w:tr>
        <w:trPr>
          <w:trHeight w:val="185"/>
        </w:trPr>
        <w:tc>
          <w:tcPr>
            <w:tcW w:w="3260" w:type="dxa"/>
            <w:vAlign w:val="bottom"/>
          </w:tcPr>
          <w:p>
            <w:pPr>
              <w:spacing w:after="0"/>
              <w:rPr>
                <w:sz w:val="20"/>
                <w:szCs w:val="20"/>
                <w:color w:val="auto"/>
              </w:rPr>
            </w:pPr>
            <w:r>
              <w:rPr>
                <w:rFonts w:ascii="Arial" w:cs="Arial" w:eastAsia="Arial" w:hAnsi="Arial"/>
                <w:sz w:val="16"/>
                <w:szCs w:val="16"/>
                <w:b w:val="1"/>
                <w:bCs w:val="1"/>
                <w:color w:val="auto"/>
              </w:rPr>
              <w:t>Total life insurance gross premiums</w:t>
            </w:r>
          </w:p>
        </w:tc>
        <w:tc>
          <w:tcPr>
            <w:tcW w:w="6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876,315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857,576</w:t>
            </w:r>
          </w:p>
        </w:tc>
        <w:tc>
          <w:tcPr>
            <w:tcW w:w="2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671,380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81" w:lineRule="exact"/>
        <w:rPr>
          <w:sz w:val="20"/>
          <w:szCs w:val="20"/>
          <w:color w:val="auto"/>
        </w:rPr>
      </w:pPr>
    </w:p>
    <w:p>
      <w:pPr>
        <w:ind w:right="4680" w:firstLine="7"/>
        <w:spacing w:after="0" w:line="280" w:lineRule="auto"/>
        <w:tabs>
          <w:tab w:leader="none" w:pos="38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This item includes Complementary Work Risk Insurance (SCTR from its Spanish acronym) (**) This item includes Unit-Linked insurance contracts</w:t>
      </w:r>
    </w:p>
    <w:p>
      <w:pPr>
        <w:spacing w:after="0" w:line="151" w:lineRule="exact"/>
        <w:rPr>
          <w:sz w:val="20"/>
          <w:szCs w:val="20"/>
          <w:color w:val="auto"/>
        </w:rPr>
      </w:pPr>
    </w:p>
    <w:p>
      <w:pPr>
        <w:ind w:left="400" w:right="60" w:hanging="393"/>
        <w:spacing w:after="0" w:line="315" w:lineRule="auto"/>
        <w:tabs>
          <w:tab w:leader="none" w:pos="40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Health insurance gross premiums includes medical assistance which amounts to S/371.2 million at December 31, 2016, (S/348.8 and S/1,052.3 million in 2015 and 2014, respectively) and represents 89.42 percent of this line of business at 2016 (89.9 and 97.6 percent at 2015 and 2014, respectively).</w:t>
      </w:r>
    </w:p>
    <w:p>
      <w:pPr>
        <w:spacing w:after="0" w:line="320" w:lineRule="exact"/>
        <w:rPr>
          <w:rFonts w:ascii="Arial" w:cs="Arial" w:eastAsia="Arial" w:hAnsi="Arial"/>
          <w:sz w:val="15"/>
          <w:szCs w:val="15"/>
          <w:color w:val="auto"/>
        </w:rPr>
      </w:pPr>
    </w:p>
    <w:p>
      <w:pPr>
        <w:ind w:left="5320" w:hanging="95"/>
        <w:spacing w:after="0"/>
        <w:tabs>
          <w:tab w:leader="none" w:pos="53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13970</wp:posOffset>
            </wp:positionV>
            <wp:extent cx="7261225" cy="762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980"/>
          </w:cols>
          <w:pgMar w:left="520" w:top="828" w:right="39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t>(iii) General insurance gross premiums consists of the following:</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3720" w:type="dxa"/>
            <w:vAlign w:val="bottom"/>
          </w:tcPr>
          <w:p>
            <w:pPr>
              <w:spacing w:after="0"/>
              <w:rPr>
                <w:sz w:val="16"/>
                <w:szCs w:val="16"/>
                <w:color w:val="auto"/>
              </w:rPr>
            </w:pPr>
          </w:p>
        </w:tc>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3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8"/>
              </w:rPr>
              <w:t>%</w:t>
            </w: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46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94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b w:val="1"/>
                <w:bCs w:val="1"/>
                <w:color w:val="auto"/>
                <w:w w:val="98"/>
              </w:rPr>
              <w:t>%</w:t>
            </w:r>
          </w:p>
        </w:tc>
        <w:tc>
          <w:tcPr>
            <w:tcW w:w="100" w:type="dxa"/>
            <w:vAlign w:val="bottom"/>
          </w:tcPr>
          <w:p>
            <w:pPr>
              <w:spacing w:after="0"/>
              <w:rPr>
                <w:sz w:val="16"/>
                <w:szCs w:val="16"/>
                <w:color w:val="auto"/>
              </w:rPr>
            </w:pPr>
          </w:p>
        </w:tc>
      </w:tr>
      <w:tr>
        <w:trPr>
          <w:trHeight w:val="19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Automobile</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335,790</w:t>
            </w:r>
          </w:p>
        </w:tc>
        <w:tc>
          <w:tcPr>
            <w:tcW w:w="3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33.39</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319,130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338,378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37.22</w:t>
            </w:r>
          </w:p>
        </w:tc>
      </w:tr>
      <w:tr>
        <w:trPr>
          <w:trHeight w:val="193"/>
        </w:trPr>
        <w:tc>
          <w:tcPr>
            <w:tcW w:w="3720" w:type="dxa"/>
            <w:vAlign w:val="bottom"/>
          </w:tcPr>
          <w:p>
            <w:pPr>
              <w:spacing w:after="0"/>
              <w:rPr>
                <w:sz w:val="20"/>
                <w:szCs w:val="20"/>
                <w:color w:val="auto"/>
              </w:rPr>
            </w:pPr>
            <w:r>
              <w:rPr>
                <w:rFonts w:ascii="Arial" w:cs="Arial" w:eastAsia="Arial" w:hAnsi="Arial"/>
                <w:sz w:val="16"/>
                <w:szCs w:val="16"/>
                <w:color w:val="auto"/>
              </w:rPr>
              <w:t>Fire and allied lines</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274,206</w:t>
            </w:r>
          </w:p>
        </w:tc>
        <w:tc>
          <w:tcPr>
            <w:tcW w:w="34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27.27</w:t>
            </w:r>
          </w:p>
        </w:tc>
        <w:tc>
          <w:tcPr>
            <w:tcW w:w="1180" w:type="dxa"/>
            <w:vAlign w:val="bottom"/>
            <w:gridSpan w:val="3"/>
          </w:tcPr>
          <w:p>
            <w:pPr>
              <w:jc w:val="right"/>
              <w:ind w:right="100"/>
              <w:spacing w:after="0"/>
              <w:rPr>
                <w:sz w:val="20"/>
                <w:szCs w:val="20"/>
                <w:color w:val="auto"/>
              </w:rPr>
            </w:pPr>
            <w:r>
              <w:rPr>
                <w:rFonts w:ascii="Arial" w:cs="Arial" w:eastAsia="Arial" w:hAnsi="Arial"/>
                <w:sz w:val="16"/>
                <w:szCs w:val="16"/>
                <w:color w:val="auto"/>
              </w:rPr>
              <w:t>212,197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22.38</w:t>
            </w:r>
          </w:p>
        </w:tc>
        <w:tc>
          <w:tcPr>
            <w:tcW w:w="20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163,984</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18.04</w:t>
            </w:r>
          </w:p>
        </w:tc>
      </w:tr>
      <w:tr>
        <w:trPr>
          <w:trHeight w:val="19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Technical lines (*)</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70,640</w:t>
            </w:r>
          </w:p>
        </w:tc>
        <w:tc>
          <w:tcPr>
            <w:tcW w:w="3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7.03</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74,182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7.82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73,683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8.10</w:t>
            </w:r>
          </w:p>
        </w:tc>
      </w:tr>
      <w:tr>
        <w:trPr>
          <w:trHeight w:val="193"/>
        </w:trPr>
        <w:tc>
          <w:tcPr>
            <w:tcW w:w="3720" w:type="dxa"/>
            <w:vAlign w:val="bottom"/>
          </w:tcPr>
          <w:p>
            <w:pPr>
              <w:spacing w:after="0"/>
              <w:rPr>
                <w:sz w:val="20"/>
                <w:szCs w:val="20"/>
                <w:color w:val="auto"/>
              </w:rPr>
            </w:pPr>
            <w:r>
              <w:rPr>
                <w:rFonts w:ascii="Arial" w:cs="Arial" w:eastAsia="Arial" w:hAnsi="Arial"/>
                <w:sz w:val="16"/>
                <w:szCs w:val="16"/>
                <w:color w:val="auto"/>
              </w:rPr>
              <w:t>Third party liability</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42,968</w:t>
            </w:r>
          </w:p>
        </w:tc>
        <w:tc>
          <w:tcPr>
            <w:tcW w:w="34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4.27</w:t>
            </w:r>
          </w:p>
        </w:tc>
        <w:tc>
          <w:tcPr>
            <w:tcW w:w="1180" w:type="dxa"/>
            <w:vAlign w:val="bottom"/>
            <w:gridSpan w:val="3"/>
          </w:tcPr>
          <w:p>
            <w:pPr>
              <w:jc w:val="right"/>
              <w:ind w:right="100"/>
              <w:spacing w:after="0"/>
              <w:rPr>
                <w:sz w:val="20"/>
                <w:szCs w:val="20"/>
                <w:color w:val="auto"/>
              </w:rPr>
            </w:pPr>
            <w:r>
              <w:rPr>
                <w:rFonts w:ascii="Arial" w:cs="Arial" w:eastAsia="Arial" w:hAnsi="Arial"/>
                <w:sz w:val="16"/>
                <w:szCs w:val="16"/>
                <w:color w:val="auto"/>
              </w:rPr>
              <w:t>41,815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4.41</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64,462</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7.09</w:t>
            </w:r>
          </w:p>
        </w:tc>
      </w:tr>
      <w:tr>
        <w:trPr>
          <w:trHeight w:val="19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Aviation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55,149</w:t>
            </w:r>
          </w:p>
        </w:tc>
        <w:tc>
          <w:tcPr>
            <w:tcW w:w="3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5.49</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64,380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6.79</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47,689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5.25</w:t>
            </w:r>
          </w:p>
        </w:tc>
      </w:tr>
      <w:tr>
        <w:trPr>
          <w:trHeight w:val="193"/>
        </w:trPr>
        <w:tc>
          <w:tcPr>
            <w:tcW w:w="3720" w:type="dxa"/>
            <w:vAlign w:val="bottom"/>
          </w:tcPr>
          <w:p>
            <w:pPr>
              <w:spacing w:after="0"/>
              <w:rPr>
                <w:sz w:val="20"/>
                <w:szCs w:val="20"/>
                <w:color w:val="auto"/>
              </w:rPr>
            </w:pPr>
            <w:r>
              <w:rPr>
                <w:rFonts w:ascii="Arial" w:cs="Arial" w:eastAsia="Arial" w:hAnsi="Arial"/>
                <w:sz w:val="16"/>
                <w:szCs w:val="16"/>
                <w:color w:val="auto"/>
              </w:rPr>
              <w:t>Theft and robbery</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79,588</w:t>
            </w:r>
          </w:p>
        </w:tc>
        <w:tc>
          <w:tcPr>
            <w:tcW w:w="34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7.92</w:t>
            </w:r>
          </w:p>
        </w:tc>
        <w:tc>
          <w:tcPr>
            <w:tcW w:w="1180" w:type="dxa"/>
            <w:vAlign w:val="bottom"/>
            <w:gridSpan w:val="3"/>
          </w:tcPr>
          <w:p>
            <w:pPr>
              <w:jc w:val="right"/>
              <w:ind w:right="100"/>
              <w:spacing w:after="0"/>
              <w:rPr>
                <w:sz w:val="20"/>
                <w:szCs w:val="20"/>
                <w:color w:val="auto"/>
              </w:rPr>
            </w:pPr>
            <w:r>
              <w:rPr>
                <w:rFonts w:ascii="Arial" w:cs="Arial" w:eastAsia="Arial" w:hAnsi="Arial"/>
                <w:sz w:val="16"/>
                <w:szCs w:val="16"/>
                <w:color w:val="auto"/>
              </w:rPr>
              <w:t>73,305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7.73</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67,446</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7.42</w:t>
            </w:r>
          </w:p>
        </w:tc>
      </w:tr>
      <w:tr>
        <w:trPr>
          <w:trHeight w:val="19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Transport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51,697</w:t>
            </w:r>
          </w:p>
        </w:tc>
        <w:tc>
          <w:tcPr>
            <w:tcW w:w="3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5.14</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61,424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6.48</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48,825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5.37</w:t>
            </w:r>
          </w:p>
        </w:tc>
      </w:tr>
      <w:tr>
        <w:trPr>
          <w:trHeight w:val="193"/>
        </w:trPr>
        <w:tc>
          <w:tcPr>
            <w:tcW w:w="3720" w:type="dxa"/>
            <w:vAlign w:val="bottom"/>
          </w:tcPr>
          <w:p>
            <w:pPr>
              <w:spacing w:after="0"/>
              <w:rPr>
                <w:sz w:val="20"/>
                <w:szCs w:val="20"/>
                <w:color w:val="auto"/>
              </w:rPr>
            </w:pPr>
            <w:r>
              <w:rPr>
                <w:rFonts w:ascii="Arial" w:cs="Arial" w:eastAsia="Arial" w:hAnsi="Arial"/>
                <w:sz w:val="16"/>
                <w:szCs w:val="16"/>
                <w:color w:val="auto"/>
              </w:rPr>
              <w:t>SOAT (Mandatory automobile line)</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20,830</w:t>
            </w:r>
          </w:p>
        </w:tc>
        <w:tc>
          <w:tcPr>
            <w:tcW w:w="34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2.07</w:t>
            </w:r>
          </w:p>
        </w:tc>
        <w:tc>
          <w:tcPr>
            <w:tcW w:w="1180" w:type="dxa"/>
            <w:vAlign w:val="bottom"/>
            <w:gridSpan w:val="3"/>
          </w:tcPr>
          <w:p>
            <w:pPr>
              <w:jc w:val="right"/>
              <w:ind w:right="100"/>
              <w:spacing w:after="0"/>
              <w:rPr>
                <w:sz w:val="20"/>
                <w:szCs w:val="20"/>
                <w:color w:val="auto"/>
              </w:rPr>
            </w:pPr>
            <w:r>
              <w:rPr>
                <w:rFonts w:ascii="Arial" w:cs="Arial" w:eastAsia="Arial" w:hAnsi="Arial"/>
                <w:sz w:val="16"/>
                <w:szCs w:val="16"/>
                <w:color w:val="auto"/>
              </w:rPr>
              <w:t>23,608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2.49</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28,381</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3.12</w:t>
            </w:r>
          </w:p>
        </w:tc>
      </w:tr>
      <w:tr>
        <w:trPr>
          <w:trHeight w:val="19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Marine Hull</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27,954</w:t>
            </w:r>
          </w:p>
        </w:tc>
        <w:tc>
          <w:tcPr>
            <w:tcW w:w="3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2.78</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21,851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17,671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1.94</w:t>
            </w:r>
          </w:p>
        </w:tc>
      </w:tr>
      <w:tr>
        <w:trPr>
          <w:trHeight w:val="205"/>
        </w:trPr>
        <w:tc>
          <w:tcPr>
            <w:tcW w:w="3720" w:type="dxa"/>
            <w:vAlign w:val="bottom"/>
          </w:tcPr>
          <w:p>
            <w:pPr>
              <w:spacing w:after="0"/>
              <w:rPr>
                <w:sz w:val="20"/>
                <w:szCs w:val="20"/>
                <w:color w:val="auto"/>
              </w:rPr>
            </w:pPr>
            <w:r>
              <w:rPr>
                <w:rFonts w:ascii="Arial" w:cs="Arial" w:eastAsia="Arial" w:hAnsi="Arial"/>
                <w:sz w:val="16"/>
                <w:szCs w:val="16"/>
                <w:color w:val="auto"/>
              </w:rPr>
              <w:t>Others</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46,604</w:t>
            </w:r>
          </w:p>
        </w:tc>
        <w:tc>
          <w:tcPr>
            <w:tcW w:w="3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4.64</w:t>
            </w:r>
          </w:p>
        </w:tc>
        <w:tc>
          <w:tcPr>
            <w:tcW w:w="1180" w:type="dxa"/>
            <w:vAlign w:val="bottom"/>
            <w:gridSpan w:val="3"/>
          </w:tcPr>
          <w:p>
            <w:pPr>
              <w:jc w:val="right"/>
              <w:ind w:right="100"/>
              <w:spacing w:after="0"/>
              <w:rPr>
                <w:sz w:val="20"/>
                <w:szCs w:val="20"/>
                <w:color w:val="auto"/>
              </w:rPr>
            </w:pPr>
            <w:r>
              <w:rPr>
                <w:rFonts w:ascii="Arial" w:cs="Arial" w:eastAsia="Arial" w:hAnsi="Arial"/>
                <w:sz w:val="16"/>
                <w:szCs w:val="16"/>
                <w:color w:val="auto"/>
              </w:rPr>
              <w:t>56,285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5.94</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58,688</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6.45</w:t>
            </w:r>
          </w:p>
        </w:tc>
      </w:tr>
      <w:tr>
        <w:trPr>
          <w:trHeight w:val="185"/>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life insurance gross premiums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1,005,426</w:t>
            </w: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948,177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909,207</w:t>
            </w: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1" w:lineRule="exact"/>
        <w:rPr>
          <w:sz w:val="20"/>
          <w:szCs w:val="20"/>
          <w:color w:val="auto"/>
        </w:rPr>
      </w:pPr>
    </w:p>
    <w:p>
      <w:pPr>
        <w:ind w:left="580" w:right="200" w:hanging="283"/>
        <w:spacing w:after="0" w:line="280" w:lineRule="auto"/>
        <w:tabs>
          <w:tab w:leader="none" w:pos="5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Technical lines include Contractor’s All Risk (CAR), Machinery breakdown, All Risk (EAR), Electronic equipment (EE), All Risk Contractor’s Equipment ( ARCE).</w:t>
      </w:r>
    </w:p>
    <w:p>
      <w:pPr>
        <w:spacing w:after="0" w:line="344" w:lineRule="exact"/>
        <w:rPr>
          <w:rFonts w:ascii="Arial" w:cs="Arial" w:eastAsia="Arial" w:hAnsi="Arial"/>
          <w:sz w:val="16"/>
          <w:szCs w:val="16"/>
          <w:color w:val="auto"/>
        </w:rPr>
      </w:pPr>
    </w:p>
    <w:p>
      <w:pPr>
        <w:ind w:left="5320" w:hanging="95"/>
        <w:spacing w:after="0"/>
        <w:tabs>
          <w:tab w:leader="none" w:pos="532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13970</wp:posOffset>
            </wp:positionV>
            <wp:extent cx="7261225" cy="762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920"/>
          </w:cols>
          <w:pgMar w:left="520" w:top="828" w:right="459" w:bottom="1440" w:gutter="0" w:footer="0" w:header="0"/>
        </w:sectPr>
      </w:pPr>
    </w:p>
    <w:bookmarkStart w:id="106" w:name="page107"/>
    <w:bookmarkEnd w:id="106"/>
    <w:p>
      <w:pPr>
        <w:spacing w:after="0"/>
        <w:tabs>
          <w:tab w:leader="none" w:pos="560" w:val="left"/>
        </w:tabs>
        <w:rPr>
          <w:sz w:val="20"/>
          <w:szCs w:val="20"/>
          <w:color w:val="auto"/>
        </w:rPr>
      </w:pPr>
      <w:r>
        <w:rPr>
          <w:rFonts w:ascii="Arial" w:cs="Arial" w:eastAsia="Arial" w:hAnsi="Arial"/>
          <w:sz w:val="16"/>
          <w:szCs w:val="16"/>
          <w:b w:val="1"/>
          <w:bCs w:val="1"/>
          <w:color w:val="auto"/>
        </w:rPr>
        <w:t>25</w:t>
      </w:r>
      <w:r>
        <w:rPr>
          <w:sz w:val="20"/>
          <w:szCs w:val="20"/>
          <w:color w:val="auto"/>
        </w:rPr>
        <w:tab/>
      </w:r>
      <w:r>
        <w:rPr>
          <w:rFonts w:ascii="Arial" w:cs="Arial" w:eastAsia="Arial" w:hAnsi="Arial"/>
          <w:sz w:val="16"/>
          <w:szCs w:val="16"/>
          <w:b w:val="1"/>
          <w:bCs w:val="1"/>
          <w:color w:val="auto"/>
        </w:rPr>
        <w:t>NET CLAIMS INCURRED FOR LIFE, PROPERTY AND CASUALTY AND HEALTH INSURANCE CONTRACTS,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320" w:type="dxa"/>
            <w:vAlign w:val="bottom"/>
            <w:gridSpan w:val="4"/>
          </w:tcPr>
          <w:p>
            <w:pPr>
              <w:spacing w:after="0"/>
              <w:rPr>
                <w:sz w:val="20"/>
                <w:szCs w:val="20"/>
                <w:color w:val="auto"/>
              </w:rPr>
            </w:pPr>
            <w:r>
              <w:rPr>
                <w:rFonts w:ascii="Arial" w:cs="Arial" w:eastAsia="Arial" w:hAnsi="Arial"/>
                <w:sz w:val="16"/>
                <w:szCs w:val="16"/>
                <w:color w:val="auto"/>
              </w:rPr>
              <w:t>This item consists of the following:</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60" w:type="dxa"/>
            <w:vAlign w:val="bottom"/>
            <w:gridSpan w:val="2"/>
          </w:tcPr>
          <w:p>
            <w:pPr>
              <w:ind w:left="5060"/>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top w:val="single" w:sz="8" w:color="auto"/>
            </w:tcBorders>
          </w:tcPr>
          <w:p>
            <w:pPr>
              <w:spacing w:after="0" w:line="169" w:lineRule="exact"/>
              <w:rPr>
                <w:sz w:val="20"/>
                <w:szCs w:val="20"/>
                <w:color w:val="auto"/>
              </w:rPr>
            </w:pPr>
            <w:r>
              <w:rPr>
                <w:rFonts w:ascii="Arial" w:cs="Arial" w:eastAsia="Arial" w:hAnsi="Arial"/>
                <w:sz w:val="16"/>
                <w:szCs w:val="16"/>
                <w:b w:val="1"/>
                <w:bCs w:val="1"/>
                <w:color w:val="auto"/>
              </w:rPr>
              <w:t>Life</w:t>
            </w:r>
          </w:p>
        </w:tc>
        <w:tc>
          <w:tcPr>
            <w:tcW w:w="5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4"/>
          </w:tcPr>
          <w:p>
            <w:pPr>
              <w:ind w:left="20"/>
              <w:spacing w:after="0" w:line="169" w:lineRule="exact"/>
              <w:rPr>
                <w:sz w:val="20"/>
                <w:szCs w:val="20"/>
                <w:color w:val="auto"/>
              </w:rPr>
            </w:pPr>
            <w:r>
              <w:rPr>
                <w:rFonts w:ascii="Arial" w:cs="Arial" w:eastAsia="Arial" w:hAnsi="Arial"/>
                <w:sz w:val="16"/>
                <w:szCs w:val="16"/>
                <w:b w:val="1"/>
                <w:bCs w:val="1"/>
                <w:color w:val="auto"/>
              </w:rPr>
              <w:t>General</w:t>
            </w:r>
          </w:p>
        </w:tc>
        <w:tc>
          <w:tcPr>
            <w:tcW w:w="146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Health</w:t>
            </w: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6"/>
                <w:szCs w:val="16"/>
                <w:b w:val="1"/>
                <w:bCs w:val="1"/>
                <w:color w:val="auto"/>
                <w:w w:val="89"/>
              </w:rPr>
              <w:t>insurance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4"/>
          </w:tcPr>
          <w:p>
            <w:pPr>
              <w:ind w:left="20"/>
              <w:spacing w:after="0"/>
              <w:rPr>
                <w:sz w:val="20"/>
                <w:szCs w:val="20"/>
                <w:color w:val="auto"/>
              </w:rPr>
            </w:pPr>
            <w:r>
              <w:rPr>
                <w:rFonts w:ascii="Arial" w:cs="Arial" w:eastAsia="Arial" w:hAnsi="Arial"/>
                <w:sz w:val="16"/>
                <w:szCs w:val="16"/>
                <w:b w:val="1"/>
                <w:bCs w:val="1"/>
                <w:color w:val="auto"/>
              </w:rPr>
              <w:t>insurance</w:t>
            </w: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insurance</w:t>
            </w:r>
          </w:p>
        </w:tc>
        <w:tc>
          <w:tcPr>
            <w:tcW w:w="1360" w:type="dxa"/>
            <w:vAlign w:val="bottom"/>
            <w:gridSpan w:val="2"/>
          </w:tcPr>
          <w:p>
            <w:pPr>
              <w:jc w:val="right"/>
              <w:ind w:right="1020"/>
              <w:spacing w:after="0"/>
              <w:rPr>
                <w:sz w:val="20"/>
                <w:szCs w:val="20"/>
                <w:color w:val="auto"/>
              </w:rPr>
            </w:pPr>
            <w:r>
              <w:rPr>
                <w:rFonts w:ascii="Arial" w:cs="Arial" w:eastAsia="Arial" w:hAnsi="Arial"/>
                <w:sz w:val="16"/>
                <w:szCs w:val="16"/>
                <w:b w:val="1"/>
                <w:bCs w:val="1"/>
                <w:color w:val="auto"/>
                <w:w w:val="83"/>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6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Gross claims, note 16(b)</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3"/>
              </w:rPr>
              <w:t>618,274</w:t>
            </w:r>
          </w:p>
        </w:tc>
        <w:tc>
          <w:tcPr>
            <w:tcW w:w="1600" w:type="dxa"/>
            <w:vAlign w:val="bottom"/>
            <w:gridSpan w:val="5"/>
            <w:shd w:val="clear" w:color="auto" w:fill="CCEEFF"/>
          </w:tcPr>
          <w:p>
            <w:pPr>
              <w:jc w:val="right"/>
              <w:ind w:right="220"/>
              <w:spacing w:after="0"/>
              <w:rPr>
                <w:sz w:val="20"/>
                <w:szCs w:val="20"/>
                <w:color w:val="auto"/>
              </w:rPr>
            </w:pPr>
            <w:r>
              <w:rPr>
                <w:rFonts w:ascii="Arial" w:cs="Arial" w:eastAsia="Arial" w:hAnsi="Arial"/>
                <w:sz w:val="16"/>
                <w:szCs w:val="16"/>
                <w:color w:val="auto"/>
              </w:rPr>
              <w:t>351,227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274,902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1,244,403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00" w:type="dxa"/>
            <w:vAlign w:val="bottom"/>
            <w:gridSpan w:val="3"/>
          </w:tcPr>
          <w:p>
            <w:pPr>
              <w:spacing w:after="0"/>
              <w:rPr>
                <w:sz w:val="20"/>
                <w:szCs w:val="20"/>
                <w:color w:val="auto"/>
              </w:rPr>
            </w:pPr>
            <w:r>
              <w:rPr>
                <w:rFonts w:ascii="Arial" w:cs="Arial" w:eastAsia="Arial" w:hAnsi="Arial"/>
                <w:sz w:val="16"/>
                <w:szCs w:val="16"/>
                <w:color w:val="auto"/>
              </w:rPr>
              <w:t>Ceded claims, note 9(b)</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(28,128)</w:t>
            </w:r>
          </w:p>
        </w:tc>
        <w:tc>
          <w:tcPr>
            <w:tcW w:w="1600" w:type="dxa"/>
            <w:vAlign w:val="bottom"/>
            <w:gridSpan w:val="5"/>
          </w:tcPr>
          <w:p>
            <w:pPr>
              <w:jc w:val="right"/>
              <w:ind w:right="160"/>
              <w:spacing w:after="0"/>
              <w:rPr>
                <w:sz w:val="20"/>
                <w:szCs w:val="20"/>
                <w:color w:val="auto"/>
              </w:rPr>
            </w:pPr>
            <w:r>
              <w:rPr>
                <w:rFonts w:ascii="Arial" w:cs="Arial" w:eastAsia="Arial" w:hAnsi="Arial"/>
                <w:sz w:val="16"/>
                <w:szCs w:val="16"/>
                <w:color w:val="auto"/>
              </w:rPr>
              <w:t>(106,450)</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(10,920)</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(145,498)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insurance claims</w:t>
            </w:r>
          </w:p>
        </w:tc>
        <w:tc>
          <w:tcPr>
            <w:tcW w:w="70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590,146</w:t>
            </w:r>
          </w:p>
        </w:tc>
        <w:tc>
          <w:tcPr>
            <w:tcW w:w="140" w:type="dxa"/>
            <w:vAlign w:val="bottom"/>
            <w:tcBorders>
              <w:top w:val="single" w:sz="8" w:color="CCEEFF"/>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244,777</w:t>
            </w:r>
          </w:p>
        </w:tc>
        <w:tc>
          <w:tcPr>
            <w:tcW w:w="220" w:type="dxa"/>
            <w:vAlign w:val="bottom"/>
            <w:tcBorders>
              <w:top w:val="single" w:sz="8" w:color="CCEEFF"/>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263,982</w:t>
            </w:r>
          </w:p>
        </w:tc>
        <w:tc>
          <w:tcPr>
            <w:tcW w:w="220" w:type="dxa"/>
            <w:vAlign w:val="bottom"/>
            <w:tcBorders>
              <w:top w:val="single" w:sz="8" w:color="CCEEFF"/>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1,098,905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60" w:type="dxa"/>
            <w:vAlign w:val="bottom"/>
            <w:gridSpan w:val="2"/>
          </w:tcPr>
          <w:p>
            <w:pPr>
              <w:ind w:left="5060"/>
              <w:spacing w:after="0"/>
              <w:rPr>
                <w:sz w:val="20"/>
                <w:szCs w:val="20"/>
                <w:color w:val="auto"/>
              </w:rPr>
            </w:pPr>
            <w:r>
              <w:rPr>
                <w:rFonts w:ascii="Arial" w:cs="Arial" w:eastAsia="Arial" w:hAnsi="Arial"/>
                <w:sz w:val="16"/>
                <w:szCs w:val="16"/>
                <w:b w:val="1"/>
                <w:bCs w:val="1"/>
                <w:color w:val="auto"/>
              </w:rPr>
              <w:t>2015</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top w:val="single" w:sz="8" w:color="auto"/>
            </w:tcBorders>
          </w:tcPr>
          <w:p>
            <w:pPr>
              <w:spacing w:after="0" w:line="169" w:lineRule="exact"/>
              <w:rPr>
                <w:sz w:val="20"/>
                <w:szCs w:val="20"/>
                <w:color w:val="auto"/>
              </w:rPr>
            </w:pPr>
            <w:r>
              <w:rPr>
                <w:rFonts w:ascii="Arial" w:cs="Arial" w:eastAsia="Arial" w:hAnsi="Arial"/>
                <w:sz w:val="16"/>
                <w:szCs w:val="16"/>
                <w:b w:val="1"/>
                <w:bCs w:val="1"/>
                <w:color w:val="auto"/>
              </w:rPr>
              <w:t>Life</w:t>
            </w:r>
          </w:p>
        </w:tc>
        <w:tc>
          <w:tcPr>
            <w:tcW w:w="5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4"/>
          </w:tcPr>
          <w:p>
            <w:pPr>
              <w:ind w:left="20"/>
              <w:spacing w:after="0" w:line="169" w:lineRule="exact"/>
              <w:rPr>
                <w:sz w:val="20"/>
                <w:szCs w:val="20"/>
                <w:color w:val="auto"/>
              </w:rPr>
            </w:pPr>
            <w:r>
              <w:rPr>
                <w:rFonts w:ascii="Arial" w:cs="Arial" w:eastAsia="Arial" w:hAnsi="Arial"/>
                <w:sz w:val="16"/>
                <w:szCs w:val="16"/>
                <w:b w:val="1"/>
                <w:bCs w:val="1"/>
                <w:color w:val="auto"/>
              </w:rPr>
              <w:t>General</w:t>
            </w:r>
          </w:p>
        </w:tc>
        <w:tc>
          <w:tcPr>
            <w:tcW w:w="146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Health</w:t>
            </w: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6"/>
                <w:szCs w:val="16"/>
                <w:b w:val="1"/>
                <w:bCs w:val="1"/>
                <w:color w:val="auto"/>
                <w:w w:val="89"/>
              </w:rPr>
              <w:t>insurance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4"/>
          </w:tcPr>
          <w:p>
            <w:pPr>
              <w:ind w:left="20"/>
              <w:spacing w:after="0"/>
              <w:rPr>
                <w:sz w:val="20"/>
                <w:szCs w:val="20"/>
                <w:color w:val="auto"/>
              </w:rPr>
            </w:pPr>
            <w:r>
              <w:rPr>
                <w:rFonts w:ascii="Arial" w:cs="Arial" w:eastAsia="Arial" w:hAnsi="Arial"/>
                <w:sz w:val="16"/>
                <w:szCs w:val="16"/>
                <w:b w:val="1"/>
                <w:bCs w:val="1"/>
                <w:color w:val="auto"/>
              </w:rPr>
              <w:t>insurance</w:t>
            </w: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insurance</w:t>
            </w:r>
          </w:p>
        </w:tc>
        <w:tc>
          <w:tcPr>
            <w:tcW w:w="1360" w:type="dxa"/>
            <w:vAlign w:val="bottom"/>
            <w:gridSpan w:val="2"/>
          </w:tcPr>
          <w:p>
            <w:pPr>
              <w:jc w:val="right"/>
              <w:ind w:right="1020"/>
              <w:spacing w:after="0"/>
              <w:rPr>
                <w:sz w:val="20"/>
                <w:szCs w:val="20"/>
                <w:color w:val="auto"/>
              </w:rPr>
            </w:pPr>
            <w:r>
              <w:rPr>
                <w:rFonts w:ascii="Arial" w:cs="Arial" w:eastAsia="Arial" w:hAnsi="Arial"/>
                <w:sz w:val="16"/>
                <w:szCs w:val="16"/>
                <w:b w:val="1"/>
                <w:bCs w:val="1"/>
                <w:color w:val="auto"/>
                <w:w w:val="83"/>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6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Gross claims, note 16(b)</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3"/>
              </w:rPr>
              <w:t>546,645</w:t>
            </w:r>
          </w:p>
        </w:tc>
        <w:tc>
          <w:tcPr>
            <w:tcW w:w="1600" w:type="dxa"/>
            <w:vAlign w:val="bottom"/>
            <w:gridSpan w:val="5"/>
            <w:shd w:val="clear" w:color="auto" w:fill="CCEEFF"/>
          </w:tcPr>
          <w:p>
            <w:pPr>
              <w:jc w:val="right"/>
              <w:ind w:right="220"/>
              <w:spacing w:after="0"/>
              <w:rPr>
                <w:sz w:val="20"/>
                <w:szCs w:val="20"/>
                <w:color w:val="auto"/>
              </w:rPr>
            </w:pPr>
            <w:r>
              <w:rPr>
                <w:rFonts w:ascii="Arial" w:cs="Arial" w:eastAsia="Arial" w:hAnsi="Arial"/>
                <w:sz w:val="16"/>
                <w:szCs w:val="16"/>
                <w:color w:val="auto"/>
              </w:rPr>
              <w:t>341,470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263,438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1,151,553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00" w:type="dxa"/>
            <w:vAlign w:val="bottom"/>
            <w:gridSpan w:val="3"/>
          </w:tcPr>
          <w:p>
            <w:pPr>
              <w:spacing w:after="0"/>
              <w:rPr>
                <w:sz w:val="20"/>
                <w:szCs w:val="20"/>
                <w:color w:val="auto"/>
              </w:rPr>
            </w:pPr>
            <w:r>
              <w:rPr>
                <w:rFonts w:ascii="Arial" w:cs="Arial" w:eastAsia="Arial" w:hAnsi="Arial"/>
                <w:sz w:val="16"/>
                <w:szCs w:val="16"/>
                <w:color w:val="auto"/>
              </w:rPr>
              <w:t>Ceded claims, note 9(b)</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(26,490)</w:t>
            </w:r>
          </w:p>
        </w:tc>
        <w:tc>
          <w:tcPr>
            <w:tcW w:w="1600" w:type="dxa"/>
            <w:vAlign w:val="bottom"/>
            <w:gridSpan w:val="5"/>
          </w:tcPr>
          <w:p>
            <w:pPr>
              <w:jc w:val="right"/>
              <w:ind w:right="160"/>
              <w:spacing w:after="0"/>
              <w:rPr>
                <w:sz w:val="20"/>
                <w:szCs w:val="20"/>
                <w:color w:val="auto"/>
              </w:rPr>
            </w:pPr>
            <w:r>
              <w:rPr>
                <w:rFonts w:ascii="Arial" w:cs="Arial" w:eastAsia="Arial" w:hAnsi="Arial"/>
                <w:sz w:val="16"/>
                <w:szCs w:val="16"/>
                <w:color w:val="auto"/>
              </w:rPr>
              <w:t>(85,109)</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(8,295)</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(119,894)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insurance claims</w:t>
            </w:r>
          </w:p>
        </w:tc>
        <w:tc>
          <w:tcPr>
            <w:tcW w:w="70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520,155</w:t>
            </w:r>
          </w:p>
        </w:tc>
        <w:tc>
          <w:tcPr>
            <w:tcW w:w="140" w:type="dxa"/>
            <w:vAlign w:val="bottom"/>
            <w:tcBorders>
              <w:top w:val="single" w:sz="8" w:color="CCEEFF"/>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256,361</w:t>
            </w:r>
          </w:p>
        </w:tc>
        <w:tc>
          <w:tcPr>
            <w:tcW w:w="220" w:type="dxa"/>
            <w:vAlign w:val="bottom"/>
            <w:tcBorders>
              <w:top w:val="single" w:sz="8" w:color="CCEEFF"/>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255,143</w:t>
            </w:r>
          </w:p>
        </w:tc>
        <w:tc>
          <w:tcPr>
            <w:tcW w:w="220" w:type="dxa"/>
            <w:vAlign w:val="bottom"/>
            <w:tcBorders>
              <w:top w:val="single" w:sz="8" w:color="CCEEFF"/>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1,031,659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60" w:type="dxa"/>
            <w:vAlign w:val="bottom"/>
            <w:gridSpan w:val="2"/>
          </w:tcPr>
          <w:p>
            <w:pPr>
              <w:ind w:left="5060"/>
              <w:spacing w:after="0"/>
              <w:rPr>
                <w:sz w:val="20"/>
                <w:szCs w:val="20"/>
                <w:color w:val="auto"/>
              </w:rPr>
            </w:pPr>
            <w:r>
              <w:rPr>
                <w:rFonts w:ascii="Arial" w:cs="Arial" w:eastAsia="Arial" w:hAnsi="Arial"/>
                <w:sz w:val="16"/>
                <w:szCs w:val="16"/>
                <w:b w:val="1"/>
                <w:bCs w:val="1"/>
                <w:color w:val="auto"/>
              </w:rPr>
              <w:t>2014</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top w:val="single" w:sz="8" w:color="auto"/>
            </w:tcBorders>
          </w:tcPr>
          <w:p>
            <w:pPr>
              <w:spacing w:after="0" w:line="169" w:lineRule="exact"/>
              <w:rPr>
                <w:sz w:val="20"/>
                <w:szCs w:val="20"/>
                <w:color w:val="auto"/>
              </w:rPr>
            </w:pPr>
            <w:r>
              <w:rPr>
                <w:rFonts w:ascii="Arial" w:cs="Arial" w:eastAsia="Arial" w:hAnsi="Arial"/>
                <w:sz w:val="16"/>
                <w:szCs w:val="16"/>
                <w:b w:val="1"/>
                <w:bCs w:val="1"/>
                <w:color w:val="auto"/>
              </w:rPr>
              <w:t>Life</w:t>
            </w:r>
          </w:p>
        </w:tc>
        <w:tc>
          <w:tcPr>
            <w:tcW w:w="5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4"/>
          </w:tcPr>
          <w:p>
            <w:pPr>
              <w:ind w:left="20"/>
              <w:spacing w:after="0" w:line="169" w:lineRule="exact"/>
              <w:rPr>
                <w:sz w:val="20"/>
                <w:szCs w:val="20"/>
                <w:color w:val="auto"/>
              </w:rPr>
            </w:pPr>
            <w:r>
              <w:rPr>
                <w:rFonts w:ascii="Arial" w:cs="Arial" w:eastAsia="Arial" w:hAnsi="Arial"/>
                <w:sz w:val="16"/>
                <w:szCs w:val="16"/>
                <w:b w:val="1"/>
                <w:bCs w:val="1"/>
                <w:color w:val="auto"/>
              </w:rPr>
              <w:t>General</w:t>
            </w:r>
          </w:p>
        </w:tc>
        <w:tc>
          <w:tcPr>
            <w:tcW w:w="146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Health</w:t>
            </w: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6"/>
                <w:szCs w:val="16"/>
                <w:b w:val="1"/>
                <w:bCs w:val="1"/>
                <w:color w:val="auto"/>
                <w:w w:val="89"/>
              </w:rPr>
              <w:t>insurance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4"/>
          </w:tcPr>
          <w:p>
            <w:pPr>
              <w:ind w:left="20"/>
              <w:spacing w:after="0"/>
              <w:rPr>
                <w:sz w:val="20"/>
                <w:szCs w:val="20"/>
                <w:color w:val="auto"/>
              </w:rPr>
            </w:pPr>
            <w:r>
              <w:rPr>
                <w:rFonts w:ascii="Arial" w:cs="Arial" w:eastAsia="Arial" w:hAnsi="Arial"/>
                <w:sz w:val="16"/>
                <w:szCs w:val="16"/>
                <w:b w:val="1"/>
                <w:bCs w:val="1"/>
                <w:color w:val="auto"/>
              </w:rPr>
              <w:t>insurance</w:t>
            </w: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insurance</w:t>
            </w:r>
          </w:p>
        </w:tc>
        <w:tc>
          <w:tcPr>
            <w:tcW w:w="1360" w:type="dxa"/>
            <w:vAlign w:val="bottom"/>
            <w:gridSpan w:val="2"/>
          </w:tcPr>
          <w:p>
            <w:pPr>
              <w:jc w:val="right"/>
              <w:ind w:right="1020"/>
              <w:spacing w:after="0"/>
              <w:rPr>
                <w:sz w:val="20"/>
                <w:szCs w:val="20"/>
                <w:color w:val="auto"/>
              </w:rPr>
            </w:pPr>
            <w:r>
              <w:rPr>
                <w:rFonts w:ascii="Arial" w:cs="Arial" w:eastAsia="Arial" w:hAnsi="Arial"/>
                <w:sz w:val="16"/>
                <w:szCs w:val="16"/>
                <w:b w:val="1"/>
                <w:bCs w:val="1"/>
                <w:color w:val="auto"/>
                <w:w w:val="83"/>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6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Gross claims, note 16(b)</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3"/>
              </w:rPr>
              <w:t>351,445</w:t>
            </w:r>
          </w:p>
        </w:tc>
        <w:tc>
          <w:tcPr>
            <w:tcW w:w="1600" w:type="dxa"/>
            <w:vAlign w:val="bottom"/>
            <w:gridSpan w:val="5"/>
            <w:shd w:val="clear" w:color="auto" w:fill="CCEEFF"/>
          </w:tcPr>
          <w:p>
            <w:pPr>
              <w:jc w:val="right"/>
              <w:ind w:right="220"/>
              <w:spacing w:after="0"/>
              <w:rPr>
                <w:sz w:val="20"/>
                <w:szCs w:val="20"/>
                <w:color w:val="auto"/>
              </w:rPr>
            </w:pPr>
            <w:r>
              <w:rPr>
                <w:rFonts w:ascii="Arial" w:cs="Arial" w:eastAsia="Arial" w:hAnsi="Arial"/>
                <w:sz w:val="16"/>
                <w:szCs w:val="16"/>
                <w:color w:val="auto"/>
              </w:rPr>
              <w:t>337,864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834,296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1,523,605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00" w:type="dxa"/>
            <w:vAlign w:val="bottom"/>
            <w:gridSpan w:val="3"/>
          </w:tcPr>
          <w:p>
            <w:pPr>
              <w:spacing w:after="0"/>
              <w:rPr>
                <w:sz w:val="20"/>
                <w:szCs w:val="20"/>
                <w:color w:val="auto"/>
              </w:rPr>
            </w:pPr>
            <w:r>
              <w:rPr>
                <w:rFonts w:ascii="Arial" w:cs="Arial" w:eastAsia="Arial" w:hAnsi="Arial"/>
                <w:sz w:val="16"/>
                <w:szCs w:val="16"/>
                <w:color w:val="auto"/>
              </w:rPr>
              <w:t>Ceded claims, note 9(b)</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(24,091)</w:t>
            </w:r>
          </w:p>
        </w:tc>
        <w:tc>
          <w:tcPr>
            <w:tcW w:w="1600" w:type="dxa"/>
            <w:vAlign w:val="bottom"/>
            <w:gridSpan w:val="5"/>
          </w:tcPr>
          <w:p>
            <w:pPr>
              <w:jc w:val="right"/>
              <w:ind w:right="160"/>
              <w:spacing w:after="0"/>
              <w:rPr>
                <w:sz w:val="20"/>
                <w:szCs w:val="20"/>
                <w:color w:val="auto"/>
              </w:rPr>
            </w:pPr>
            <w:r>
              <w:rPr>
                <w:rFonts w:ascii="Arial" w:cs="Arial" w:eastAsia="Arial" w:hAnsi="Arial"/>
                <w:sz w:val="16"/>
                <w:szCs w:val="16"/>
                <w:color w:val="auto"/>
              </w:rPr>
              <w:t>(67,108)</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(5,673)</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(96,872)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insurance claims</w:t>
            </w:r>
          </w:p>
        </w:tc>
        <w:tc>
          <w:tcPr>
            <w:tcW w:w="70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327,354</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270,756</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828,623</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1,426,733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560" w:type="dxa"/>
            <w:vAlign w:val="bottom"/>
            <w:gridSpan w:val="2"/>
          </w:tcPr>
          <w:p>
            <w:pPr>
              <w:spacing w:after="0"/>
              <w:rPr>
                <w:sz w:val="20"/>
                <w:szCs w:val="20"/>
                <w:color w:val="auto"/>
              </w:rPr>
            </w:pPr>
            <w:r>
              <w:rPr>
                <w:rFonts w:ascii="Arial" w:cs="Arial" w:eastAsia="Arial" w:hAnsi="Arial"/>
                <w:sz w:val="16"/>
                <w:szCs w:val="16"/>
                <w:b w:val="1"/>
                <w:bCs w:val="1"/>
                <w:color w:val="auto"/>
              </w:rPr>
              <w:t>26</w:t>
            </w:r>
          </w:p>
        </w:tc>
        <w:tc>
          <w:tcPr>
            <w:tcW w:w="5760" w:type="dxa"/>
            <w:vAlign w:val="bottom"/>
            <w:gridSpan w:val="2"/>
          </w:tcPr>
          <w:p>
            <w:pPr>
              <w:ind w:left="20"/>
              <w:spacing w:after="0"/>
              <w:rPr>
                <w:sz w:val="20"/>
                <w:szCs w:val="20"/>
                <w:color w:val="auto"/>
              </w:rPr>
            </w:pPr>
            <w:r>
              <w:rPr>
                <w:rFonts w:ascii="Arial" w:cs="Arial" w:eastAsia="Arial" w:hAnsi="Arial"/>
                <w:sz w:val="16"/>
                <w:szCs w:val="16"/>
                <w:b w:val="1"/>
                <w:bCs w:val="1"/>
                <w:color w:val="auto"/>
              </w:rPr>
              <w:t>SALARIES AND EMPLOYEES BENEFITS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320" w:type="dxa"/>
            <w:vAlign w:val="bottom"/>
            <w:gridSpan w:val="4"/>
          </w:tcPr>
          <w:p>
            <w:pPr>
              <w:spacing w:after="0"/>
              <w:rPr>
                <w:sz w:val="20"/>
                <w:szCs w:val="20"/>
                <w:color w:val="auto"/>
              </w:rPr>
            </w:pPr>
            <w:r>
              <w:rPr>
                <w:rFonts w:ascii="Arial" w:cs="Arial" w:eastAsia="Arial" w:hAnsi="Arial"/>
                <w:sz w:val="16"/>
                <w:szCs w:val="16"/>
                <w:color w:val="auto"/>
              </w:rPr>
              <w:t>This item consists of the following:</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40" w:type="dxa"/>
            <w:vAlign w:val="bottom"/>
            <w:gridSpan w:val="2"/>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spacing w:after="0"/>
              <w:rPr>
                <w:sz w:val="15"/>
                <w:szCs w:val="15"/>
                <w:color w:val="auto"/>
              </w:rPr>
            </w:pPr>
          </w:p>
        </w:tc>
        <w:tc>
          <w:tcPr>
            <w:tcW w:w="13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w w:val="89"/>
              </w:rPr>
              <w:t>Salaries</w:t>
            </w:r>
          </w:p>
        </w:tc>
        <w:tc>
          <w:tcPr>
            <w:tcW w:w="50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1,622,065</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1,594,538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1,410,351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00" w:type="dxa"/>
            <w:vAlign w:val="bottom"/>
            <w:gridSpan w:val="3"/>
          </w:tcPr>
          <w:p>
            <w:pPr>
              <w:spacing w:after="0"/>
              <w:rPr>
                <w:sz w:val="20"/>
                <w:szCs w:val="20"/>
                <w:color w:val="auto"/>
              </w:rPr>
            </w:pPr>
            <w:r>
              <w:rPr>
                <w:rFonts w:ascii="Arial" w:cs="Arial" w:eastAsia="Arial" w:hAnsi="Arial"/>
                <w:sz w:val="16"/>
                <w:szCs w:val="16"/>
                <w:color w:val="auto"/>
              </w:rPr>
              <w:t>Vacations, medical assistance and others</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295,404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301,478</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391,483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w w:val="83"/>
              </w:rPr>
              <w:t>Bonuses</w:t>
            </w:r>
          </w:p>
        </w:tc>
        <w:tc>
          <w:tcPr>
            <w:tcW w:w="50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233,163</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221,654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258,146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00" w:type="dxa"/>
            <w:vAlign w:val="bottom"/>
            <w:gridSpan w:val="3"/>
          </w:tcPr>
          <w:p>
            <w:pPr>
              <w:spacing w:after="0"/>
              <w:rPr>
                <w:sz w:val="20"/>
                <w:szCs w:val="20"/>
                <w:color w:val="auto"/>
              </w:rPr>
            </w:pPr>
            <w:r>
              <w:rPr>
                <w:rFonts w:ascii="Arial" w:cs="Arial" w:eastAsia="Arial" w:hAnsi="Arial"/>
                <w:sz w:val="16"/>
                <w:szCs w:val="16"/>
                <w:color w:val="auto"/>
              </w:rPr>
              <w:t>Additional participation</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200,120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160,336</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147,265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Worders’ profit sharing</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194,851</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230,701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146,304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00" w:type="dxa"/>
            <w:vAlign w:val="bottom"/>
            <w:gridSpan w:val="3"/>
          </w:tcPr>
          <w:p>
            <w:pPr>
              <w:spacing w:after="0"/>
              <w:rPr>
                <w:sz w:val="20"/>
                <w:szCs w:val="20"/>
                <w:color w:val="auto"/>
              </w:rPr>
            </w:pPr>
            <w:r>
              <w:rPr>
                <w:rFonts w:ascii="Arial" w:cs="Arial" w:eastAsia="Arial" w:hAnsi="Arial"/>
                <w:sz w:val="16"/>
                <w:szCs w:val="16"/>
                <w:color w:val="auto"/>
              </w:rPr>
              <w:t>Social security</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172,090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172,909</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131,573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Severance indemnities</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130,179</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123,552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125,681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00" w:type="dxa"/>
            <w:vAlign w:val="bottom"/>
            <w:gridSpan w:val="3"/>
          </w:tcPr>
          <w:p>
            <w:pPr>
              <w:spacing w:after="0"/>
              <w:rPr>
                <w:sz w:val="20"/>
                <w:szCs w:val="20"/>
                <w:color w:val="auto"/>
              </w:rPr>
            </w:pPr>
            <w:r>
              <w:rPr>
                <w:rFonts w:ascii="Arial" w:cs="Arial" w:eastAsia="Arial" w:hAnsi="Arial"/>
                <w:sz w:val="16"/>
                <w:szCs w:val="16"/>
                <w:color w:val="auto"/>
              </w:rPr>
              <w:t>Share-based payment plans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4"/>
          </w:tcPr>
          <w:p>
            <w:pPr>
              <w:jc w:val="right"/>
              <w:ind w:right="20"/>
              <w:spacing w:after="0"/>
              <w:rPr>
                <w:sz w:val="20"/>
                <w:szCs w:val="20"/>
                <w:color w:val="auto"/>
              </w:rPr>
            </w:pPr>
            <w:r>
              <w:rPr>
                <w:rFonts w:ascii="Arial" w:cs="Arial" w:eastAsia="Arial" w:hAnsi="Arial"/>
                <w:sz w:val="16"/>
                <w:szCs w:val="16"/>
                <w:color w:val="auto"/>
              </w:rPr>
              <w:t>94,871</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73,150</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62,628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50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2,942,743</w:t>
            </w: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2,878,318</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2,673,431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gridSpan w:val="2"/>
          </w:tcPr>
          <w:p>
            <w:pPr>
              <w:ind w:left="4940"/>
              <w:spacing w:after="0"/>
              <w:rPr>
                <w:sz w:val="20"/>
                <w:szCs w:val="20"/>
                <w:color w:val="auto"/>
              </w:rPr>
            </w:pPr>
            <w:r>
              <w:rPr>
                <w:rFonts w:ascii="Arial" w:cs="Arial" w:eastAsia="Arial" w:hAnsi="Arial"/>
                <w:sz w:val="16"/>
                <w:szCs w:val="16"/>
                <w:color w:val="auto"/>
              </w:rPr>
              <w:t>- 102 -</w:t>
            </w: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4" w:right="219" w:bottom="1440" w:gutter="0" w:footer="0" w:header="0"/>
        </w:sectPr>
      </w:pPr>
    </w:p>
    <w:bookmarkStart w:id="107" w:name="page108"/>
    <w:bookmarkEnd w:id="107"/>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580" w:type="dxa"/>
            <w:vAlign w:val="bottom"/>
            <w:gridSpan w:val="2"/>
          </w:tcPr>
          <w:p>
            <w:pPr>
              <w:spacing w:after="0"/>
              <w:rPr>
                <w:sz w:val="20"/>
                <w:szCs w:val="20"/>
                <w:color w:val="auto"/>
              </w:rPr>
            </w:pPr>
            <w:r>
              <w:rPr>
                <w:rFonts w:ascii="Arial" w:cs="Arial" w:eastAsia="Arial" w:hAnsi="Arial"/>
                <w:sz w:val="16"/>
                <w:szCs w:val="16"/>
                <w:b w:val="1"/>
                <w:bCs w:val="1"/>
                <w:color w:val="auto"/>
              </w:rPr>
              <w:t>27</w:t>
            </w:r>
          </w:p>
        </w:tc>
        <w:tc>
          <w:tcPr>
            <w:tcW w:w="7080" w:type="dxa"/>
            <w:vAlign w:val="bottom"/>
            <w:gridSpan w:val="2"/>
          </w:tcPr>
          <w:p>
            <w:pPr>
              <w:spacing w:after="0"/>
              <w:rPr>
                <w:sz w:val="20"/>
                <w:szCs w:val="20"/>
                <w:color w:val="auto"/>
              </w:rPr>
            </w:pPr>
            <w:r>
              <w:rPr>
                <w:rFonts w:ascii="Arial" w:cs="Arial" w:eastAsia="Arial" w:hAnsi="Arial"/>
                <w:sz w:val="16"/>
                <w:szCs w:val="16"/>
                <w:b w:val="1"/>
                <w:bCs w:val="1"/>
                <w:color w:val="auto"/>
              </w:rPr>
              <w:t>ADMINISTRATIVE EXPENSES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7660" w:type="dxa"/>
            <w:vAlign w:val="bottom"/>
            <w:gridSpan w:val="4"/>
          </w:tcPr>
          <w:p>
            <w:pPr>
              <w:spacing w:after="0"/>
              <w:rPr>
                <w:sz w:val="20"/>
                <w:szCs w:val="20"/>
                <w:color w:val="auto"/>
              </w:rPr>
            </w:pPr>
            <w:r>
              <w:rPr>
                <w:rFonts w:ascii="Arial" w:cs="Arial" w:eastAsia="Arial" w:hAnsi="Arial"/>
                <w:sz w:val="16"/>
                <w:szCs w:val="16"/>
                <w:color w:val="auto"/>
              </w:rPr>
              <w:t>This item consists of the following:</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80" w:type="dxa"/>
            <w:vAlign w:val="bottom"/>
            <w:gridSpan w:val="2"/>
          </w:tcPr>
          <w:p>
            <w:pPr>
              <w:ind w:left="6520"/>
              <w:spacing w:after="0"/>
              <w:rPr>
                <w:sz w:val="20"/>
                <w:szCs w:val="20"/>
                <w:color w:val="auto"/>
              </w:rPr>
            </w:pPr>
            <w:r>
              <w:rPr>
                <w:rFonts w:ascii="Arial" w:cs="Arial" w:eastAsia="Arial" w:hAnsi="Arial"/>
                <w:sz w:val="16"/>
                <w:szCs w:val="16"/>
                <w:b w:val="1"/>
                <w:bCs w:val="1"/>
                <w:color w:val="auto"/>
              </w:rPr>
              <w:t>2016</w:t>
            </w:r>
          </w:p>
        </w:tc>
        <w:tc>
          <w:tcPr>
            <w:tcW w:w="1500" w:type="dxa"/>
            <w:vAlign w:val="bottom"/>
            <w:gridSpan w:val="3"/>
          </w:tcPr>
          <w:p>
            <w:pPr>
              <w:ind w:left="960"/>
              <w:spacing w:after="0"/>
              <w:rPr>
                <w:sz w:val="20"/>
                <w:szCs w:val="20"/>
                <w:color w:val="auto"/>
              </w:rPr>
            </w:pPr>
            <w:r>
              <w:rPr>
                <w:rFonts w:ascii="Arial" w:cs="Arial" w:eastAsia="Arial" w:hAnsi="Arial"/>
                <w:sz w:val="16"/>
                <w:szCs w:val="16"/>
                <w:b w:val="1"/>
                <w:bCs w:val="1"/>
                <w:color w:val="auto"/>
              </w:rPr>
              <w:t>2015</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7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w w:val="99"/>
              </w:rPr>
              <w:t>S/(000)</w:t>
            </w: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708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Repair and maintenance</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423,219</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387,222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329,018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6"/>
                <w:szCs w:val="16"/>
                <w:color w:val="auto"/>
                <w:w w:val="90"/>
              </w:rPr>
              <w:t>Publicity</w:t>
            </w:r>
          </w:p>
        </w:tc>
        <w:tc>
          <w:tcPr>
            <w:tcW w:w="6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300,401</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273,881</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268,117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Taxes and contributions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270,932</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249,474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201,782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6"/>
                <w:szCs w:val="16"/>
                <w:color w:val="auto"/>
              </w:rPr>
              <w:t>Rental</w:t>
            </w:r>
          </w:p>
        </w:tc>
        <w:tc>
          <w:tcPr>
            <w:tcW w:w="6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226,301</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214,012</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202,323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Consulting and professional fees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183,751</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177,145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175,868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40" w:type="dxa"/>
            <w:vAlign w:val="bottom"/>
            <w:gridSpan w:val="3"/>
          </w:tcPr>
          <w:p>
            <w:pPr>
              <w:spacing w:after="0"/>
              <w:rPr>
                <w:sz w:val="20"/>
                <w:szCs w:val="20"/>
                <w:color w:val="auto"/>
              </w:rPr>
            </w:pPr>
            <w:r>
              <w:rPr>
                <w:rFonts w:ascii="Arial" w:cs="Arial" w:eastAsia="Arial" w:hAnsi="Arial"/>
                <w:sz w:val="16"/>
                <w:szCs w:val="16"/>
                <w:color w:val="auto"/>
              </w:rPr>
              <w:t>Transport and communications</w:t>
            </w:r>
          </w:p>
        </w:tc>
        <w:tc>
          <w:tcPr>
            <w:tcW w:w="720" w:type="dxa"/>
            <w:vAlign w:val="bottom"/>
          </w:tcPr>
          <w:p>
            <w:pPr>
              <w:jc w:val="right"/>
              <w:spacing w:after="0"/>
              <w:rPr>
                <w:sz w:val="20"/>
                <w:szCs w:val="20"/>
                <w:color w:val="auto"/>
              </w:rPr>
            </w:pPr>
            <w:r>
              <w:rPr>
                <w:rFonts w:ascii="Arial" w:cs="Arial" w:eastAsia="Arial" w:hAnsi="Arial"/>
                <w:sz w:val="16"/>
                <w:szCs w:val="16"/>
                <w:color w:val="auto"/>
              </w:rPr>
              <w:t>188,444</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195,118</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200,207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Others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501,630</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498,950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553,168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6"/>
                <w:szCs w:val="16"/>
                <w:color w:val="auto"/>
              </w:rPr>
              <w:t>Total</w:t>
            </w:r>
          </w:p>
        </w:tc>
        <w:tc>
          <w:tcPr>
            <w:tcW w:w="6520" w:type="dxa"/>
            <w:vAlign w:val="bottom"/>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2,094,678</w:t>
            </w:r>
          </w:p>
        </w:tc>
        <w:tc>
          <w:tcPr>
            <w:tcW w:w="240" w:type="dxa"/>
            <w:vAlign w:val="bottom"/>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1,995,802</w:t>
            </w:r>
          </w:p>
        </w:tc>
        <w:tc>
          <w:tcPr>
            <w:tcW w:w="22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1,930,483</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283" w:right="280" w:hanging="283"/>
        <w:spacing w:after="0" w:line="280" w:lineRule="auto"/>
        <w:tabs>
          <w:tab w:leader="none" w:pos="28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balance is made up mainly of security and protection, cleaning service, entertainment expenses, light and water, insurance expenses, subscription expenses, Agentes BCP commission expenses, Reniec expenses, among others.</w:t>
      </w:r>
    </w:p>
    <w:p>
      <w:pPr>
        <w:spacing w:after="0" w:line="147"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500" w:type="dxa"/>
            <w:vAlign w:val="bottom"/>
            <w:gridSpan w:val="2"/>
          </w:tcPr>
          <w:p>
            <w:pPr>
              <w:spacing w:after="0"/>
              <w:rPr>
                <w:sz w:val="20"/>
                <w:szCs w:val="20"/>
                <w:color w:val="auto"/>
              </w:rPr>
            </w:pPr>
            <w:r>
              <w:rPr>
                <w:rFonts w:ascii="Arial" w:cs="Arial" w:eastAsia="Arial" w:hAnsi="Arial"/>
                <w:sz w:val="16"/>
                <w:szCs w:val="16"/>
                <w:b w:val="1"/>
                <w:bCs w:val="1"/>
                <w:color w:val="auto"/>
              </w:rPr>
              <w:t>28</w:t>
            </w:r>
          </w:p>
        </w:tc>
        <w:tc>
          <w:tcPr>
            <w:tcW w:w="7220" w:type="dxa"/>
            <w:vAlign w:val="bottom"/>
            <w:gridSpan w:val="2"/>
          </w:tcPr>
          <w:p>
            <w:pPr>
              <w:ind w:left="80"/>
              <w:spacing w:after="0"/>
              <w:rPr>
                <w:sz w:val="20"/>
                <w:szCs w:val="20"/>
                <w:color w:val="auto"/>
              </w:rPr>
            </w:pPr>
            <w:r>
              <w:rPr>
                <w:rFonts w:ascii="Arial" w:cs="Arial" w:eastAsia="Arial" w:hAnsi="Arial"/>
                <w:sz w:val="16"/>
                <w:szCs w:val="16"/>
                <w:b w:val="1"/>
                <w:bCs w:val="1"/>
                <w:color w:val="auto"/>
              </w:rPr>
              <w:t>OTHER INCOME AND EXPENSES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7720" w:type="dxa"/>
            <w:vAlign w:val="bottom"/>
            <w:gridSpan w:val="4"/>
          </w:tcPr>
          <w:p>
            <w:pPr>
              <w:spacing w:after="0"/>
              <w:rPr>
                <w:sz w:val="20"/>
                <w:szCs w:val="20"/>
                <w:color w:val="auto"/>
              </w:rPr>
            </w:pPr>
            <w:r>
              <w:rPr>
                <w:rFonts w:ascii="Arial" w:cs="Arial" w:eastAsia="Arial" w:hAnsi="Arial"/>
                <w:sz w:val="16"/>
                <w:szCs w:val="16"/>
                <w:color w:val="auto"/>
              </w:rPr>
              <w:t>This item consists of the following:</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20" w:type="dxa"/>
            <w:vAlign w:val="bottom"/>
            <w:gridSpan w:val="2"/>
          </w:tcPr>
          <w:p>
            <w:pPr>
              <w:ind w:left="6600"/>
              <w:spacing w:after="0"/>
              <w:rPr>
                <w:sz w:val="20"/>
                <w:szCs w:val="20"/>
                <w:color w:val="auto"/>
              </w:rPr>
            </w:pPr>
            <w:r>
              <w:rPr>
                <w:rFonts w:ascii="Arial" w:cs="Arial" w:eastAsia="Arial" w:hAnsi="Arial"/>
                <w:sz w:val="16"/>
                <w:szCs w:val="16"/>
                <w:b w:val="1"/>
                <w:bCs w:val="1"/>
                <w:color w:val="auto"/>
              </w:rPr>
              <w:t>2016</w:t>
            </w:r>
          </w:p>
        </w:tc>
        <w:tc>
          <w:tcPr>
            <w:tcW w:w="1500" w:type="dxa"/>
            <w:vAlign w:val="bottom"/>
            <w:gridSpan w:val="3"/>
          </w:tcPr>
          <w:p>
            <w:pPr>
              <w:ind w:left="900"/>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Other income</w:t>
            </w: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tcPr>
          <w:p>
            <w:pPr>
              <w:spacing w:after="0"/>
              <w:rPr>
                <w:sz w:val="20"/>
                <w:szCs w:val="20"/>
                <w:color w:val="auto"/>
              </w:rPr>
            </w:pPr>
            <w:r>
              <w:rPr>
                <w:rFonts w:ascii="Arial" w:cs="Arial" w:eastAsia="Arial" w:hAnsi="Arial"/>
                <w:sz w:val="16"/>
                <w:szCs w:val="16"/>
                <w:color w:val="auto"/>
              </w:rPr>
              <w:t>Income from medical services and sale of medicines</w:t>
            </w:r>
          </w:p>
        </w:tc>
        <w:tc>
          <w:tcPr>
            <w:tcW w:w="660" w:type="dxa"/>
            <w:vAlign w:val="bottom"/>
          </w:tcPr>
          <w:p>
            <w:pPr>
              <w:jc w:val="right"/>
              <w:spacing w:after="0"/>
              <w:rPr>
                <w:sz w:val="20"/>
                <w:szCs w:val="20"/>
                <w:color w:val="auto"/>
              </w:rPr>
            </w:pPr>
            <w:r>
              <w:rPr>
                <w:rFonts w:ascii="Arial" w:cs="Arial" w:eastAsia="Arial" w:hAnsi="Arial"/>
                <w:sz w:val="16"/>
                <w:szCs w:val="16"/>
                <w:color w:val="auto"/>
              </w:rPr>
              <w:t>136,919</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133,828</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460,883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Real estate rental income</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37,324</w:t>
            </w:r>
          </w:p>
        </w:tc>
        <w:tc>
          <w:tcPr>
            <w:tcW w:w="6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26,357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18,522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tcPr>
          <w:p>
            <w:pPr>
              <w:spacing w:after="0"/>
              <w:rPr>
                <w:sz w:val="20"/>
                <w:szCs w:val="20"/>
                <w:color w:val="auto"/>
              </w:rPr>
            </w:pPr>
            <w:r>
              <w:rPr>
                <w:rFonts w:ascii="Arial" w:cs="Arial" w:eastAsia="Arial" w:hAnsi="Arial"/>
                <w:sz w:val="16"/>
                <w:szCs w:val="16"/>
                <w:color w:val="auto"/>
              </w:rPr>
              <w:t>Net profit from sale of seized and recovered assets</w:t>
            </w:r>
          </w:p>
        </w:tc>
        <w:tc>
          <w:tcPr>
            <w:tcW w:w="660" w:type="dxa"/>
            <w:vAlign w:val="bottom"/>
          </w:tcPr>
          <w:p>
            <w:pPr>
              <w:jc w:val="right"/>
              <w:spacing w:after="0"/>
              <w:rPr>
                <w:sz w:val="20"/>
                <w:szCs w:val="20"/>
                <w:color w:val="auto"/>
              </w:rPr>
            </w:pPr>
            <w:r>
              <w:rPr>
                <w:rFonts w:ascii="Arial" w:cs="Arial" w:eastAsia="Arial" w:hAnsi="Arial"/>
                <w:sz w:val="16"/>
                <w:szCs w:val="16"/>
                <w:color w:val="auto"/>
              </w:rPr>
              <w:t>1,377</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4,195</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1,801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Recoveries of other accounts receivable and other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4,660</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1,481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3,084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00" w:type="dxa"/>
            <w:vAlign w:val="bottom"/>
            <w:gridSpan w:val="3"/>
          </w:tcPr>
          <w:p>
            <w:pPr>
              <w:spacing w:after="0"/>
              <w:rPr>
                <w:sz w:val="20"/>
                <w:szCs w:val="20"/>
                <w:color w:val="auto"/>
              </w:rPr>
            </w:pPr>
            <w:r>
              <w:rPr>
                <w:rFonts w:ascii="Arial" w:cs="Arial" w:eastAsia="Arial" w:hAnsi="Arial"/>
                <w:sz w:val="16"/>
                <w:szCs w:val="16"/>
                <w:color w:val="auto"/>
              </w:rPr>
              <w:t>Others (*)</w:t>
            </w:r>
          </w:p>
        </w:tc>
        <w:tc>
          <w:tcPr>
            <w:tcW w:w="660" w:type="dxa"/>
            <w:vAlign w:val="bottom"/>
          </w:tcPr>
          <w:p>
            <w:pPr>
              <w:jc w:val="right"/>
              <w:spacing w:after="0"/>
              <w:rPr>
                <w:sz w:val="20"/>
                <w:szCs w:val="20"/>
                <w:color w:val="auto"/>
              </w:rPr>
            </w:pPr>
            <w:r>
              <w:rPr>
                <w:rFonts w:ascii="Arial" w:cs="Arial" w:eastAsia="Arial" w:hAnsi="Arial"/>
                <w:sz w:val="16"/>
                <w:szCs w:val="16"/>
                <w:color w:val="auto"/>
              </w:rPr>
              <w:t>164,180</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159,805</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155,282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other income</w:t>
            </w: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344,460</w:t>
            </w:r>
          </w:p>
        </w:tc>
        <w:tc>
          <w:tcPr>
            <w:tcW w:w="2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325,666</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639,572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8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Other expenses</w:t>
            </w: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tcPr>
          <w:p>
            <w:pPr>
              <w:spacing w:after="0"/>
              <w:rPr>
                <w:sz w:val="20"/>
                <w:szCs w:val="20"/>
                <w:color w:val="auto"/>
              </w:rPr>
            </w:pPr>
            <w:r>
              <w:rPr>
                <w:rFonts w:ascii="Arial" w:cs="Arial" w:eastAsia="Arial" w:hAnsi="Arial"/>
                <w:sz w:val="16"/>
                <w:szCs w:val="16"/>
                <w:color w:val="auto"/>
              </w:rPr>
              <w:t>Commissions from insurance activities</w:t>
            </w:r>
          </w:p>
        </w:tc>
        <w:tc>
          <w:tcPr>
            <w:tcW w:w="660" w:type="dxa"/>
            <w:vAlign w:val="bottom"/>
          </w:tcPr>
          <w:p>
            <w:pPr>
              <w:jc w:val="right"/>
              <w:spacing w:after="0"/>
              <w:rPr>
                <w:sz w:val="20"/>
                <w:szCs w:val="20"/>
                <w:color w:val="auto"/>
              </w:rPr>
            </w:pPr>
            <w:r>
              <w:rPr>
                <w:rFonts w:ascii="Arial" w:cs="Arial" w:eastAsia="Arial" w:hAnsi="Arial"/>
                <w:sz w:val="16"/>
                <w:szCs w:val="16"/>
                <w:color w:val="auto"/>
              </w:rPr>
              <w:t>272,949</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231,521</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262,692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Sundry technical insurance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102,670</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95,857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75,917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tcPr>
          <w:p>
            <w:pPr>
              <w:spacing w:after="0"/>
              <w:rPr>
                <w:sz w:val="20"/>
                <w:szCs w:val="20"/>
                <w:color w:val="auto"/>
              </w:rPr>
            </w:pPr>
            <w:r>
              <w:rPr>
                <w:rFonts w:ascii="Arial" w:cs="Arial" w:eastAsia="Arial" w:hAnsi="Arial"/>
                <w:sz w:val="16"/>
                <w:szCs w:val="16"/>
                <w:color w:val="auto"/>
              </w:rPr>
              <w:t>Expenses on improvements in building for rent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43,775</w:t>
            </w:r>
          </w:p>
        </w:tc>
        <w:tc>
          <w:tcPr>
            <w:tcW w:w="6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45,266</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38,065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Losses due to operational risk</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37,407</w:t>
            </w:r>
          </w:p>
        </w:tc>
        <w:tc>
          <w:tcPr>
            <w:tcW w:w="6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21,439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11,216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tcPr>
          <w:p>
            <w:pPr>
              <w:spacing w:after="0"/>
              <w:rPr>
                <w:sz w:val="20"/>
                <w:szCs w:val="20"/>
                <w:color w:val="auto"/>
              </w:rPr>
            </w:pPr>
            <w:r>
              <w:rPr>
                <w:rFonts w:ascii="Arial" w:cs="Arial" w:eastAsia="Arial" w:hAnsi="Arial"/>
                <w:sz w:val="16"/>
                <w:szCs w:val="16"/>
                <w:color w:val="auto"/>
              </w:rPr>
              <w:t>Administrative and tax penalties</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16,374</w:t>
            </w:r>
          </w:p>
        </w:tc>
        <w:tc>
          <w:tcPr>
            <w:tcW w:w="6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5,581</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Provision for sundry risks, note 12(d)</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28,093</w:t>
            </w:r>
          </w:p>
        </w:tc>
        <w:tc>
          <w:tcPr>
            <w:tcW w:w="6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38,248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70,094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tcPr>
          <w:p>
            <w:pPr>
              <w:spacing w:after="0"/>
              <w:rPr>
                <w:sz w:val="20"/>
                <w:szCs w:val="20"/>
                <w:color w:val="auto"/>
              </w:rPr>
            </w:pPr>
            <w:r>
              <w:rPr>
                <w:rFonts w:ascii="Arial" w:cs="Arial" w:eastAsia="Arial" w:hAnsi="Arial"/>
                <w:sz w:val="16"/>
                <w:szCs w:val="16"/>
                <w:color w:val="auto"/>
              </w:rPr>
              <w:t>Put option write on non-controlling interests</w:t>
            </w:r>
          </w:p>
        </w:tc>
        <w:tc>
          <w:tcPr>
            <w:tcW w:w="660" w:type="dxa"/>
            <w:vAlign w:val="bottom"/>
          </w:tcPr>
          <w:p>
            <w:pPr>
              <w:jc w:val="right"/>
              <w:spacing w:after="0"/>
              <w:rPr>
                <w:sz w:val="20"/>
                <w:szCs w:val="20"/>
                <w:color w:val="auto"/>
              </w:rPr>
            </w:pPr>
            <w:r>
              <w:rPr>
                <w:rFonts w:ascii="Arial" w:cs="Arial" w:eastAsia="Arial" w:hAnsi="Arial"/>
                <w:sz w:val="16"/>
                <w:szCs w:val="16"/>
                <w:color w:val="auto"/>
              </w:rPr>
              <w:t>11,890</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8,972</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52,625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Provision for other accounts receivable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8,239</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12,516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12,854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tcPr>
          <w:p>
            <w:pPr>
              <w:spacing w:after="0"/>
              <w:rPr>
                <w:sz w:val="20"/>
                <w:szCs w:val="20"/>
                <w:color w:val="auto"/>
              </w:rPr>
            </w:pPr>
            <w:r>
              <w:rPr>
                <w:rFonts w:ascii="Arial" w:cs="Arial" w:eastAsia="Arial" w:hAnsi="Arial"/>
                <w:sz w:val="16"/>
                <w:szCs w:val="16"/>
                <w:color w:val="auto"/>
              </w:rPr>
              <w:t>Net profit from sale of seized and recovered assets</w:t>
            </w:r>
          </w:p>
        </w:tc>
        <w:tc>
          <w:tcPr>
            <w:tcW w:w="660" w:type="dxa"/>
            <w:vAlign w:val="bottom"/>
          </w:tcPr>
          <w:p>
            <w:pPr>
              <w:jc w:val="right"/>
              <w:spacing w:after="0"/>
              <w:rPr>
                <w:sz w:val="20"/>
                <w:szCs w:val="20"/>
                <w:color w:val="auto"/>
              </w:rPr>
            </w:pPr>
            <w:r>
              <w:rPr>
                <w:rFonts w:ascii="Arial" w:cs="Arial" w:eastAsia="Arial" w:hAnsi="Arial"/>
                <w:sz w:val="16"/>
                <w:szCs w:val="16"/>
                <w:color w:val="auto"/>
              </w:rPr>
              <w:t>1,426</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783</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Cost of medical services and sale of medicines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310,164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6"/>
                <w:szCs w:val="16"/>
                <w:color w:val="auto"/>
                <w:w w:val="95"/>
              </w:rPr>
              <w:t>Others</w:t>
            </w:r>
          </w:p>
        </w:tc>
        <w:tc>
          <w:tcPr>
            <w:tcW w:w="6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86,252</w:t>
            </w:r>
          </w:p>
        </w:tc>
        <w:tc>
          <w:tcPr>
            <w:tcW w:w="6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74,189</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97,972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other expenses</w:t>
            </w: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609,075</w:t>
            </w:r>
          </w:p>
        </w:tc>
        <w:tc>
          <w:tcPr>
            <w:tcW w:w="2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534,372</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932,920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rPr>
              <w:t>- 103 -</w:t>
            </w: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3"/>
          </w:cols>
          <w:pgMar w:left="237" w:top="824" w:right="219" w:bottom="1440" w:gutter="0" w:footer="0" w:header="0"/>
        </w:sectPr>
      </w:pPr>
    </w:p>
    <w:bookmarkStart w:id="108" w:name="page109"/>
    <w:bookmarkEnd w:id="108"/>
    <w:p>
      <w:pPr>
        <w:ind w:left="283" w:right="100" w:hanging="283"/>
        <w:spacing w:after="0" w:line="261" w:lineRule="auto"/>
        <w:tabs>
          <w:tab w:leader="none" w:pos="28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balance mainly comprises cash overages, refund for payment protection insurance made to us by Pacífico Vida, liquidation for sale of shares of Credicorp, use of trade name BCP Bolivia, penalty for breach of contract, commissions for recovery in civil and judicial lawsuits of Personal Credits and Credit Card products, collection of commission for leasing clients for relocation, vehicle taxes, municipal property taxes, fines and penalties related to leasing product, improvements in process of negotiation of shared services with Group companies, among others.</w:t>
      </w:r>
    </w:p>
    <w:p>
      <w:pPr>
        <w:spacing w:after="0" w:line="163" w:lineRule="exact"/>
        <w:rPr>
          <w:sz w:val="20"/>
          <w:szCs w:val="20"/>
          <w:color w:val="auto"/>
        </w:rPr>
      </w:pPr>
    </w:p>
    <w:p>
      <w:pPr>
        <w:ind w:left="3"/>
        <w:spacing w:after="0"/>
        <w:tabs>
          <w:tab w:leader="none" w:pos="563" w:val="left"/>
        </w:tabs>
        <w:rPr>
          <w:sz w:val="20"/>
          <w:szCs w:val="20"/>
          <w:color w:val="auto"/>
        </w:rPr>
      </w:pPr>
      <w:r>
        <w:rPr>
          <w:rFonts w:ascii="Arial" w:cs="Arial" w:eastAsia="Arial" w:hAnsi="Arial"/>
          <w:sz w:val="16"/>
          <w:szCs w:val="16"/>
          <w:b w:val="1"/>
          <w:bCs w:val="1"/>
          <w:color w:val="auto"/>
        </w:rPr>
        <w:t>29</w:t>
      </w:r>
      <w:r>
        <w:rPr>
          <w:sz w:val="20"/>
          <w:szCs w:val="20"/>
          <w:color w:val="auto"/>
        </w:rPr>
        <w:tab/>
      </w:r>
      <w:r>
        <w:rPr>
          <w:rFonts w:ascii="Arial" w:cs="Arial" w:eastAsia="Arial" w:hAnsi="Arial"/>
          <w:sz w:val="16"/>
          <w:szCs w:val="16"/>
          <w:b w:val="1"/>
          <w:bCs w:val="1"/>
          <w:color w:val="auto"/>
        </w:rPr>
        <w:t>EARNINGS PER SHARE</w:t>
      </w:r>
    </w:p>
    <w:p>
      <w:pPr>
        <w:spacing w:after="0" w:line="207"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net earnings per ordinary share were determined over the net income attributable to equity holders of the Group as follows:</w:t>
      </w:r>
    </w:p>
    <w:p>
      <w:pPr>
        <w:spacing w:after="0" w:line="211"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gridSpan w:val="2"/>
          </w:tcPr>
          <w:p>
            <w:pPr>
              <w:ind w:left="6740"/>
              <w:spacing w:after="0"/>
              <w:rPr>
                <w:sz w:val="20"/>
                <w:szCs w:val="20"/>
                <w:color w:val="auto"/>
              </w:rPr>
            </w:pPr>
            <w:r>
              <w:rPr>
                <w:rFonts w:ascii="Arial" w:cs="Arial" w:eastAsia="Arial" w:hAnsi="Arial"/>
                <w:sz w:val="16"/>
                <w:szCs w:val="16"/>
                <w:b w:val="1"/>
                <w:bCs w:val="1"/>
                <w:color w:val="auto"/>
              </w:rPr>
              <w:t>2016</w:t>
            </w:r>
          </w:p>
        </w:tc>
        <w:tc>
          <w:tcPr>
            <w:tcW w:w="1500" w:type="dxa"/>
            <w:vAlign w:val="bottom"/>
            <w:gridSpan w:val="3"/>
          </w:tcPr>
          <w:p>
            <w:pPr>
              <w:ind w:left="1080"/>
              <w:spacing w:after="0"/>
              <w:rPr>
                <w:sz w:val="20"/>
                <w:szCs w:val="20"/>
                <w:color w:val="auto"/>
              </w:rPr>
            </w:pPr>
            <w:r>
              <w:rPr>
                <w:rFonts w:ascii="Arial" w:cs="Arial" w:eastAsia="Arial" w:hAnsi="Arial"/>
                <w:sz w:val="16"/>
                <w:szCs w:val="16"/>
                <w:b w:val="1"/>
                <w:bCs w:val="1"/>
                <w:color w:val="auto"/>
              </w:rPr>
              <w:t>2015</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w w:val="95"/>
              </w:rPr>
              <w:t>S/000</w:t>
            </w: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7080" w:type="dxa"/>
            <w:vAlign w:val="bottom"/>
            <w:gridSpan w:val="2"/>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equity holders of Credicorp (in thousands of soles)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3,514,582</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3,092,303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2,387,852</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Number of stock</w:t>
            </w: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20" w:type="dxa"/>
            <w:vAlign w:val="bottom"/>
            <w:gridSpan w:val="3"/>
          </w:tcPr>
          <w:p>
            <w:pPr>
              <w:spacing w:after="0"/>
              <w:rPr>
                <w:sz w:val="20"/>
                <w:szCs w:val="20"/>
                <w:color w:val="auto"/>
              </w:rPr>
            </w:pPr>
            <w:r>
              <w:rPr>
                <w:rFonts w:ascii="Arial" w:cs="Arial" w:eastAsia="Arial" w:hAnsi="Arial"/>
                <w:sz w:val="16"/>
                <w:szCs w:val="16"/>
                <w:color w:val="auto"/>
              </w:rPr>
              <w:t>Ordinary stock, note 18(a)</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94,382,317</w:t>
            </w:r>
          </w:p>
        </w:tc>
        <w:tc>
          <w:tcPr>
            <w:tcW w:w="4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94,382,317</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94,382,317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Less – treasury stock</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4"/>
              </w:rPr>
              <w:t>(14,903,833)</w:t>
            </w:r>
          </w:p>
        </w:tc>
        <w:tc>
          <w:tcPr>
            <w:tcW w:w="4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4"/>
              </w:rPr>
              <w:t>(14,894,664)</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(14,892,821)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20" w:type="dxa"/>
            <w:vAlign w:val="bottom"/>
            <w:gridSpan w:val="3"/>
          </w:tcPr>
          <w:p>
            <w:pPr>
              <w:spacing w:after="0"/>
              <w:rPr>
                <w:sz w:val="20"/>
                <w:szCs w:val="20"/>
                <w:color w:val="auto"/>
              </w:rPr>
            </w:pPr>
            <w:r>
              <w:rPr>
                <w:rFonts w:ascii="Arial" w:cs="Arial" w:eastAsia="Arial" w:hAnsi="Arial"/>
                <w:sz w:val="16"/>
                <w:szCs w:val="16"/>
                <w:color w:val="auto"/>
              </w:rPr>
              <w:t>Acquisition of treasury stock, net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(8,778)</w:t>
            </w:r>
          </w:p>
        </w:tc>
        <w:tc>
          <w:tcPr>
            <w:tcW w:w="4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(6,877)</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11,027</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7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520" w:type="dxa"/>
            <w:vAlign w:val="bottom"/>
            <w:gridSpan w:val="3"/>
          </w:tcPr>
          <w:p>
            <w:pPr>
              <w:spacing w:after="0"/>
              <w:rPr>
                <w:sz w:val="20"/>
                <w:szCs w:val="20"/>
                <w:color w:val="auto"/>
              </w:rPr>
            </w:pPr>
            <w:r>
              <w:rPr>
                <w:rFonts w:ascii="Arial" w:cs="Arial" w:eastAsia="Arial" w:hAnsi="Arial"/>
                <w:sz w:val="16"/>
                <w:szCs w:val="16"/>
                <w:b w:val="1"/>
                <w:bCs w:val="1"/>
                <w:color w:val="auto"/>
              </w:rPr>
              <w:t>Weighted average number of ordinary shares for basic earnings</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79,469,706</w:t>
            </w:r>
          </w:p>
        </w:tc>
        <w:tc>
          <w:tcPr>
            <w:tcW w:w="4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79,480,776</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79,500,523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Plus - dilution effect - stock awards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143,903</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128,373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173,536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80" w:type="dxa"/>
            <w:vAlign w:val="bottom"/>
            <w:gridSpan w:val="2"/>
          </w:tcPr>
          <w:p>
            <w:pPr>
              <w:spacing w:after="0"/>
              <w:rPr>
                <w:sz w:val="20"/>
                <w:szCs w:val="20"/>
                <w:color w:val="auto"/>
              </w:rPr>
            </w:pPr>
            <w:r>
              <w:rPr>
                <w:rFonts w:ascii="Arial" w:cs="Arial" w:eastAsia="Arial" w:hAnsi="Arial"/>
                <w:sz w:val="16"/>
                <w:szCs w:val="16"/>
                <w:color w:val="auto"/>
              </w:rPr>
              <w:t>Weighted average number of ordinary shares adjusted for the effect of dilution</w:t>
            </w:r>
          </w:p>
        </w:tc>
        <w:tc>
          <w:tcPr>
            <w:tcW w:w="4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79,613,609</w:t>
            </w:r>
          </w:p>
        </w:tc>
        <w:tc>
          <w:tcPr>
            <w:tcW w:w="2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79,609,149</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79,674,059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7080" w:type="dxa"/>
            <w:vAlign w:val="bottom"/>
            <w:gridSpan w:val="2"/>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520" w:type="dxa"/>
            <w:vAlign w:val="bottom"/>
            <w:gridSpan w:val="3"/>
          </w:tcPr>
          <w:p>
            <w:pPr>
              <w:spacing w:after="0"/>
              <w:rPr>
                <w:sz w:val="20"/>
                <w:szCs w:val="20"/>
                <w:color w:val="auto"/>
              </w:rPr>
            </w:pPr>
            <w:r>
              <w:rPr>
                <w:rFonts w:ascii="Arial" w:cs="Arial" w:eastAsia="Arial" w:hAnsi="Arial"/>
                <w:sz w:val="16"/>
                <w:szCs w:val="16"/>
                <w:color w:val="auto"/>
              </w:rPr>
              <w:t>Basic earnings per share (in soles)</w:t>
            </w:r>
          </w:p>
        </w:tc>
        <w:tc>
          <w:tcPr>
            <w:tcW w:w="840" w:type="dxa"/>
            <w:vAlign w:val="bottom"/>
          </w:tcPr>
          <w:p>
            <w:pPr>
              <w:jc w:val="right"/>
              <w:spacing w:after="0"/>
              <w:rPr>
                <w:sz w:val="20"/>
                <w:szCs w:val="20"/>
                <w:color w:val="auto"/>
              </w:rPr>
            </w:pPr>
            <w:r>
              <w:rPr>
                <w:rFonts w:ascii="Arial" w:cs="Arial" w:eastAsia="Arial" w:hAnsi="Arial"/>
                <w:sz w:val="16"/>
                <w:szCs w:val="16"/>
                <w:color w:val="auto"/>
              </w:rPr>
              <w:t>44.23</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38.91</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30.04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Diluted earnings per share (in soles)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44.15</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38.84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29.97</w:t>
            </w:r>
          </w:p>
        </w:tc>
        <w:tc>
          <w:tcPr>
            <w:tcW w:w="0" w:type="dxa"/>
            <w:vAlign w:val="bottom"/>
          </w:tcPr>
          <w:p>
            <w:pPr>
              <w:spacing w:after="0"/>
              <w:rPr>
                <w:sz w:val="1"/>
                <w:szCs w:val="1"/>
                <w:color w:val="auto"/>
              </w:rPr>
            </w:pPr>
          </w:p>
        </w:tc>
      </w:tr>
      <w:tr>
        <w:trPr>
          <w:trHeight w:val="386"/>
        </w:trPr>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30</w:t>
            </w:r>
          </w:p>
        </w:tc>
        <w:tc>
          <w:tcPr>
            <w:tcW w:w="7180" w:type="dxa"/>
            <w:vAlign w:val="bottom"/>
            <w:gridSpan w:val="2"/>
          </w:tcPr>
          <w:p>
            <w:pPr>
              <w:ind w:left="220"/>
              <w:spacing w:after="0"/>
              <w:rPr>
                <w:sz w:val="20"/>
                <w:szCs w:val="20"/>
                <w:color w:val="auto"/>
              </w:rPr>
            </w:pPr>
            <w:r>
              <w:rPr>
                <w:rFonts w:ascii="Arial" w:cs="Arial" w:eastAsia="Arial" w:hAnsi="Arial"/>
                <w:sz w:val="16"/>
                <w:szCs w:val="16"/>
                <w:b w:val="1"/>
                <w:bCs w:val="1"/>
                <w:color w:val="auto"/>
              </w:rPr>
              <w:t>OPERATING SEGMENTS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
        <w:spacing w:after="0"/>
        <w:rPr>
          <w:sz w:val="20"/>
          <w:szCs w:val="20"/>
          <w:color w:val="auto"/>
        </w:rPr>
      </w:pPr>
      <w:r>
        <w:rPr>
          <w:rFonts w:ascii="Arial" w:cs="Arial" w:eastAsia="Arial" w:hAnsi="Arial"/>
          <w:sz w:val="16"/>
          <w:szCs w:val="16"/>
          <w:color w:val="auto"/>
        </w:rPr>
        <w:t>For management purposes, the Group is organized into four reportable segments based on products and services as follows:</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6"/>
          <w:szCs w:val="16"/>
          <w:color w:val="auto"/>
        </w:rPr>
        <w:t>Banking -</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6"/>
          <w:szCs w:val="16"/>
          <w:color w:val="auto"/>
        </w:rPr>
        <w:t>Principally handling loans, credit facilities, deposits and current accounts.</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6"/>
          <w:szCs w:val="16"/>
          <w:color w:val="auto"/>
        </w:rPr>
        <w:t>Insurance -</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5"/>
          <w:szCs w:val="15"/>
          <w:color w:val="auto"/>
        </w:rPr>
        <w:t>Principally comprising the issue of insurance policies to cover losses in commercial property, transportation, marine vessels, automobile, life, health and pension funds. .</w:t>
      </w:r>
    </w:p>
    <w:p>
      <w:pPr>
        <w:spacing w:after="0" w:line="214" w:lineRule="exact"/>
        <w:rPr>
          <w:sz w:val="20"/>
          <w:szCs w:val="20"/>
          <w:color w:val="auto"/>
        </w:rPr>
      </w:pPr>
    </w:p>
    <w:p>
      <w:pPr>
        <w:ind w:left="3"/>
        <w:spacing w:after="0"/>
        <w:rPr>
          <w:sz w:val="20"/>
          <w:szCs w:val="20"/>
          <w:color w:val="auto"/>
        </w:rPr>
      </w:pPr>
      <w:r>
        <w:rPr>
          <w:rFonts w:ascii="Arial" w:cs="Arial" w:eastAsia="Arial" w:hAnsi="Arial"/>
          <w:sz w:val="16"/>
          <w:szCs w:val="16"/>
          <w:color w:val="auto"/>
        </w:rPr>
        <w:t>Pension funds -</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6"/>
          <w:szCs w:val="16"/>
          <w:color w:val="auto"/>
        </w:rPr>
        <w:t>Providing services of private pension fund management to affiliated pensioners.</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6"/>
          <w:szCs w:val="16"/>
          <w:color w:val="auto"/>
        </w:rPr>
        <w:t>Investment banking -</w:t>
      </w:r>
    </w:p>
    <w:p>
      <w:pPr>
        <w:spacing w:after="0" w:line="203" w:lineRule="exact"/>
        <w:rPr>
          <w:sz w:val="20"/>
          <w:szCs w:val="20"/>
          <w:color w:val="auto"/>
        </w:rPr>
      </w:pPr>
    </w:p>
    <w:p>
      <w:pPr>
        <w:jc w:val="both"/>
        <w:ind w:left="3" w:right="340"/>
        <w:spacing w:after="0" w:line="266" w:lineRule="auto"/>
        <w:rPr>
          <w:sz w:val="20"/>
          <w:szCs w:val="20"/>
          <w:color w:val="auto"/>
        </w:rPr>
      </w:pPr>
      <w:r>
        <w:rPr>
          <w:rFonts w:ascii="Arial" w:cs="Arial" w:eastAsia="Arial" w:hAnsi="Arial"/>
          <w:sz w:val="16"/>
          <w:szCs w:val="16"/>
          <w:color w:val="auto"/>
        </w:rPr>
        <w:t>Provide investment brokerage and management to a broad and diverse clientele, which includes corporations, institutional investors, governments and foundations. Also the structuring, and placement of issues in the primary market, as well as well as the execution and negotiation of operations in the secondary market. Additionally, it structures securitization processes for companies and manages mutual funds.</w:t>
      </w:r>
    </w:p>
    <w:p>
      <w:pPr>
        <w:spacing w:after="0" w:line="35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8" w:right="219" w:bottom="1440" w:gutter="0" w:footer="0" w:header="0"/>
        </w:sectPr>
      </w:pPr>
    </w:p>
    <w:bookmarkStart w:id="109" w:name="page110"/>
    <w:bookmarkEnd w:id="109"/>
    <w:p>
      <w:pPr>
        <w:spacing w:after="0" w:line="315" w:lineRule="auto"/>
        <w:rPr>
          <w:sz w:val="20"/>
          <w:szCs w:val="20"/>
          <w:color w:val="auto"/>
        </w:rPr>
      </w:pPr>
      <w:r>
        <w:rPr>
          <w:rFonts w:ascii="Arial" w:cs="Arial" w:eastAsia="Arial" w:hAnsi="Arial"/>
          <w:sz w:val="15"/>
          <w:szCs w:val="15"/>
          <w:color w:val="auto"/>
        </w:rPr>
        <w:t>The Group monitors the operating results of its business units separately for the purpose of making decisions about resource allocation and performance assessment. Segment performance is evaluated based on operating profit or loss and is measured consistently with operating profit or loss in the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Transfer prices used between operating segments are on an arm’s length basis in a manner similar to transactions with third parties.</w:t>
      </w:r>
    </w:p>
    <w:p>
      <w:pPr>
        <w:spacing w:after="0" w:line="203"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No revenue from transactions with a single external customer or counterparty amounted to 10 percent or more of the Group’s total revenue at December 31, 2016, 2015 and 2014.</w:t>
      </w: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200"/>
          </w:cols>
          <w:pgMar w:left="240" w:top="828" w:right="459" w:bottom="1440" w:gutter="0" w:footer="0" w:header="0"/>
        </w:sectPr>
      </w:pPr>
    </w:p>
    <w:bookmarkStart w:id="110" w:name="page111"/>
    <w:bookmarkEnd w:id="110"/>
    <w:p>
      <w:pPr>
        <w:ind w:left="283" w:right="100" w:hanging="283"/>
        <w:spacing w:after="0" w:line="280" w:lineRule="auto"/>
        <w:tabs>
          <w:tab w:leader="none" w:pos="28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table below shows (in millions of soles) a breakdown of the Group’s external income, operating income and non-current assets; classified by location of customers and assets, respectively for the years ended December 31, 2016, 2015 and 2014:</w:t>
      </w:r>
    </w:p>
    <w:p>
      <w:pPr>
        <w:spacing w:after="0" w:line="127"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Allowance for</w:t>
            </w:r>
          </w:p>
        </w:tc>
        <w:tc>
          <w:tcPr>
            <w:tcW w:w="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Depreciation</w:t>
            </w:r>
          </w:p>
        </w:tc>
        <w:tc>
          <w:tcPr>
            <w:tcW w:w="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Impairment of</w:t>
            </w:r>
          </w:p>
        </w:tc>
        <w:tc>
          <w:tcPr>
            <w:tcW w:w="1040" w:type="dxa"/>
            <w:vAlign w:val="bottom"/>
            <w:gridSpan w:val="3"/>
          </w:tcPr>
          <w:p>
            <w:pPr>
              <w:ind w:left="60"/>
              <w:spacing w:after="0"/>
              <w:rPr>
                <w:sz w:val="20"/>
                <w:szCs w:val="20"/>
                <w:color w:val="auto"/>
              </w:rPr>
            </w:pPr>
            <w:r>
              <w:rPr>
                <w:rFonts w:ascii="Arial" w:cs="Arial" w:eastAsia="Arial" w:hAnsi="Arial"/>
                <w:sz w:val="13"/>
                <w:szCs w:val="13"/>
                <w:b w:val="1"/>
                <w:bCs w:val="1"/>
                <w:color w:val="auto"/>
              </w:rPr>
              <w:t>Income before</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Exchange</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3"/>
                <w:szCs w:val="13"/>
                <w:b w:val="1"/>
                <w:bCs w:val="1"/>
                <w:color w:val="auto"/>
              </w:rPr>
              <w:t>Capital</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Total income</w:t>
            </w: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Operating</w:t>
            </w:r>
          </w:p>
        </w:tc>
        <w:tc>
          <w:tcPr>
            <w:tcW w:w="9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loan losses,</w:t>
            </w:r>
          </w:p>
        </w:tc>
        <w:tc>
          <w:tcPr>
            <w:tcW w:w="96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40" w:type="dxa"/>
            <w:vAlign w:val="bottom"/>
            <w:gridSpan w:val="3"/>
          </w:tcPr>
          <w:p>
            <w:pPr>
              <w:ind w:left="60"/>
              <w:spacing w:after="0" w:line="133" w:lineRule="exact"/>
              <w:rPr>
                <w:sz w:val="20"/>
                <w:szCs w:val="20"/>
                <w:color w:val="auto"/>
              </w:rPr>
            </w:pPr>
            <w:r>
              <w:rPr>
                <w:rFonts w:ascii="Arial" w:cs="Arial" w:eastAsia="Arial" w:hAnsi="Arial"/>
                <w:sz w:val="13"/>
                <w:szCs w:val="13"/>
                <w:b w:val="1"/>
                <w:bCs w:val="1"/>
                <w:color w:val="auto"/>
              </w:rPr>
              <w:t>Exchange</w:t>
            </w:r>
          </w:p>
        </w:tc>
        <w:tc>
          <w:tcPr>
            <w:tcW w:w="8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difference</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expenditures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3"/>
        </w:trPr>
        <w:tc>
          <w:tcPr>
            <w:tcW w:w="1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2016</w:t>
            </w:r>
          </w:p>
        </w:tc>
        <w:tc>
          <w:tcPr>
            <w:tcW w:w="980" w:type="dxa"/>
            <w:vAlign w:val="bottom"/>
            <w:gridSpan w:val="3"/>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net of</w:t>
            </w:r>
          </w:p>
        </w:tc>
        <w:tc>
          <w:tcPr>
            <w:tcW w:w="96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and</w:t>
            </w:r>
          </w:p>
        </w:tc>
        <w:tc>
          <w:tcPr>
            <w:tcW w:w="96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available for</w:t>
            </w:r>
          </w:p>
        </w:tc>
        <w:tc>
          <w:tcPr>
            <w:tcW w:w="1040" w:type="dxa"/>
            <w:vAlign w:val="bottom"/>
            <w:gridSpan w:val="3"/>
          </w:tcPr>
          <w:p>
            <w:pPr>
              <w:ind w:left="60"/>
              <w:spacing w:after="0" w:line="133" w:lineRule="exact"/>
              <w:rPr>
                <w:sz w:val="20"/>
                <w:szCs w:val="20"/>
                <w:color w:val="auto"/>
              </w:rPr>
            </w:pPr>
            <w:r>
              <w:rPr>
                <w:rFonts w:ascii="Arial" w:cs="Arial" w:eastAsia="Arial" w:hAnsi="Arial"/>
                <w:sz w:val="13"/>
                <w:szCs w:val="13"/>
                <w:b w:val="1"/>
                <w:bCs w:val="1"/>
                <w:color w:val="auto"/>
              </w:rPr>
              <w:t>difference and</w:t>
            </w:r>
          </w:p>
        </w:tc>
        <w:tc>
          <w:tcPr>
            <w:tcW w:w="8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and income</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89"/>
              </w:rPr>
              <w:t>Net profit</w:t>
            </w:r>
          </w:p>
        </w:tc>
        <w:tc>
          <w:tcPr>
            <w:tcW w:w="10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intangibles and</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w w:val="79"/>
              </w:rPr>
              <w:t>Total assets</w:t>
            </w:r>
          </w:p>
        </w:tc>
        <w:tc>
          <w:tcPr>
            <w:tcW w:w="7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80" w:type="dxa"/>
            <w:vAlign w:val="bottom"/>
            <w:gridSpan w:val="2"/>
            <w:vMerge w:val="continue"/>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income (**)</w:t>
            </w: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recoveries</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amortization</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sale assets</w:t>
            </w:r>
          </w:p>
        </w:tc>
        <w:tc>
          <w:tcPr>
            <w:tcW w:w="1040" w:type="dxa"/>
            <w:vAlign w:val="bottom"/>
            <w:gridSpan w:val="3"/>
          </w:tcPr>
          <w:p>
            <w:pPr>
              <w:ind w:left="60"/>
              <w:spacing w:after="0"/>
              <w:rPr>
                <w:sz w:val="20"/>
                <w:szCs w:val="20"/>
                <w:color w:val="auto"/>
              </w:rPr>
            </w:pPr>
            <w:r>
              <w:rPr>
                <w:rFonts w:ascii="Arial" w:cs="Arial" w:eastAsia="Arial" w:hAnsi="Arial"/>
                <w:sz w:val="13"/>
                <w:szCs w:val="13"/>
                <w:b w:val="1"/>
                <w:bCs w:val="1"/>
                <w:color w:val="auto"/>
              </w:rPr>
              <w:t>income tax</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tax</w:t>
            </w:r>
          </w:p>
        </w:tc>
        <w:tc>
          <w:tcPr>
            <w:tcW w:w="740" w:type="dxa"/>
            <w:vAlign w:val="bottom"/>
            <w:gridSpan w:val="2"/>
            <w:vMerge w:val="continue"/>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3"/>
                <w:szCs w:val="13"/>
                <w:b w:val="1"/>
                <w:bCs w:val="1"/>
                <w:color w:val="auto"/>
              </w:rPr>
              <w:t>goodwill</w:t>
            </w:r>
          </w:p>
        </w:tc>
        <w:tc>
          <w:tcPr>
            <w:tcW w:w="720" w:type="dxa"/>
            <w:vAlign w:val="bottom"/>
            <w:gridSpan w:val="2"/>
            <w:vMerge w:val="continue"/>
          </w:tcPr>
          <w:p>
            <w:pPr>
              <w:spacing w:after="0"/>
              <w:rPr>
                <w:sz w:val="13"/>
                <w:szCs w:val="13"/>
                <w:color w:val="auto"/>
              </w:rPr>
            </w:pPr>
          </w:p>
        </w:tc>
        <w:tc>
          <w:tcPr>
            <w:tcW w:w="720" w:type="dxa"/>
            <w:vAlign w:val="bottom"/>
            <w:gridSpan w:val="4"/>
          </w:tcPr>
          <w:p>
            <w:pPr>
              <w:ind w:left="8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Banking</w:t>
            </w:r>
          </w:p>
        </w:tc>
        <w:tc>
          <w:tcPr>
            <w:tcW w:w="98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14,409</w:t>
            </w:r>
          </w:p>
        </w:tc>
        <w:tc>
          <w:tcPr>
            <w:tcW w:w="80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7,964</w:t>
            </w:r>
          </w:p>
        </w:tc>
        <w:tc>
          <w:tcPr>
            <w:tcW w:w="980" w:type="dxa"/>
            <w:vAlign w:val="bottom"/>
            <w:gridSpan w:val="2"/>
            <w:shd w:val="clear" w:color="auto" w:fill="CCEEFF"/>
          </w:tcPr>
          <w:p>
            <w:pPr>
              <w:jc w:val="right"/>
              <w:ind w:right="102"/>
              <w:spacing w:after="0" w:line="133" w:lineRule="exact"/>
              <w:rPr>
                <w:sz w:val="20"/>
                <w:szCs w:val="20"/>
                <w:color w:val="auto"/>
              </w:rPr>
            </w:pPr>
            <w:r>
              <w:rPr>
                <w:rFonts w:ascii="Arial" w:cs="Arial" w:eastAsia="Arial" w:hAnsi="Arial"/>
                <w:sz w:val="13"/>
                <w:szCs w:val="13"/>
                <w:color w:val="auto"/>
              </w:rPr>
              <w:t>(1,785)</w:t>
            </w:r>
          </w:p>
        </w:tc>
        <w:tc>
          <w:tcPr>
            <w:tcW w:w="960" w:type="dxa"/>
            <w:vAlign w:val="bottom"/>
            <w:gridSpan w:val="2"/>
            <w:shd w:val="clear" w:color="auto" w:fill="CCEEFF"/>
          </w:tcPr>
          <w:p>
            <w:pPr>
              <w:jc w:val="right"/>
              <w:ind w:right="82"/>
              <w:spacing w:after="0" w:line="133" w:lineRule="exact"/>
              <w:rPr>
                <w:sz w:val="20"/>
                <w:szCs w:val="20"/>
                <w:color w:val="auto"/>
              </w:rPr>
            </w:pPr>
            <w:r>
              <w:rPr>
                <w:rFonts w:ascii="Arial" w:cs="Arial" w:eastAsia="Arial" w:hAnsi="Arial"/>
                <w:sz w:val="13"/>
                <w:szCs w:val="13"/>
                <w:color w:val="auto"/>
              </w:rPr>
              <w:t>(322)</w:t>
            </w:r>
          </w:p>
        </w:tc>
        <w:tc>
          <w:tcPr>
            <w:tcW w:w="960" w:type="dxa"/>
            <w:vAlign w:val="bottom"/>
            <w:gridSpan w:val="2"/>
            <w:shd w:val="clear" w:color="auto" w:fill="CCEEFF"/>
          </w:tcPr>
          <w:p>
            <w:pPr>
              <w:jc w:val="right"/>
              <w:ind w:right="42"/>
              <w:spacing w:after="0" w:line="133" w:lineRule="exact"/>
              <w:rPr>
                <w:sz w:val="20"/>
                <w:szCs w:val="20"/>
                <w:color w:val="auto"/>
              </w:rPr>
            </w:pPr>
            <w:r>
              <w:rPr>
                <w:rFonts w:ascii="Arial" w:cs="Arial" w:eastAsia="Arial" w:hAnsi="Arial"/>
                <w:sz w:val="13"/>
                <w:szCs w:val="13"/>
                <w:color w:val="auto"/>
              </w:rPr>
              <w:t>(13)</w:t>
            </w:r>
          </w:p>
        </w:tc>
        <w:tc>
          <w:tcPr>
            <w:tcW w:w="1040" w:type="dxa"/>
            <w:vAlign w:val="bottom"/>
            <w:gridSpan w:val="3"/>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11,055</w:t>
            </w:r>
          </w:p>
        </w:tc>
        <w:tc>
          <w:tcPr>
            <w:tcW w:w="820" w:type="dxa"/>
            <w:vAlign w:val="bottom"/>
            <w:gridSpan w:val="2"/>
            <w:shd w:val="clear" w:color="auto" w:fill="CCEEFF"/>
          </w:tcPr>
          <w:p>
            <w:pPr>
              <w:jc w:val="right"/>
              <w:ind w:right="82"/>
              <w:spacing w:after="0" w:line="133" w:lineRule="exact"/>
              <w:rPr>
                <w:sz w:val="20"/>
                <w:szCs w:val="20"/>
                <w:color w:val="auto"/>
              </w:rPr>
            </w:pPr>
            <w:r>
              <w:rPr>
                <w:rFonts w:ascii="Arial" w:cs="Arial" w:eastAsia="Arial" w:hAnsi="Arial"/>
                <w:sz w:val="13"/>
                <w:szCs w:val="13"/>
                <w:color w:val="auto"/>
              </w:rPr>
              <w:t>(1,050)</w:t>
            </w:r>
          </w:p>
        </w:tc>
        <w:tc>
          <w:tcPr>
            <w:tcW w:w="7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10,005</w:t>
            </w:r>
          </w:p>
        </w:tc>
        <w:tc>
          <w:tcPr>
            <w:tcW w:w="10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325</w:t>
            </w:r>
          </w:p>
        </w:tc>
        <w:tc>
          <w:tcPr>
            <w:tcW w:w="7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182,217</w:t>
            </w:r>
          </w:p>
        </w:tc>
        <w:tc>
          <w:tcPr>
            <w:tcW w:w="64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130,132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line="133" w:lineRule="exact"/>
              <w:rPr>
                <w:sz w:val="20"/>
                <w:szCs w:val="20"/>
                <w:color w:val="auto"/>
              </w:rPr>
            </w:pPr>
            <w:r>
              <w:rPr>
                <w:rFonts w:ascii="Arial" w:cs="Arial" w:eastAsia="Arial" w:hAnsi="Arial"/>
                <w:sz w:val="13"/>
                <w:szCs w:val="13"/>
                <w:color w:val="auto"/>
              </w:rPr>
              <w:t>Insurance</w:t>
            </w:r>
          </w:p>
        </w:tc>
        <w:tc>
          <w:tcPr>
            <w:tcW w:w="980" w:type="dxa"/>
            <w:vAlign w:val="bottom"/>
            <w:gridSpan w:val="3"/>
          </w:tcPr>
          <w:p>
            <w:pPr>
              <w:jc w:val="right"/>
              <w:ind w:right="160"/>
              <w:spacing w:after="0" w:line="133" w:lineRule="exact"/>
              <w:rPr>
                <w:sz w:val="20"/>
                <w:szCs w:val="20"/>
                <w:color w:val="auto"/>
              </w:rPr>
            </w:pPr>
            <w:r>
              <w:rPr>
                <w:rFonts w:ascii="Arial" w:cs="Arial" w:eastAsia="Arial" w:hAnsi="Arial"/>
                <w:sz w:val="13"/>
                <w:szCs w:val="13"/>
                <w:color w:val="auto"/>
              </w:rPr>
              <w:t>2,685</w:t>
            </w:r>
          </w:p>
        </w:tc>
        <w:tc>
          <w:tcPr>
            <w:tcW w:w="80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700</w:t>
            </w:r>
          </w:p>
        </w:tc>
        <w:tc>
          <w:tcPr>
            <w:tcW w:w="98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2"/>
              <w:spacing w:after="0" w:line="133" w:lineRule="exact"/>
              <w:rPr>
                <w:sz w:val="20"/>
                <w:szCs w:val="20"/>
                <w:color w:val="auto"/>
              </w:rPr>
            </w:pPr>
            <w:r>
              <w:rPr>
                <w:rFonts w:ascii="Arial" w:cs="Arial" w:eastAsia="Arial" w:hAnsi="Arial"/>
                <w:sz w:val="13"/>
                <w:szCs w:val="13"/>
                <w:color w:val="auto"/>
              </w:rPr>
              <w:t>(45)</w:t>
            </w:r>
          </w:p>
        </w:tc>
        <w:tc>
          <w:tcPr>
            <w:tcW w:w="960" w:type="dxa"/>
            <w:vAlign w:val="bottom"/>
            <w:gridSpan w:val="2"/>
          </w:tcPr>
          <w:p>
            <w:pPr>
              <w:jc w:val="right"/>
              <w:ind w:right="42"/>
              <w:spacing w:after="0" w:line="133" w:lineRule="exact"/>
              <w:rPr>
                <w:sz w:val="20"/>
                <w:szCs w:val="20"/>
                <w:color w:val="auto"/>
              </w:rPr>
            </w:pPr>
            <w:r>
              <w:rPr>
                <w:rFonts w:ascii="Arial" w:cs="Arial" w:eastAsia="Arial" w:hAnsi="Arial"/>
                <w:sz w:val="13"/>
                <w:szCs w:val="13"/>
                <w:color w:val="auto"/>
              </w:rPr>
              <w:t>(1)</w:t>
            </w:r>
          </w:p>
        </w:tc>
        <w:tc>
          <w:tcPr>
            <w:tcW w:w="1040" w:type="dxa"/>
            <w:vAlign w:val="bottom"/>
            <w:gridSpan w:val="3"/>
          </w:tcPr>
          <w:p>
            <w:pPr>
              <w:jc w:val="right"/>
              <w:ind w:right="180"/>
              <w:spacing w:after="0" w:line="133" w:lineRule="exact"/>
              <w:rPr>
                <w:sz w:val="20"/>
                <w:szCs w:val="20"/>
                <w:color w:val="auto"/>
              </w:rPr>
            </w:pPr>
            <w:r>
              <w:rPr>
                <w:rFonts w:ascii="Arial" w:cs="Arial" w:eastAsia="Arial" w:hAnsi="Arial"/>
                <w:sz w:val="13"/>
                <w:szCs w:val="13"/>
                <w:color w:val="auto"/>
              </w:rPr>
              <w:t>530</w:t>
            </w:r>
          </w:p>
        </w:tc>
        <w:tc>
          <w:tcPr>
            <w:tcW w:w="820" w:type="dxa"/>
            <w:vAlign w:val="bottom"/>
            <w:gridSpan w:val="2"/>
          </w:tcPr>
          <w:p>
            <w:pPr>
              <w:jc w:val="right"/>
              <w:ind w:right="82"/>
              <w:spacing w:after="0" w:line="133" w:lineRule="exact"/>
              <w:rPr>
                <w:sz w:val="20"/>
                <w:szCs w:val="20"/>
                <w:color w:val="auto"/>
              </w:rPr>
            </w:pPr>
            <w:r>
              <w:rPr>
                <w:rFonts w:ascii="Arial" w:cs="Arial" w:eastAsia="Arial" w:hAnsi="Arial"/>
                <w:sz w:val="13"/>
                <w:szCs w:val="13"/>
                <w:color w:val="auto"/>
              </w:rPr>
              <w:t>(55)</w:t>
            </w:r>
          </w:p>
        </w:tc>
        <w:tc>
          <w:tcPr>
            <w:tcW w:w="7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475</w:t>
            </w:r>
          </w:p>
        </w:tc>
        <w:tc>
          <w:tcPr>
            <w:tcW w:w="10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44</w:t>
            </w:r>
          </w:p>
        </w:tc>
        <w:tc>
          <w:tcPr>
            <w:tcW w:w="72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11,361</w:t>
            </w:r>
          </w:p>
        </w:tc>
        <w:tc>
          <w:tcPr>
            <w:tcW w:w="640" w:type="dxa"/>
            <w:vAlign w:val="bottom"/>
            <w:gridSpan w:val="3"/>
          </w:tcPr>
          <w:p>
            <w:pPr>
              <w:jc w:val="right"/>
              <w:ind w:right="20"/>
              <w:spacing w:after="0" w:line="133" w:lineRule="exact"/>
              <w:rPr>
                <w:sz w:val="20"/>
                <w:szCs w:val="20"/>
                <w:color w:val="auto"/>
              </w:rPr>
            </w:pPr>
            <w:r>
              <w:rPr>
                <w:rFonts w:ascii="Arial" w:cs="Arial" w:eastAsia="Arial" w:hAnsi="Arial"/>
                <w:sz w:val="13"/>
                <w:szCs w:val="13"/>
                <w:color w:val="auto"/>
              </w:rPr>
              <w:t>7,826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Pension funds</w:t>
            </w:r>
          </w:p>
        </w:tc>
        <w:tc>
          <w:tcPr>
            <w:tcW w:w="98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5</w:t>
            </w:r>
          </w:p>
        </w:tc>
        <w:tc>
          <w:tcPr>
            <w:tcW w:w="80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1</w:t>
            </w:r>
          </w:p>
        </w:tc>
        <w:tc>
          <w:tcPr>
            <w:tcW w:w="98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2"/>
              <w:spacing w:after="0" w:line="133" w:lineRule="exact"/>
              <w:rPr>
                <w:sz w:val="20"/>
                <w:szCs w:val="20"/>
                <w:color w:val="auto"/>
              </w:rPr>
            </w:pPr>
            <w:r>
              <w:rPr>
                <w:rFonts w:ascii="Arial" w:cs="Arial" w:eastAsia="Arial" w:hAnsi="Arial"/>
                <w:sz w:val="13"/>
                <w:szCs w:val="13"/>
                <w:color w:val="auto"/>
              </w:rPr>
              <w:t>(21)</w:t>
            </w:r>
          </w:p>
        </w:tc>
        <w:tc>
          <w:tcPr>
            <w:tcW w:w="8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226</w:t>
            </w:r>
          </w:p>
        </w:tc>
        <w:tc>
          <w:tcPr>
            <w:tcW w:w="820" w:type="dxa"/>
            <w:vAlign w:val="bottom"/>
            <w:gridSpan w:val="2"/>
            <w:shd w:val="clear" w:color="auto" w:fill="CCEEFF"/>
          </w:tcPr>
          <w:p>
            <w:pPr>
              <w:jc w:val="right"/>
              <w:ind w:right="82"/>
              <w:spacing w:after="0" w:line="133" w:lineRule="exact"/>
              <w:rPr>
                <w:sz w:val="20"/>
                <w:szCs w:val="20"/>
                <w:color w:val="auto"/>
              </w:rPr>
            </w:pPr>
            <w:r>
              <w:rPr>
                <w:rFonts w:ascii="Arial" w:cs="Arial" w:eastAsia="Arial" w:hAnsi="Arial"/>
                <w:sz w:val="13"/>
                <w:szCs w:val="13"/>
                <w:color w:val="auto"/>
              </w:rPr>
              <w:t>(70)</w:t>
            </w:r>
          </w:p>
        </w:tc>
        <w:tc>
          <w:tcPr>
            <w:tcW w:w="7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156</w:t>
            </w:r>
          </w:p>
        </w:tc>
        <w:tc>
          <w:tcPr>
            <w:tcW w:w="10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8</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884</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278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line="133" w:lineRule="exact"/>
              <w:rPr>
                <w:sz w:val="20"/>
                <w:szCs w:val="20"/>
                <w:color w:val="auto"/>
              </w:rPr>
            </w:pPr>
            <w:r>
              <w:rPr>
                <w:rFonts w:ascii="Arial" w:cs="Arial" w:eastAsia="Arial" w:hAnsi="Arial"/>
                <w:sz w:val="13"/>
                <w:szCs w:val="13"/>
                <w:color w:val="auto"/>
              </w:rPr>
              <w:t>Investments banking</w:t>
            </w:r>
          </w:p>
        </w:tc>
        <w:tc>
          <w:tcPr>
            <w:tcW w:w="980" w:type="dxa"/>
            <w:vAlign w:val="bottom"/>
            <w:gridSpan w:val="3"/>
          </w:tcPr>
          <w:p>
            <w:pPr>
              <w:jc w:val="right"/>
              <w:ind w:right="160"/>
              <w:spacing w:after="0" w:line="133" w:lineRule="exact"/>
              <w:rPr>
                <w:sz w:val="20"/>
                <w:szCs w:val="20"/>
                <w:color w:val="auto"/>
              </w:rPr>
            </w:pPr>
            <w:r>
              <w:rPr>
                <w:rFonts w:ascii="Arial" w:cs="Arial" w:eastAsia="Arial" w:hAnsi="Arial"/>
                <w:sz w:val="13"/>
                <w:szCs w:val="13"/>
                <w:color w:val="auto"/>
              </w:rPr>
              <w:t>25</w:t>
            </w:r>
          </w:p>
        </w:tc>
        <w:tc>
          <w:tcPr>
            <w:tcW w:w="80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2</w:t>
            </w:r>
          </w:p>
        </w:tc>
        <w:tc>
          <w:tcPr>
            <w:tcW w:w="98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2"/>
              <w:spacing w:after="0" w:line="133" w:lineRule="exact"/>
              <w:rPr>
                <w:sz w:val="20"/>
                <w:szCs w:val="20"/>
                <w:color w:val="auto"/>
              </w:rPr>
            </w:pPr>
            <w:r>
              <w:rPr>
                <w:rFonts w:ascii="Arial" w:cs="Arial" w:eastAsia="Arial" w:hAnsi="Arial"/>
                <w:sz w:val="13"/>
                <w:szCs w:val="13"/>
                <w:color w:val="auto"/>
              </w:rPr>
              <w:t>(22)</w:t>
            </w:r>
          </w:p>
        </w:tc>
        <w:tc>
          <w:tcPr>
            <w:tcW w:w="84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40" w:type="dxa"/>
            <w:vAlign w:val="bottom"/>
            <w:gridSpan w:val="3"/>
          </w:tcPr>
          <w:p>
            <w:pPr>
              <w:jc w:val="right"/>
              <w:ind w:right="180"/>
              <w:spacing w:after="0" w:line="133" w:lineRule="exact"/>
              <w:rPr>
                <w:sz w:val="20"/>
                <w:szCs w:val="20"/>
                <w:color w:val="auto"/>
              </w:rPr>
            </w:pPr>
            <w:r>
              <w:rPr>
                <w:rFonts w:ascii="Arial" w:cs="Arial" w:eastAsia="Arial" w:hAnsi="Arial"/>
                <w:sz w:val="13"/>
                <w:szCs w:val="13"/>
                <w:color w:val="auto"/>
              </w:rPr>
              <w:t>247</w:t>
            </w:r>
          </w:p>
        </w:tc>
        <w:tc>
          <w:tcPr>
            <w:tcW w:w="820" w:type="dxa"/>
            <w:vAlign w:val="bottom"/>
            <w:gridSpan w:val="2"/>
          </w:tcPr>
          <w:p>
            <w:pPr>
              <w:jc w:val="right"/>
              <w:ind w:right="82"/>
              <w:spacing w:after="0" w:line="133" w:lineRule="exact"/>
              <w:rPr>
                <w:sz w:val="20"/>
                <w:szCs w:val="20"/>
                <w:color w:val="auto"/>
              </w:rPr>
            </w:pPr>
            <w:r>
              <w:rPr>
                <w:rFonts w:ascii="Arial" w:cs="Arial" w:eastAsia="Arial" w:hAnsi="Arial"/>
                <w:sz w:val="13"/>
                <w:szCs w:val="13"/>
                <w:color w:val="auto"/>
              </w:rPr>
              <w:t>(34)</w:t>
            </w:r>
          </w:p>
        </w:tc>
        <w:tc>
          <w:tcPr>
            <w:tcW w:w="7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213</w:t>
            </w:r>
          </w:p>
        </w:tc>
        <w:tc>
          <w:tcPr>
            <w:tcW w:w="10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9</w:t>
            </w:r>
          </w:p>
        </w:tc>
        <w:tc>
          <w:tcPr>
            <w:tcW w:w="72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4,540</w:t>
            </w:r>
          </w:p>
        </w:tc>
        <w:tc>
          <w:tcPr>
            <w:tcW w:w="640" w:type="dxa"/>
            <w:vAlign w:val="bottom"/>
            <w:gridSpan w:val="3"/>
          </w:tcPr>
          <w:p>
            <w:pPr>
              <w:jc w:val="right"/>
              <w:ind w:right="20"/>
              <w:spacing w:after="0" w:line="133" w:lineRule="exact"/>
              <w:rPr>
                <w:sz w:val="20"/>
                <w:szCs w:val="20"/>
                <w:color w:val="auto"/>
              </w:rPr>
            </w:pPr>
            <w:r>
              <w:rPr>
                <w:rFonts w:ascii="Arial" w:cs="Arial" w:eastAsia="Arial" w:hAnsi="Arial"/>
                <w:sz w:val="13"/>
                <w:szCs w:val="13"/>
                <w:color w:val="auto"/>
              </w:rPr>
              <w:t>2,476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Total eliminations</w:t>
            </w:r>
          </w:p>
        </w:tc>
        <w:tc>
          <w:tcPr>
            <w:tcW w:w="980" w:type="dxa"/>
            <w:vAlign w:val="bottom"/>
            <w:gridSpan w:val="3"/>
            <w:shd w:val="clear" w:color="auto" w:fill="CCEEFF"/>
          </w:tcPr>
          <w:p>
            <w:pPr>
              <w:jc w:val="right"/>
              <w:ind w:right="120"/>
              <w:spacing w:after="0" w:line="145" w:lineRule="exact"/>
              <w:rPr>
                <w:sz w:val="20"/>
                <w:szCs w:val="20"/>
                <w:color w:val="auto"/>
              </w:rPr>
            </w:pPr>
            <w:r>
              <w:rPr>
                <w:rFonts w:ascii="Arial" w:cs="Arial" w:eastAsia="Arial" w:hAnsi="Arial"/>
                <w:sz w:val="13"/>
                <w:szCs w:val="13"/>
                <w:color w:val="auto"/>
              </w:rPr>
              <w:t>(305)</w:t>
            </w:r>
          </w:p>
        </w:tc>
        <w:tc>
          <w:tcPr>
            <w:tcW w:w="8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3"/>
                <w:szCs w:val="13"/>
                <w:color w:val="auto"/>
              </w:rPr>
              <w:t>(64)</w:t>
            </w:r>
          </w:p>
        </w:tc>
        <w:tc>
          <w:tcPr>
            <w:tcW w:w="980" w:type="dxa"/>
            <w:vAlign w:val="bottom"/>
            <w:gridSpan w:val="2"/>
            <w:shd w:val="clear" w:color="auto" w:fill="CCEEFF"/>
          </w:tcPr>
          <w:p>
            <w:pPr>
              <w:jc w:val="right"/>
              <w:ind w:right="142"/>
              <w:spacing w:after="0" w:line="14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22"/>
              <w:spacing w:after="0" w:line="145" w:lineRule="exact"/>
              <w:rPr>
                <w:sz w:val="20"/>
                <w:szCs w:val="20"/>
                <w:color w:val="auto"/>
              </w:rPr>
            </w:pPr>
            <w:r>
              <w:rPr>
                <w:rFonts w:ascii="Arial" w:cs="Arial" w:eastAsia="Arial" w:hAnsi="Arial"/>
                <w:sz w:val="13"/>
                <w:szCs w:val="13"/>
                <w:color w:val="auto"/>
              </w:rPr>
              <w:t>3</w:t>
            </w:r>
          </w:p>
        </w:tc>
        <w:tc>
          <w:tcPr>
            <w:tcW w:w="8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(7,106)</w:t>
            </w:r>
          </w:p>
        </w:tc>
        <w:tc>
          <w:tcPr>
            <w:tcW w:w="820" w:type="dxa"/>
            <w:vAlign w:val="bottom"/>
            <w:gridSpan w:val="2"/>
            <w:shd w:val="clear" w:color="auto" w:fill="CCEEFF"/>
          </w:tcPr>
          <w:p>
            <w:pPr>
              <w:jc w:val="right"/>
              <w:ind w:right="82"/>
              <w:spacing w:after="0" w:line="145" w:lineRule="exact"/>
              <w:rPr>
                <w:sz w:val="20"/>
                <w:szCs w:val="20"/>
                <w:color w:val="auto"/>
              </w:rPr>
            </w:pPr>
            <w:r>
              <w:rPr>
                <w:rFonts w:ascii="Arial" w:cs="Arial" w:eastAsia="Arial" w:hAnsi="Arial"/>
                <w:sz w:val="13"/>
                <w:szCs w:val="13"/>
                <w:color w:val="auto"/>
              </w:rPr>
              <w:t>(133)</w:t>
            </w:r>
          </w:p>
        </w:tc>
        <w:tc>
          <w:tcPr>
            <w:tcW w:w="7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(7,239)</w:t>
            </w:r>
          </w:p>
        </w:tc>
        <w:tc>
          <w:tcPr>
            <w:tcW w:w="10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(42,567)</w:t>
            </w:r>
          </w:p>
        </w:tc>
        <w:tc>
          <w:tcPr>
            <w:tcW w:w="720" w:type="dxa"/>
            <w:vAlign w:val="bottom"/>
            <w:gridSpan w:val="4"/>
            <w:shd w:val="clear" w:color="auto" w:fill="CCEEFF"/>
          </w:tcPr>
          <w:p>
            <w:pPr>
              <w:ind w:left="300"/>
              <w:spacing w:after="0" w:line="145" w:lineRule="exact"/>
              <w:rPr>
                <w:sz w:val="20"/>
                <w:szCs w:val="20"/>
                <w:color w:val="auto"/>
              </w:rPr>
            </w:pPr>
            <w:r>
              <w:rPr>
                <w:rFonts w:ascii="Arial" w:cs="Arial" w:eastAsia="Arial" w:hAnsi="Arial"/>
                <w:sz w:val="13"/>
                <w:szCs w:val="13"/>
                <w:color w:val="auto"/>
                <w:w w:val="97"/>
              </w:rPr>
              <w:t>(4,393)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660" w:type="dxa"/>
            <w:vAlign w:val="bottom"/>
          </w:tcPr>
          <w:p>
            <w:pPr>
              <w:spacing w:after="0" w:line="125" w:lineRule="exact"/>
              <w:rPr>
                <w:sz w:val="20"/>
                <w:szCs w:val="20"/>
                <w:color w:val="auto"/>
              </w:rPr>
            </w:pPr>
            <w:r>
              <w:rPr>
                <w:rFonts w:ascii="Arial" w:cs="Arial" w:eastAsia="Arial" w:hAnsi="Arial"/>
                <w:sz w:val="13"/>
                <w:szCs w:val="13"/>
                <w:b w:val="1"/>
                <w:bCs w:val="1"/>
                <w:color w:val="auto"/>
              </w:rPr>
              <w:t>Total consolidated</w:t>
            </w:r>
          </w:p>
        </w:tc>
        <w:tc>
          <w:tcPr>
            <w:tcW w:w="8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16,819</w:t>
            </w:r>
          </w:p>
        </w:tc>
        <w:tc>
          <w:tcPr>
            <w:tcW w:w="16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8,603</w:t>
            </w:r>
          </w:p>
        </w:tc>
        <w:tc>
          <w:tcPr>
            <w:tcW w:w="16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(1,785</w:t>
            </w:r>
          </w:p>
        </w:tc>
        <w:tc>
          <w:tcPr>
            <w:tcW w:w="180" w:type="dxa"/>
            <w:vAlign w:val="bottom"/>
          </w:tcPr>
          <w:p>
            <w:pPr>
              <w:jc w:val="right"/>
              <w:ind w:right="102"/>
              <w:spacing w:after="0"/>
              <w:rPr>
                <w:sz w:val="20"/>
                <w:szCs w:val="20"/>
                <w:color w:val="auto"/>
              </w:rPr>
            </w:pPr>
            <w:r>
              <w:rPr>
                <w:rFonts w:ascii="Arial" w:cs="Arial" w:eastAsia="Arial" w:hAnsi="Arial"/>
                <w:sz w:val="8"/>
                <w:szCs w:val="8"/>
                <w:color w:val="auto"/>
                <w:w w:val="73"/>
              </w:rPr>
              <w:t>)</w:t>
            </w: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(407</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8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(14</w:t>
            </w:r>
          </w:p>
        </w:tc>
        <w:tc>
          <w:tcPr>
            <w:tcW w:w="120" w:type="dxa"/>
            <w:vAlign w:val="bottom"/>
          </w:tcPr>
          <w:p>
            <w:pPr>
              <w:jc w:val="right"/>
              <w:ind w:right="4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4,952</w:t>
            </w:r>
          </w:p>
        </w:tc>
        <w:tc>
          <w:tcPr>
            <w:tcW w:w="18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(1,342</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5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3,610</w:t>
            </w:r>
          </w:p>
        </w:tc>
        <w:tc>
          <w:tcPr>
            <w:tcW w:w="18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386</w:t>
            </w:r>
          </w:p>
        </w:tc>
        <w:tc>
          <w:tcPr>
            <w:tcW w:w="18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156,435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136,319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Allowance for</w:t>
            </w:r>
          </w:p>
        </w:tc>
        <w:tc>
          <w:tcPr>
            <w:tcW w:w="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Deprxeciation</w:t>
            </w:r>
          </w:p>
        </w:tc>
        <w:tc>
          <w:tcPr>
            <w:tcW w:w="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Impairment of</w:t>
            </w:r>
          </w:p>
        </w:tc>
        <w:tc>
          <w:tcPr>
            <w:tcW w:w="1040" w:type="dxa"/>
            <w:vAlign w:val="bottom"/>
            <w:gridSpan w:val="3"/>
          </w:tcPr>
          <w:p>
            <w:pPr>
              <w:ind w:left="60"/>
              <w:spacing w:after="0"/>
              <w:rPr>
                <w:sz w:val="20"/>
                <w:szCs w:val="20"/>
                <w:color w:val="auto"/>
              </w:rPr>
            </w:pPr>
            <w:r>
              <w:rPr>
                <w:rFonts w:ascii="Arial" w:cs="Arial" w:eastAsia="Arial" w:hAnsi="Arial"/>
                <w:sz w:val="13"/>
                <w:szCs w:val="13"/>
                <w:b w:val="1"/>
                <w:bCs w:val="1"/>
                <w:color w:val="auto"/>
              </w:rPr>
              <w:t>Income before</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Exchange</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3"/>
                <w:szCs w:val="13"/>
                <w:b w:val="1"/>
                <w:bCs w:val="1"/>
                <w:color w:val="auto"/>
              </w:rPr>
              <w:t>Capital</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Total income</w:t>
            </w: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Operating</w:t>
            </w:r>
          </w:p>
        </w:tc>
        <w:tc>
          <w:tcPr>
            <w:tcW w:w="9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loan losses,</w:t>
            </w:r>
          </w:p>
        </w:tc>
        <w:tc>
          <w:tcPr>
            <w:tcW w:w="96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40" w:type="dxa"/>
            <w:vAlign w:val="bottom"/>
            <w:gridSpan w:val="3"/>
          </w:tcPr>
          <w:p>
            <w:pPr>
              <w:ind w:left="60"/>
              <w:spacing w:after="0" w:line="133" w:lineRule="exact"/>
              <w:rPr>
                <w:sz w:val="20"/>
                <w:szCs w:val="20"/>
                <w:color w:val="auto"/>
              </w:rPr>
            </w:pPr>
            <w:r>
              <w:rPr>
                <w:rFonts w:ascii="Arial" w:cs="Arial" w:eastAsia="Arial" w:hAnsi="Arial"/>
                <w:sz w:val="13"/>
                <w:szCs w:val="13"/>
                <w:b w:val="1"/>
                <w:bCs w:val="1"/>
                <w:color w:val="auto"/>
              </w:rPr>
              <w:t>Exchange</w:t>
            </w:r>
          </w:p>
        </w:tc>
        <w:tc>
          <w:tcPr>
            <w:tcW w:w="8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difference</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expenditures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3"/>
        </w:trPr>
        <w:tc>
          <w:tcPr>
            <w:tcW w:w="1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2015</w:t>
            </w:r>
          </w:p>
        </w:tc>
        <w:tc>
          <w:tcPr>
            <w:tcW w:w="980" w:type="dxa"/>
            <w:vAlign w:val="bottom"/>
            <w:gridSpan w:val="3"/>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net of</w:t>
            </w:r>
          </w:p>
        </w:tc>
        <w:tc>
          <w:tcPr>
            <w:tcW w:w="96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and</w:t>
            </w:r>
          </w:p>
        </w:tc>
        <w:tc>
          <w:tcPr>
            <w:tcW w:w="96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available for</w:t>
            </w:r>
          </w:p>
        </w:tc>
        <w:tc>
          <w:tcPr>
            <w:tcW w:w="1040" w:type="dxa"/>
            <w:vAlign w:val="bottom"/>
            <w:gridSpan w:val="3"/>
          </w:tcPr>
          <w:p>
            <w:pPr>
              <w:ind w:left="60"/>
              <w:spacing w:after="0" w:line="133" w:lineRule="exact"/>
              <w:rPr>
                <w:sz w:val="20"/>
                <w:szCs w:val="20"/>
                <w:color w:val="auto"/>
              </w:rPr>
            </w:pPr>
            <w:r>
              <w:rPr>
                <w:rFonts w:ascii="Arial" w:cs="Arial" w:eastAsia="Arial" w:hAnsi="Arial"/>
                <w:sz w:val="13"/>
                <w:szCs w:val="13"/>
                <w:b w:val="1"/>
                <w:bCs w:val="1"/>
                <w:color w:val="auto"/>
              </w:rPr>
              <w:t>difference and</w:t>
            </w:r>
          </w:p>
        </w:tc>
        <w:tc>
          <w:tcPr>
            <w:tcW w:w="8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and income</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89"/>
              </w:rPr>
              <w:t>Net profit</w:t>
            </w:r>
          </w:p>
        </w:tc>
        <w:tc>
          <w:tcPr>
            <w:tcW w:w="10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intangibles and</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w w:val="79"/>
              </w:rPr>
              <w:t>Total assets</w:t>
            </w:r>
          </w:p>
        </w:tc>
        <w:tc>
          <w:tcPr>
            <w:tcW w:w="7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80" w:type="dxa"/>
            <w:vAlign w:val="bottom"/>
            <w:gridSpan w:val="2"/>
            <w:vMerge w:val="continue"/>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income (**)</w:t>
            </w: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recoveries</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amortization</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sale assets</w:t>
            </w:r>
          </w:p>
        </w:tc>
        <w:tc>
          <w:tcPr>
            <w:tcW w:w="1040" w:type="dxa"/>
            <w:vAlign w:val="bottom"/>
            <w:gridSpan w:val="3"/>
          </w:tcPr>
          <w:p>
            <w:pPr>
              <w:ind w:left="60"/>
              <w:spacing w:after="0"/>
              <w:rPr>
                <w:sz w:val="20"/>
                <w:szCs w:val="20"/>
                <w:color w:val="auto"/>
              </w:rPr>
            </w:pPr>
            <w:r>
              <w:rPr>
                <w:rFonts w:ascii="Arial" w:cs="Arial" w:eastAsia="Arial" w:hAnsi="Arial"/>
                <w:sz w:val="13"/>
                <w:szCs w:val="13"/>
                <w:b w:val="1"/>
                <w:bCs w:val="1"/>
                <w:color w:val="auto"/>
              </w:rPr>
              <w:t>income tax</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tax</w:t>
            </w:r>
          </w:p>
        </w:tc>
        <w:tc>
          <w:tcPr>
            <w:tcW w:w="740" w:type="dxa"/>
            <w:vAlign w:val="bottom"/>
            <w:gridSpan w:val="2"/>
            <w:vMerge w:val="continue"/>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3"/>
                <w:szCs w:val="13"/>
                <w:b w:val="1"/>
                <w:bCs w:val="1"/>
                <w:color w:val="auto"/>
              </w:rPr>
              <w:t>goodwill</w:t>
            </w:r>
          </w:p>
        </w:tc>
        <w:tc>
          <w:tcPr>
            <w:tcW w:w="720" w:type="dxa"/>
            <w:vAlign w:val="bottom"/>
            <w:gridSpan w:val="2"/>
            <w:vMerge w:val="continue"/>
          </w:tcPr>
          <w:p>
            <w:pPr>
              <w:spacing w:after="0"/>
              <w:rPr>
                <w:sz w:val="13"/>
                <w:szCs w:val="13"/>
                <w:color w:val="auto"/>
              </w:rPr>
            </w:pPr>
          </w:p>
        </w:tc>
        <w:tc>
          <w:tcPr>
            <w:tcW w:w="720" w:type="dxa"/>
            <w:vAlign w:val="bottom"/>
            <w:gridSpan w:val="4"/>
          </w:tcPr>
          <w:p>
            <w:pPr>
              <w:ind w:left="8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Banking</w:t>
            </w:r>
          </w:p>
        </w:tc>
        <w:tc>
          <w:tcPr>
            <w:tcW w:w="98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13,045</w:t>
            </w:r>
          </w:p>
        </w:tc>
        <w:tc>
          <w:tcPr>
            <w:tcW w:w="80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7,366</w:t>
            </w:r>
          </w:p>
        </w:tc>
        <w:tc>
          <w:tcPr>
            <w:tcW w:w="980" w:type="dxa"/>
            <w:vAlign w:val="bottom"/>
            <w:gridSpan w:val="2"/>
            <w:shd w:val="clear" w:color="auto" w:fill="CCEEFF"/>
          </w:tcPr>
          <w:p>
            <w:pPr>
              <w:jc w:val="right"/>
              <w:ind w:right="102"/>
              <w:spacing w:after="0" w:line="133" w:lineRule="exact"/>
              <w:rPr>
                <w:sz w:val="20"/>
                <w:szCs w:val="20"/>
                <w:color w:val="auto"/>
              </w:rPr>
            </w:pPr>
            <w:r>
              <w:rPr>
                <w:rFonts w:ascii="Arial" w:cs="Arial" w:eastAsia="Arial" w:hAnsi="Arial"/>
                <w:sz w:val="13"/>
                <w:szCs w:val="13"/>
                <w:color w:val="auto"/>
              </w:rPr>
              <w:t>(1,896)</w:t>
            </w:r>
          </w:p>
        </w:tc>
        <w:tc>
          <w:tcPr>
            <w:tcW w:w="960" w:type="dxa"/>
            <w:vAlign w:val="bottom"/>
            <w:gridSpan w:val="2"/>
            <w:shd w:val="clear" w:color="auto" w:fill="CCEEFF"/>
          </w:tcPr>
          <w:p>
            <w:pPr>
              <w:jc w:val="right"/>
              <w:ind w:right="82"/>
              <w:spacing w:after="0" w:line="133" w:lineRule="exact"/>
              <w:rPr>
                <w:sz w:val="20"/>
                <w:szCs w:val="20"/>
                <w:color w:val="auto"/>
              </w:rPr>
            </w:pPr>
            <w:r>
              <w:rPr>
                <w:rFonts w:ascii="Arial" w:cs="Arial" w:eastAsia="Arial" w:hAnsi="Arial"/>
                <w:sz w:val="13"/>
                <w:szCs w:val="13"/>
                <w:color w:val="auto"/>
              </w:rPr>
              <w:t>(330)</w:t>
            </w:r>
          </w:p>
        </w:tc>
        <w:tc>
          <w:tcPr>
            <w:tcW w:w="960" w:type="dxa"/>
            <w:vAlign w:val="bottom"/>
            <w:gridSpan w:val="2"/>
            <w:shd w:val="clear" w:color="auto" w:fill="CCEEFF"/>
          </w:tcPr>
          <w:p>
            <w:pPr>
              <w:jc w:val="right"/>
              <w:ind w:right="42"/>
              <w:spacing w:after="0" w:line="133" w:lineRule="exact"/>
              <w:rPr>
                <w:sz w:val="20"/>
                <w:szCs w:val="20"/>
                <w:color w:val="auto"/>
              </w:rPr>
            </w:pPr>
            <w:r>
              <w:rPr>
                <w:rFonts w:ascii="Arial" w:cs="Arial" w:eastAsia="Arial" w:hAnsi="Arial"/>
                <w:sz w:val="13"/>
                <w:szCs w:val="13"/>
                <w:color w:val="auto"/>
              </w:rPr>
              <w:t>(31)</w:t>
            </w:r>
          </w:p>
        </w:tc>
        <w:tc>
          <w:tcPr>
            <w:tcW w:w="1040" w:type="dxa"/>
            <w:vAlign w:val="bottom"/>
            <w:gridSpan w:val="3"/>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3,786</w:t>
            </w:r>
          </w:p>
        </w:tc>
        <w:tc>
          <w:tcPr>
            <w:tcW w:w="820" w:type="dxa"/>
            <w:vAlign w:val="bottom"/>
            <w:gridSpan w:val="2"/>
            <w:shd w:val="clear" w:color="auto" w:fill="CCEEFF"/>
          </w:tcPr>
          <w:p>
            <w:pPr>
              <w:jc w:val="right"/>
              <w:ind w:right="82"/>
              <w:spacing w:after="0" w:line="133" w:lineRule="exact"/>
              <w:rPr>
                <w:sz w:val="20"/>
                <w:szCs w:val="20"/>
                <w:color w:val="auto"/>
              </w:rPr>
            </w:pPr>
            <w:r>
              <w:rPr>
                <w:rFonts w:ascii="Arial" w:cs="Arial" w:eastAsia="Arial" w:hAnsi="Arial"/>
                <w:sz w:val="13"/>
                <w:szCs w:val="13"/>
                <w:color w:val="auto"/>
              </w:rPr>
              <w:t>(948)</w:t>
            </w:r>
          </w:p>
        </w:tc>
        <w:tc>
          <w:tcPr>
            <w:tcW w:w="7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2,838</w:t>
            </w:r>
          </w:p>
        </w:tc>
        <w:tc>
          <w:tcPr>
            <w:tcW w:w="10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281</w:t>
            </w:r>
          </w:p>
        </w:tc>
        <w:tc>
          <w:tcPr>
            <w:tcW w:w="7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146,496</w:t>
            </w:r>
          </w:p>
        </w:tc>
        <w:tc>
          <w:tcPr>
            <w:tcW w:w="64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134,808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line="133" w:lineRule="exact"/>
              <w:rPr>
                <w:sz w:val="20"/>
                <w:szCs w:val="20"/>
                <w:color w:val="auto"/>
              </w:rPr>
            </w:pPr>
            <w:r>
              <w:rPr>
                <w:rFonts w:ascii="Arial" w:cs="Arial" w:eastAsia="Arial" w:hAnsi="Arial"/>
                <w:sz w:val="13"/>
                <w:szCs w:val="13"/>
                <w:color w:val="auto"/>
              </w:rPr>
              <w:t>Insurance</w:t>
            </w:r>
          </w:p>
        </w:tc>
        <w:tc>
          <w:tcPr>
            <w:tcW w:w="980" w:type="dxa"/>
            <w:vAlign w:val="bottom"/>
            <w:gridSpan w:val="3"/>
          </w:tcPr>
          <w:p>
            <w:pPr>
              <w:jc w:val="right"/>
              <w:ind w:right="160"/>
              <w:spacing w:after="0" w:line="133" w:lineRule="exact"/>
              <w:rPr>
                <w:sz w:val="20"/>
                <w:szCs w:val="20"/>
                <w:color w:val="auto"/>
              </w:rPr>
            </w:pPr>
            <w:r>
              <w:rPr>
                <w:rFonts w:ascii="Arial" w:cs="Arial" w:eastAsia="Arial" w:hAnsi="Arial"/>
                <w:sz w:val="13"/>
                <w:szCs w:val="13"/>
                <w:color w:val="auto"/>
              </w:rPr>
              <w:t>2,268</w:t>
            </w:r>
          </w:p>
        </w:tc>
        <w:tc>
          <w:tcPr>
            <w:tcW w:w="80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702</w:t>
            </w:r>
          </w:p>
        </w:tc>
        <w:tc>
          <w:tcPr>
            <w:tcW w:w="98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2"/>
              <w:spacing w:after="0" w:line="133" w:lineRule="exact"/>
              <w:rPr>
                <w:sz w:val="20"/>
                <w:szCs w:val="20"/>
                <w:color w:val="auto"/>
              </w:rPr>
            </w:pPr>
            <w:r>
              <w:rPr>
                <w:rFonts w:ascii="Arial" w:cs="Arial" w:eastAsia="Arial" w:hAnsi="Arial"/>
                <w:sz w:val="13"/>
                <w:szCs w:val="13"/>
                <w:color w:val="auto"/>
              </w:rPr>
              <w:t>(37)</w:t>
            </w:r>
          </w:p>
        </w:tc>
        <w:tc>
          <w:tcPr>
            <w:tcW w:w="960" w:type="dxa"/>
            <w:vAlign w:val="bottom"/>
            <w:gridSpan w:val="2"/>
          </w:tcPr>
          <w:p>
            <w:pPr>
              <w:jc w:val="right"/>
              <w:ind w:right="42"/>
              <w:spacing w:after="0" w:line="133" w:lineRule="exact"/>
              <w:rPr>
                <w:sz w:val="20"/>
                <w:szCs w:val="20"/>
                <w:color w:val="auto"/>
              </w:rPr>
            </w:pPr>
            <w:r>
              <w:rPr>
                <w:rFonts w:ascii="Arial" w:cs="Arial" w:eastAsia="Arial" w:hAnsi="Arial"/>
                <w:sz w:val="13"/>
                <w:szCs w:val="13"/>
                <w:color w:val="auto"/>
              </w:rPr>
              <w:t>(13)</w:t>
            </w:r>
          </w:p>
        </w:tc>
        <w:tc>
          <w:tcPr>
            <w:tcW w:w="1040" w:type="dxa"/>
            <w:vAlign w:val="bottom"/>
            <w:gridSpan w:val="3"/>
          </w:tcPr>
          <w:p>
            <w:pPr>
              <w:jc w:val="right"/>
              <w:ind w:right="180"/>
              <w:spacing w:after="0" w:line="133" w:lineRule="exact"/>
              <w:rPr>
                <w:sz w:val="20"/>
                <w:szCs w:val="20"/>
                <w:color w:val="auto"/>
              </w:rPr>
            </w:pPr>
            <w:r>
              <w:rPr>
                <w:rFonts w:ascii="Arial" w:cs="Arial" w:eastAsia="Arial" w:hAnsi="Arial"/>
                <w:sz w:val="13"/>
                <w:szCs w:val="13"/>
                <w:color w:val="auto"/>
              </w:rPr>
              <w:t>410</w:t>
            </w:r>
          </w:p>
        </w:tc>
        <w:tc>
          <w:tcPr>
            <w:tcW w:w="820" w:type="dxa"/>
            <w:vAlign w:val="bottom"/>
            <w:gridSpan w:val="2"/>
          </w:tcPr>
          <w:p>
            <w:pPr>
              <w:jc w:val="right"/>
              <w:ind w:right="82"/>
              <w:spacing w:after="0" w:line="133" w:lineRule="exact"/>
              <w:rPr>
                <w:sz w:val="20"/>
                <w:szCs w:val="20"/>
                <w:color w:val="auto"/>
              </w:rPr>
            </w:pPr>
            <w:r>
              <w:rPr>
                <w:rFonts w:ascii="Arial" w:cs="Arial" w:eastAsia="Arial" w:hAnsi="Arial"/>
                <w:sz w:val="13"/>
                <w:szCs w:val="13"/>
                <w:color w:val="auto"/>
              </w:rPr>
              <w:t>(60)</w:t>
            </w:r>
          </w:p>
        </w:tc>
        <w:tc>
          <w:tcPr>
            <w:tcW w:w="7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350</w:t>
            </w:r>
          </w:p>
        </w:tc>
        <w:tc>
          <w:tcPr>
            <w:tcW w:w="10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120</w:t>
            </w:r>
          </w:p>
        </w:tc>
        <w:tc>
          <w:tcPr>
            <w:tcW w:w="72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9,326</w:t>
            </w:r>
          </w:p>
        </w:tc>
        <w:tc>
          <w:tcPr>
            <w:tcW w:w="640" w:type="dxa"/>
            <w:vAlign w:val="bottom"/>
            <w:gridSpan w:val="3"/>
          </w:tcPr>
          <w:p>
            <w:pPr>
              <w:jc w:val="right"/>
              <w:ind w:right="20"/>
              <w:spacing w:after="0" w:line="133" w:lineRule="exact"/>
              <w:rPr>
                <w:sz w:val="20"/>
                <w:szCs w:val="20"/>
                <w:color w:val="auto"/>
              </w:rPr>
            </w:pPr>
            <w:r>
              <w:rPr>
                <w:rFonts w:ascii="Arial" w:cs="Arial" w:eastAsia="Arial" w:hAnsi="Arial"/>
                <w:sz w:val="13"/>
                <w:szCs w:val="13"/>
                <w:color w:val="auto"/>
              </w:rPr>
              <w:t>7,463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Pension funds</w:t>
            </w:r>
          </w:p>
        </w:tc>
        <w:tc>
          <w:tcPr>
            <w:tcW w:w="98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402</w:t>
            </w:r>
          </w:p>
        </w:tc>
        <w:tc>
          <w:tcPr>
            <w:tcW w:w="80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2"/>
              <w:spacing w:after="0" w:line="133" w:lineRule="exact"/>
              <w:rPr>
                <w:sz w:val="20"/>
                <w:szCs w:val="20"/>
                <w:color w:val="auto"/>
              </w:rPr>
            </w:pPr>
            <w:r>
              <w:rPr>
                <w:rFonts w:ascii="Arial" w:cs="Arial" w:eastAsia="Arial" w:hAnsi="Arial"/>
                <w:sz w:val="13"/>
                <w:szCs w:val="13"/>
                <w:color w:val="auto"/>
              </w:rPr>
              <w:t>(19)</w:t>
            </w:r>
          </w:p>
        </w:tc>
        <w:tc>
          <w:tcPr>
            <w:tcW w:w="8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226</w:t>
            </w:r>
          </w:p>
        </w:tc>
        <w:tc>
          <w:tcPr>
            <w:tcW w:w="820" w:type="dxa"/>
            <w:vAlign w:val="bottom"/>
            <w:gridSpan w:val="2"/>
            <w:shd w:val="clear" w:color="auto" w:fill="CCEEFF"/>
          </w:tcPr>
          <w:p>
            <w:pPr>
              <w:jc w:val="right"/>
              <w:ind w:right="82"/>
              <w:spacing w:after="0" w:line="133" w:lineRule="exact"/>
              <w:rPr>
                <w:sz w:val="20"/>
                <w:szCs w:val="20"/>
                <w:color w:val="auto"/>
              </w:rPr>
            </w:pPr>
            <w:r>
              <w:rPr>
                <w:rFonts w:ascii="Arial" w:cs="Arial" w:eastAsia="Arial" w:hAnsi="Arial"/>
                <w:sz w:val="13"/>
                <w:szCs w:val="13"/>
                <w:color w:val="auto"/>
              </w:rPr>
              <w:t>(64)</w:t>
            </w:r>
          </w:p>
        </w:tc>
        <w:tc>
          <w:tcPr>
            <w:tcW w:w="7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162</w:t>
            </w:r>
          </w:p>
        </w:tc>
        <w:tc>
          <w:tcPr>
            <w:tcW w:w="10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9</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881</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296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60" w:type="dxa"/>
            <w:vAlign w:val="bottom"/>
          </w:tcPr>
          <w:p>
            <w:pPr>
              <w:spacing w:after="0" w:line="145" w:lineRule="exact"/>
              <w:rPr>
                <w:sz w:val="20"/>
                <w:szCs w:val="20"/>
                <w:color w:val="auto"/>
              </w:rPr>
            </w:pPr>
            <w:r>
              <w:rPr>
                <w:rFonts w:ascii="Arial" w:cs="Arial" w:eastAsia="Arial" w:hAnsi="Arial"/>
                <w:sz w:val="13"/>
                <w:szCs w:val="13"/>
                <w:color w:val="auto"/>
              </w:rPr>
              <w:t>Investments banking</w:t>
            </w:r>
          </w:p>
        </w:tc>
        <w:tc>
          <w:tcPr>
            <w:tcW w:w="98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492</w:t>
            </w:r>
          </w:p>
        </w:tc>
        <w:tc>
          <w:tcPr>
            <w:tcW w:w="8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(1)</w:t>
            </w:r>
          </w:p>
        </w:tc>
        <w:tc>
          <w:tcPr>
            <w:tcW w:w="98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2"/>
              <w:spacing w:after="0" w:line="145" w:lineRule="exact"/>
              <w:rPr>
                <w:sz w:val="20"/>
                <w:szCs w:val="20"/>
                <w:color w:val="auto"/>
              </w:rPr>
            </w:pPr>
            <w:r>
              <w:rPr>
                <w:rFonts w:ascii="Arial" w:cs="Arial" w:eastAsia="Arial" w:hAnsi="Arial"/>
                <w:sz w:val="13"/>
                <w:szCs w:val="13"/>
                <w:color w:val="auto"/>
              </w:rPr>
              <w:t>(20)</w:t>
            </w:r>
          </w:p>
        </w:tc>
        <w:tc>
          <w:tcPr>
            <w:tcW w:w="84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4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7</w:t>
            </w:r>
          </w:p>
        </w:tc>
        <w:tc>
          <w:tcPr>
            <w:tcW w:w="820" w:type="dxa"/>
            <w:vAlign w:val="bottom"/>
            <w:gridSpan w:val="2"/>
          </w:tcPr>
          <w:p>
            <w:pPr>
              <w:jc w:val="right"/>
              <w:ind w:right="82"/>
              <w:spacing w:after="0" w:line="145" w:lineRule="exact"/>
              <w:rPr>
                <w:sz w:val="20"/>
                <w:szCs w:val="20"/>
                <w:color w:val="auto"/>
              </w:rPr>
            </w:pPr>
            <w:r>
              <w:rPr>
                <w:rFonts w:ascii="Arial" w:cs="Arial" w:eastAsia="Arial" w:hAnsi="Arial"/>
                <w:sz w:val="13"/>
                <w:szCs w:val="13"/>
                <w:color w:val="auto"/>
              </w:rPr>
              <w:t>(13)</w:t>
            </w:r>
          </w:p>
        </w:tc>
        <w:tc>
          <w:tcPr>
            <w:tcW w:w="74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(6)</w:t>
            </w:r>
          </w:p>
        </w:tc>
        <w:tc>
          <w:tcPr>
            <w:tcW w:w="104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15</w:t>
            </w:r>
          </w:p>
        </w:tc>
        <w:tc>
          <w:tcPr>
            <w:tcW w:w="72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2,837</w:t>
            </w:r>
          </w:p>
        </w:tc>
        <w:tc>
          <w:tcPr>
            <w:tcW w:w="64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2,086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Total elimination</w:t>
            </w:r>
          </w:p>
        </w:tc>
        <w:tc>
          <w:tcPr>
            <w:tcW w:w="980" w:type="dxa"/>
            <w:vAlign w:val="bottom"/>
            <w:gridSpan w:val="3"/>
            <w:shd w:val="clear" w:color="auto" w:fill="CCEEFF"/>
          </w:tcPr>
          <w:p>
            <w:pPr>
              <w:jc w:val="right"/>
              <w:ind w:right="120"/>
              <w:spacing w:after="0" w:line="145" w:lineRule="exact"/>
              <w:rPr>
                <w:sz w:val="20"/>
                <w:szCs w:val="20"/>
                <w:color w:val="auto"/>
              </w:rPr>
            </w:pPr>
            <w:r>
              <w:rPr>
                <w:rFonts w:ascii="Arial" w:cs="Arial" w:eastAsia="Arial" w:hAnsi="Arial"/>
                <w:sz w:val="13"/>
                <w:szCs w:val="13"/>
                <w:color w:val="auto"/>
              </w:rPr>
              <w:t>(489)</w:t>
            </w:r>
          </w:p>
        </w:tc>
        <w:tc>
          <w:tcPr>
            <w:tcW w:w="80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100</w:t>
            </w:r>
          </w:p>
        </w:tc>
        <w:tc>
          <w:tcPr>
            <w:tcW w:w="980" w:type="dxa"/>
            <w:vAlign w:val="bottom"/>
            <w:gridSpan w:val="2"/>
            <w:shd w:val="clear" w:color="auto" w:fill="CCEEFF"/>
          </w:tcPr>
          <w:p>
            <w:pPr>
              <w:jc w:val="right"/>
              <w:ind w:right="142"/>
              <w:spacing w:after="0" w:line="145" w:lineRule="exact"/>
              <w:rPr>
                <w:sz w:val="20"/>
                <w:szCs w:val="20"/>
                <w:color w:val="auto"/>
              </w:rPr>
            </w:pPr>
            <w:r>
              <w:rPr>
                <w:rFonts w:ascii="Arial" w:cs="Arial" w:eastAsia="Arial" w:hAnsi="Arial"/>
                <w:sz w:val="13"/>
                <w:szCs w:val="13"/>
                <w:color w:val="auto"/>
              </w:rPr>
              <w:t>15</w:t>
            </w:r>
          </w:p>
        </w:tc>
        <w:tc>
          <w:tcPr>
            <w:tcW w:w="960" w:type="dxa"/>
            <w:vAlign w:val="bottom"/>
            <w:gridSpan w:val="2"/>
            <w:shd w:val="clear" w:color="auto" w:fill="CCEEFF"/>
          </w:tcPr>
          <w:p>
            <w:pPr>
              <w:jc w:val="right"/>
              <w:ind w:right="122"/>
              <w:spacing w:after="0" w:line="145" w:lineRule="exact"/>
              <w:rPr>
                <w:sz w:val="20"/>
                <w:szCs w:val="20"/>
                <w:color w:val="auto"/>
              </w:rPr>
            </w:pPr>
            <w:r>
              <w:rPr>
                <w:rFonts w:ascii="Arial" w:cs="Arial" w:eastAsia="Arial" w:hAnsi="Arial"/>
                <w:sz w:val="13"/>
                <w:szCs w:val="13"/>
                <w:color w:val="auto"/>
              </w:rPr>
              <w:t>10</w:t>
            </w:r>
          </w:p>
        </w:tc>
        <w:tc>
          <w:tcPr>
            <w:tcW w:w="8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(115)</w:t>
            </w:r>
          </w:p>
        </w:tc>
        <w:tc>
          <w:tcPr>
            <w:tcW w:w="820" w:type="dxa"/>
            <w:vAlign w:val="bottom"/>
            <w:gridSpan w:val="2"/>
            <w:shd w:val="clear" w:color="auto" w:fill="CCEEFF"/>
          </w:tcPr>
          <w:p>
            <w:pPr>
              <w:jc w:val="right"/>
              <w:ind w:right="82"/>
              <w:spacing w:after="0" w:line="145" w:lineRule="exact"/>
              <w:rPr>
                <w:sz w:val="20"/>
                <w:szCs w:val="20"/>
                <w:color w:val="auto"/>
              </w:rPr>
            </w:pPr>
            <w:r>
              <w:rPr>
                <w:rFonts w:ascii="Arial" w:cs="Arial" w:eastAsia="Arial" w:hAnsi="Arial"/>
                <w:sz w:val="13"/>
                <w:szCs w:val="13"/>
                <w:color w:val="auto"/>
              </w:rPr>
              <w:t>(66)</w:t>
            </w:r>
          </w:p>
        </w:tc>
        <w:tc>
          <w:tcPr>
            <w:tcW w:w="7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(181)</w:t>
            </w:r>
          </w:p>
        </w:tc>
        <w:tc>
          <w:tcPr>
            <w:tcW w:w="10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(4,060)</w:t>
            </w:r>
          </w:p>
        </w:tc>
        <w:tc>
          <w:tcPr>
            <w:tcW w:w="720" w:type="dxa"/>
            <w:vAlign w:val="bottom"/>
            <w:gridSpan w:val="4"/>
            <w:shd w:val="clear" w:color="auto" w:fill="CCEEFF"/>
          </w:tcPr>
          <w:p>
            <w:pPr>
              <w:ind w:left="300"/>
              <w:spacing w:after="0" w:line="145" w:lineRule="exact"/>
              <w:rPr>
                <w:sz w:val="20"/>
                <w:szCs w:val="20"/>
                <w:color w:val="auto"/>
              </w:rPr>
            </w:pPr>
            <w:r>
              <w:rPr>
                <w:rFonts w:ascii="Arial" w:cs="Arial" w:eastAsia="Arial" w:hAnsi="Arial"/>
                <w:sz w:val="13"/>
                <w:szCs w:val="13"/>
                <w:color w:val="auto"/>
                <w:w w:val="97"/>
              </w:rPr>
              <w:t>(5,890)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660" w:type="dxa"/>
            <w:vAlign w:val="bottom"/>
          </w:tcPr>
          <w:p>
            <w:pPr>
              <w:spacing w:after="0" w:line="125" w:lineRule="exact"/>
              <w:rPr>
                <w:sz w:val="20"/>
                <w:szCs w:val="20"/>
                <w:color w:val="auto"/>
              </w:rPr>
            </w:pPr>
            <w:r>
              <w:rPr>
                <w:rFonts w:ascii="Arial" w:cs="Arial" w:eastAsia="Arial" w:hAnsi="Arial"/>
                <w:sz w:val="13"/>
                <w:szCs w:val="13"/>
                <w:b w:val="1"/>
                <w:bCs w:val="1"/>
                <w:color w:val="auto"/>
              </w:rPr>
              <w:t>Total consolidated</w:t>
            </w:r>
          </w:p>
        </w:tc>
        <w:tc>
          <w:tcPr>
            <w:tcW w:w="8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15,718</w:t>
            </w:r>
          </w:p>
        </w:tc>
        <w:tc>
          <w:tcPr>
            <w:tcW w:w="16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8,167</w:t>
            </w:r>
          </w:p>
        </w:tc>
        <w:tc>
          <w:tcPr>
            <w:tcW w:w="16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(1,881</w:t>
            </w:r>
          </w:p>
        </w:tc>
        <w:tc>
          <w:tcPr>
            <w:tcW w:w="180" w:type="dxa"/>
            <w:vAlign w:val="bottom"/>
          </w:tcPr>
          <w:p>
            <w:pPr>
              <w:jc w:val="right"/>
              <w:ind w:right="102"/>
              <w:spacing w:after="0"/>
              <w:rPr>
                <w:sz w:val="20"/>
                <w:szCs w:val="20"/>
                <w:color w:val="auto"/>
              </w:rPr>
            </w:pPr>
            <w:r>
              <w:rPr>
                <w:rFonts w:ascii="Arial" w:cs="Arial" w:eastAsia="Arial" w:hAnsi="Arial"/>
                <w:sz w:val="8"/>
                <w:szCs w:val="8"/>
                <w:color w:val="auto"/>
                <w:w w:val="73"/>
              </w:rPr>
              <w:t>)</w:t>
            </w: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(396</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8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(44</w:t>
            </w:r>
          </w:p>
        </w:tc>
        <w:tc>
          <w:tcPr>
            <w:tcW w:w="120" w:type="dxa"/>
            <w:vAlign w:val="bottom"/>
          </w:tcPr>
          <w:p>
            <w:pPr>
              <w:jc w:val="right"/>
              <w:ind w:right="4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4,314</w:t>
            </w:r>
          </w:p>
        </w:tc>
        <w:tc>
          <w:tcPr>
            <w:tcW w:w="18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(1,151</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5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3,163</w:t>
            </w:r>
          </w:p>
        </w:tc>
        <w:tc>
          <w:tcPr>
            <w:tcW w:w="18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425</w:t>
            </w:r>
          </w:p>
        </w:tc>
        <w:tc>
          <w:tcPr>
            <w:tcW w:w="18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155,480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138,753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Allowance for</w:t>
            </w:r>
          </w:p>
        </w:tc>
        <w:tc>
          <w:tcPr>
            <w:tcW w:w="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Depreciation</w:t>
            </w:r>
          </w:p>
        </w:tc>
        <w:tc>
          <w:tcPr>
            <w:tcW w:w="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Impairment of</w:t>
            </w:r>
          </w:p>
        </w:tc>
        <w:tc>
          <w:tcPr>
            <w:tcW w:w="1040" w:type="dxa"/>
            <w:vAlign w:val="bottom"/>
            <w:gridSpan w:val="3"/>
          </w:tcPr>
          <w:p>
            <w:pPr>
              <w:ind w:left="60"/>
              <w:spacing w:after="0"/>
              <w:rPr>
                <w:sz w:val="20"/>
                <w:szCs w:val="20"/>
                <w:color w:val="auto"/>
              </w:rPr>
            </w:pPr>
            <w:r>
              <w:rPr>
                <w:rFonts w:ascii="Arial" w:cs="Arial" w:eastAsia="Arial" w:hAnsi="Arial"/>
                <w:sz w:val="13"/>
                <w:szCs w:val="13"/>
                <w:b w:val="1"/>
                <w:bCs w:val="1"/>
                <w:color w:val="auto"/>
              </w:rPr>
              <w:t>Income before</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Exchange</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3"/>
                <w:szCs w:val="13"/>
                <w:b w:val="1"/>
                <w:bCs w:val="1"/>
                <w:color w:val="auto"/>
              </w:rPr>
              <w:t>Capital</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Total income</w:t>
            </w: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Operating</w:t>
            </w:r>
          </w:p>
        </w:tc>
        <w:tc>
          <w:tcPr>
            <w:tcW w:w="9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loan losses,</w:t>
            </w:r>
          </w:p>
        </w:tc>
        <w:tc>
          <w:tcPr>
            <w:tcW w:w="96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40" w:type="dxa"/>
            <w:vAlign w:val="bottom"/>
            <w:gridSpan w:val="3"/>
          </w:tcPr>
          <w:p>
            <w:pPr>
              <w:ind w:left="60"/>
              <w:spacing w:after="0" w:line="133" w:lineRule="exact"/>
              <w:rPr>
                <w:sz w:val="20"/>
                <w:szCs w:val="20"/>
                <w:color w:val="auto"/>
              </w:rPr>
            </w:pPr>
            <w:r>
              <w:rPr>
                <w:rFonts w:ascii="Arial" w:cs="Arial" w:eastAsia="Arial" w:hAnsi="Arial"/>
                <w:sz w:val="13"/>
                <w:szCs w:val="13"/>
                <w:b w:val="1"/>
                <w:bCs w:val="1"/>
                <w:color w:val="auto"/>
              </w:rPr>
              <w:t>Exchange</w:t>
            </w:r>
          </w:p>
        </w:tc>
        <w:tc>
          <w:tcPr>
            <w:tcW w:w="8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difference</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expenditures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3"/>
        </w:trPr>
        <w:tc>
          <w:tcPr>
            <w:tcW w:w="1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2014</w:t>
            </w:r>
          </w:p>
        </w:tc>
        <w:tc>
          <w:tcPr>
            <w:tcW w:w="980" w:type="dxa"/>
            <w:vAlign w:val="bottom"/>
            <w:gridSpan w:val="3"/>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net of</w:t>
            </w:r>
          </w:p>
        </w:tc>
        <w:tc>
          <w:tcPr>
            <w:tcW w:w="96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and</w:t>
            </w:r>
          </w:p>
        </w:tc>
        <w:tc>
          <w:tcPr>
            <w:tcW w:w="96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available for</w:t>
            </w:r>
          </w:p>
        </w:tc>
        <w:tc>
          <w:tcPr>
            <w:tcW w:w="1040" w:type="dxa"/>
            <w:vAlign w:val="bottom"/>
            <w:gridSpan w:val="3"/>
          </w:tcPr>
          <w:p>
            <w:pPr>
              <w:ind w:left="60"/>
              <w:spacing w:after="0" w:line="133" w:lineRule="exact"/>
              <w:rPr>
                <w:sz w:val="20"/>
                <w:szCs w:val="20"/>
                <w:color w:val="auto"/>
              </w:rPr>
            </w:pPr>
            <w:r>
              <w:rPr>
                <w:rFonts w:ascii="Arial" w:cs="Arial" w:eastAsia="Arial" w:hAnsi="Arial"/>
                <w:sz w:val="13"/>
                <w:szCs w:val="13"/>
                <w:b w:val="1"/>
                <w:bCs w:val="1"/>
                <w:color w:val="auto"/>
              </w:rPr>
              <w:t>difference and</w:t>
            </w:r>
          </w:p>
        </w:tc>
        <w:tc>
          <w:tcPr>
            <w:tcW w:w="8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and income</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89"/>
              </w:rPr>
              <w:t>Net profit</w:t>
            </w:r>
          </w:p>
        </w:tc>
        <w:tc>
          <w:tcPr>
            <w:tcW w:w="10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intangibles and</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w w:val="79"/>
              </w:rPr>
              <w:t>Total assets</w:t>
            </w:r>
          </w:p>
        </w:tc>
        <w:tc>
          <w:tcPr>
            <w:tcW w:w="7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80" w:type="dxa"/>
            <w:vAlign w:val="bottom"/>
            <w:gridSpan w:val="2"/>
            <w:vMerge w:val="continue"/>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income (**)</w:t>
            </w: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recoveries</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amortization</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sale assets</w:t>
            </w:r>
          </w:p>
        </w:tc>
        <w:tc>
          <w:tcPr>
            <w:tcW w:w="1040" w:type="dxa"/>
            <w:vAlign w:val="bottom"/>
            <w:gridSpan w:val="3"/>
          </w:tcPr>
          <w:p>
            <w:pPr>
              <w:ind w:left="60"/>
              <w:spacing w:after="0"/>
              <w:rPr>
                <w:sz w:val="20"/>
                <w:szCs w:val="20"/>
                <w:color w:val="auto"/>
              </w:rPr>
            </w:pPr>
            <w:r>
              <w:rPr>
                <w:rFonts w:ascii="Arial" w:cs="Arial" w:eastAsia="Arial" w:hAnsi="Arial"/>
                <w:sz w:val="13"/>
                <w:szCs w:val="13"/>
                <w:b w:val="1"/>
                <w:bCs w:val="1"/>
                <w:color w:val="auto"/>
              </w:rPr>
              <w:t>income tax</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tax</w:t>
            </w:r>
          </w:p>
        </w:tc>
        <w:tc>
          <w:tcPr>
            <w:tcW w:w="740" w:type="dxa"/>
            <w:vAlign w:val="bottom"/>
            <w:gridSpan w:val="2"/>
            <w:vMerge w:val="continue"/>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3"/>
                <w:szCs w:val="13"/>
                <w:b w:val="1"/>
                <w:bCs w:val="1"/>
                <w:color w:val="auto"/>
              </w:rPr>
              <w:t>goodwill</w:t>
            </w:r>
          </w:p>
        </w:tc>
        <w:tc>
          <w:tcPr>
            <w:tcW w:w="720" w:type="dxa"/>
            <w:vAlign w:val="bottom"/>
            <w:gridSpan w:val="2"/>
            <w:vMerge w:val="continue"/>
          </w:tcPr>
          <w:p>
            <w:pPr>
              <w:spacing w:after="0"/>
              <w:rPr>
                <w:sz w:val="13"/>
                <w:szCs w:val="13"/>
                <w:color w:val="auto"/>
              </w:rPr>
            </w:pPr>
          </w:p>
        </w:tc>
        <w:tc>
          <w:tcPr>
            <w:tcW w:w="720" w:type="dxa"/>
            <w:vAlign w:val="bottom"/>
            <w:gridSpan w:val="4"/>
          </w:tcPr>
          <w:p>
            <w:pPr>
              <w:ind w:left="8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Banking</w:t>
            </w:r>
          </w:p>
        </w:tc>
        <w:tc>
          <w:tcPr>
            <w:tcW w:w="98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11,540</w:t>
            </w:r>
          </w:p>
        </w:tc>
        <w:tc>
          <w:tcPr>
            <w:tcW w:w="80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6,070</w:t>
            </w:r>
          </w:p>
        </w:tc>
        <w:tc>
          <w:tcPr>
            <w:tcW w:w="980" w:type="dxa"/>
            <w:vAlign w:val="bottom"/>
            <w:gridSpan w:val="2"/>
            <w:shd w:val="clear" w:color="auto" w:fill="CCEEFF"/>
          </w:tcPr>
          <w:p>
            <w:pPr>
              <w:jc w:val="right"/>
              <w:ind w:right="102"/>
              <w:spacing w:after="0" w:line="133" w:lineRule="exact"/>
              <w:rPr>
                <w:sz w:val="20"/>
                <w:szCs w:val="20"/>
                <w:color w:val="auto"/>
              </w:rPr>
            </w:pPr>
            <w:r>
              <w:rPr>
                <w:rFonts w:ascii="Arial" w:cs="Arial" w:eastAsia="Arial" w:hAnsi="Arial"/>
                <w:sz w:val="13"/>
                <w:szCs w:val="13"/>
                <w:color w:val="auto"/>
              </w:rPr>
              <w:t>(1,716)</w:t>
            </w:r>
          </w:p>
        </w:tc>
        <w:tc>
          <w:tcPr>
            <w:tcW w:w="960" w:type="dxa"/>
            <w:vAlign w:val="bottom"/>
            <w:gridSpan w:val="2"/>
            <w:shd w:val="clear" w:color="auto" w:fill="CCEEFF"/>
          </w:tcPr>
          <w:p>
            <w:pPr>
              <w:jc w:val="right"/>
              <w:ind w:right="82"/>
              <w:spacing w:after="0" w:line="133" w:lineRule="exact"/>
              <w:rPr>
                <w:sz w:val="20"/>
                <w:szCs w:val="20"/>
                <w:color w:val="auto"/>
              </w:rPr>
            </w:pPr>
            <w:r>
              <w:rPr>
                <w:rFonts w:ascii="Arial" w:cs="Arial" w:eastAsia="Arial" w:hAnsi="Arial"/>
                <w:sz w:val="13"/>
                <w:szCs w:val="13"/>
                <w:color w:val="auto"/>
              </w:rPr>
              <w:t>(340)</w:t>
            </w:r>
          </w:p>
        </w:tc>
        <w:tc>
          <w:tcPr>
            <w:tcW w:w="960" w:type="dxa"/>
            <w:vAlign w:val="bottom"/>
            <w:gridSpan w:val="2"/>
            <w:shd w:val="clear" w:color="auto" w:fill="CCEEFF"/>
          </w:tcPr>
          <w:p>
            <w:pPr>
              <w:jc w:val="right"/>
              <w:ind w:right="42"/>
              <w:spacing w:after="0" w:line="133" w:lineRule="exact"/>
              <w:rPr>
                <w:sz w:val="20"/>
                <w:szCs w:val="20"/>
                <w:color w:val="auto"/>
              </w:rPr>
            </w:pPr>
            <w:r>
              <w:rPr>
                <w:rFonts w:ascii="Arial" w:cs="Arial" w:eastAsia="Arial" w:hAnsi="Arial"/>
                <w:sz w:val="13"/>
                <w:szCs w:val="13"/>
                <w:color w:val="auto"/>
              </w:rPr>
              <w:t>(8)</w:t>
            </w:r>
          </w:p>
        </w:tc>
        <w:tc>
          <w:tcPr>
            <w:tcW w:w="1040" w:type="dxa"/>
            <w:vAlign w:val="bottom"/>
            <w:gridSpan w:val="3"/>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2,801</w:t>
            </w:r>
          </w:p>
        </w:tc>
        <w:tc>
          <w:tcPr>
            <w:tcW w:w="820" w:type="dxa"/>
            <w:vAlign w:val="bottom"/>
            <w:gridSpan w:val="2"/>
            <w:shd w:val="clear" w:color="auto" w:fill="CCEEFF"/>
          </w:tcPr>
          <w:p>
            <w:pPr>
              <w:jc w:val="right"/>
              <w:ind w:right="82"/>
              <w:spacing w:after="0" w:line="133" w:lineRule="exact"/>
              <w:rPr>
                <w:sz w:val="20"/>
                <w:szCs w:val="20"/>
                <w:color w:val="auto"/>
              </w:rPr>
            </w:pPr>
            <w:r>
              <w:rPr>
                <w:rFonts w:ascii="Arial" w:cs="Arial" w:eastAsia="Arial" w:hAnsi="Arial"/>
                <w:sz w:val="13"/>
                <w:szCs w:val="13"/>
                <w:color w:val="auto"/>
              </w:rPr>
              <w:t>(681)</w:t>
            </w:r>
          </w:p>
        </w:tc>
        <w:tc>
          <w:tcPr>
            <w:tcW w:w="7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2,120</w:t>
            </w:r>
          </w:p>
        </w:tc>
        <w:tc>
          <w:tcPr>
            <w:tcW w:w="10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381</w:t>
            </w:r>
          </w:p>
        </w:tc>
        <w:tc>
          <w:tcPr>
            <w:tcW w:w="7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124,551</w:t>
            </w:r>
          </w:p>
        </w:tc>
        <w:tc>
          <w:tcPr>
            <w:tcW w:w="64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115,332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line="133" w:lineRule="exact"/>
              <w:rPr>
                <w:sz w:val="20"/>
                <w:szCs w:val="20"/>
                <w:color w:val="auto"/>
              </w:rPr>
            </w:pPr>
            <w:r>
              <w:rPr>
                <w:rFonts w:ascii="Arial" w:cs="Arial" w:eastAsia="Arial" w:hAnsi="Arial"/>
                <w:sz w:val="13"/>
                <w:szCs w:val="13"/>
                <w:color w:val="auto"/>
              </w:rPr>
              <w:t>Insurance</w:t>
            </w:r>
          </w:p>
        </w:tc>
        <w:tc>
          <w:tcPr>
            <w:tcW w:w="980" w:type="dxa"/>
            <w:vAlign w:val="bottom"/>
            <w:gridSpan w:val="3"/>
          </w:tcPr>
          <w:p>
            <w:pPr>
              <w:jc w:val="right"/>
              <w:ind w:right="160"/>
              <w:spacing w:after="0" w:line="133" w:lineRule="exact"/>
              <w:rPr>
                <w:sz w:val="20"/>
                <w:szCs w:val="20"/>
                <w:color w:val="auto"/>
              </w:rPr>
            </w:pPr>
            <w:r>
              <w:rPr>
                <w:rFonts w:ascii="Arial" w:cs="Arial" w:eastAsia="Arial" w:hAnsi="Arial"/>
                <w:sz w:val="13"/>
                <w:szCs w:val="13"/>
                <w:color w:val="auto"/>
              </w:rPr>
              <w:t>2,674</w:t>
            </w:r>
          </w:p>
        </w:tc>
        <w:tc>
          <w:tcPr>
            <w:tcW w:w="80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1,002</w:t>
            </w:r>
          </w:p>
        </w:tc>
        <w:tc>
          <w:tcPr>
            <w:tcW w:w="98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2"/>
              <w:spacing w:after="0" w:line="133" w:lineRule="exact"/>
              <w:rPr>
                <w:sz w:val="20"/>
                <w:szCs w:val="20"/>
                <w:color w:val="auto"/>
              </w:rPr>
            </w:pPr>
            <w:r>
              <w:rPr>
                <w:rFonts w:ascii="Arial" w:cs="Arial" w:eastAsia="Arial" w:hAnsi="Arial"/>
                <w:sz w:val="13"/>
                <w:szCs w:val="13"/>
                <w:color w:val="auto"/>
              </w:rPr>
              <w:t>(55)</w:t>
            </w:r>
          </w:p>
        </w:tc>
        <w:tc>
          <w:tcPr>
            <w:tcW w:w="84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40" w:type="dxa"/>
            <w:vAlign w:val="bottom"/>
            <w:gridSpan w:val="3"/>
          </w:tcPr>
          <w:p>
            <w:pPr>
              <w:jc w:val="right"/>
              <w:ind w:right="180"/>
              <w:spacing w:after="0" w:line="133" w:lineRule="exact"/>
              <w:rPr>
                <w:sz w:val="20"/>
                <w:szCs w:val="20"/>
                <w:color w:val="auto"/>
              </w:rPr>
            </w:pPr>
            <w:r>
              <w:rPr>
                <w:rFonts w:ascii="Arial" w:cs="Arial" w:eastAsia="Arial" w:hAnsi="Arial"/>
                <w:sz w:val="13"/>
                <w:szCs w:val="13"/>
                <w:color w:val="auto"/>
              </w:rPr>
              <w:t>232</w:t>
            </w:r>
          </w:p>
        </w:tc>
        <w:tc>
          <w:tcPr>
            <w:tcW w:w="820" w:type="dxa"/>
            <w:vAlign w:val="bottom"/>
            <w:gridSpan w:val="2"/>
          </w:tcPr>
          <w:p>
            <w:pPr>
              <w:jc w:val="right"/>
              <w:ind w:right="82"/>
              <w:spacing w:after="0" w:line="133" w:lineRule="exact"/>
              <w:rPr>
                <w:sz w:val="20"/>
                <w:szCs w:val="20"/>
                <w:color w:val="auto"/>
              </w:rPr>
            </w:pPr>
            <w:r>
              <w:rPr>
                <w:rFonts w:ascii="Arial" w:cs="Arial" w:eastAsia="Arial" w:hAnsi="Arial"/>
                <w:sz w:val="13"/>
                <w:szCs w:val="13"/>
                <w:color w:val="auto"/>
              </w:rPr>
              <w:t>(27)</w:t>
            </w:r>
          </w:p>
        </w:tc>
        <w:tc>
          <w:tcPr>
            <w:tcW w:w="7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206</w:t>
            </w:r>
          </w:p>
        </w:tc>
        <w:tc>
          <w:tcPr>
            <w:tcW w:w="10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132</w:t>
            </w:r>
          </w:p>
        </w:tc>
        <w:tc>
          <w:tcPr>
            <w:tcW w:w="72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8,653</w:t>
            </w:r>
          </w:p>
        </w:tc>
        <w:tc>
          <w:tcPr>
            <w:tcW w:w="640" w:type="dxa"/>
            <w:vAlign w:val="bottom"/>
            <w:gridSpan w:val="3"/>
          </w:tcPr>
          <w:p>
            <w:pPr>
              <w:jc w:val="right"/>
              <w:ind w:right="20"/>
              <w:spacing w:after="0" w:line="133" w:lineRule="exact"/>
              <w:rPr>
                <w:sz w:val="20"/>
                <w:szCs w:val="20"/>
                <w:color w:val="auto"/>
              </w:rPr>
            </w:pPr>
            <w:r>
              <w:rPr>
                <w:rFonts w:ascii="Arial" w:cs="Arial" w:eastAsia="Arial" w:hAnsi="Arial"/>
                <w:sz w:val="13"/>
                <w:szCs w:val="13"/>
                <w:color w:val="auto"/>
              </w:rPr>
              <w:t>6,837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Pension funds</w:t>
            </w:r>
          </w:p>
        </w:tc>
        <w:tc>
          <w:tcPr>
            <w:tcW w:w="98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391</w:t>
            </w:r>
          </w:p>
        </w:tc>
        <w:tc>
          <w:tcPr>
            <w:tcW w:w="80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2"/>
              <w:spacing w:after="0" w:line="133" w:lineRule="exact"/>
              <w:rPr>
                <w:sz w:val="20"/>
                <w:szCs w:val="20"/>
                <w:color w:val="auto"/>
              </w:rPr>
            </w:pPr>
            <w:r>
              <w:rPr>
                <w:rFonts w:ascii="Arial" w:cs="Arial" w:eastAsia="Arial" w:hAnsi="Arial"/>
                <w:sz w:val="13"/>
                <w:szCs w:val="13"/>
                <w:color w:val="auto"/>
              </w:rPr>
              <w:t>(21)</w:t>
            </w:r>
          </w:p>
        </w:tc>
        <w:tc>
          <w:tcPr>
            <w:tcW w:w="8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221</w:t>
            </w:r>
          </w:p>
        </w:tc>
        <w:tc>
          <w:tcPr>
            <w:tcW w:w="820" w:type="dxa"/>
            <w:vAlign w:val="bottom"/>
            <w:gridSpan w:val="2"/>
            <w:shd w:val="clear" w:color="auto" w:fill="CCEEFF"/>
          </w:tcPr>
          <w:p>
            <w:pPr>
              <w:jc w:val="right"/>
              <w:ind w:right="82"/>
              <w:spacing w:after="0" w:line="133" w:lineRule="exact"/>
              <w:rPr>
                <w:sz w:val="20"/>
                <w:szCs w:val="20"/>
                <w:color w:val="auto"/>
              </w:rPr>
            </w:pPr>
            <w:r>
              <w:rPr>
                <w:rFonts w:ascii="Arial" w:cs="Arial" w:eastAsia="Arial" w:hAnsi="Arial"/>
                <w:sz w:val="13"/>
                <w:szCs w:val="13"/>
                <w:color w:val="auto"/>
              </w:rPr>
              <w:t>(67)</w:t>
            </w:r>
          </w:p>
        </w:tc>
        <w:tc>
          <w:tcPr>
            <w:tcW w:w="7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153</w:t>
            </w:r>
          </w:p>
        </w:tc>
        <w:tc>
          <w:tcPr>
            <w:tcW w:w="10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9</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913</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317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line="133" w:lineRule="exact"/>
              <w:rPr>
                <w:sz w:val="20"/>
                <w:szCs w:val="20"/>
                <w:color w:val="auto"/>
              </w:rPr>
            </w:pPr>
            <w:r>
              <w:rPr>
                <w:rFonts w:ascii="Arial" w:cs="Arial" w:eastAsia="Arial" w:hAnsi="Arial"/>
                <w:sz w:val="13"/>
                <w:szCs w:val="13"/>
                <w:color w:val="auto"/>
              </w:rPr>
              <w:t>Investment banking</w:t>
            </w:r>
          </w:p>
        </w:tc>
        <w:tc>
          <w:tcPr>
            <w:tcW w:w="980" w:type="dxa"/>
            <w:vAlign w:val="bottom"/>
            <w:gridSpan w:val="3"/>
          </w:tcPr>
          <w:p>
            <w:pPr>
              <w:jc w:val="right"/>
              <w:ind w:right="160"/>
              <w:spacing w:after="0" w:line="133" w:lineRule="exact"/>
              <w:rPr>
                <w:sz w:val="20"/>
                <w:szCs w:val="20"/>
                <w:color w:val="auto"/>
              </w:rPr>
            </w:pPr>
            <w:r>
              <w:rPr>
                <w:rFonts w:ascii="Arial" w:cs="Arial" w:eastAsia="Arial" w:hAnsi="Arial"/>
                <w:sz w:val="13"/>
                <w:szCs w:val="13"/>
                <w:color w:val="auto"/>
              </w:rPr>
              <w:t>416</w:t>
            </w:r>
          </w:p>
        </w:tc>
        <w:tc>
          <w:tcPr>
            <w:tcW w:w="80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4</w:t>
            </w:r>
          </w:p>
        </w:tc>
        <w:tc>
          <w:tcPr>
            <w:tcW w:w="98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2"/>
              <w:spacing w:after="0" w:line="133" w:lineRule="exact"/>
              <w:rPr>
                <w:sz w:val="20"/>
                <w:szCs w:val="20"/>
                <w:color w:val="auto"/>
              </w:rPr>
            </w:pPr>
            <w:r>
              <w:rPr>
                <w:rFonts w:ascii="Arial" w:cs="Arial" w:eastAsia="Arial" w:hAnsi="Arial"/>
                <w:sz w:val="13"/>
                <w:szCs w:val="13"/>
                <w:color w:val="auto"/>
              </w:rPr>
              <w:t>(18)</w:t>
            </w:r>
          </w:p>
        </w:tc>
        <w:tc>
          <w:tcPr>
            <w:tcW w:w="84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40" w:type="dxa"/>
            <w:vAlign w:val="bottom"/>
            <w:gridSpan w:val="3"/>
          </w:tcPr>
          <w:p>
            <w:pPr>
              <w:jc w:val="right"/>
              <w:ind w:right="180"/>
              <w:spacing w:after="0" w:line="133"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82"/>
              <w:spacing w:after="0" w:line="133" w:lineRule="exact"/>
              <w:rPr>
                <w:sz w:val="20"/>
                <w:szCs w:val="20"/>
                <w:color w:val="auto"/>
              </w:rPr>
            </w:pPr>
            <w:r>
              <w:rPr>
                <w:rFonts w:ascii="Arial" w:cs="Arial" w:eastAsia="Arial" w:hAnsi="Arial"/>
                <w:sz w:val="13"/>
                <w:szCs w:val="13"/>
                <w:color w:val="auto"/>
              </w:rPr>
              <w:t>(21)</w:t>
            </w:r>
          </w:p>
        </w:tc>
        <w:tc>
          <w:tcPr>
            <w:tcW w:w="74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(18)</w:t>
            </w:r>
          </w:p>
        </w:tc>
        <w:tc>
          <w:tcPr>
            <w:tcW w:w="10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27</w:t>
            </w:r>
          </w:p>
        </w:tc>
        <w:tc>
          <w:tcPr>
            <w:tcW w:w="72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3,467</w:t>
            </w:r>
          </w:p>
        </w:tc>
        <w:tc>
          <w:tcPr>
            <w:tcW w:w="640" w:type="dxa"/>
            <w:vAlign w:val="bottom"/>
            <w:gridSpan w:val="3"/>
          </w:tcPr>
          <w:p>
            <w:pPr>
              <w:jc w:val="right"/>
              <w:ind w:right="20"/>
              <w:spacing w:after="0" w:line="133" w:lineRule="exact"/>
              <w:rPr>
                <w:sz w:val="20"/>
                <w:szCs w:val="20"/>
                <w:color w:val="auto"/>
              </w:rPr>
            </w:pPr>
            <w:r>
              <w:rPr>
                <w:rFonts w:ascii="Arial" w:cs="Arial" w:eastAsia="Arial" w:hAnsi="Arial"/>
                <w:sz w:val="13"/>
                <w:szCs w:val="13"/>
                <w:color w:val="auto"/>
              </w:rPr>
              <w:t>2,568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Total elimination</w:t>
            </w:r>
          </w:p>
        </w:tc>
        <w:tc>
          <w:tcPr>
            <w:tcW w:w="980" w:type="dxa"/>
            <w:vAlign w:val="bottom"/>
            <w:gridSpan w:val="3"/>
            <w:shd w:val="clear" w:color="auto" w:fill="CCEEFF"/>
          </w:tcPr>
          <w:p>
            <w:pPr>
              <w:jc w:val="right"/>
              <w:ind w:right="120"/>
              <w:spacing w:after="0" w:line="145" w:lineRule="exact"/>
              <w:rPr>
                <w:sz w:val="20"/>
                <w:szCs w:val="20"/>
                <w:color w:val="auto"/>
              </w:rPr>
            </w:pPr>
            <w:r>
              <w:rPr>
                <w:rFonts w:ascii="Arial" w:cs="Arial" w:eastAsia="Arial" w:hAnsi="Arial"/>
                <w:sz w:val="13"/>
                <w:szCs w:val="13"/>
                <w:color w:val="auto"/>
              </w:rPr>
              <w:t>(395)</w:t>
            </w:r>
          </w:p>
        </w:tc>
        <w:tc>
          <w:tcPr>
            <w:tcW w:w="80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97</w:t>
            </w:r>
          </w:p>
        </w:tc>
        <w:tc>
          <w:tcPr>
            <w:tcW w:w="980" w:type="dxa"/>
            <w:vAlign w:val="bottom"/>
            <w:gridSpan w:val="2"/>
            <w:shd w:val="clear" w:color="auto" w:fill="CCEEFF"/>
          </w:tcPr>
          <w:p>
            <w:pPr>
              <w:jc w:val="right"/>
              <w:ind w:right="142"/>
              <w:spacing w:after="0" w:line="14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22"/>
              <w:spacing w:after="0" w:line="14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(40)</w:t>
            </w:r>
          </w:p>
        </w:tc>
        <w:tc>
          <w:tcPr>
            <w:tcW w:w="820" w:type="dxa"/>
            <w:vAlign w:val="bottom"/>
            <w:gridSpan w:val="2"/>
            <w:shd w:val="clear" w:color="auto" w:fill="CCEEFF"/>
          </w:tcPr>
          <w:p>
            <w:pPr>
              <w:jc w:val="right"/>
              <w:ind w:right="122"/>
              <w:spacing w:after="0" w:line="14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(40)</w:t>
            </w:r>
          </w:p>
        </w:tc>
        <w:tc>
          <w:tcPr>
            <w:tcW w:w="10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(2,750)</w:t>
            </w:r>
          </w:p>
        </w:tc>
        <w:tc>
          <w:tcPr>
            <w:tcW w:w="720" w:type="dxa"/>
            <w:vAlign w:val="bottom"/>
            <w:gridSpan w:val="4"/>
            <w:shd w:val="clear" w:color="auto" w:fill="CCEEFF"/>
          </w:tcPr>
          <w:p>
            <w:pPr>
              <w:ind w:left="300"/>
              <w:spacing w:after="0" w:line="145" w:lineRule="exact"/>
              <w:rPr>
                <w:sz w:val="20"/>
                <w:szCs w:val="20"/>
                <w:color w:val="auto"/>
              </w:rPr>
            </w:pPr>
            <w:r>
              <w:rPr>
                <w:rFonts w:ascii="Arial" w:cs="Arial" w:eastAsia="Arial" w:hAnsi="Arial"/>
                <w:sz w:val="13"/>
                <w:szCs w:val="13"/>
                <w:color w:val="auto"/>
                <w:w w:val="97"/>
              </w:rPr>
              <w:t>(4,846)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660" w:type="dxa"/>
            <w:vAlign w:val="bottom"/>
          </w:tcPr>
          <w:p>
            <w:pPr>
              <w:spacing w:after="0" w:line="125" w:lineRule="exact"/>
              <w:rPr>
                <w:sz w:val="20"/>
                <w:szCs w:val="20"/>
                <w:color w:val="auto"/>
              </w:rPr>
            </w:pPr>
            <w:r>
              <w:rPr>
                <w:rFonts w:ascii="Arial" w:cs="Arial" w:eastAsia="Arial" w:hAnsi="Arial"/>
                <w:sz w:val="13"/>
                <w:szCs w:val="13"/>
                <w:b w:val="1"/>
                <w:bCs w:val="1"/>
                <w:color w:val="auto"/>
              </w:rPr>
              <w:t>Total consolidated</w:t>
            </w:r>
          </w:p>
        </w:tc>
        <w:tc>
          <w:tcPr>
            <w:tcW w:w="8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14,626</w:t>
            </w:r>
          </w:p>
        </w:tc>
        <w:tc>
          <w:tcPr>
            <w:tcW w:w="16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7,173</w:t>
            </w:r>
          </w:p>
        </w:tc>
        <w:tc>
          <w:tcPr>
            <w:tcW w:w="16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(1,716</w:t>
            </w:r>
          </w:p>
        </w:tc>
        <w:tc>
          <w:tcPr>
            <w:tcW w:w="180" w:type="dxa"/>
            <w:vAlign w:val="bottom"/>
          </w:tcPr>
          <w:p>
            <w:pPr>
              <w:jc w:val="right"/>
              <w:ind w:right="102"/>
              <w:spacing w:after="0"/>
              <w:rPr>
                <w:sz w:val="20"/>
                <w:szCs w:val="20"/>
                <w:color w:val="auto"/>
              </w:rPr>
            </w:pPr>
            <w:r>
              <w:rPr>
                <w:rFonts w:ascii="Arial" w:cs="Arial" w:eastAsia="Arial" w:hAnsi="Arial"/>
                <w:sz w:val="8"/>
                <w:szCs w:val="8"/>
                <w:color w:val="auto"/>
                <w:w w:val="73"/>
              </w:rPr>
              <w:t>)</w:t>
            </w: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(434</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8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(8</w:t>
            </w:r>
          </w:p>
        </w:tc>
        <w:tc>
          <w:tcPr>
            <w:tcW w:w="120" w:type="dxa"/>
            <w:vAlign w:val="bottom"/>
          </w:tcPr>
          <w:p>
            <w:pPr>
              <w:jc w:val="right"/>
              <w:ind w:right="4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3,217</w:t>
            </w:r>
          </w:p>
        </w:tc>
        <w:tc>
          <w:tcPr>
            <w:tcW w:w="18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(796</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5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2,421</w:t>
            </w:r>
          </w:p>
        </w:tc>
        <w:tc>
          <w:tcPr>
            <w:tcW w:w="18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549</w:t>
            </w:r>
          </w:p>
        </w:tc>
        <w:tc>
          <w:tcPr>
            <w:tcW w:w="18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134,834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120,208</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- 106 -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8" w:right="219" w:bottom="1440" w:gutter="0" w:footer="0" w:header="0"/>
        </w:sectPr>
      </w:pPr>
    </w:p>
    <w:bookmarkStart w:id="111" w:name="page112"/>
    <w:bookmarkEnd w:id="111"/>
    <w:p>
      <w:pPr>
        <w:ind w:left="283" w:right="140" w:hanging="283"/>
        <w:spacing w:after="0" w:line="280" w:lineRule="auto"/>
        <w:tabs>
          <w:tab w:leader="none" w:pos="28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folowing table presents (in millions of Soles) the distribution of the external revenue, operating revenue and non-current assets of the Group; all assigned based on the loacation of the clients and assets, respectively, at December 31, 2016, 2015 and 2014:</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2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At December 31, 2016</w:t>
            </w: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At December 31, 2015</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At December 31, 2014</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w:t>
            </w:r>
          </w:p>
        </w:tc>
        <w:tc>
          <w:tcPr>
            <w:tcW w:w="8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Operating</w:t>
            </w:r>
          </w:p>
        </w:tc>
        <w:tc>
          <w:tcPr>
            <w:tcW w:w="90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Total non</w:t>
            </w:r>
          </w:p>
        </w:tc>
        <w:tc>
          <w:tcPr>
            <w:tcW w:w="7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8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Operating</w:t>
            </w:r>
          </w:p>
        </w:tc>
        <w:tc>
          <w:tcPr>
            <w:tcW w:w="840" w:type="dxa"/>
            <w:vAlign w:val="bottom"/>
            <w:gridSpan w:val="3"/>
          </w:tcPr>
          <w:p>
            <w:pPr>
              <w:ind w:left="100"/>
              <w:spacing w:after="0" w:line="105" w:lineRule="exact"/>
              <w:rPr>
                <w:sz w:val="20"/>
                <w:szCs w:val="20"/>
                <w:color w:val="auto"/>
              </w:rPr>
            </w:pPr>
            <w:r>
              <w:rPr>
                <w:rFonts w:ascii="Arial" w:cs="Arial" w:eastAsia="Arial" w:hAnsi="Arial"/>
                <w:sz w:val="12"/>
                <w:szCs w:val="12"/>
                <w:b w:val="1"/>
                <w:bCs w:val="1"/>
                <w:color w:val="auto"/>
              </w:rPr>
              <w:t>Total non</w:t>
            </w:r>
          </w:p>
        </w:tc>
        <w:tc>
          <w:tcPr>
            <w:tcW w:w="7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8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Operating</w:t>
            </w:r>
          </w:p>
        </w:tc>
        <w:tc>
          <w:tcPr>
            <w:tcW w:w="940" w:type="dxa"/>
            <w:vAlign w:val="bottom"/>
            <w:gridSpan w:val="3"/>
          </w:tcPr>
          <w:p>
            <w:pPr>
              <w:ind w:left="120"/>
              <w:spacing w:after="0" w:line="105" w:lineRule="exact"/>
              <w:rPr>
                <w:sz w:val="20"/>
                <w:szCs w:val="20"/>
                <w:color w:val="auto"/>
              </w:rPr>
            </w:pPr>
            <w:r>
              <w:rPr>
                <w:rFonts w:ascii="Arial" w:cs="Arial" w:eastAsia="Arial" w:hAnsi="Arial"/>
                <w:sz w:val="12"/>
                <w:szCs w:val="12"/>
                <w:b w:val="1"/>
                <w:bCs w:val="1"/>
                <w:color w:val="auto"/>
              </w:rPr>
              <w:t>Total non</w:t>
            </w:r>
          </w:p>
        </w:tc>
        <w:tc>
          <w:tcPr>
            <w:tcW w:w="6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w w:val="98"/>
              </w:rPr>
              <w:t>current assets</w:t>
            </w:r>
          </w:p>
        </w:tc>
        <w:tc>
          <w:tcPr>
            <w:tcW w:w="780" w:type="dxa"/>
            <w:vAlign w:val="bottom"/>
            <w:gridSpan w:val="3"/>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40" w:type="dxa"/>
            <w:vAlign w:val="bottom"/>
            <w:gridSpan w:val="3"/>
          </w:tcPr>
          <w:p>
            <w:pPr>
              <w:ind w:left="100"/>
              <w:spacing w:after="0" w:line="133" w:lineRule="exact"/>
              <w:rPr>
                <w:sz w:val="20"/>
                <w:szCs w:val="20"/>
                <w:color w:val="auto"/>
              </w:rPr>
            </w:pPr>
            <w:r>
              <w:rPr>
                <w:rFonts w:ascii="Arial" w:cs="Arial" w:eastAsia="Arial" w:hAnsi="Arial"/>
                <w:sz w:val="13"/>
                <w:szCs w:val="13"/>
                <w:b w:val="1"/>
                <w:bCs w:val="1"/>
                <w:color w:val="auto"/>
              </w:rPr>
              <w:t>current</w:t>
            </w:r>
          </w:p>
        </w:tc>
        <w:tc>
          <w:tcPr>
            <w:tcW w:w="780" w:type="dxa"/>
            <w:vAlign w:val="bottom"/>
            <w:gridSpan w:val="3"/>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40" w:type="dxa"/>
            <w:vAlign w:val="bottom"/>
            <w:gridSpan w:val="3"/>
          </w:tcPr>
          <w:p>
            <w:pPr>
              <w:ind w:left="120"/>
              <w:spacing w:after="0" w:line="133" w:lineRule="exact"/>
              <w:rPr>
                <w:sz w:val="20"/>
                <w:szCs w:val="20"/>
                <w:color w:val="auto"/>
              </w:rPr>
            </w:pPr>
            <w:r>
              <w:rPr>
                <w:rFonts w:ascii="Arial" w:cs="Arial" w:eastAsia="Arial" w:hAnsi="Arial"/>
                <w:sz w:val="13"/>
                <w:szCs w:val="13"/>
                <w:b w:val="1"/>
                <w:bCs w:val="1"/>
                <w:color w:val="auto"/>
              </w:rPr>
              <w:t>current</w:t>
            </w: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income (*)</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income (**)</w:t>
            </w:r>
          </w:p>
        </w:tc>
        <w:tc>
          <w:tcPr>
            <w:tcW w:w="780" w:type="dxa"/>
            <w:vAlign w:val="bottom"/>
          </w:tcPr>
          <w:p>
            <w:pP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780" w:type="dxa"/>
            <w:vAlign w:val="bottom"/>
            <w:gridSpan w:val="3"/>
          </w:tcPr>
          <w:p>
            <w:pPr>
              <w:ind w:left="80"/>
              <w:spacing w:after="0"/>
              <w:rPr>
                <w:sz w:val="20"/>
                <w:szCs w:val="20"/>
                <w:color w:val="auto"/>
              </w:rPr>
            </w:pPr>
            <w:r>
              <w:rPr>
                <w:rFonts w:ascii="Arial" w:cs="Arial" w:eastAsia="Arial" w:hAnsi="Arial"/>
                <w:sz w:val="13"/>
                <w:szCs w:val="13"/>
                <w:b w:val="1"/>
                <w:bCs w:val="1"/>
                <w:color w:val="auto"/>
              </w:rPr>
              <w:t>liabilities</w:t>
            </w:r>
          </w:p>
        </w:tc>
        <w:tc>
          <w:tcPr>
            <w:tcW w:w="860" w:type="dxa"/>
            <w:vAlign w:val="bottom"/>
            <w:gridSpan w:val="3"/>
          </w:tcPr>
          <w:p>
            <w:pPr>
              <w:ind w:left="80"/>
              <w:spacing w:after="0"/>
              <w:rPr>
                <w:sz w:val="20"/>
                <w:szCs w:val="20"/>
                <w:color w:val="auto"/>
              </w:rPr>
            </w:pPr>
            <w:r>
              <w:rPr>
                <w:rFonts w:ascii="Arial" w:cs="Arial" w:eastAsia="Arial" w:hAnsi="Arial"/>
                <w:sz w:val="13"/>
                <w:szCs w:val="13"/>
                <w:b w:val="1"/>
                <w:bCs w:val="1"/>
                <w:color w:val="auto"/>
              </w:rPr>
              <w:t>income (*)</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income (**)</w:t>
            </w:r>
          </w:p>
        </w:tc>
        <w:tc>
          <w:tcPr>
            <w:tcW w:w="840" w:type="dxa"/>
            <w:vAlign w:val="bottom"/>
            <w:gridSpan w:val="3"/>
          </w:tcPr>
          <w:p>
            <w:pPr>
              <w:ind w:left="100"/>
              <w:spacing w:after="0"/>
              <w:rPr>
                <w:sz w:val="20"/>
                <w:szCs w:val="20"/>
                <w:color w:val="auto"/>
              </w:rPr>
            </w:pPr>
            <w:r>
              <w:rPr>
                <w:rFonts w:ascii="Arial" w:cs="Arial" w:eastAsia="Arial" w:hAnsi="Arial"/>
                <w:sz w:val="13"/>
                <w:szCs w:val="13"/>
                <w:b w:val="1"/>
                <w:bCs w:val="1"/>
                <w:color w:val="auto"/>
              </w:rPr>
              <w:t>assets (***)</w:t>
            </w:r>
          </w:p>
        </w:tc>
        <w:tc>
          <w:tcPr>
            <w:tcW w:w="780" w:type="dxa"/>
            <w:vAlign w:val="bottom"/>
            <w:gridSpan w:val="3"/>
          </w:tcPr>
          <w:p>
            <w:pPr>
              <w:ind w:left="80"/>
              <w:spacing w:after="0"/>
              <w:rPr>
                <w:sz w:val="20"/>
                <w:szCs w:val="20"/>
                <w:color w:val="auto"/>
              </w:rPr>
            </w:pPr>
            <w:r>
              <w:rPr>
                <w:rFonts w:ascii="Arial" w:cs="Arial" w:eastAsia="Arial" w:hAnsi="Arial"/>
                <w:sz w:val="13"/>
                <w:szCs w:val="13"/>
                <w:b w:val="1"/>
                <w:bCs w:val="1"/>
                <w:color w:val="auto"/>
              </w:rPr>
              <w:t>liabilities</w:t>
            </w:r>
          </w:p>
        </w:tc>
        <w:tc>
          <w:tcPr>
            <w:tcW w:w="860" w:type="dxa"/>
            <w:vAlign w:val="bottom"/>
            <w:gridSpan w:val="3"/>
          </w:tcPr>
          <w:p>
            <w:pPr>
              <w:ind w:left="80"/>
              <w:spacing w:after="0"/>
              <w:rPr>
                <w:sz w:val="20"/>
                <w:szCs w:val="20"/>
                <w:color w:val="auto"/>
              </w:rPr>
            </w:pPr>
            <w:r>
              <w:rPr>
                <w:rFonts w:ascii="Arial" w:cs="Arial" w:eastAsia="Arial" w:hAnsi="Arial"/>
                <w:sz w:val="13"/>
                <w:szCs w:val="13"/>
                <w:b w:val="1"/>
                <w:bCs w:val="1"/>
                <w:color w:val="auto"/>
              </w:rPr>
              <w:t>income (*)</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income (**)</w:t>
            </w:r>
          </w:p>
        </w:tc>
        <w:tc>
          <w:tcPr>
            <w:tcW w:w="940" w:type="dxa"/>
            <w:vAlign w:val="bottom"/>
            <w:gridSpan w:val="3"/>
          </w:tcPr>
          <w:p>
            <w:pPr>
              <w:ind w:left="120"/>
              <w:spacing w:after="0"/>
              <w:rPr>
                <w:sz w:val="20"/>
                <w:szCs w:val="20"/>
                <w:color w:val="auto"/>
              </w:rPr>
            </w:pPr>
            <w:r>
              <w:rPr>
                <w:rFonts w:ascii="Arial" w:cs="Arial" w:eastAsia="Arial" w:hAnsi="Arial"/>
                <w:sz w:val="13"/>
                <w:szCs w:val="13"/>
                <w:b w:val="1"/>
                <w:bCs w:val="1"/>
                <w:color w:val="auto"/>
              </w:rPr>
              <w:t>assets (***)</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Perú</w:t>
            </w:r>
          </w:p>
        </w:tc>
        <w:tc>
          <w:tcPr>
            <w:tcW w:w="7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15,801</w:t>
            </w:r>
          </w:p>
        </w:tc>
        <w:tc>
          <w:tcPr>
            <w:tcW w:w="84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8,180</w:t>
            </w:r>
          </w:p>
        </w:tc>
        <w:tc>
          <w:tcPr>
            <w:tcW w:w="9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3,368</w:t>
            </w:r>
          </w:p>
        </w:tc>
        <w:tc>
          <w:tcPr>
            <w:tcW w:w="78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123,684</w:t>
            </w:r>
          </w:p>
        </w:tc>
        <w:tc>
          <w:tcPr>
            <w:tcW w:w="86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14,091</w:t>
            </w:r>
          </w:p>
        </w:tc>
        <w:tc>
          <w:tcPr>
            <w:tcW w:w="7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7,615</w:t>
            </w:r>
          </w:p>
        </w:tc>
        <w:tc>
          <w:tcPr>
            <w:tcW w:w="84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3,183</w:t>
            </w:r>
          </w:p>
        </w:tc>
        <w:tc>
          <w:tcPr>
            <w:tcW w:w="78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126,759</w:t>
            </w:r>
          </w:p>
        </w:tc>
        <w:tc>
          <w:tcPr>
            <w:tcW w:w="86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13,331</w:t>
            </w:r>
          </w:p>
        </w:tc>
        <w:tc>
          <w:tcPr>
            <w:tcW w:w="7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6,596</w:t>
            </w:r>
          </w:p>
        </w:tc>
        <w:tc>
          <w:tcPr>
            <w:tcW w:w="9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3,607</w:t>
            </w:r>
          </w:p>
        </w:tc>
        <w:tc>
          <w:tcPr>
            <w:tcW w:w="68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109,952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line="133" w:lineRule="exact"/>
              <w:rPr>
                <w:sz w:val="20"/>
                <w:szCs w:val="20"/>
                <w:color w:val="auto"/>
              </w:rPr>
            </w:pPr>
            <w:r>
              <w:rPr>
                <w:rFonts w:ascii="Arial" w:cs="Arial" w:eastAsia="Arial" w:hAnsi="Arial"/>
                <w:sz w:val="13"/>
                <w:szCs w:val="13"/>
                <w:color w:val="auto"/>
              </w:rPr>
              <w:t>Panama</w:t>
            </w:r>
          </w:p>
        </w:tc>
        <w:tc>
          <w:tcPr>
            <w:tcW w:w="580" w:type="dxa"/>
            <w:vAlign w:val="bottom"/>
          </w:tcPr>
          <w:p>
            <w:pPr>
              <w:jc w:val="right"/>
              <w:spacing w:after="0" w:line="133" w:lineRule="exact"/>
              <w:rPr>
                <w:sz w:val="20"/>
                <w:szCs w:val="20"/>
                <w:color w:val="auto"/>
              </w:rPr>
            </w:pPr>
            <w:r>
              <w:rPr>
                <w:rFonts w:ascii="Arial" w:cs="Arial" w:eastAsia="Arial" w:hAnsi="Arial"/>
                <w:sz w:val="13"/>
                <w:szCs w:val="13"/>
                <w:color w:val="auto"/>
              </w:rPr>
              <w:t>427</w:t>
            </w:r>
          </w:p>
        </w:tc>
        <w:tc>
          <w:tcPr>
            <w:tcW w:w="20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3"/>
                <w:szCs w:val="13"/>
                <w:color w:val="auto"/>
              </w:rPr>
              <w:t>147</w:t>
            </w:r>
          </w:p>
        </w:tc>
        <w:tc>
          <w:tcPr>
            <w:tcW w:w="2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78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5,943</w:t>
            </w:r>
          </w:p>
        </w:tc>
        <w:tc>
          <w:tcPr>
            <w:tcW w:w="86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761</w:t>
            </w:r>
          </w:p>
        </w:tc>
        <w:tc>
          <w:tcPr>
            <w:tcW w:w="760" w:type="dxa"/>
            <w:vAlign w:val="bottom"/>
            <w:gridSpan w:val="2"/>
          </w:tcPr>
          <w:p>
            <w:pPr>
              <w:jc w:val="right"/>
              <w:ind w:right="120"/>
              <w:spacing w:after="0" w:line="133" w:lineRule="exact"/>
              <w:rPr>
                <w:sz w:val="20"/>
                <w:szCs w:val="20"/>
                <w:color w:val="auto"/>
              </w:rPr>
            </w:pPr>
            <w:r>
              <w:rPr>
                <w:rFonts w:ascii="Arial" w:cs="Arial" w:eastAsia="Arial" w:hAnsi="Arial"/>
                <w:sz w:val="13"/>
                <w:szCs w:val="13"/>
                <w:color w:val="auto"/>
              </w:rPr>
              <w:t>38</w:t>
            </w:r>
          </w:p>
        </w:tc>
        <w:tc>
          <w:tcPr>
            <w:tcW w:w="84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6,128</w:t>
            </w:r>
          </w:p>
        </w:tc>
        <w:tc>
          <w:tcPr>
            <w:tcW w:w="86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666</w:t>
            </w:r>
          </w:p>
        </w:tc>
        <w:tc>
          <w:tcPr>
            <w:tcW w:w="74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109</w:t>
            </w:r>
          </w:p>
        </w:tc>
        <w:tc>
          <w:tcPr>
            <w:tcW w:w="94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120"/>
              <w:spacing w:after="0" w:line="133" w:lineRule="exact"/>
              <w:rPr>
                <w:sz w:val="20"/>
                <w:szCs w:val="20"/>
                <w:color w:val="auto"/>
              </w:rPr>
            </w:pPr>
            <w:r>
              <w:rPr>
                <w:rFonts w:ascii="Arial" w:cs="Arial" w:eastAsia="Arial" w:hAnsi="Arial"/>
                <w:sz w:val="13"/>
                <w:szCs w:val="13"/>
                <w:color w:val="auto"/>
              </w:rPr>
              <w:t>5,233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Cayman Islands</w:t>
            </w: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143</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27</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1,371</w:t>
            </w:r>
          </w:p>
        </w:tc>
        <w:tc>
          <w:tcPr>
            <w:tcW w:w="86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490</w:t>
            </w:r>
          </w:p>
        </w:tc>
        <w:tc>
          <w:tcPr>
            <w:tcW w:w="7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130</w:t>
            </w:r>
          </w:p>
        </w:tc>
        <w:tc>
          <w:tcPr>
            <w:tcW w:w="84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5</w:t>
            </w:r>
          </w:p>
        </w:tc>
        <w:tc>
          <w:tcPr>
            <w:tcW w:w="78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3,019</w:t>
            </w:r>
          </w:p>
        </w:tc>
        <w:tc>
          <w:tcPr>
            <w:tcW w:w="86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304</w:t>
            </w:r>
          </w:p>
        </w:tc>
        <w:tc>
          <w:tcPr>
            <w:tcW w:w="7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116</w:t>
            </w:r>
          </w:p>
        </w:tc>
        <w:tc>
          <w:tcPr>
            <w:tcW w:w="9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6</w:t>
            </w:r>
          </w:p>
        </w:tc>
        <w:tc>
          <w:tcPr>
            <w:tcW w:w="68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2,617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line="133" w:lineRule="exact"/>
              <w:rPr>
                <w:sz w:val="20"/>
                <w:szCs w:val="20"/>
                <w:color w:val="auto"/>
              </w:rPr>
            </w:pPr>
            <w:r>
              <w:rPr>
                <w:rFonts w:ascii="Arial" w:cs="Arial" w:eastAsia="Arial" w:hAnsi="Arial"/>
                <w:sz w:val="13"/>
                <w:szCs w:val="13"/>
                <w:color w:val="auto"/>
              </w:rPr>
              <w:t>Bolivia</w:t>
            </w:r>
          </w:p>
        </w:tc>
        <w:tc>
          <w:tcPr>
            <w:tcW w:w="580" w:type="dxa"/>
            <w:vAlign w:val="bottom"/>
          </w:tcPr>
          <w:p>
            <w:pPr>
              <w:jc w:val="right"/>
              <w:spacing w:after="0" w:line="133" w:lineRule="exact"/>
              <w:rPr>
                <w:sz w:val="20"/>
                <w:szCs w:val="20"/>
                <w:color w:val="auto"/>
              </w:rPr>
            </w:pPr>
            <w:r>
              <w:rPr>
                <w:rFonts w:ascii="Arial" w:cs="Arial" w:eastAsia="Arial" w:hAnsi="Arial"/>
                <w:sz w:val="13"/>
                <w:szCs w:val="13"/>
                <w:color w:val="auto"/>
              </w:rPr>
              <w:t>712</w:t>
            </w:r>
          </w:p>
        </w:tc>
        <w:tc>
          <w:tcPr>
            <w:tcW w:w="20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3"/>
                <w:szCs w:val="13"/>
                <w:color w:val="auto"/>
              </w:rPr>
              <w:t>300</w:t>
            </w:r>
          </w:p>
        </w:tc>
        <w:tc>
          <w:tcPr>
            <w:tcW w:w="2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3"/>
                <w:szCs w:val="13"/>
                <w:color w:val="auto"/>
              </w:rPr>
              <w:t>85</w:t>
            </w:r>
          </w:p>
        </w:tc>
        <w:tc>
          <w:tcPr>
            <w:tcW w:w="120" w:type="dxa"/>
            <w:vAlign w:val="bottom"/>
          </w:tcPr>
          <w:p>
            <w:pPr>
              <w:spacing w:after="0"/>
              <w:rPr>
                <w:sz w:val="11"/>
                <w:szCs w:val="11"/>
                <w:color w:val="auto"/>
              </w:rPr>
            </w:pPr>
          </w:p>
        </w:tc>
        <w:tc>
          <w:tcPr>
            <w:tcW w:w="78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7,401</w:t>
            </w:r>
          </w:p>
        </w:tc>
        <w:tc>
          <w:tcPr>
            <w:tcW w:w="86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487</w:t>
            </w:r>
          </w:p>
        </w:tc>
        <w:tc>
          <w:tcPr>
            <w:tcW w:w="760" w:type="dxa"/>
            <w:vAlign w:val="bottom"/>
            <w:gridSpan w:val="2"/>
          </w:tcPr>
          <w:p>
            <w:pPr>
              <w:jc w:val="right"/>
              <w:ind w:right="120"/>
              <w:spacing w:after="0" w:line="133" w:lineRule="exact"/>
              <w:rPr>
                <w:sz w:val="20"/>
                <w:szCs w:val="20"/>
                <w:color w:val="auto"/>
              </w:rPr>
            </w:pPr>
            <w:r>
              <w:rPr>
                <w:rFonts w:ascii="Arial" w:cs="Arial" w:eastAsia="Arial" w:hAnsi="Arial"/>
                <w:sz w:val="13"/>
                <w:szCs w:val="13"/>
                <w:color w:val="auto"/>
              </w:rPr>
              <w:t>267</w:t>
            </w:r>
          </w:p>
        </w:tc>
        <w:tc>
          <w:tcPr>
            <w:tcW w:w="84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84</w:t>
            </w:r>
          </w:p>
        </w:tc>
        <w:tc>
          <w:tcPr>
            <w:tcW w:w="78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6,693</w:t>
            </w:r>
          </w:p>
        </w:tc>
        <w:tc>
          <w:tcPr>
            <w:tcW w:w="86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414</w:t>
            </w:r>
          </w:p>
        </w:tc>
        <w:tc>
          <w:tcPr>
            <w:tcW w:w="74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214</w:t>
            </w:r>
          </w:p>
        </w:tc>
        <w:tc>
          <w:tcPr>
            <w:tcW w:w="94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74</w:t>
            </w:r>
          </w:p>
        </w:tc>
        <w:tc>
          <w:tcPr>
            <w:tcW w:w="680" w:type="dxa"/>
            <w:vAlign w:val="bottom"/>
            <w:gridSpan w:val="3"/>
          </w:tcPr>
          <w:p>
            <w:pPr>
              <w:jc w:val="right"/>
              <w:ind w:right="120"/>
              <w:spacing w:after="0" w:line="133" w:lineRule="exact"/>
              <w:rPr>
                <w:sz w:val="20"/>
                <w:szCs w:val="20"/>
                <w:color w:val="auto"/>
              </w:rPr>
            </w:pPr>
            <w:r>
              <w:rPr>
                <w:rFonts w:ascii="Arial" w:cs="Arial" w:eastAsia="Arial" w:hAnsi="Arial"/>
                <w:sz w:val="13"/>
                <w:szCs w:val="13"/>
                <w:color w:val="auto"/>
              </w:rPr>
              <w:t>4,765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Colombia</w:t>
            </w: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36</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17</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1,397</w:t>
            </w:r>
          </w:p>
        </w:tc>
        <w:tc>
          <w:tcPr>
            <w:tcW w:w="86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219</w:t>
            </w:r>
          </w:p>
        </w:tc>
        <w:tc>
          <w:tcPr>
            <w:tcW w:w="7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12</w:t>
            </w:r>
          </w:p>
        </w:tc>
        <w:tc>
          <w:tcPr>
            <w:tcW w:w="84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175</w:t>
            </w:r>
          </w:p>
        </w:tc>
        <w:tc>
          <w:tcPr>
            <w:tcW w:w="78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1,500</w:t>
            </w:r>
          </w:p>
        </w:tc>
        <w:tc>
          <w:tcPr>
            <w:tcW w:w="86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232</w:t>
            </w:r>
          </w:p>
        </w:tc>
        <w:tc>
          <w:tcPr>
            <w:tcW w:w="7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203</w:t>
            </w:r>
          </w:p>
        </w:tc>
        <w:tc>
          <w:tcPr>
            <w:tcW w:w="68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1,801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line="133" w:lineRule="exact"/>
              <w:rPr>
                <w:sz w:val="20"/>
                <w:szCs w:val="20"/>
                <w:color w:val="auto"/>
              </w:rPr>
            </w:pPr>
            <w:r>
              <w:rPr>
                <w:rFonts w:ascii="Arial" w:cs="Arial" w:eastAsia="Arial" w:hAnsi="Arial"/>
                <w:sz w:val="13"/>
                <w:szCs w:val="13"/>
                <w:color w:val="auto"/>
              </w:rPr>
              <w:t>United States of America</w:t>
            </w:r>
          </w:p>
        </w:tc>
        <w:tc>
          <w:tcPr>
            <w:tcW w:w="5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2</w:t>
            </w:r>
          </w:p>
        </w:tc>
        <w:tc>
          <w:tcPr>
            <w:tcW w:w="86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32</w:t>
            </w:r>
          </w:p>
        </w:tc>
        <w:tc>
          <w:tcPr>
            <w:tcW w:w="760" w:type="dxa"/>
            <w:vAlign w:val="bottom"/>
            <w:gridSpan w:val="2"/>
          </w:tcPr>
          <w:p>
            <w:pPr>
              <w:jc w:val="right"/>
              <w:ind w:right="120"/>
              <w:spacing w:after="0" w:line="133" w:lineRule="exact"/>
              <w:rPr>
                <w:sz w:val="20"/>
                <w:szCs w:val="20"/>
                <w:color w:val="auto"/>
              </w:rPr>
            </w:pPr>
            <w:r>
              <w:rPr>
                <w:rFonts w:ascii="Arial" w:cs="Arial" w:eastAsia="Arial" w:hAnsi="Arial"/>
                <w:sz w:val="13"/>
                <w:szCs w:val="13"/>
                <w:color w:val="auto"/>
              </w:rPr>
              <w:t>17</w:t>
            </w:r>
          </w:p>
        </w:tc>
        <w:tc>
          <w:tcPr>
            <w:tcW w:w="84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3</w:t>
            </w:r>
          </w:p>
        </w:tc>
        <w:tc>
          <w:tcPr>
            <w:tcW w:w="86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25</w:t>
            </w:r>
          </w:p>
        </w:tc>
        <w:tc>
          <w:tcPr>
            <w:tcW w:w="74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16</w:t>
            </w:r>
          </w:p>
        </w:tc>
        <w:tc>
          <w:tcPr>
            <w:tcW w:w="940" w:type="dxa"/>
            <w:vAlign w:val="bottom"/>
            <w:gridSpan w:val="3"/>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120"/>
              <w:spacing w:after="0" w:line="13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Chile</w:t>
            </w: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5</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(4)</w:t>
            </w: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99</w:t>
            </w: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914</w:t>
            </w:r>
          </w:p>
        </w:tc>
        <w:tc>
          <w:tcPr>
            <w:tcW w:w="86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(132)</w:t>
            </w:r>
          </w:p>
        </w:tc>
        <w:tc>
          <w:tcPr>
            <w:tcW w:w="7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(12)</w:t>
            </w:r>
          </w:p>
        </w:tc>
        <w:tc>
          <w:tcPr>
            <w:tcW w:w="84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142</w:t>
            </w:r>
          </w:p>
        </w:tc>
        <w:tc>
          <w:tcPr>
            <w:tcW w:w="78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541</w:t>
            </w:r>
          </w:p>
        </w:tc>
        <w:tc>
          <w:tcPr>
            <w:tcW w:w="86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49</w:t>
            </w:r>
          </w:p>
        </w:tc>
        <w:tc>
          <w:tcPr>
            <w:tcW w:w="7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25</w:t>
            </w:r>
          </w:p>
        </w:tc>
        <w:tc>
          <w:tcPr>
            <w:tcW w:w="9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243</w:t>
            </w:r>
          </w:p>
        </w:tc>
        <w:tc>
          <w:tcPr>
            <w:tcW w:w="68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684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60" w:type="dxa"/>
            <w:vAlign w:val="bottom"/>
          </w:tcPr>
          <w:p>
            <w:pPr>
              <w:spacing w:after="0" w:line="145" w:lineRule="exact"/>
              <w:rPr>
                <w:sz w:val="20"/>
                <w:szCs w:val="20"/>
                <w:color w:val="auto"/>
              </w:rPr>
            </w:pPr>
            <w:r>
              <w:rPr>
                <w:rFonts w:ascii="Arial" w:cs="Arial" w:eastAsia="Arial" w:hAnsi="Arial"/>
                <w:sz w:val="13"/>
                <w:szCs w:val="13"/>
                <w:color w:val="auto"/>
              </w:rPr>
              <w:t>Total elimination</w:t>
            </w:r>
          </w:p>
        </w:tc>
        <w:tc>
          <w:tcPr>
            <w:tcW w:w="7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(305)</w:t>
            </w:r>
          </w:p>
        </w:tc>
        <w:tc>
          <w:tcPr>
            <w:tcW w:w="8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(64)</w:t>
            </w:r>
          </w:p>
        </w:tc>
        <w:tc>
          <w:tcPr>
            <w:tcW w:w="9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(156)</w:t>
            </w:r>
          </w:p>
        </w:tc>
        <w:tc>
          <w:tcPr>
            <w:tcW w:w="7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(4,393)</w:t>
            </w:r>
          </w:p>
        </w:tc>
        <w:tc>
          <w:tcPr>
            <w:tcW w:w="86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(230)</w:t>
            </w:r>
          </w:p>
        </w:tc>
        <w:tc>
          <w:tcPr>
            <w:tcW w:w="76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100</w:t>
            </w:r>
          </w:p>
        </w:tc>
        <w:tc>
          <w:tcPr>
            <w:tcW w:w="84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(17)</w:t>
            </w:r>
          </w:p>
        </w:tc>
        <w:tc>
          <w:tcPr>
            <w:tcW w:w="78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(5,890)</w:t>
            </w:r>
          </w:p>
        </w:tc>
        <w:tc>
          <w:tcPr>
            <w:tcW w:w="86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(395)</w:t>
            </w:r>
          </w:p>
        </w:tc>
        <w:tc>
          <w:tcPr>
            <w:tcW w:w="74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97</w:t>
            </w:r>
          </w:p>
        </w:tc>
        <w:tc>
          <w:tcPr>
            <w:tcW w:w="94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(18)</w:t>
            </w:r>
          </w:p>
        </w:tc>
        <w:tc>
          <w:tcPr>
            <w:tcW w:w="6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(4,846)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66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3"/>
                <w:szCs w:val="13"/>
                <w:b w:val="1"/>
                <w:bCs w:val="1"/>
                <w:color w:val="auto"/>
              </w:rPr>
              <w:t>Total consolidado</w:t>
            </w:r>
          </w:p>
        </w:tc>
        <w:tc>
          <w:tcPr>
            <w:tcW w:w="5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16,819</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8,603</w:t>
            </w:r>
          </w:p>
        </w:tc>
        <w:tc>
          <w:tcPr>
            <w:tcW w:w="2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3,512</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136,319</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15,718</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8,167</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3,572</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138,753</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14,626</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7,173</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4,115</w:t>
            </w: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120,208</w:t>
            </w: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83" w:hanging="483"/>
        <w:spacing w:after="0"/>
        <w:tabs>
          <w:tab w:leader="none" w:pos="48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Including total interest and similar income, other income and net premiums earned from insurance activities.</w:t>
      </w:r>
    </w:p>
    <w:p>
      <w:pPr>
        <w:spacing w:after="0" w:line="22" w:lineRule="exact"/>
        <w:rPr>
          <w:sz w:val="20"/>
          <w:szCs w:val="20"/>
          <w:color w:val="auto"/>
        </w:rPr>
      </w:pPr>
    </w:p>
    <w:p>
      <w:pPr>
        <w:ind w:left="483" w:hanging="483"/>
        <w:spacing w:after="0"/>
        <w:tabs>
          <w:tab w:leader="none" w:pos="4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Operating income includes the net interest income from banking activities and the amount of the net premiums earned, less insurance claims.</w:t>
      </w:r>
    </w:p>
    <w:p>
      <w:pPr>
        <w:spacing w:after="0" w:line="9" w:lineRule="exact"/>
        <w:rPr>
          <w:sz w:val="20"/>
          <w:szCs w:val="20"/>
          <w:color w:val="auto"/>
        </w:rPr>
      </w:pPr>
    </w:p>
    <w:p>
      <w:pPr>
        <w:ind w:left="483" w:hanging="483"/>
        <w:spacing w:after="0"/>
        <w:tabs>
          <w:tab w:leader="none" w:pos="48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Non-current assets consist of property, furniture and equipment, intangible assets, and goodwill, net.</w:t>
      </w:r>
    </w:p>
    <w:p>
      <w:pPr>
        <w:spacing w:after="0" w:line="384" w:lineRule="exact"/>
        <w:rPr>
          <w:rFonts w:ascii="Arial" w:cs="Arial" w:eastAsia="Arial" w:hAnsi="Arial"/>
          <w:sz w:val="16"/>
          <w:szCs w:val="16"/>
          <w:color w:val="auto"/>
        </w:rPr>
      </w:pPr>
    </w:p>
    <w:p>
      <w:pPr>
        <w:ind w:left="5603" w:hanging="95"/>
        <w:spacing w:after="0"/>
        <w:tabs>
          <w:tab w:leader="none" w:pos="5603" w:val="left"/>
        </w:tabs>
        <w:numPr>
          <w:ilvl w:val="1"/>
          <w:numId w:val="118"/>
        </w:numPr>
        <w:rPr>
          <w:rFonts w:ascii="Arial" w:cs="Arial" w:eastAsia="Arial" w:hAnsi="Arial"/>
          <w:sz w:val="16"/>
          <w:szCs w:val="16"/>
          <w:color w:val="auto"/>
        </w:rPr>
      </w:pPr>
      <w:r>
        <w:rPr>
          <w:rFonts w:ascii="Arial" w:cs="Arial" w:eastAsia="Arial" w:hAnsi="Arial"/>
          <w:sz w:val="16"/>
          <w:szCs w:val="16"/>
          <w:color w:val="auto"/>
        </w:rPr>
        <w:t>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8" w:right="219" w:bottom="1440" w:gutter="0" w:footer="0" w:header="0"/>
        </w:sectPr>
      </w:pPr>
    </w:p>
    <w:bookmarkStart w:id="112" w:name="page113"/>
    <w:bookmarkEnd w:id="112"/>
    <w:p>
      <w:pPr>
        <w:spacing w:after="0"/>
        <w:tabs>
          <w:tab w:leader="none" w:pos="560"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6"/>
          <w:szCs w:val="16"/>
          <w:b w:val="1"/>
          <w:bCs w:val="1"/>
          <w:color w:val="auto"/>
        </w:rPr>
        <w:t>SUBSIDIARIES WITH MATERIAL NON-CONTROLLING INTEREST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information of subsidiaries that have material non-controlling interest.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20" w:type="dxa"/>
            <w:vAlign w:val="bottom"/>
            <w:gridSpan w:val="3"/>
          </w:tcPr>
          <w:p>
            <w:pPr>
              <w:spacing w:after="0"/>
              <w:rPr>
                <w:sz w:val="20"/>
                <w:szCs w:val="20"/>
                <w:color w:val="auto"/>
              </w:rPr>
            </w:pPr>
            <w:r>
              <w:rPr>
                <w:rFonts w:ascii="Arial" w:cs="Arial" w:eastAsia="Arial" w:hAnsi="Arial"/>
                <w:sz w:val="16"/>
                <w:szCs w:val="16"/>
                <w:color w:val="auto"/>
              </w:rPr>
              <w:t>Proportion of equity interest held by non-controlling interests:</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6"/>
                <w:szCs w:val="16"/>
                <w:b w:val="1"/>
                <w:bCs w:val="1"/>
                <w:color w:val="auto"/>
              </w:rPr>
              <w:t>Country of</w:t>
            </w: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Arial" w:cs="Arial" w:eastAsia="Arial" w:hAnsi="Arial"/>
                <w:sz w:val="16"/>
                <w:szCs w:val="16"/>
                <w:b w:val="1"/>
                <w:bCs w:val="1"/>
                <w:color w:val="auto"/>
              </w:rPr>
              <w:t>incorporation</w:t>
            </w:r>
          </w:p>
        </w:tc>
        <w:tc>
          <w:tcPr>
            <w:tcW w:w="1260" w:type="dxa"/>
            <w:vAlign w:val="bottom"/>
          </w:tcPr>
          <w:p>
            <w:pPr>
              <w:spacing w:after="0"/>
              <w:rPr>
                <w:sz w:val="20"/>
                <w:szCs w:val="20"/>
                <w:color w:val="auto"/>
              </w:rPr>
            </w:pPr>
            <w:r>
              <w:rPr>
                <w:rFonts w:ascii="Arial" w:cs="Arial" w:eastAsia="Arial" w:hAnsi="Arial"/>
                <w:sz w:val="16"/>
                <w:szCs w:val="16"/>
                <w:b w:val="1"/>
                <w:bCs w:val="1"/>
                <w:color w:val="auto"/>
              </w:rPr>
              <w:t>Percentage</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Arial" w:cs="Arial" w:eastAsia="Arial" w:hAnsi="Arial"/>
                <w:sz w:val="16"/>
                <w:szCs w:val="16"/>
                <w:b w:val="1"/>
                <w:bCs w:val="1"/>
                <w:color w:val="auto"/>
              </w:rPr>
              <w:t>of interest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Arial" w:cs="Arial" w:eastAsia="Arial" w:hAnsi="Arial"/>
                <w:sz w:val="16"/>
                <w:szCs w:val="16"/>
                <w:b w:val="1"/>
                <w:bCs w:val="1"/>
                <w:color w:val="auto"/>
              </w:rPr>
              <w:t>and</w:t>
            </w:r>
          </w:p>
        </w:tc>
        <w:tc>
          <w:tcPr>
            <w:tcW w:w="1260" w:type="dxa"/>
            <w:vAlign w:val="bottom"/>
          </w:tcPr>
          <w:p>
            <w:pPr>
              <w:spacing w:after="0"/>
              <w:rPr>
                <w:sz w:val="20"/>
                <w:szCs w:val="20"/>
                <w:color w:val="auto"/>
              </w:rPr>
            </w:pPr>
            <w:r>
              <w:rPr>
                <w:rFonts w:ascii="Arial" w:cs="Arial" w:eastAsia="Arial" w:hAnsi="Arial"/>
                <w:sz w:val="16"/>
                <w:szCs w:val="16"/>
                <w:b w:val="1"/>
                <w:bCs w:val="1"/>
                <w:color w:val="auto"/>
              </w:rPr>
              <w:t>of interest</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Arial" w:cs="Arial" w:eastAsia="Arial" w:hAnsi="Arial"/>
                <w:sz w:val="16"/>
                <w:szCs w:val="16"/>
                <w:b w:val="1"/>
                <w:bCs w:val="1"/>
                <w:color w:val="auto"/>
              </w:rPr>
              <w:t>2015 and</w:t>
            </w:r>
          </w:p>
        </w:tc>
        <w:tc>
          <w:tcPr>
            <w:tcW w:w="0" w:type="dxa"/>
            <w:vAlign w:val="bottom"/>
          </w:tcPr>
          <w:p>
            <w:pPr>
              <w:spacing w:after="0"/>
              <w:rPr>
                <w:sz w:val="1"/>
                <w:szCs w:val="1"/>
                <w:color w:val="auto"/>
              </w:rPr>
            </w:pPr>
          </w:p>
        </w:tc>
      </w:tr>
      <w:tr>
        <w:trPr>
          <w:trHeight w:val="210"/>
        </w:trPr>
        <w:tc>
          <w:tcPr>
            <w:tcW w:w="5620" w:type="dxa"/>
            <w:vAlign w:val="bottom"/>
            <w:gridSpan w:val="3"/>
          </w:tcPr>
          <w:p>
            <w:pPr>
              <w:spacing w:after="0"/>
              <w:rPr>
                <w:sz w:val="20"/>
                <w:szCs w:val="20"/>
                <w:color w:val="auto"/>
              </w:rPr>
            </w:pPr>
            <w:r>
              <w:rPr>
                <w:rFonts w:ascii="Arial" w:cs="Arial" w:eastAsia="Arial" w:hAnsi="Arial"/>
                <w:sz w:val="16"/>
                <w:szCs w:val="16"/>
                <w:b w:val="1"/>
                <w:bCs w:val="1"/>
                <w:color w:val="auto"/>
              </w:rPr>
              <w:t>Entity</w:t>
            </w:r>
          </w:p>
        </w:tc>
        <w:tc>
          <w:tcPr>
            <w:tcW w:w="1840" w:type="dxa"/>
            <w:vAlign w:val="bottom"/>
            <w:gridSpan w:val="2"/>
          </w:tcPr>
          <w:p>
            <w:pPr>
              <w:spacing w:after="0"/>
              <w:rPr>
                <w:sz w:val="20"/>
                <w:szCs w:val="20"/>
                <w:color w:val="auto"/>
              </w:rPr>
            </w:pPr>
            <w:r>
              <w:rPr>
                <w:rFonts w:ascii="Arial" w:cs="Arial" w:eastAsia="Arial" w:hAnsi="Arial"/>
                <w:sz w:val="16"/>
                <w:szCs w:val="16"/>
                <w:b w:val="1"/>
                <w:bCs w:val="1"/>
                <w:color w:val="auto"/>
              </w:rPr>
              <w:t>operations</w:t>
            </w:r>
          </w:p>
        </w:tc>
        <w:tc>
          <w:tcPr>
            <w:tcW w:w="1260" w:type="dxa"/>
            <w:vAlign w:val="bottom"/>
          </w:tcPr>
          <w:p>
            <w:pPr>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Credicorp Capital Colombia</w:t>
            </w:r>
          </w:p>
        </w:tc>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Colombia</w:t>
            </w:r>
          </w:p>
        </w:tc>
        <w:tc>
          <w:tcPr>
            <w:tcW w:w="12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ind w:left="1460"/>
              <w:spacing w:after="0"/>
              <w:rPr>
                <w:sz w:val="20"/>
                <w:szCs w:val="20"/>
                <w:color w:val="auto"/>
              </w:rPr>
            </w:pPr>
            <w:r>
              <w:rPr>
                <w:rFonts w:ascii="Arial" w:cs="Arial" w:eastAsia="Arial" w:hAnsi="Arial"/>
                <w:sz w:val="16"/>
                <w:szCs w:val="16"/>
                <w:color w:val="auto"/>
              </w:rPr>
              <w:t>49.00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gridSpan w:val="2"/>
          </w:tcPr>
          <w:p>
            <w:pPr>
              <w:spacing w:after="0"/>
              <w:rPr>
                <w:sz w:val="20"/>
                <w:szCs w:val="20"/>
                <w:color w:val="auto"/>
              </w:rPr>
            </w:pPr>
            <w:r>
              <w:rPr>
                <w:rFonts w:ascii="Arial" w:cs="Arial" w:eastAsia="Arial" w:hAnsi="Arial"/>
                <w:sz w:val="16"/>
                <w:szCs w:val="16"/>
                <w:color w:val="auto"/>
              </w:rPr>
              <w:t>Inversiones IMT S.A.</w:t>
            </w:r>
          </w:p>
        </w:tc>
        <w:tc>
          <w:tcPr>
            <w:tcW w:w="1840" w:type="dxa"/>
            <w:vAlign w:val="bottom"/>
            <w:gridSpan w:val="2"/>
          </w:tcPr>
          <w:p>
            <w:pPr>
              <w:spacing w:after="0"/>
              <w:rPr>
                <w:sz w:val="20"/>
                <w:szCs w:val="20"/>
                <w:color w:val="auto"/>
              </w:rPr>
            </w:pPr>
            <w:r>
              <w:rPr>
                <w:rFonts w:ascii="Arial" w:cs="Arial" w:eastAsia="Arial" w:hAnsi="Arial"/>
                <w:sz w:val="16"/>
                <w:szCs w:val="16"/>
                <w:color w:val="auto"/>
              </w:rPr>
              <w:t>Chile</w:t>
            </w:r>
          </w:p>
        </w:tc>
        <w:tc>
          <w:tcPr>
            <w:tcW w:w="1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940" w:type="dxa"/>
            <w:vAlign w:val="bottom"/>
            <w:gridSpan w:val="2"/>
          </w:tcPr>
          <w:p>
            <w:pPr>
              <w:ind w:left="1460"/>
              <w:spacing w:after="0"/>
              <w:rPr>
                <w:sz w:val="20"/>
                <w:szCs w:val="20"/>
                <w:color w:val="auto"/>
              </w:rPr>
            </w:pPr>
            <w:r>
              <w:rPr>
                <w:rFonts w:ascii="Arial" w:cs="Arial" w:eastAsia="Arial" w:hAnsi="Arial"/>
                <w:sz w:val="16"/>
                <w:szCs w:val="16"/>
                <w:color w:val="auto"/>
              </w:rPr>
              <w:t>39.40</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financial information of these subsidiaries. This information is based on amounts before inter-company eliminations:</w:t>
      </w:r>
    </w:p>
    <w:p>
      <w:pPr>
        <w:spacing w:after="0" w:line="211" w:lineRule="exact"/>
        <w:rPr>
          <w:sz w:val="20"/>
          <w:szCs w:val="20"/>
          <w:color w:val="auto"/>
        </w:rPr>
      </w:pPr>
    </w:p>
    <w:tbl>
      <w:tblPr>
        <w:tblLayout w:type="fixed"/>
        <w:tblInd w:w="6520" w:type="dxa"/>
        <w:tblCellMar>
          <w:top w:w="0" w:type="dxa"/>
          <w:left w:w="0" w:type="dxa"/>
          <w:bottom w:w="0" w:type="dxa"/>
          <w:right w:w="0" w:type="dxa"/>
        </w:tblCellMar>
      </w:tblPr>
      <w:tr>
        <w:trPr>
          <w:trHeight w:val="210"/>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2016</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gridSpan w:val="3"/>
          </w:tcPr>
          <w:p>
            <w:pPr>
              <w:ind w:left="240"/>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top w:val="single" w:sz="8" w:color="auto"/>
            </w:tcBorders>
            <w:gridSpan w:val="3"/>
          </w:tcPr>
          <w:p>
            <w:pPr>
              <w:spacing w:after="0" w:line="169" w:lineRule="exact"/>
              <w:rPr>
                <w:sz w:val="20"/>
                <w:szCs w:val="20"/>
                <w:color w:val="auto"/>
              </w:rPr>
            </w:pPr>
            <w:r>
              <w:rPr>
                <w:rFonts w:ascii="Arial" w:cs="Arial" w:eastAsia="Arial" w:hAnsi="Arial"/>
                <w:sz w:val="16"/>
                <w:szCs w:val="16"/>
                <w:b w:val="1"/>
                <w:bCs w:val="1"/>
                <w:color w:val="auto"/>
              </w:rPr>
              <w:t>Credicorp</w:t>
            </w:r>
          </w:p>
        </w:tc>
        <w:tc>
          <w:tcPr>
            <w:tcW w:w="1020" w:type="dxa"/>
            <w:vAlign w:val="bottom"/>
            <w:tcBorders>
              <w:top w:val="single" w:sz="8" w:color="auto"/>
            </w:tcBorders>
          </w:tcPr>
          <w:p>
            <w:pPr>
              <w:spacing w:after="0"/>
              <w:rPr>
                <w:sz w:val="14"/>
                <w:szCs w:val="14"/>
                <w:color w:val="auto"/>
              </w:rPr>
            </w:pPr>
          </w:p>
        </w:tc>
      </w:tr>
      <w:tr>
        <w:trPr>
          <w:trHeight w:val="193"/>
        </w:trPr>
        <w:tc>
          <w:tcPr>
            <w:tcW w:w="1280" w:type="dxa"/>
            <w:vAlign w:val="bottom"/>
            <w:gridSpan w:val="3"/>
          </w:tcPr>
          <w:p>
            <w:pPr>
              <w:spacing w:after="0"/>
              <w:rPr>
                <w:sz w:val="20"/>
                <w:szCs w:val="20"/>
                <w:color w:val="auto"/>
              </w:rPr>
            </w:pPr>
            <w:r>
              <w:rPr>
                <w:rFonts w:ascii="Arial" w:cs="Arial" w:eastAsia="Arial" w:hAnsi="Arial"/>
                <w:sz w:val="16"/>
                <w:szCs w:val="16"/>
                <w:b w:val="1"/>
                <w:bCs w:val="1"/>
                <w:color w:val="auto"/>
              </w:rPr>
              <w:t>Credicorp</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rPr>
              <w:t>Capital</w:t>
            </w:r>
          </w:p>
        </w:tc>
        <w:tc>
          <w:tcPr>
            <w:tcW w:w="1020" w:type="dxa"/>
            <w:vAlign w:val="bottom"/>
          </w:tcPr>
          <w:p>
            <w:pPr>
              <w:spacing w:after="0"/>
              <w:rPr>
                <w:sz w:val="16"/>
                <w:szCs w:val="16"/>
                <w:color w:val="auto"/>
              </w:rPr>
            </w:pPr>
          </w:p>
        </w:tc>
      </w:tr>
      <w:tr>
        <w:trPr>
          <w:trHeight w:val="193"/>
        </w:trPr>
        <w:tc>
          <w:tcPr>
            <w:tcW w:w="1280" w:type="dxa"/>
            <w:vAlign w:val="bottom"/>
            <w:gridSpan w:val="3"/>
          </w:tcPr>
          <w:p>
            <w:pPr>
              <w:spacing w:after="0"/>
              <w:rPr>
                <w:sz w:val="20"/>
                <w:szCs w:val="20"/>
                <w:color w:val="auto"/>
              </w:rPr>
            </w:pPr>
            <w:r>
              <w:rPr>
                <w:rFonts w:ascii="Arial" w:cs="Arial" w:eastAsia="Arial" w:hAnsi="Arial"/>
                <w:sz w:val="16"/>
                <w:szCs w:val="16"/>
                <w:b w:val="1"/>
                <w:bCs w:val="1"/>
                <w:color w:val="auto"/>
              </w:rPr>
              <w:t>Capital</w:t>
            </w:r>
          </w:p>
        </w:tc>
        <w:tc>
          <w:tcPr>
            <w:tcW w:w="1040" w:type="dxa"/>
            <w:vAlign w:val="bottom"/>
          </w:tcPr>
          <w:p>
            <w:pPr>
              <w:spacing w:after="0"/>
              <w:rPr>
                <w:sz w:val="20"/>
                <w:szCs w:val="20"/>
                <w:color w:val="auto"/>
              </w:rPr>
            </w:pPr>
            <w:r>
              <w:rPr>
                <w:rFonts w:ascii="Arial" w:cs="Arial" w:eastAsia="Arial" w:hAnsi="Arial"/>
                <w:sz w:val="16"/>
                <w:szCs w:val="16"/>
                <w:b w:val="1"/>
                <w:bCs w:val="1"/>
                <w:color w:val="auto"/>
              </w:rPr>
              <w:t>Inversiones</w:t>
            </w:r>
          </w:p>
        </w:tc>
        <w:tc>
          <w:tcPr>
            <w:tcW w:w="24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rPr>
              <w:t>Colombia</w:t>
            </w:r>
          </w:p>
        </w:tc>
        <w:tc>
          <w:tcPr>
            <w:tcW w:w="1020" w:type="dxa"/>
            <w:vAlign w:val="bottom"/>
          </w:tcPr>
          <w:p>
            <w:pPr>
              <w:spacing w:after="0"/>
              <w:rPr>
                <w:sz w:val="20"/>
                <w:szCs w:val="20"/>
                <w:color w:val="auto"/>
              </w:rPr>
            </w:pPr>
            <w:r>
              <w:rPr>
                <w:rFonts w:ascii="Arial" w:cs="Arial" w:eastAsia="Arial" w:hAnsi="Arial"/>
                <w:sz w:val="16"/>
                <w:szCs w:val="16"/>
                <w:b w:val="1"/>
                <w:bCs w:val="1"/>
                <w:color w:val="auto"/>
              </w:rPr>
              <w:t>Inversiones</w:t>
            </w:r>
          </w:p>
        </w:tc>
      </w:tr>
      <w:tr>
        <w:trPr>
          <w:trHeight w:val="210"/>
        </w:trPr>
        <w:tc>
          <w:tcPr>
            <w:tcW w:w="1280" w:type="dxa"/>
            <w:vAlign w:val="bottom"/>
            <w:gridSpan w:val="3"/>
          </w:tcPr>
          <w:p>
            <w:pPr>
              <w:spacing w:after="0"/>
              <w:rPr>
                <w:sz w:val="20"/>
                <w:szCs w:val="20"/>
                <w:color w:val="auto"/>
              </w:rPr>
            </w:pPr>
            <w:r>
              <w:rPr>
                <w:rFonts w:ascii="Arial" w:cs="Arial" w:eastAsia="Arial" w:hAnsi="Arial"/>
                <w:sz w:val="16"/>
                <w:szCs w:val="16"/>
                <w:b w:val="1"/>
                <w:bCs w:val="1"/>
                <w:color w:val="auto"/>
              </w:rPr>
              <w:t>Colombia S.A.</w:t>
            </w:r>
          </w:p>
        </w:tc>
        <w:tc>
          <w:tcPr>
            <w:tcW w:w="1040" w:type="dxa"/>
            <w:vAlign w:val="bottom"/>
          </w:tcPr>
          <w:p>
            <w:pPr>
              <w:spacing w:after="0"/>
              <w:rPr>
                <w:sz w:val="20"/>
                <w:szCs w:val="20"/>
                <w:color w:val="auto"/>
              </w:rPr>
            </w:pPr>
            <w:r>
              <w:rPr>
                <w:rFonts w:ascii="Arial" w:cs="Arial" w:eastAsia="Arial" w:hAnsi="Arial"/>
                <w:sz w:val="16"/>
                <w:szCs w:val="16"/>
                <w:b w:val="1"/>
                <w:bCs w:val="1"/>
                <w:color w:val="auto"/>
              </w:rPr>
              <w:t>IMT S.A</w:t>
            </w:r>
          </w:p>
        </w:tc>
        <w:tc>
          <w:tcPr>
            <w:tcW w:w="2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rPr>
              <w:t>S.A.</w:t>
            </w:r>
          </w:p>
        </w:tc>
        <w:tc>
          <w:tcPr>
            <w:tcW w:w="1020" w:type="dxa"/>
            <w:vAlign w:val="bottom"/>
          </w:tcPr>
          <w:p>
            <w:pPr>
              <w:spacing w:after="0"/>
              <w:rPr>
                <w:sz w:val="20"/>
                <w:szCs w:val="20"/>
                <w:color w:val="auto"/>
              </w:rPr>
            </w:pPr>
            <w:r>
              <w:rPr>
                <w:rFonts w:ascii="Arial" w:cs="Arial" w:eastAsia="Arial" w:hAnsi="Arial"/>
                <w:sz w:val="16"/>
                <w:szCs w:val="16"/>
                <w:b w:val="1"/>
                <w:bCs w:val="1"/>
                <w:color w:val="auto"/>
              </w:rPr>
              <w:t>IMT S.A</w:t>
            </w:r>
          </w:p>
        </w:tc>
      </w:tr>
      <w:tr>
        <w:trPr>
          <w:trHeight w:val="186"/>
        </w:trPr>
        <w:tc>
          <w:tcPr>
            <w:tcW w:w="20" w:type="dxa"/>
            <w:vAlign w:val="bottom"/>
          </w:tcPr>
          <w:p>
            <w:pPr>
              <w:spacing w:after="0"/>
              <w:rPr>
                <w:sz w:val="16"/>
                <w:szCs w:val="16"/>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40" w:type="dxa"/>
            <w:vAlign w:val="bottom"/>
          </w:tcPr>
          <w:p>
            <w:pPr>
              <w:spacing w:after="0"/>
              <w:rPr>
                <w:sz w:val="16"/>
                <w:szCs w:val="16"/>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6"/>
                <w:szCs w:val="16"/>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Summarized statement of financial position</w:t>
            </w:r>
          </w:p>
        </w:tc>
        <w:tc>
          <w:tcPr>
            <w:tcW w:w="1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5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w w:val="98"/>
              </w:rPr>
              <w:t>Accounts receivable for repurchase agreements and securities financing</w:t>
            </w:r>
          </w:p>
        </w:tc>
        <w:tc>
          <w:tcPr>
            <w:tcW w:w="2740" w:type="dxa"/>
            <w:vAlign w:val="bottom"/>
            <w:gridSpan w:val="3"/>
          </w:tcPr>
          <w:p>
            <w:pPr>
              <w:jc w:val="right"/>
              <w:ind w:right="240"/>
              <w:spacing w:after="0"/>
              <w:rPr>
                <w:sz w:val="20"/>
                <w:szCs w:val="20"/>
                <w:color w:val="auto"/>
              </w:rPr>
            </w:pPr>
            <w:r>
              <w:rPr>
                <w:rFonts w:ascii="Arial" w:cs="Arial" w:eastAsia="Arial" w:hAnsi="Arial"/>
                <w:sz w:val="16"/>
                <w:szCs w:val="16"/>
                <w:color w:val="auto"/>
              </w:rPr>
              <w:t>205,397</w:t>
            </w:r>
          </w:p>
        </w:tc>
        <w:tc>
          <w:tcPr>
            <w:tcW w:w="1040" w:type="dxa"/>
            <w:vAlign w:val="bottom"/>
          </w:tcPr>
          <w:p>
            <w:pPr>
              <w:jc w:val="right"/>
              <w:spacing w:after="0"/>
              <w:rPr>
                <w:sz w:val="20"/>
                <w:szCs w:val="20"/>
                <w:color w:val="auto"/>
              </w:rPr>
            </w:pPr>
            <w:r>
              <w:rPr>
                <w:rFonts w:ascii="Arial" w:cs="Arial" w:eastAsia="Arial" w:hAnsi="Arial"/>
                <w:sz w:val="16"/>
                <w:szCs w:val="16"/>
                <w:color w:val="auto"/>
              </w:rPr>
              <w:t>1,255</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824,876</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79,298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Investments at fair value through profit or loss and available for sale</w:t>
            </w:r>
          </w:p>
        </w:tc>
        <w:tc>
          <w:tcPr>
            <w:tcW w:w="27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1,171,307</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260,999</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647,539</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65,728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Other assets</w:t>
            </w:r>
          </w:p>
        </w:tc>
        <w:tc>
          <w:tcPr>
            <w:tcW w:w="2740" w:type="dxa"/>
            <w:vAlign w:val="bottom"/>
            <w:gridSpan w:val="3"/>
          </w:tcPr>
          <w:p>
            <w:pPr>
              <w:jc w:val="right"/>
              <w:ind w:right="240"/>
              <w:spacing w:after="0"/>
              <w:rPr>
                <w:sz w:val="20"/>
                <w:szCs w:val="20"/>
                <w:color w:val="auto"/>
              </w:rPr>
            </w:pPr>
            <w:r>
              <w:rPr>
                <w:rFonts w:ascii="Arial" w:cs="Arial" w:eastAsia="Arial" w:hAnsi="Arial"/>
                <w:sz w:val="16"/>
                <w:szCs w:val="16"/>
                <w:color w:val="auto"/>
              </w:rPr>
              <w:t>119,796</w:t>
            </w:r>
          </w:p>
        </w:tc>
        <w:tc>
          <w:tcPr>
            <w:tcW w:w="1040" w:type="dxa"/>
            <w:vAlign w:val="bottom"/>
          </w:tcPr>
          <w:p>
            <w:pPr>
              <w:jc w:val="right"/>
              <w:spacing w:after="0"/>
              <w:rPr>
                <w:sz w:val="20"/>
                <w:szCs w:val="20"/>
                <w:color w:val="auto"/>
              </w:rPr>
            </w:pPr>
            <w:r>
              <w:rPr>
                <w:rFonts w:ascii="Arial" w:cs="Arial" w:eastAsia="Arial" w:hAnsi="Arial"/>
                <w:sz w:val="16"/>
                <w:szCs w:val="16"/>
                <w:color w:val="auto"/>
              </w:rPr>
              <w:t>725,254</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271,077</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638,886</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50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b w:val="1"/>
                <w:bCs w:val="1"/>
                <w:color w:val="auto"/>
              </w:rPr>
              <w:t>Liabilities and net equity</w:t>
            </w:r>
          </w:p>
        </w:tc>
        <w:tc>
          <w:tcPr>
            <w:tcW w:w="1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for repurchase agreements and securities lending</w:t>
            </w:r>
          </w:p>
        </w:tc>
        <w:tc>
          <w:tcPr>
            <w:tcW w:w="27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1,037,625</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458,516</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1,347,455</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98,159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Financial liabilities at fair value through profit or loss</w:t>
            </w:r>
          </w:p>
        </w:tc>
        <w:tc>
          <w:tcPr>
            <w:tcW w:w="2740" w:type="dxa"/>
            <w:vAlign w:val="bottom"/>
            <w:gridSpan w:val="3"/>
          </w:tcPr>
          <w:p>
            <w:pPr>
              <w:jc w:val="right"/>
              <w:ind w:right="240"/>
              <w:spacing w:after="0"/>
              <w:rPr>
                <w:sz w:val="20"/>
                <w:szCs w:val="20"/>
                <w:color w:val="auto"/>
              </w:rPr>
            </w:pPr>
            <w:r>
              <w:rPr>
                <w:rFonts w:ascii="Arial" w:cs="Arial" w:eastAsia="Arial" w:hAnsi="Arial"/>
                <w:sz w:val="16"/>
                <w:szCs w:val="16"/>
                <w:color w:val="auto"/>
              </w:rPr>
              <w:t>203,468</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27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105,087</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381,888</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128,955</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435,572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equity</w:t>
            </w:r>
          </w:p>
        </w:tc>
        <w:tc>
          <w:tcPr>
            <w:tcW w:w="146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150,320</w:t>
            </w:r>
          </w:p>
        </w:tc>
        <w:tc>
          <w:tcPr>
            <w:tcW w:w="24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147,104</w:t>
            </w:r>
          </w:p>
        </w:tc>
        <w:tc>
          <w:tcPr>
            <w:tcW w:w="2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267,082</w:t>
            </w:r>
          </w:p>
        </w:tc>
        <w:tc>
          <w:tcPr>
            <w:tcW w:w="22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250,182</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0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b w:val="1"/>
                <w:bCs w:val="1"/>
                <w:color w:val="auto"/>
              </w:rPr>
              <w:t>Non-controlling interest</w:t>
            </w:r>
          </w:p>
        </w:tc>
        <w:tc>
          <w:tcPr>
            <w:tcW w:w="27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97,655</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97,027</w:t>
            </w: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- 108 -</w:t>
            </w:r>
          </w:p>
        </w:tc>
        <w:tc>
          <w:tcPr>
            <w:tcW w:w="104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4" w:right="219" w:bottom="1440" w:gutter="0" w:footer="0" w:header="0"/>
        </w:sectPr>
      </w:pPr>
    </w:p>
    <w:bookmarkStart w:id="113" w:name="page114"/>
    <w:bookmarkEnd w:id="113"/>
    <w:p>
      <w:pPr>
        <w:spacing w:after="0" w:line="1" w:lineRule="exact"/>
        <w:rPr>
          <w:sz w:val="20"/>
          <w:szCs w:val="20"/>
          <w:color w:val="auto"/>
        </w:rPr>
      </w:pPr>
    </w:p>
    <w:tbl>
      <w:tblPr>
        <w:tblLayout w:type="fixed"/>
        <w:tblInd w:w="4703" w:type="dxa"/>
        <w:tblCellMar>
          <w:top w:w="0" w:type="dxa"/>
          <w:left w:w="0" w:type="dxa"/>
          <w:bottom w:w="0" w:type="dxa"/>
          <w:right w:w="0" w:type="dxa"/>
        </w:tblCellMar>
      </w:tblPr>
      <w:tr>
        <w:trPr>
          <w:trHeight w:val="210"/>
        </w:trPr>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gridSpan w:val="3"/>
          </w:tcPr>
          <w:p>
            <w:pPr>
              <w:ind w:left="22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116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Credicorp</w:t>
            </w: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Credicorp</w:t>
            </w: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gridSpan w:val="3"/>
          </w:tcPr>
          <w:p>
            <w:pPr>
              <w:spacing w:after="0" w:line="169" w:lineRule="exact"/>
              <w:rPr>
                <w:sz w:val="20"/>
                <w:szCs w:val="20"/>
                <w:color w:val="auto"/>
              </w:rPr>
            </w:pPr>
            <w:r>
              <w:rPr>
                <w:rFonts w:ascii="Arial" w:cs="Arial" w:eastAsia="Arial" w:hAnsi="Arial"/>
                <w:sz w:val="16"/>
                <w:szCs w:val="16"/>
                <w:b w:val="1"/>
                <w:bCs w:val="1"/>
                <w:color w:val="auto"/>
              </w:rPr>
              <w:t>Credicorp</w:t>
            </w:r>
          </w:p>
        </w:tc>
        <w:tc>
          <w:tcPr>
            <w:tcW w:w="900" w:type="dxa"/>
            <w:vAlign w:val="bottom"/>
            <w:tcBorders>
              <w:top w:val="single" w:sz="8" w:color="auto"/>
            </w:tcBorders>
          </w:tcPr>
          <w:p>
            <w:pPr>
              <w:spacing w:after="0"/>
              <w:rPr>
                <w:sz w:val="14"/>
                <w:szCs w:val="14"/>
                <w:color w:val="auto"/>
              </w:rPr>
            </w:pPr>
          </w:p>
        </w:tc>
      </w:tr>
      <w:tr>
        <w:trPr>
          <w:trHeight w:val="193"/>
        </w:trPr>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Capital</w:t>
            </w:r>
          </w:p>
        </w:tc>
        <w:tc>
          <w:tcPr>
            <w:tcW w:w="920" w:type="dxa"/>
            <w:vAlign w:val="bottom"/>
          </w:tcPr>
          <w:p>
            <w:pPr>
              <w:spacing w:after="0"/>
              <w:rPr>
                <w:sz w:val="20"/>
                <w:szCs w:val="20"/>
                <w:color w:val="auto"/>
              </w:rPr>
            </w:pPr>
            <w:r>
              <w:rPr>
                <w:rFonts w:ascii="Arial" w:cs="Arial" w:eastAsia="Arial" w:hAnsi="Arial"/>
                <w:sz w:val="16"/>
                <w:szCs w:val="16"/>
                <w:b w:val="1"/>
                <w:bCs w:val="1"/>
                <w:color w:val="auto"/>
              </w:rPr>
              <w:t>Inversiones</w:t>
            </w:r>
          </w:p>
        </w:tc>
        <w:tc>
          <w:tcPr>
            <w:tcW w:w="1360" w:type="dxa"/>
            <w:vAlign w:val="bottom"/>
            <w:gridSpan w:val="3"/>
          </w:tcPr>
          <w:p>
            <w:pPr>
              <w:ind w:left="240"/>
              <w:spacing w:after="0"/>
              <w:rPr>
                <w:sz w:val="20"/>
                <w:szCs w:val="20"/>
                <w:color w:val="auto"/>
              </w:rPr>
            </w:pPr>
            <w:r>
              <w:rPr>
                <w:rFonts w:ascii="Arial" w:cs="Arial" w:eastAsia="Arial" w:hAnsi="Arial"/>
                <w:sz w:val="16"/>
                <w:szCs w:val="16"/>
                <w:b w:val="1"/>
                <w:bCs w:val="1"/>
                <w:color w:val="auto"/>
              </w:rPr>
              <w:t>Capital</w:t>
            </w:r>
          </w:p>
        </w:tc>
        <w:tc>
          <w:tcPr>
            <w:tcW w:w="920" w:type="dxa"/>
            <w:vAlign w:val="bottom"/>
          </w:tcPr>
          <w:p>
            <w:pPr>
              <w:spacing w:after="0"/>
              <w:rPr>
                <w:sz w:val="20"/>
                <w:szCs w:val="20"/>
                <w:color w:val="auto"/>
              </w:rPr>
            </w:pPr>
            <w:r>
              <w:rPr>
                <w:rFonts w:ascii="Arial" w:cs="Arial" w:eastAsia="Arial" w:hAnsi="Arial"/>
                <w:sz w:val="16"/>
                <w:szCs w:val="16"/>
                <w:b w:val="1"/>
                <w:bCs w:val="1"/>
                <w:color w:val="auto"/>
              </w:rPr>
              <w:t>Inversiones</w:t>
            </w:r>
          </w:p>
        </w:tc>
        <w:tc>
          <w:tcPr>
            <w:tcW w:w="22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Capital</w:t>
            </w:r>
          </w:p>
        </w:tc>
        <w:tc>
          <w:tcPr>
            <w:tcW w:w="900" w:type="dxa"/>
            <w:vAlign w:val="bottom"/>
          </w:tcPr>
          <w:p>
            <w:pPr>
              <w:spacing w:after="0"/>
              <w:rPr>
                <w:sz w:val="20"/>
                <w:szCs w:val="20"/>
                <w:color w:val="auto"/>
              </w:rPr>
            </w:pPr>
            <w:r>
              <w:rPr>
                <w:rFonts w:ascii="Arial" w:cs="Arial" w:eastAsia="Arial" w:hAnsi="Arial"/>
                <w:sz w:val="16"/>
                <w:szCs w:val="16"/>
                <w:b w:val="1"/>
                <w:bCs w:val="1"/>
                <w:color w:val="auto"/>
                <w:w w:val="98"/>
              </w:rPr>
              <w:t>Inversiones</w:t>
            </w:r>
          </w:p>
        </w:tc>
      </w:tr>
      <w:tr>
        <w:trPr>
          <w:trHeight w:val="210"/>
        </w:trPr>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Colombia</w:t>
            </w:r>
          </w:p>
        </w:tc>
        <w:tc>
          <w:tcPr>
            <w:tcW w:w="920" w:type="dxa"/>
            <w:vAlign w:val="bottom"/>
          </w:tcPr>
          <w:p>
            <w:pPr>
              <w:spacing w:after="0"/>
              <w:rPr>
                <w:sz w:val="20"/>
                <w:szCs w:val="20"/>
                <w:color w:val="auto"/>
              </w:rPr>
            </w:pPr>
            <w:r>
              <w:rPr>
                <w:rFonts w:ascii="Arial" w:cs="Arial" w:eastAsia="Arial" w:hAnsi="Arial"/>
                <w:sz w:val="16"/>
                <w:szCs w:val="16"/>
                <w:b w:val="1"/>
                <w:bCs w:val="1"/>
                <w:color w:val="auto"/>
              </w:rPr>
              <w:t>IMT S.A</w:t>
            </w:r>
          </w:p>
        </w:tc>
        <w:tc>
          <w:tcPr>
            <w:tcW w:w="1360" w:type="dxa"/>
            <w:vAlign w:val="bottom"/>
            <w:gridSpan w:val="3"/>
          </w:tcPr>
          <w:p>
            <w:pPr>
              <w:ind w:left="240"/>
              <w:spacing w:after="0"/>
              <w:rPr>
                <w:sz w:val="20"/>
                <w:szCs w:val="20"/>
                <w:color w:val="auto"/>
              </w:rPr>
            </w:pPr>
            <w:r>
              <w:rPr>
                <w:rFonts w:ascii="Arial" w:cs="Arial" w:eastAsia="Arial" w:hAnsi="Arial"/>
                <w:sz w:val="16"/>
                <w:szCs w:val="16"/>
                <w:b w:val="1"/>
                <w:bCs w:val="1"/>
                <w:color w:val="auto"/>
              </w:rPr>
              <w:t>Colombia</w:t>
            </w:r>
          </w:p>
        </w:tc>
        <w:tc>
          <w:tcPr>
            <w:tcW w:w="920" w:type="dxa"/>
            <w:vAlign w:val="bottom"/>
          </w:tcPr>
          <w:p>
            <w:pPr>
              <w:spacing w:after="0"/>
              <w:rPr>
                <w:sz w:val="20"/>
                <w:szCs w:val="20"/>
                <w:color w:val="auto"/>
              </w:rPr>
            </w:pPr>
            <w:r>
              <w:rPr>
                <w:rFonts w:ascii="Arial" w:cs="Arial" w:eastAsia="Arial" w:hAnsi="Arial"/>
                <w:sz w:val="16"/>
                <w:szCs w:val="16"/>
                <w:b w:val="1"/>
                <w:bCs w:val="1"/>
                <w:color w:val="auto"/>
              </w:rPr>
              <w:t>IMT S.A</w:t>
            </w:r>
          </w:p>
        </w:tc>
        <w:tc>
          <w:tcPr>
            <w:tcW w:w="2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Colombia</w:t>
            </w:r>
          </w:p>
        </w:tc>
        <w:tc>
          <w:tcPr>
            <w:tcW w:w="900" w:type="dxa"/>
            <w:vAlign w:val="bottom"/>
          </w:tcPr>
          <w:p>
            <w:pPr>
              <w:spacing w:after="0"/>
              <w:rPr>
                <w:sz w:val="20"/>
                <w:szCs w:val="20"/>
                <w:color w:val="auto"/>
              </w:rPr>
            </w:pPr>
            <w:r>
              <w:rPr>
                <w:rFonts w:ascii="Arial" w:cs="Arial" w:eastAsia="Arial" w:hAnsi="Arial"/>
                <w:sz w:val="16"/>
                <w:szCs w:val="16"/>
                <w:b w:val="1"/>
                <w:bCs w:val="1"/>
                <w:color w:val="auto"/>
              </w:rPr>
              <w:t>IMT S.A</w:t>
            </w:r>
          </w:p>
        </w:tc>
      </w:tr>
      <w:tr>
        <w:trPr>
          <w:trHeight w:val="186"/>
        </w:trPr>
        <w:tc>
          <w:tcPr>
            <w:tcW w:w="20" w:type="dxa"/>
            <w:vAlign w:val="bottom"/>
          </w:tcPr>
          <w:p>
            <w:pPr>
              <w:spacing w:after="0"/>
              <w:rPr>
                <w:sz w:val="16"/>
                <w:szCs w:val="16"/>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60" w:type="dxa"/>
            <w:vAlign w:val="bottom"/>
          </w:tcPr>
          <w:p>
            <w:pPr>
              <w:spacing w:after="0"/>
              <w:rPr>
                <w:sz w:val="16"/>
                <w:szCs w:val="16"/>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6"/>
                <w:szCs w:val="16"/>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r>
    </w:tbl>
    <w:p>
      <w:pPr>
        <w:spacing w:after="0" w:line="9"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Summarized statement of profit or loss</w:t>
            </w: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3"/>
        </w:trPr>
        <w:tc>
          <w:tcPr>
            <w:tcW w:w="4700" w:type="dxa"/>
            <w:vAlign w:val="bottom"/>
          </w:tcPr>
          <w:p>
            <w:pPr>
              <w:spacing w:after="0"/>
              <w:rPr>
                <w:sz w:val="20"/>
                <w:szCs w:val="20"/>
                <w:color w:val="auto"/>
              </w:rPr>
            </w:pPr>
            <w:r>
              <w:rPr>
                <w:rFonts w:ascii="Arial" w:cs="Arial" w:eastAsia="Arial" w:hAnsi="Arial"/>
                <w:sz w:val="16"/>
                <w:szCs w:val="16"/>
                <w:color w:val="auto"/>
              </w:rPr>
              <w:t>Operating revenue</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199,239</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141,433</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204,128</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112,753</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230,148</w:t>
            </w:r>
          </w:p>
        </w:tc>
        <w:tc>
          <w:tcPr>
            <w:tcW w:w="1020" w:type="dxa"/>
            <w:vAlign w:val="bottom"/>
            <w:gridSpan w:val="2"/>
          </w:tcPr>
          <w:p>
            <w:pPr>
              <w:jc w:val="right"/>
              <w:ind w:right="39"/>
              <w:spacing w:after="0"/>
              <w:rPr>
                <w:sz w:val="20"/>
                <w:szCs w:val="20"/>
                <w:color w:val="auto"/>
              </w:rPr>
            </w:pPr>
            <w:r>
              <w:rPr>
                <w:rFonts w:ascii="Arial" w:cs="Arial" w:eastAsia="Arial" w:hAnsi="Arial"/>
                <w:sz w:val="16"/>
                <w:szCs w:val="16"/>
                <w:color w:val="auto"/>
              </w:rPr>
              <w:t>26,946</w:t>
            </w: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(161,054)</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(109,188)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(172,653)</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(175,646)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(194,867)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(96,129)</w:t>
            </w:r>
          </w:p>
        </w:tc>
      </w:tr>
      <w:tr>
        <w:trPr>
          <w:trHeight w:val="185"/>
        </w:trPr>
        <w:tc>
          <w:tcPr>
            <w:tcW w:w="4700" w:type="dxa"/>
            <w:vAlign w:val="bottom"/>
          </w:tcPr>
          <w:p>
            <w:pPr>
              <w:spacing w:after="0"/>
              <w:rPr>
                <w:sz w:val="20"/>
                <w:szCs w:val="20"/>
                <w:color w:val="auto"/>
              </w:rPr>
            </w:pPr>
            <w:r>
              <w:rPr>
                <w:rFonts w:ascii="Arial" w:cs="Arial" w:eastAsia="Arial" w:hAnsi="Arial"/>
                <w:sz w:val="16"/>
                <w:szCs w:val="16"/>
                <w:color w:val="auto"/>
              </w:rPr>
              <w:t>Profit before income tax</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38,185</w:t>
            </w:r>
          </w:p>
        </w:tc>
        <w:tc>
          <w:tcPr>
            <w:tcW w:w="26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32,245</w:t>
            </w:r>
          </w:p>
        </w:tc>
        <w:tc>
          <w:tcPr>
            <w:tcW w:w="24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31,475</w:t>
            </w:r>
          </w:p>
        </w:tc>
        <w:tc>
          <w:tcPr>
            <w:tcW w:w="20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(62,893)</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35,281</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(69,183)</w:t>
            </w:r>
          </w:p>
        </w:tc>
        <w:tc>
          <w:tcPr>
            <w:tcW w:w="120" w:type="dxa"/>
            <w:vAlign w:val="bottom"/>
          </w:tcPr>
          <w:p>
            <w:pPr>
              <w:spacing w:after="0"/>
              <w:rPr>
                <w:sz w:val="16"/>
                <w:szCs w:val="16"/>
                <w:color w:val="auto"/>
              </w:rPr>
            </w:pP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Income tax</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(14,032)</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(8,581)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(13,120)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(5,713)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(13,105)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(3,724)</w:t>
            </w:r>
          </w:p>
        </w:tc>
      </w:tr>
      <w:tr>
        <w:trPr>
          <w:trHeight w:val="185"/>
        </w:trPr>
        <w:tc>
          <w:tcPr>
            <w:tcW w:w="4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profit (loss) for the year</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24,153</w:t>
            </w:r>
          </w:p>
        </w:tc>
        <w:tc>
          <w:tcPr>
            <w:tcW w:w="26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23,664</w:t>
            </w:r>
          </w:p>
        </w:tc>
        <w:tc>
          <w:tcPr>
            <w:tcW w:w="24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18,355</w:t>
            </w:r>
          </w:p>
        </w:tc>
        <w:tc>
          <w:tcPr>
            <w:tcW w:w="20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(68,606</w:t>
            </w:r>
          </w:p>
        </w:tc>
        <w:tc>
          <w:tcPr>
            <w:tcW w:w="220" w:type="dxa"/>
            <w:vAlign w:val="bottom"/>
            <w:tcBorders>
              <w:bottom w:val="single" w:sz="8" w:color="CCEEFF"/>
            </w:tcBorders>
          </w:tcPr>
          <w:p>
            <w:pPr>
              <w:jc w:val="right"/>
              <w:ind w:right="140"/>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22,176</w:t>
            </w:r>
          </w:p>
        </w:tc>
        <w:tc>
          <w:tcPr>
            <w:tcW w:w="2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(72,907</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85"/>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Attributable to non-controlling interest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6,240</w:t>
            </w:r>
          </w:p>
        </w:tc>
        <w:tc>
          <w:tcPr>
            <w:tcW w:w="26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5,012</w:t>
            </w:r>
          </w:p>
        </w:tc>
        <w:tc>
          <w:tcPr>
            <w:tcW w:w="2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8,266</w:t>
            </w:r>
          </w:p>
        </w:tc>
        <w:tc>
          <w:tcPr>
            <w:tcW w:w="2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(15,013</w:t>
            </w:r>
          </w:p>
        </w:tc>
        <w:tc>
          <w:tcPr>
            <w:tcW w:w="220" w:type="dxa"/>
            <w:vAlign w:val="bottom"/>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11,099</w:t>
            </w:r>
          </w:p>
        </w:tc>
        <w:tc>
          <w:tcPr>
            <w:tcW w:w="2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81" w:lineRule="exact"/>
        <w:rPr>
          <w:sz w:val="20"/>
          <w:szCs w:val="20"/>
          <w:color w:val="auto"/>
        </w:rPr>
      </w:pPr>
    </w:p>
    <w:p>
      <w:pPr>
        <w:ind w:left="3" w:right="20" w:hanging="3"/>
        <w:spacing w:after="0" w:line="266" w:lineRule="auto"/>
        <w:tabs>
          <w:tab w:leader="none" w:pos="23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Credicorp Capital Colombia and Inversiones IMT S.A are controlled by the Group through its subsidiaries Credicorp Capital Holding Colombia S.A.S. and Credicorp Capital Holding Chile S.A. In this sense, Credicorp Capital Holding Colombia S.A.S. and Credicorp Capital Holding Chile S.A.have recorded the intangibles, goodwill and non-controlling interest identified as a consequence of the acquisition of these subsidiaries.</w:t>
      </w:r>
    </w:p>
    <w:p>
      <w:pPr>
        <w:spacing w:after="0" w:line="170" w:lineRule="exact"/>
        <w:rPr>
          <w:sz w:val="20"/>
          <w:szCs w:val="20"/>
          <w:color w:val="auto"/>
        </w:rPr>
      </w:pPr>
    </w:p>
    <w:tbl>
      <w:tblPr>
        <w:tblLayout w:type="fixed"/>
        <w:tblInd w:w="4703" w:type="dxa"/>
        <w:tblCellMar>
          <w:top w:w="0" w:type="dxa"/>
          <w:left w:w="0" w:type="dxa"/>
          <w:bottom w:w="0" w:type="dxa"/>
          <w:right w:w="0" w:type="dxa"/>
        </w:tblCellMar>
      </w:tblPr>
      <w:tr>
        <w:trPr>
          <w:trHeight w:val="210"/>
        </w:trPr>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gridSpan w:val="3"/>
          </w:tcPr>
          <w:p>
            <w:pPr>
              <w:ind w:left="22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116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Credicorp</w:t>
            </w: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Credicorp</w:t>
            </w: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gridSpan w:val="3"/>
          </w:tcPr>
          <w:p>
            <w:pPr>
              <w:spacing w:after="0" w:line="169" w:lineRule="exact"/>
              <w:rPr>
                <w:sz w:val="20"/>
                <w:szCs w:val="20"/>
                <w:color w:val="auto"/>
              </w:rPr>
            </w:pPr>
            <w:r>
              <w:rPr>
                <w:rFonts w:ascii="Arial" w:cs="Arial" w:eastAsia="Arial" w:hAnsi="Arial"/>
                <w:sz w:val="16"/>
                <w:szCs w:val="16"/>
                <w:b w:val="1"/>
                <w:bCs w:val="1"/>
                <w:color w:val="auto"/>
              </w:rPr>
              <w:t>Credicorp</w:t>
            </w:r>
          </w:p>
        </w:tc>
        <w:tc>
          <w:tcPr>
            <w:tcW w:w="900" w:type="dxa"/>
            <w:vAlign w:val="bottom"/>
            <w:tcBorders>
              <w:top w:val="single" w:sz="8" w:color="auto"/>
            </w:tcBorders>
          </w:tcPr>
          <w:p>
            <w:pPr>
              <w:spacing w:after="0"/>
              <w:rPr>
                <w:sz w:val="14"/>
                <w:szCs w:val="14"/>
                <w:color w:val="auto"/>
              </w:rPr>
            </w:pPr>
          </w:p>
        </w:tc>
      </w:tr>
      <w:tr>
        <w:trPr>
          <w:trHeight w:val="193"/>
        </w:trPr>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Capital</w:t>
            </w:r>
          </w:p>
        </w:tc>
        <w:tc>
          <w:tcPr>
            <w:tcW w:w="920" w:type="dxa"/>
            <w:vAlign w:val="bottom"/>
          </w:tcPr>
          <w:p>
            <w:pPr>
              <w:spacing w:after="0"/>
              <w:rPr>
                <w:sz w:val="16"/>
                <w:szCs w:val="16"/>
                <w:color w:val="auto"/>
              </w:rPr>
            </w:pPr>
          </w:p>
        </w:tc>
        <w:tc>
          <w:tcPr>
            <w:tcW w:w="1360" w:type="dxa"/>
            <w:vAlign w:val="bottom"/>
            <w:gridSpan w:val="3"/>
          </w:tcPr>
          <w:p>
            <w:pPr>
              <w:ind w:left="240"/>
              <w:spacing w:after="0"/>
              <w:rPr>
                <w:sz w:val="20"/>
                <w:szCs w:val="20"/>
                <w:color w:val="auto"/>
              </w:rPr>
            </w:pPr>
            <w:r>
              <w:rPr>
                <w:rFonts w:ascii="Arial" w:cs="Arial" w:eastAsia="Arial" w:hAnsi="Arial"/>
                <w:sz w:val="16"/>
                <w:szCs w:val="16"/>
                <w:b w:val="1"/>
                <w:bCs w:val="1"/>
                <w:color w:val="auto"/>
              </w:rPr>
              <w:t>Capital</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Capital</w:t>
            </w:r>
          </w:p>
        </w:tc>
        <w:tc>
          <w:tcPr>
            <w:tcW w:w="900" w:type="dxa"/>
            <w:vAlign w:val="bottom"/>
          </w:tcPr>
          <w:p>
            <w:pPr>
              <w:spacing w:after="0"/>
              <w:rPr>
                <w:sz w:val="16"/>
                <w:szCs w:val="16"/>
                <w:color w:val="auto"/>
              </w:rPr>
            </w:pPr>
          </w:p>
        </w:tc>
      </w:tr>
      <w:tr>
        <w:trPr>
          <w:trHeight w:val="193"/>
        </w:trPr>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Colombia</w:t>
            </w:r>
          </w:p>
        </w:tc>
        <w:tc>
          <w:tcPr>
            <w:tcW w:w="920" w:type="dxa"/>
            <w:vAlign w:val="bottom"/>
          </w:tcPr>
          <w:p>
            <w:pPr>
              <w:spacing w:after="0"/>
              <w:rPr>
                <w:sz w:val="20"/>
                <w:szCs w:val="20"/>
                <w:color w:val="auto"/>
              </w:rPr>
            </w:pPr>
            <w:r>
              <w:rPr>
                <w:rFonts w:ascii="Arial" w:cs="Arial" w:eastAsia="Arial" w:hAnsi="Arial"/>
                <w:sz w:val="16"/>
                <w:szCs w:val="16"/>
                <w:b w:val="1"/>
                <w:bCs w:val="1"/>
                <w:color w:val="auto"/>
              </w:rPr>
              <w:t>Inversiones</w:t>
            </w:r>
          </w:p>
        </w:tc>
        <w:tc>
          <w:tcPr>
            <w:tcW w:w="1360" w:type="dxa"/>
            <w:vAlign w:val="bottom"/>
            <w:gridSpan w:val="3"/>
          </w:tcPr>
          <w:p>
            <w:pPr>
              <w:ind w:left="240"/>
              <w:spacing w:after="0"/>
              <w:rPr>
                <w:sz w:val="20"/>
                <w:szCs w:val="20"/>
                <w:color w:val="auto"/>
              </w:rPr>
            </w:pPr>
            <w:r>
              <w:rPr>
                <w:rFonts w:ascii="Arial" w:cs="Arial" w:eastAsia="Arial" w:hAnsi="Arial"/>
                <w:sz w:val="16"/>
                <w:szCs w:val="16"/>
                <w:b w:val="1"/>
                <w:bCs w:val="1"/>
                <w:color w:val="auto"/>
              </w:rPr>
              <w:t>Colombia</w:t>
            </w:r>
          </w:p>
        </w:tc>
        <w:tc>
          <w:tcPr>
            <w:tcW w:w="920" w:type="dxa"/>
            <w:vAlign w:val="bottom"/>
          </w:tcPr>
          <w:p>
            <w:pPr>
              <w:spacing w:after="0"/>
              <w:rPr>
                <w:sz w:val="20"/>
                <w:szCs w:val="20"/>
                <w:color w:val="auto"/>
              </w:rPr>
            </w:pPr>
            <w:r>
              <w:rPr>
                <w:rFonts w:ascii="Arial" w:cs="Arial" w:eastAsia="Arial" w:hAnsi="Arial"/>
                <w:sz w:val="16"/>
                <w:szCs w:val="16"/>
                <w:b w:val="1"/>
                <w:bCs w:val="1"/>
                <w:color w:val="auto"/>
              </w:rPr>
              <w:t>Inversiones</w:t>
            </w:r>
          </w:p>
        </w:tc>
        <w:tc>
          <w:tcPr>
            <w:tcW w:w="22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Colombia</w:t>
            </w:r>
          </w:p>
        </w:tc>
        <w:tc>
          <w:tcPr>
            <w:tcW w:w="900" w:type="dxa"/>
            <w:vAlign w:val="bottom"/>
          </w:tcPr>
          <w:p>
            <w:pPr>
              <w:spacing w:after="0"/>
              <w:rPr>
                <w:sz w:val="20"/>
                <w:szCs w:val="20"/>
                <w:color w:val="auto"/>
              </w:rPr>
            </w:pPr>
            <w:r>
              <w:rPr>
                <w:rFonts w:ascii="Arial" w:cs="Arial" w:eastAsia="Arial" w:hAnsi="Arial"/>
                <w:sz w:val="16"/>
                <w:szCs w:val="16"/>
                <w:b w:val="1"/>
                <w:bCs w:val="1"/>
                <w:color w:val="auto"/>
                <w:w w:val="98"/>
              </w:rPr>
              <w:t>Inversiones</w:t>
            </w:r>
          </w:p>
        </w:tc>
      </w:tr>
      <w:tr>
        <w:trPr>
          <w:trHeight w:val="210"/>
        </w:trPr>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S.A.</w:t>
            </w:r>
          </w:p>
        </w:tc>
        <w:tc>
          <w:tcPr>
            <w:tcW w:w="920" w:type="dxa"/>
            <w:vAlign w:val="bottom"/>
          </w:tcPr>
          <w:p>
            <w:pPr>
              <w:spacing w:after="0"/>
              <w:rPr>
                <w:sz w:val="20"/>
                <w:szCs w:val="20"/>
                <w:color w:val="auto"/>
              </w:rPr>
            </w:pPr>
            <w:r>
              <w:rPr>
                <w:rFonts w:ascii="Arial" w:cs="Arial" w:eastAsia="Arial" w:hAnsi="Arial"/>
                <w:sz w:val="16"/>
                <w:szCs w:val="16"/>
                <w:b w:val="1"/>
                <w:bCs w:val="1"/>
                <w:color w:val="auto"/>
              </w:rPr>
              <w:t>IMT S.A</w:t>
            </w:r>
          </w:p>
        </w:tc>
        <w:tc>
          <w:tcPr>
            <w:tcW w:w="1360" w:type="dxa"/>
            <w:vAlign w:val="bottom"/>
            <w:gridSpan w:val="3"/>
          </w:tcPr>
          <w:p>
            <w:pPr>
              <w:ind w:left="240"/>
              <w:spacing w:after="0"/>
              <w:rPr>
                <w:sz w:val="20"/>
                <w:szCs w:val="20"/>
                <w:color w:val="auto"/>
              </w:rPr>
            </w:pPr>
            <w:r>
              <w:rPr>
                <w:rFonts w:ascii="Arial" w:cs="Arial" w:eastAsia="Arial" w:hAnsi="Arial"/>
                <w:sz w:val="16"/>
                <w:szCs w:val="16"/>
                <w:b w:val="1"/>
                <w:bCs w:val="1"/>
                <w:color w:val="auto"/>
              </w:rPr>
              <w:t>S.A.</w:t>
            </w:r>
          </w:p>
        </w:tc>
        <w:tc>
          <w:tcPr>
            <w:tcW w:w="920" w:type="dxa"/>
            <w:vAlign w:val="bottom"/>
          </w:tcPr>
          <w:p>
            <w:pPr>
              <w:spacing w:after="0"/>
              <w:rPr>
                <w:sz w:val="20"/>
                <w:szCs w:val="20"/>
                <w:color w:val="auto"/>
              </w:rPr>
            </w:pPr>
            <w:r>
              <w:rPr>
                <w:rFonts w:ascii="Arial" w:cs="Arial" w:eastAsia="Arial" w:hAnsi="Arial"/>
                <w:sz w:val="16"/>
                <w:szCs w:val="16"/>
                <w:b w:val="1"/>
                <w:bCs w:val="1"/>
                <w:color w:val="auto"/>
              </w:rPr>
              <w:t>IMT S.A</w:t>
            </w:r>
          </w:p>
        </w:tc>
        <w:tc>
          <w:tcPr>
            <w:tcW w:w="2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S.A.</w:t>
            </w:r>
          </w:p>
        </w:tc>
        <w:tc>
          <w:tcPr>
            <w:tcW w:w="900" w:type="dxa"/>
            <w:vAlign w:val="bottom"/>
          </w:tcPr>
          <w:p>
            <w:pPr>
              <w:spacing w:after="0"/>
              <w:rPr>
                <w:sz w:val="20"/>
                <w:szCs w:val="20"/>
                <w:color w:val="auto"/>
              </w:rPr>
            </w:pPr>
            <w:r>
              <w:rPr>
                <w:rFonts w:ascii="Arial" w:cs="Arial" w:eastAsia="Arial" w:hAnsi="Arial"/>
                <w:sz w:val="16"/>
                <w:szCs w:val="16"/>
                <w:b w:val="1"/>
                <w:bCs w:val="1"/>
                <w:color w:val="auto"/>
              </w:rPr>
              <w:t>IMT S.A</w:t>
            </w:r>
          </w:p>
        </w:tc>
      </w:tr>
      <w:tr>
        <w:trPr>
          <w:trHeight w:val="186"/>
        </w:trPr>
        <w:tc>
          <w:tcPr>
            <w:tcW w:w="20" w:type="dxa"/>
            <w:vAlign w:val="bottom"/>
          </w:tcPr>
          <w:p>
            <w:pPr>
              <w:spacing w:after="0"/>
              <w:rPr>
                <w:sz w:val="16"/>
                <w:szCs w:val="16"/>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60" w:type="dxa"/>
            <w:vAlign w:val="bottom"/>
          </w:tcPr>
          <w:p>
            <w:pPr>
              <w:spacing w:after="0"/>
              <w:rPr>
                <w:sz w:val="16"/>
                <w:szCs w:val="16"/>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6"/>
                <w:szCs w:val="16"/>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r>
    </w:tbl>
    <w:p>
      <w:pPr>
        <w:spacing w:after="0" w:line="9"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 statement summarized</w:t>
            </w: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4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11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33,817</w:t>
            </w:r>
          </w:p>
        </w:tc>
        <w:tc>
          <w:tcPr>
            <w:tcW w:w="11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14,389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120,944</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76,534</w:t>
            </w: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960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25,530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Investing activities</w:t>
            </w:r>
          </w:p>
        </w:tc>
        <w:tc>
          <w:tcPr>
            <w:tcW w:w="1180" w:type="dxa"/>
            <w:vAlign w:val="bottom"/>
            <w:gridSpan w:val="2"/>
          </w:tcPr>
          <w:p>
            <w:pPr>
              <w:jc w:val="right"/>
              <w:ind w:right="119"/>
              <w:spacing w:after="0"/>
              <w:rPr>
                <w:sz w:val="20"/>
                <w:szCs w:val="20"/>
                <w:color w:val="auto"/>
              </w:rPr>
            </w:pPr>
            <w:r>
              <w:rPr>
                <w:rFonts w:ascii="Arial" w:cs="Arial" w:eastAsia="Arial" w:hAnsi="Arial"/>
                <w:sz w:val="16"/>
                <w:szCs w:val="16"/>
                <w:color w:val="auto"/>
              </w:rPr>
              <w:t>(26,616)</w:t>
            </w:r>
          </w:p>
        </w:tc>
        <w:tc>
          <w:tcPr>
            <w:tcW w:w="1160" w:type="dxa"/>
            <w:vAlign w:val="bottom"/>
            <w:gridSpan w:val="2"/>
          </w:tcPr>
          <w:p>
            <w:pPr>
              <w:jc w:val="right"/>
              <w:ind w:right="159"/>
              <w:spacing w:after="0"/>
              <w:rPr>
                <w:sz w:val="20"/>
                <w:szCs w:val="20"/>
                <w:color w:val="auto"/>
              </w:rPr>
            </w:pPr>
            <w:r>
              <w:rPr>
                <w:rFonts w:ascii="Arial" w:cs="Arial" w:eastAsia="Arial" w:hAnsi="Arial"/>
                <w:sz w:val="16"/>
                <w:szCs w:val="16"/>
                <w:color w:val="auto"/>
              </w:rPr>
              <w:t>63,932</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(5,784)</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(27,757)</w:t>
            </w: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(778,016)</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(4,233)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11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(16,778)</w:t>
            </w:r>
          </w:p>
        </w:tc>
        <w:tc>
          <w:tcPr>
            <w:tcW w:w="11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(92,573)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(98,866)</w:t>
            </w: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503,959</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Arial" w:cs="Arial" w:eastAsia="Arial" w:hAnsi="Arial"/>
                <w:sz w:val="16"/>
                <w:szCs w:val="16"/>
                <w:b w:val="1"/>
                <w:bCs w:val="1"/>
                <w:color w:val="auto"/>
              </w:rPr>
              <w:t>Net increase in cash and cash equivalents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(9,577</w:t>
            </w:r>
          </w:p>
        </w:tc>
        <w:tc>
          <w:tcPr>
            <w:tcW w:w="260" w:type="dxa"/>
            <w:vAlign w:val="bottom"/>
          </w:tcPr>
          <w:p>
            <w:pPr>
              <w:jc w:val="right"/>
              <w:ind w:right="119"/>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(14,252</w:t>
            </w:r>
          </w:p>
        </w:tc>
        <w:tc>
          <w:tcPr>
            <w:tcW w:w="240" w:type="dxa"/>
            <w:vAlign w:val="bottom"/>
          </w:tcPr>
          <w:p>
            <w:pPr>
              <w:jc w:val="right"/>
              <w:ind w:right="99"/>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115,160</w:t>
            </w:r>
          </w:p>
        </w:tc>
        <w:tc>
          <w:tcPr>
            <w:tcW w:w="2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(50,089</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(273,097</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20,676</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 w:right="220"/>
        <w:spacing w:after="0" w:line="321" w:lineRule="auto"/>
        <w:rPr>
          <w:sz w:val="20"/>
          <w:szCs w:val="20"/>
          <w:color w:val="auto"/>
        </w:rPr>
      </w:pPr>
      <w:r>
        <w:rPr>
          <w:rFonts w:ascii="Arial" w:cs="Arial" w:eastAsia="Arial" w:hAnsi="Arial"/>
          <w:sz w:val="14"/>
          <w:szCs w:val="14"/>
          <w:color w:val="auto"/>
        </w:rPr>
        <w:t>Credicorp and its subsidiaries render management services for investment funds and trusts whose assets are not included in its consolidated financial statements. Management has analyzed the nature of investment funds and trusts and concluded that none of them qualifies as a structured entity in accordance with the requirements of IFRS 12 "Disclosure of Interests in Other Entities", so it has not been necessary to incorporate additional disclosures as indicated in Note 34.8 in relation thereto.</w:t>
      </w:r>
    </w:p>
    <w:p>
      <w:pPr>
        <w:spacing w:after="0" w:line="32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36" w:right="219" w:bottom="1440" w:gutter="0" w:footer="0" w:header="0"/>
        </w:sectPr>
      </w:pPr>
    </w:p>
    <w:bookmarkStart w:id="114" w:name="page115"/>
    <w:bookmarkEnd w:id="114"/>
    <w:p>
      <w:pPr>
        <w:ind w:left="3"/>
        <w:spacing w:after="0"/>
        <w:tabs>
          <w:tab w:leader="none" w:pos="563"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6"/>
          <w:szCs w:val="16"/>
          <w:b w:val="1"/>
          <w:bCs w:val="1"/>
          <w:color w:val="auto"/>
        </w:rPr>
        <w:t>TRANSACTIONS WITH RELATED PARTIES</w:t>
      </w:r>
    </w:p>
    <w:p>
      <w:pPr>
        <w:spacing w:after="0" w:line="207" w:lineRule="exact"/>
        <w:rPr>
          <w:sz w:val="20"/>
          <w:szCs w:val="20"/>
          <w:color w:val="auto"/>
        </w:rPr>
      </w:pPr>
    </w:p>
    <w:p>
      <w:pPr>
        <w:ind w:left="283" w:right="340" w:hanging="283"/>
        <w:spacing w:after="0" w:line="266" w:lineRule="auto"/>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Group’s consolidated financial statements at December 31, 2016 and 2015 include transactions with related companies, the Board of Directors, the Group’s key executives (defined as the Management of Credicorp) and the companies which are controlled by these individuals through their majority shareholding or their role as Chairman or CEO.</w:t>
      </w:r>
    </w:p>
    <w:p>
      <w:pPr>
        <w:spacing w:after="0" w:line="161" w:lineRule="exact"/>
        <w:rPr>
          <w:rFonts w:ascii="Arial" w:cs="Arial" w:eastAsia="Arial" w:hAnsi="Arial"/>
          <w:sz w:val="16"/>
          <w:szCs w:val="16"/>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table below shows the main transactions with related parties as of December 31, 2016 and 2015:</w:t>
      </w:r>
    </w:p>
    <w:p>
      <w:pPr>
        <w:spacing w:after="0" w:line="211" w:lineRule="exact"/>
        <w:rPr>
          <w:sz w:val="20"/>
          <w:szCs w:val="20"/>
          <w:color w:val="auto"/>
        </w:rPr>
      </w:pPr>
    </w:p>
    <w:tbl>
      <w:tblPr>
        <w:tblLayout w:type="fixed"/>
        <w:tblInd w:w="283" w:type="dxa"/>
        <w:tblCellMar>
          <w:top w:w="0" w:type="dxa"/>
          <w:left w:w="0" w:type="dxa"/>
          <w:bottom w:w="0" w:type="dxa"/>
          <w:right w:w="0" w:type="dxa"/>
        </w:tblCellMar>
      </w:tblPr>
      <w:tr>
        <w:trPr>
          <w:trHeight w:val="210"/>
        </w:trPr>
        <w:tc>
          <w:tcPr>
            <w:tcW w:w="8400" w:type="dxa"/>
            <w:vAlign w:val="bottom"/>
            <w:gridSpan w:val="2"/>
          </w:tcPr>
          <w:p>
            <w:pPr>
              <w:ind w:left="7820"/>
              <w:spacing w:after="0"/>
              <w:rPr>
                <w:sz w:val="20"/>
                <w:szCs w:val="20"/>
                <w:color w:val="auto"/>
              </w:rPr>
            </w:pPr>
            <w:r>
              <w:rPr>
                <w:rFonts w:ascii="Arial" w:cs="Arial" w:eastAsia="Arial" w:hAnsi="Arial"/>
                <w:sz w:val="16"/>
                <w:szCs w:val="16"/>
                <w:b w:val="1"/>
                <w:bCs w:val="1"/>
                <w:color w:val="auto"/>
              </w:rPr>
              <w:t>2016</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r>
      <w:tr>
        <w:trPr>
          <w:trHeight w:val="202"/>
        </w:trPr>
        <w:tc>
          <w:tcPr>
            <w:tcW w:w="7820" w:type="dxa"/>
            <w:vAlign w:val="bottom"/>
          </w:tcPr>
          <w:p>
            <w:pPr>
              <w:spacing w:after="0"/>
              <w:rPr>
                <w:sz w:val="17"/>
                <w:szCs w:val="17"/>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r>
      <w:tr>
        <w:trPr>
          <w:trHeight w:val="177"/>
        </w:trPr>
        <w:tc>
          <w:tcPr>
            <w:tcW w:w="7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Direct loans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1,181,648</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1,536,749</w:t>
            </w:r>
          </w:p>
        </w:tc>
      </w:tr>
      <w:tr>
        <w:trPr>
          <w:trHeight w:val="193"/>
        </w:trPr>
        <w:tc>
          <w:tcPr>
            <w:tcW w:w="8400" w:type="dxa"/>
            <w:vAlign w:val="bottom"/>
            <w:gridSpan w:val="2"/>
          </w:tcPr>
          <w:p>
            <w:pPr>
              <w:spacing w:after="0"/>
              <w:rPr>
                <w:sz w:val="20"/>
                <w:szCs w:val="20"/>
                <w:color w:val="auto"/>
              </w:rPr>
            </w:pPr>
            <w:r>
              <w:rPr>
                <w:rFonts w:ascii="Arial" w:cs="Arial" w:eastAsia="Arial" w:hAnsi="Arial"/>
                <w:sz w:val="16"/>
                <w:szCs w:val="16"/>
                <w:color w:val="auto"/>
              </w:rPr>
              <w:t>Available-for-sale investments and trading securities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433,517</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368,438</w:t>
            </w:r>
          </w:p>
        </w:tc>
      </w:tr>
      <w:tr>
        <w:trPr>
          <w:trHeight w:val="193"/>
        </w:trPr>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Deposits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264,564</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285,763</w:t>
            </w:r>
          </w:p>
        </w:tc>
      </w:tr>
      <w:tr>
        <w:trPr>
          <w:trHeight w:val="193"/>
        </w:trPr>
        <w:tc>
          <w:tcPr>
            <w:tcW w:w="8400" w:type="dxa"/>
            <w:vAlign w:val="bottom"/>
            <w:gridSpan w:val="2"/>
          </w:tcPr>
          <w:p>
            <w:pPr>
              <w:spacing w:after="0"/>
              <w:rPr>
                <w:sz w:val="20"/>
                <w:szCs w:val="20"/>
                <w:color w:val="auto"/>
              </w:rPr>
            </w:pPr>
            <w:r>
              <w:rPr>
                <w:rFonts w:ascii="Arial" w:cs="Arial" w:eastAsia="Arial" w:hAnsi="Arial"/>
                <w:sz w:val="16"/>
                <w:szCs w:val="16"/>
                <w:color w:val="auto"/>
              </w:rPr>
              <w:t>Contingent credits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236,106</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234,287</w:t>
            </w:r>
          </w:p>
        </w:tc>
      </w:tr>
      <w:tr>
        <w:trPr>
          <w:trHeight w:val="193"/>
        </w:trPr>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 related to loans – income</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28,872</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63,821</w:t>
            </w:r>
          </w:p>
        </w:tc>
      </w:tr>
      <w:tr>
        <w:trPr>
          <w:trHeight w:val="193"/>
        </w:trPr>
        <w:tc>
          <w:tcPr>
            <w:tcW w:w="8400" w:type="dxa"/>
            <w:vAlign w:val="bottom"/>
            <w:gridSpan w:val="2"/>
          </w:tcPr>
          <w:p>
            <w:pPr>
              <w:spacing w:after="0"/>
              <w:rPr>
                <w:sz w:val="20"/>
                <w:szCs w:val="20"/>
                <w:color w:val="auto"/>
              </w:rPr>
            </w:pPr>
            <w:r>
              <w:rPr>
                <w:rFonts w:ascii="Arial" w:cs="Arial" w:eastAsia="Arial" w:hAnsi="Arial"/>
                <w:sz w:val="16"/>
                <w:szCs w:val="16"/>
                <w:color w:val="auto"/>
              </w:rPr>
              <w:t>Interest expenses related to deposits – expense</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8,001</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11,649</w:t>
            </w:r>
          </w:p>
        </w:tc>
      </w:tr>
      <w:tr>
        <w:trPr>
          <w:trHeight w:val="193"/>
        </w:trPr>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9,098</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6,523</w:t>
            </w:r>
          </w:p>
        </w:tc>
      </w:tr>
      <w:tr>
        <w:trPr>
          <w:trHeight w:val="206"/>
        </w:trPr>
        <w:tc>
          <w:tcPr>
            <w:tcW w:w="8400" w:type="dxa"/>
            <w:vAlign w:val="bottom"/>
            <w:gridSpan w:val="2"/>
          </w:tcPr>
          <w:p>
            <w:pPr>
              <w:spacing w:after="0"/>
              <w:rPr>
                <w:sz w:val="20"/>
                <w:szCs w:val="20"/>
                <w:color w:val="auto"/>
              </w:rPr>
            </w:pPr>
            <w:r>
              <w:rPr>
                <w:rFonts w:ascii="Arial" w:cs="Arial" w:eastAsia="Arial" w:hAnsi="Arial"/>
                <w:sz w:val="16"/>
                <w:szCs w:val="16"/>
                <w:color w:val="auto"/>
              </w:rPr>
              <w:t>Derivatives at fair value</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1,074</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2,499</w:t>
            </w:r>
          </w:p>
        </w:tc>
      </w:tr>
    </w:tbl>
    <w:p>
      <w:pPr>
        <w:spacing w:after="0" w:line="169" w:lineRule="exact"/>
        <w:rPr>
          <w:sz w:val="20"/>
          <w:szCs w:val="20"/>
          <w:color w:val="auto"/>
        </w:rPr>
      </w:pPr>
    </w:p>
    <w:p>
      <w:pPr>
        <w:ind w:left="283" w:right="160" w:hanging="283"/>
        <w:spacing w:after="0" w:line="284" w:lineRule="auto"/>
        <w:tabs>
          <w:tab w:leader="none" w:pos="283" w:val="left"/>
        </w:tabs>
        <w:numPr>
          <w:ilvl w:val="0"/>
          <w:numId w:val="121"/>
        </w:numPr>
        <w:rPr>
          <w:rFonts w:ascii="Arial" w:cs="Arial" w:eastAsia="Arial" w:hAnsi="Arial"/>
          <w:sz w:val="15"/>
          <w:szCs w:val="15"/>
          <w:color w:val="auto"/>
        </w:rPr>
      </w:pPr>
      <w:r>
        <w:rPr>
          <w:rFonts w:ascii="Arial" w:cs="Arial" w:eastAsia="Arial" w:hAnsi="Arial"/>
          <w:sz w:val="15"/>
          <w:szCs w:val="15"/>
          <w:color w:val="auto"/>
        </w:rPr>
        <w:t>All transactions with related parties are made in accordance with normal market conditions available to other customers. At December 31, 2016, direct loans to related companies are secured by collaterals, had maturities between January 2017 and September 2026 at an annual average interest rate of 5.76 percent (at December 31, 2015 they had maturities between January 2016 and October 2023 and bore an annual average interest rate of 7.07 percent). Also, at December 31, 2016 and 2015, the Group maintains an allowance for loan losses to related parties amounting to S/1.6 million and S/2.7 million, respectively.</w:t>
      </w:r>
    </w:p>
    <w:p>
      <w:pPr>
        <w:spacing w:after="0" w:line="150" w:lineRule="exact"/>
        <w:rPr>
          <w:rFonts w:ascii="Arial" w:cs="Arial" w:eastAsia="Arial" w:hAnsi="Arial"/>
          <w:sz w:val="15"/>
          <w:szCs w:val="15"/>
          <w:color w:val="auto"/>
        </w:rPr>
      </w:pPr>
    </w:p>
    <w:p>
      <w:pPr>
        <w:ind w:left="283" w:right="60" w:hanging="283"/>
        <w:spacing w:after="0" w:line="261" w:lineRule="auto"/>
        <w:tabs>
          <w:tab w:leader="none" w:pos="28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At December 31, 2016 and 2015, directors, officers and employees of the Group have been involved, directly and indirectly, in credit transactions with certain subsidiaries of the Group, as permitted by Peruvian Banking and Insurance Law Nº26702, which regulates and limits certain transactions with employees, directors and officers of a bank or an insurance company. At December 31, 2016 and 2015, direct loans to employees, directors, key management and family members amounted to S/1015.9 and S/1037.5 million, respectively; they are repaid monthly and earn interest at market rates.</w:t>
      </w:r>
    </w:p>
    <w:p>
      <w:pPr>
        <w:spacing w:after="0" w:line="166"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There are no loans to the Group’s directors and key personnel that have been secured with shares of Credicorp or of other Group subsidiaries.</w:t>
      </w:r>
    </w:p>
    <w:p>
      <w:pPr>
        <w:spacing w:after="0" w:line="202" w:lineRule="exact"/>
        <w:rPr>
          <w:rFonts w:ascii="Arial" w:cs="Arial" w:eastAsia="Arial" w:hAnsi="Arial"/>
          <w:sz w:val="16"/>
          <w:szCs w:val="16"/>
          <w:color w:val="auto"/>
        </w:rPr>
      </w:pPr>
    </w:p>
    <w:p>
      <w:pPr>
        <w:ind w:left="283" w:hanging="283"/>
        <w:spacing w:after="0"/>
        <w:tabs>
          <w:tab w:leader="none" w:pos="283"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Group’s key executives’ compensation (including the related income taxes assumed by the Group) as of December 31, 2016, 2015 and 2014 was as follows:</w:t>
      </w:r>
    </w:p>
    <w:p>
      <w:pPr>
        <w:spacing w:after="0" w:line="222" w:lineRule="exact"/>
        <w:rPr>
          <w:sz w:val="20"/>
          <w:szCs w:val="20"/>
          <w:color w:val="auto"/>
        </w:rPr>
      </w:pPr>
    </w:p>
    <w:tbl>
      <w:tblPr>
        <w:tblLayout w:type="fixed"/>
        <w:tblInd w:w="283" w:type="dxa"/>
        <w:tblCellMar>
          <w:top w:w="0" w:type="dxa"/>
          <w:left w:w="0" w:type="dxa"/>
          <w:bottom w:w="0" w:type="dxa"/>
          <w:right w:w="0" w:type="dxa"/>
        </w:tblCellMar>
      </w:tblPr>
      <w:tr>
        <w:trPr>
          <w:trHeight w:val="210"/>
        </w:trPr>
        <w:tc>
          <w:tcPr>
            <w:tcW w:w="6860" w:type="dxa"/>
            <w:vAlign w:val="bottom"/>
            <w:gridSpan w:val="2"/>
          </w:tcPr>
          <w:p>
            <w:pPr>
              <w:ind w:left="6180"/>
              <w:spacing w:after="0"/>
              <w:rPr>
                <w:sz w:val="20"/>
                <w:szCs w:val="20"/>
                <w:color w:val="auto"/>
              </w:rPr>
            </w:pPr>
            <w:r>
              <w:rPr>
                <w:rFonts w:ascii="Arial" w:cs="Arial" w:eastAsia="Arial" w:hAnsi="Arial"/>
                <w:sz w:val="16"/>
                <w:szCs w:val="16"/>
                <w:b w:val="1"/>
                <w:bCs w:val="1"/>
                <w:color w:val="auto"/>
              </w:rPr>
              <w:t>2016</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r>
      <w:tr>
        <w:trPr>
          <w:trHeight w:val="202"/>
        </w:trPr>
        <w:tc>
          <w:tcPr>
            <w:tcW w:w="6180" w:type="dxa"/>
            <w:vAlign w:val="bottom"/>
          </w:tcPr>
          <w:p>
            <w:pPr>
              <w:spacing w:after="0"/>
              <w:rPr>
                <w:sz w:val="17"/>
                <w:szCs w:val="17"/>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r>
      <w:tr>
        <w:trPr>
          <w:trHeight w:val="177"/>
        </w:trPr>
        <w:tc>
          <w:tcPr>
            <w:tcW w:w="6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6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Salaries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29,855</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24,587</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15,168</w:t>
            </w:r>
          </w:p>
        </w:tc>
      </w:tr>
      <w:tr>
        <w:trPr>
          <w:trHeight w:val="205"/>
        </w:trPr>
        <w:tc>
          <w:tcPr>
            <w:tcW w:w="6860" w:type="dxa"/>
            <w:vAlign w:val="bottom"/>
            <w:gridSpan w:val="2"/>
          </w:tcPr>
          <w:p>
            <w:pPr>
              <w:spacing w:after="0"/>
              <w:rPr>
                <w:sz w:val="20"/>
                <w:szCs w:val="20"/>
                <w:color w:val="auto"/>
              </w:rPr>
            </w:pPr>
            <w:r>
              <w:rPr>
                <w:rFonts w:ascii="Arial" w:cs="Arial" w:eastAsia="Arial" w:hAnsi="Arial"/>
                <w:sz w:val="16"/>
                <w:szCs w:val="16"/>
                <w:color w:val="auto"/>
              </w:rPr>
              <w:t>Directors’ fees</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6,045</w:t>
            </w:r>
          </w:p>
        </w:tc>
        <w:tc>
          <w:tcPr>
            <w:tcW w:w="1740" w:type="dxa"/>
            <w:vAlign w:val="bottom"/>
            <w:gridSpan w:val="3"/>
          </w:tcPr>
          <w:p>
            <w:pPr>
              <w:jc w:val="right"/>
              <w:ind w:right="220"/>
              <w:spacing w:after="0"/>
              <w:rPr>
                <w:sz w:val="20"/>
                <w:szCs w:val="20"/>
                <w:color w:val="auto"/>
              </w:rPr>
            </w:pPr>
            <w:r>
              <w:rPr>
                <w:rFonts w:ascii="Arial" w:cs="Arial" w:eastAsia="Arial" w:hAnsi="Arial"/>
                <w:sz w:val="16"/>
                <w:szCs w:val="16"/>
                <w:color w:val="auto"/>
              </w:rPr>
              <w:t>6,692</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5,457</w:t>
            </w:r>
          </w:p>
        </w:tc>
      </w:tr>
      <w:tr>
        <w:trPr>
          <w:trHeight w:val="185"/>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6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35,900</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31,279</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20,625</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1" w:lineRule="exact"/>
        <w:rPr>
          <w:sz w:val="20"/>
          <w:szCs w:val="20"/>
          <w:color w:val="auto"/>
        </w:rPr>
      </w:pPr>
    </w:p>
    <w:p>
      <w:pPr>
        <w:ind w:left="283"/>
        <w:spacing w:after="0"/>
        <w:rPr>
          <w:sz w:val="20"/>
          <w:szCs w:val="20"/>
          <w:color w:val="auto"/>
        </w:rPr>
      </w:pPr>
      <w:r>
        <w:rPr>
          <w:rFonts w:ascii="Arial" w:cs="Arial" w:eastAsia="Arial" w:hAnsi="Arial"/>
          <w:sz w:val="14"/>
          <w:szCs w:val="14"/>
          <w:color w:val="auto"/>
        </w:rPr>
        <w:t>Additionally, approximately S/18.3 million of stock awards vested at December 31, 2016 (S/16.1 million and S/15.1 million at December 31, 2015 and 2014, respectively).</w:t>
      </w:r>
    </w:p>
    <w:p>
      <w:pPr>
        <w:spacing w:after="0" w:line="45"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related income tax is assumed by the Group.</w:t>
      </w:r>
    </w:p>
    <w:p>
      <w:pPr>
        <w:spacing w:after="0" w:line="384" w:lineRule="exact"/>
        <w:rPr>
          <w:sz w:val="20"/>
          <w:szCs w:val="20"/>
          <w:color w:val="auto"/>
        </w:rPr>
      </w:pPr>
    </w:p>
    <w:p>
      <w:pPr>
        <w:jc w:val="center"/>
        <w:ind w:right="-102"/>
        <w:spacing w:after="0"/>
        <w:rPr>
          <w:sz w:val="20"/>
          <w:szCs w:val="20"/>
          <w:color w:val="auto"/>
        </w:rPr>
      </w:pPr>
      <w:r>
        <w:rPr>
          <w:rFonts w:ascii="Arial" w:cs="Arial" w:eastAsia="Arial" w:hAnsi="Arial"/>
          <w:sz w:val="16"/>
          <w:szCs w:val="16"/>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43"/>
          </w:cols>
          <w:pgMar w:left="237" w:top="824" w:right="319" w:bottom="1440" w:gutter="0" w:footer="0" w:header="0"/>
        </w:sectPr>
      </w:pPr>
    </w:p>
    <w:bookmarkStart w:id="115" w:name="page116"/>
    <w:bookmarkEnd w:id="115"/>
    <w:p>
      <w:pPr>
        <w:ind w:left="283" w:right="400" w:hanging="283"/>
        <w:spacing w:after="0" w:line="280" w:lineRule="auto"/>
        <w:tabs>
          <w:tab w:leader="none" w:pos="2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At December 31, 2015 and 2014 the Group holds interests in various mutual funds and hedge funds managed by certain of the Group’s Subsidiaries; those interests are classified as trading securities or available-for-sale investments. The detail is the following:</w:t>
      </w:r>
    </w:p>
    <w:p>
      <w:pPr>
        <w:spacing w:after="0" w:line="159"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8500" w:type="dxa"/>
            <w:vAlign w:val="bottom"/>
            <w:gridSpan w:val="2"/>
          </w:tcPr>
          <w:p>
            <w:pPr>
              <w:ind w:left="7820"/>
              <w:spacing w:after="0"/>
              <w:rPr>
                <w:sz w:val="20"/>
                <w:szCs w:val="20"/>
                <w:color w:val="auto"/>
              </w:rPr>
            </w:pPr>
            <w:r>
              <w:rPr>
                <w:rFonts w:ascii="Arial" w:cs="Arial" w:eastAsia="Arial" w:hAnsi="Arial"/>
                <w:sz w:val="16"/>
                <w:szCs w:val="16"/>
                <w:b w:val="1"/>
                <w:bCs w:val="1"/>
                <w:color w:val="auto"/>
              </w:rPr>
              <w:t>2016</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28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7"/>
        </w:trPr>
        <w:tc>
          <w:tcPr>
            <w:tcW w:w="28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3"/>
        </w:trPr>
        <w:tc>
          <w:tcPr>
            <w:tcW w:w="280" w:type="dxa"/>
            <w:vAlign w:val="bottom"/>
          </w:tcPr>
          <w:p>
            <w:pPr>
              <w:spacing w:after="0"/>
              <w:rPr>
                <w:sz w:val="16"/>
                <w:szCs w:val="16"/>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Held-for-trading and available-for-sale investments</w:t>
            </w: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Mutual funds - U.S. dollars</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26,850</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11,067</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Mutual funds – Bolivianos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11,735</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59,024</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Mutual funds - Chilean pesos</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1,899</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Mutual funds – Soles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1,254</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r>
      <w:tr>
        <w:trPr>
          <w:trHeight w:val="185"/>
        </w:trPr>
        <w:tc>
          <w:tcPr>
            <w:tcW w:w="280" w:type="dxa"/>
            <w:vAlign w:val="bottom"/>
          </w:tcPr>
          <w:p>
            <w:pPr>
              <w:spacing w:after="0"/>
              <w:rPr>
                <w:sz w:val="16"/>
                <w:szCs w:val="16"/>
                <w:color w:val="auto"/>
              </w:rPr>
            </w:pPr>
          </w:p>
        </w:tc>
        <w:tc>
          <w:tcPr>
            <w:tcW w:w="7820" w:type="dxa"/>
            <w:vAlign w:val="bottom"/>
          </w:tcPr>
          <w:p>
            <w:pPr>
              <w:spacing w:after="0"/>
              <w:rPr>
                <w:sz w:val="20"/>
                <w:szCs w:val="20"/>
                <w:color w:val="auto"/>
              </w:rPr>
            </w:pPr>
            <w:r>
              <w:rPr>
                <w:rFonts w:ascii="Arial" w:cs="Arial" w:eastAsia="Arial" w:hAnsi="Arial"/>
                <w:sz w:val="16"/>
                <w:szCs w:val="16"/>
                <w:color w:val="auto"/>
              </w:rPr>
              <w:t>Total</w:t>
            </w:r>
          </w:p>
        </w:tc>
        <w:tc>
          <w:tcPr>
            <w:tcW w:w="6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41,738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70,091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572"/>
        </w:trPr>
        <w:tc>
          <w:tcPr>
            <w:tcW w:w="28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ind w:left="5240"/>
              <w:spacing w:after="0"/>
              <w:rPr>
                <w:sz w:val="20"/>
                <w:szCs w:val="20"/>
                <w:color w:val="auto"/>
              </w:rPr>
            </w:pPr>
            <w:r>
              <w:rPr>
                <w:rFonts w:ascii="Arial" w:cs="Arial" w:eastAsia="Arial" w:hAnsi="Arial"/>
                <w:sz w:val="16"/>
                <w:szCs w:val="16"/>
                <w:color w:val="auto"/>
              </w:rPr>
              <w:t>- 111 -</w:t>
            </w: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3"/>
          </w:cols>
          <w:pgMar w:left="237" w:top="828" w:right="219" w:bottom="1440" w:gutter="0" w:footer="0" w:header="0"/>
        </w:sectPr>
      </w:pPr>
    </w:p>
    <w:bookmarkStart w:id="116" w:name="page117"/>
    <w:bookmarkEnd w:id="116"/>
    <w:p>
      <w:pPr>
        <w:spacing w:after="0"/>
        <w:tabs>
          <w:tab w:leader="none" w:pos="560"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6"/>
          <w:szCs w:val="16"/>
          <w:b w:val="1"/>
          <w:bCs w:val="1"/>
          <w:color w:val="auto"/>
        </w:rPr>
        <w:t>FINANCIAL INSTRUMENTS CLASSIFICATION</w:t>
      </w:r>
    </w:p>
    <w:p>
      <w:pPr>
        <w:spacing w:after="0" w:line="207"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The table below shows the carrying amounts of the financial assets and liabilities captions in the consolidated statement of financial position, by categories as defined under IAS 39: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40" w:type="dxa"/>
            <w:vAlign w:val="bottom"/>
            <w:gridSpan w:val="5"/>
          </w:tcPr>
          <w:p>
            <w:pPr>
              <w:ind w:left="20"/>
              <w:spacing w:after="0"/>
              <w:rPr>
                <w:sz w:val="20"/>
                <w:szCs w:val="20"/>
                <w:color w:val="auto"/>
              </w:rPr>
            </w:pPr>
            <w:r>
              <w:rPr>
                <w:rFonts w:ascii="Arial" w:cs="Arial" w:eastAsia="Arial" w:hAnsi="Arial"/>
                <w:sz w:val="13"/>
                <w:szCs w:val="13"/>
                <w:b w:val="1"/>
                <w:bCs w:val="1"/>
                <w:color w:val="auto"/>
              </w:rPr>
              <w:t>At December 31, 2016</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8"/>
          </w:tcPr>
          <w:p>
            <w:pPr>
              <w:spacing w:after="0"/>
              <w:rPr>
                <w:sz w:val="20"/>
                <w:szCs w:val="20"/>
                <w:color w:val="auto"/>
              </w:rPr>
            </w:pPr>
            <w:r>
              <w:rPr>
                <w:rFonts w:ascii="Arial" w:cs="Arial" w:eastAsia="Arial" w:hAnsi="Arial"/>
                <w:sz w:val="13"/>
                <w:szCs w:val="13"/>
                <w:b w:val="1"/>
                <w:bCs w:val="1"/>
                <w:color w:val="auto"/>
              </w:rPr>
              <w:t>Al 31 de diciembre de 2015</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tcBorders>
              <w:top w:val="single" w:sz="8" w:color="auto"/>
            </w:tcBorders>
            <w:gridSpan w:val="4"/>
          </w:tcPr>
          <w:p>
            <w:pPr>
              <w:spacing w:after="0" w:line="105" w:lineRule="exact"/>
              <w:rPr>
                <w:sz w:val="20"/>
                <w:szCs w:val="20"/>
                <w:color w:val="auto"/>
              </w:rPr>
            </w:pPr>
            <w:r>
              <w:rPr>
                <w:rFonts w:ascii="Arial" w:cs="Arial" w:eastAsia="Arial" w:hAnsi="Arial"/>
                <w:sz w:val="12"/>
                <w:szCs w:val="12"/>
                <w:b w:val="1"/>
                <w:bCs w:val="1"/>
                <w:color w:val="auto"/>
              </w:rPr>
              <w:t>Financial assets and</w:t>
            </w:r>
          </w:p>
        </w:tc>
        <w:tc>
          <w:tcPr>
            <w:tcW w:w="7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Borders>
              <w:top w:val="single" w:sz="8" w:color="auto"/>
            </w:tcBorders>
            <w:gridSpan w:val="5"/>
          </w:tcPr>
          <w:p>
            <w:pPr>
              <w:spacing w:after="0" w:line="105" w:lineRule="exact"/>
              <w:rPr>
                <w:sz w:val="20"/>
                <w:szCs w:val="20"/>
                <w:color w:val="auto"/>
              </w:rPr>
            </w:pPr>
            <w:r>
              <w:rPr>
                <w:rFonts w:ascii="Arial" w:cs="Arial" w:eastAsia="Arial" w:hAnsi="Arial"/>
                <w:sz w:val="12"/>
                <w:szCs w:val="12"/>
                <w:b w:val="1"/>
                <w:bCs w:val="1"/>
                <w:color w:val="auto"/>
              </w:rPr>
              <w:t>Financial assets and</w:t>
            </w:r>
          </w:p>
        </w:tc>
        <w:tc>
          <w:tcPr>
            <w:tcW w:w="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40" w:type="dxa"/>
            <w:vAlign w:val="bottom"/>
            <w:gridSpan w:val="5"/>
          </w:tcPr>
          <w:p>
            <w:pPr>
              <w:ind w:left="20"/>
              <w:spacing w:after="0" w:line="133" w:lineRule="exact"/>
              <w:rPr>
                <w:sz w:val="20"/>
                <w:szCs w:val="20"/>
                <w:color w:val="auto"/>
              </w:rPr>
            </w:pPr>
            <w:r>
              <w:rPr>
                <w:rFonts w:ascii="Arial" w:cs="Arial" w:eastAsia="Arial" w:hAnsi="Arial"/>
                <w:sz w:val="13"/>
                <w:szCs w:val="13"/>
                <w:b w:val="1"/>
                <w:bCs w:val="1"/>
                <w:color w:val="auto"/>
              </w:rPr>
              <w:t>liabilities measured at</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5"/>
          </w:tcPr>
          <w:p>
            <w:pPr>
              <w:spacing w:after="0" w:line="133" w:lineRule="exact"/>
              <w:rPr>
                <w:sz w:val="20"/>
                <w:szCs w:val="20"/>
                <w:color w:val="auto"/>
              </w:rPr>
            </w:pPr>
            <w:r>
              <w:rPr>
                <w:rFonts w:ascii="Arial" w:cs="Arial" w:eastAsia="Arial" w:hAnsi="Arial"/>
                <w:sz w:val="13"/>
                <w:szCs w:val="13"/>
                <w:b w:val="1"/>
                <w:bCs w:val="1"/>
                <w:color w:val="auto"/>
              </w:rPr>
              <w:t>liabilities measured at</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fair</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value</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Investments</w:t>
            </w: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2"/>
              </w:rPr>
              <w:t>Investments</w:t>
            </w:r>
          </w:p>
        </w:tc>
        <w:tc>
          <w:tcPr>
            <w:tcW w:w="8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Liabilities at</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value</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Investments</w:t>
            </w:r>
          </w:p>
        </w:tc>
        <w:tc>
          <w:tcPr>
            <w:tcW w:w="74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4"/>
              </w:rPr>
              <w:t>Investments</w:t>
            </w:r>
          </w:p>
        </w:tc>
        <w:tc>
          <w:tcPr>
            <w:tcW w:w="9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Liabilities at</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top w:val="single" w:sz="8" w:color="auto"/>
            </w:tcBorders>
            <w:gridSpan w:val="2"/>
          </w:tcPr>
          <w:p>
            <w:pPr>
              <w:spacing w:after="0" w:line="105" w:lineRule="exact"/>
              <w:rPr>
                <w:sz w:val="20"/>
                <w:szCs w:val="20"/>
                <w:color w:val="auto"/>
              </w:rPr>
            </w:pPr>
            <w:r>
              <w:rPr>
                <w:rFonts w:ascii="Arial" w:cs="Arial" w:eastAsia="Arial" w:hAnsi="Arial"/>
                <w:sz w:val="12"/>
                <w:szCs w:val="12"/>
                <w:b w:val="1"/>
                <w:bCs w:val="1"/>
                <w:color w:val="auto"/>
              </w:rPr>
              <w:t>Held for</w:t>
            </w:r>
          </w:p>
        </w:tc>
        <w:tc>
          <w:tcPr>
            <w:tcW w:w="640" w:type="dxa"/>
            <w:vAlign w:val="bottom"/>
            <w:tcBorders>
              <w:top w:val="single" w:sz="8" w:color="auto"/>
            </w:tcBorders>
            <w:vMerge w:val="restart"/>
          </w:tcPr>
          <w:p>
            <w:pPr>
              <w:spacing w:after="0"/>
              <w:rPr>
                <w:sz w:val="20"/>
                <w:szCs w:val="20"/>
                <w:color w:val="auto"/>
              </w:rPr>
            </w:pPr>
            <w:r>
              <w:rPr>
                <w:rFonts w:ascii="Arial" w:cs="Arial" w:eastAsia="Arial" w:hAnsi="Arial"/>
                <w:sz w:val="13"/>
                <w:szCs w:val="13"/>
                <w:b w:val="1"/>
                <w:bCs w:val="1"/>
                <w:color w:val="auto"/>
                <w:w w:val="88"/>
              </w:rPr>
              <w:t>Designated</w:t>
            </w:r>
          </w:p>
        </w:tc>
        <w:tc>
          <w:tcPr>
            <w:tcW w:w="60" w:type="dxa"/>
            <w:vAlign w:val="bottom"/>
            <w:vMerge w:val="restart"/>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Loans and</w:t>
            </w:r>
          </w:p>
        </w:tc>
        <w:tc>
          <w:tcPr>
            <w:tcW w:w="820" w:type="dxa"/>
            <w:vAlign w:val="bottom"/>
            <w:gridSpan w:val="3"/>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top w:val="single" w:sz="8" w:color="auto"/>
            </w:tcBorders>
            <w:gridSpan w:val="2"/>
          </w:tcPr>
          <w:p>
            <w:pPr>
              <w:spacing w:after="0" w:line="105" w:lineRule="exact"/>
              <w:rPr>
                <w:sz w:val="20"/>
                <w:szCs w:val="20"/>
                <w:color w:val="auto"/>
              </w:rPr>
            </w:pPr>
            <w:r>
              <w:rPr>
                <w:rFonts w:ascii="Arial" w:cs="Arial" w:eastAsia="Arial" w:hAnsi="Arial"/>
                <w:sz w:val="12"/>
                <w:szCs w:val="12"/>
                <w:b w:val="1"/>
                <w:bCs w:val="1"/>
                <w:color w:val="auto"/>
              </w:rPr>
              <w:t>Held for</w:t>
            </w:r>
          </w:p>
        </w:tc>
        <w:tc>
          <w:tcPr>
            <w:tcW w:w="6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w w:val="88"/>
              </w:rPr>
              <w:t>Designated</w:t>
            </w:r>
          </w:p>
        </w:tc>
        <w:tc>
          <w:tcPr>
            <w:tcW w:w="40" w:type="dxa"/>
            <w:vAlign w:val="bottom"/>
            <w:vMerge w:val="restart"/>
          </w:tcPr>
          <w:p>
            <w:pPr>
              <w:spacing w:after="0"/>
              <w:rPr>
                <w:sz w:val="9"/>
                <w:szCs w:val="9"/>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Loans and</w:t>
            </w:r>
          </w:p>
        </w:tc>
        <w:tc>
          <w:tcPr>
            <w:tcW w:w="78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trading or</w:t>
            </w:r>
          </w:p>
        </w:tc>
        <w:tc>
          <w:tcPr>
            <w:tcW w:w="6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available</w:t>
            </w:r>
          </w:p>
        </w:tc>
        <w:tc>
          <w:tcPr>
            <w:tcW w:w="7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held-to-</w:t>
            </w:r>
          </w:p>
        </w:tc>
        <w:tc>
          <w:tcPr>
            <w:tcW w:w="860" w:type="dxa"/>
            <w:vAlign w:val="bottom"/>
            <w:gridSpan w:val="3"/>
          </w:tcPr>
          <w:p>
            <w:pPr>
              <w:ind w:left="40"/>
              <w:spacing w:after="0" w:line="133" w:lineRule="exact"/>
              <w:rPr>
                <w:sz w:val="20"/>
                <w:szCs w:val="20"/>
                <w:color w:val="auto"/>
              </w:rPr>
            </w:pPr>
            <w:r>
              <w:rPr>
                <w:rFonts w:ascii="Arial" w:cs="Arial" w:eastAsia="Arial" w:hAnsi="Arial"/>
                <w:sz w:val="13"/>
                <w:szCs w:val="13"/>
                <w:b w:val="1"/>
                <w:bCs w:val="1"/>
                <w:color w:val="auto"/>
              </w:rPr>
              <w:t>amortized</w:t>
            </w:r>
          </w:p>
        </w:tc>
        <w:tc>
          <w:tcPr>
            <w:tcW w:w="800" w:type="dxa"/>
            <w:vAlign w:val="bottom"/>
            <w:gridSpan w:val="3"/>
            <w:vMerge w:val="restart"/>
          </w:tcPr>
          <w:p>
            <w:pPr>
              <w:jc w:val="right"/>
              <w:ind w:right="480"/>
              <w:spacing w:after="0"/>
              <w:rPr>
                <w:sz w:val="20"/>
                <w:szCs w:val="20"/>
                <w:color w:val="auto"/>
              </w:rPr>
            </w:pPr>
            <w:r>
              <w:rPr>
                <w:rFonts w:ascii="Arial" w:cs="Arial" w:eastAsia="Arial" w:hAnsi="Arial"/>
                <w:sz w:val="13"/>
                <w:szCs w:val="13"/>
                <w:b w:val="1"/>
                <w:bCs w:val="1"/>
                <w:color w:val="auto"/>
                <w:w w:val="96"/>
              </w:rPr>
              <w:t>Total</w:t>
            </w:r>
          </w:p>
        </w:tc>
        <w:tc>
          <w:tcPr>
            <w:tcW w:w="6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trading or</w:t>
            </w:r>
          </w:p>
        </w:tc>
        <w:tc>
          <w:tcPr>
            <w:tcW w:w="660" w:type="dxa"/>
            <w:vAlign w:val="bottom"/>
            <w:gridSpan w:val="2"/>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available</w:t>
            </w:r>
          </w:p>
        </w:tc>
        <w:tc>
          <w:tcPr>
            <w:tcW w:w="7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held-to-</w:t>
            </w:r>
          </w:p>
        </w:tc>
        <w:tc>
          <w:tcPr>
            <w:tcW w:w="90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amortized</w:t>
            </w:r>
          </w:p>
        </w:tc>
        <w:tc>
          <w:tcPr>
            <w:tcW w:w="7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hedging</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93"/>
              </w:rPr>
              <w:t>at inception</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receivables</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rPr>
              <w:t>for-sale</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maturity</w:t>
            </w: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cost</w:t>
            </w:r>
          </w:p>
        </w:tc>
        <w:tc>
          <w:tcPr>
            <w:tcW w:w="800" w:type="dxa"/>
            <w:vAlign w:val="bottom"/>
            <w:gridSpan w:val="3"/>
            <w:vMerge w:val="continue"/>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hedging</w:t>
            </w: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w w:val="90"/>
              </w:rPr>
              <w:t>at inception</w:t>
            </w:r>
          </w:p>
        </w:tc>
        <w:tc>
          <w:tcPr>
            <w:tcW w:w="800" w:type="dxa"/>
            <w:vAlign w:val="bottom"/>
            <w:gridSpan w:val="3"/>
          </w:tcPr>
          <w:p>
            <w:pPr>
              <w:ind w:left="40"/>
              <w:spacing w:after="0"/>
              <w:rPr>
                <w:sz w:val="20"/>
                <w:szCs w:val="20"/>
                <w:color w:val="auto"/>
              </w:rPr>
            </w:pPr>
            <w:r>
              <w:rPr>
                <w:rFonts w:ascii="Arial" w:cs="Arial" w:eastAsia="Arial" w:hAnsi="Arial"/>
                <w:sz w:val="13"/>
                <w:szCs w:val="13"/>
                <w:b w:val="1"/>
                <w:bCs w:val="1"/>
                <w:color w:val="auto"/>
              </w:rPr>
              <w:t>receivables</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for-sale</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maturity</w:t>
            </w: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cost</w:t>
            </w:r>
          </w:p>
        </w:tc>
        <w:tc>
          <w:tcPr>
            <w:tcW w:w="7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0"/>
                <w:szCs w:val="10"/>
                <w:color w:val="auto"/>
              </w:rPr>
            </w:pPr>
          </w:p>
        </w:tc>
        <w:tc>
          <w:tcPr>
            <w:tcW w:w="68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jc w:val="right"/>
              <w:ind w:right="236"/>
              <w:spacing w:after="0" w:line="125" w:lineRule="exact"/>
              <w:rPr>
                <w:sz w:val="20"/>
                <w:szCs w:val="20"/>
                <w:color w:val="auto"/>
              </w:rPr>
            </w:pPr>
            <w:r>
              <w:rPr>
                <w:rFonts w:ascii="Arial" w:cs="Arial" w:eastAsia="Arial" w:hAnsi="Arial"/>
                <w:sz w:val="13"/>
                <w:szCs w:val="13"/>
                <w:b w:val="1"/>
                <w:bCs w:val="1"/>
                <w:color w:val="auto"/>
                <w:w w:val="84"/>
              </w:rPr>
              <w:t>S/(000)</w:t>
            </w: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0"/>
                <w:szCs w:val="10"/>
                <w:color w:val="auto"/>
              </w:rPr>
            </w:pPr>
          </w:p>
        </w:tc>
        <w:tc>
          <w:tcPr>
            <w:tcW w:w="68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Assets</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7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3"/>
              </w:rPr>
              <w:t>Cash and due</w:t>
            </w: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from banks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16,645,769</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16,645,769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22,391,744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22,391,744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tcPr>
          <w:p>
            <w:pPr>
              <w:spacing w:after="0" w:line="117" w:lineRule="exact"/>
              <w:rPr>
                <w:sz w:val="20"/>
                <w:szCs w:val="20"/>
                <w:color w:val="auto"/>
              </w:rPr>
            </w:pPr>
            <w:r>
              <w:rPr>
                <w:rFonts w:ascii="Arial" w:cs="Arial" w:eastAsia="Arial" w:hAnsi="Arial"/>
                <w:sz w:val="13"/>
                <w:szCs w:val="13"/>
                <w:color w:val="auto"/>
              </w:rPr>
              <w:t>Cash</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Arial" w:cs="Arial" w:eastAsia="Arial" w:hAnsi="Arial"/>
                <w:sz w:val="13"/>
                <w:szCs w:val="13"/>
                <w:color w:val="auto"/>
              </w:rPr>
              <w:t>collateral,</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Arial" w:cs="Arial" w:eastAsia="Arial" w:hAnsi="Arial"/>
                <w:sz w:val="13"/>
                <w:szCs w:val="13"/>
                <w:color w:val="auto"/>
              </w:rPr>
              <w:t>reverse</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Arial" w:cs="Arial" w:eastAsia="Arial" w:hAnsi="Arial"/>
                <w:sz w:val="13"/>
                <w:szCs w:val="13"/>
                <w:color w:val="auto"/>
              </w:rPr>
              <w:t>repurchase</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Arial" w:cs="Arial" w:eastAsia="Arial" w:hAnsi="Arial"/>
                <w:sz w:val="13"/>
                <w:szCs w:val="13"/>
                <w:color w:val="auto"/>
              </w:rPr>
              <w:t>agreements</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Arial" w:cs="Arial" w:eastAsia="Arial" w:hAnsi="Arial"/>
                <w:sz w:val="13"/>
                <w:szCs w:val="13"/>
                <w:color w:val="auto"/>
                <w:w w:val="97"/>
              </w:rPr>
              <w:t>and securities</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3"/>
                <w:szCs w:val="13"/>
                <w:color w:val="auto"/>
              </w:rPr>
              <w:t>borrowings</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10,919,624</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10,919,624</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11,026,698</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3"/>
                <w:szCs w:val="13"/>
                <w:color w:val="auto"/>
              </w:rPr>
              <w:t>11,026,698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Trading</w:t>
            </w: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securities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4,015,019</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4,015,019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2,323,096</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2,323,096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tcPr>
          <w:p>
            <w:pPr>
              <w:spacing w:after="0" w:line="117" w:lineRule="exact"/>
              <w:rPr>
                <w:sz w:val="20"/>
                <w:szCs w:val="20"/>
                <w:color w:val="auto"/>
              </w:rPr>
            </w:pPr>
            <w:r>
              <w:rPr>
                <w:rFonts w:ascii="Arial" w:cs="Arial" w:eastAsia="Arial" w:hAnsi="Arial"/>
                <w:sz w:val="13"/>
                <w:szCs w:val="13"/>
                <w:color w:val="auto"/>
                <w:w w:val="99"/>
              </w:rPr>
              <w:t>Available-for-</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Arial" w:cs="Arial" w:eastAsia="Arial" w:hAnsi="Arial"/>
                <w:sz w:val="13"/>
                <w:szCs w:val="13"/>
                <w:color w:val="auto"/>
              </w:rPr>
              <w:t>sale</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3"/>
                <w:szCs w:val="13"/>
                <w:color w:val="auto"/>
              </w:rPr>
              <w:t>investments</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18,685,667</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18,685,667</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18,768,921</w:t>
            </w:r>
          </w:p>
        </w:tc>
        <w:tc>
          <w:tcPr>
            <w:tcW w:w="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18,768,921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Held-to-</w:t>
            </w: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maturity</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Investments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5,118,420</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5,118,420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3,582,129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3,582,129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3"/>
                <w:szCs w:val="13"/>
                <w:color w:val="auto"/>
              </w:rPr>
              <w:t>Loans, net</w:t>
            </w:r>
          </w:p>
        </w:tc>
        <w:tc>
          <w:tcPr>
            <w:tcW w:w="66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90,561,768</w:t>
            </w:r>
          </w:p>
        </w:tc>
        <w:tc>
          <w:tcPr>
            <w:tcW w:w="820" w:type="dxa"/>
            <w:vAlign w:val="bottom"/>
            <w:gridSpan w:val="3"/>
          </w:tcPr>
          <w:p>
            <w:pPr>
              <w:jc w:val="right"/>
              <w:ind w:right="80"/>
              <w:spacing w:after="0" w:line="133"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4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line="133" w:lineRule="exact"/>
              <w:rPr>
                <w:sz w:val="20"/>
                <w:szCs w:val="20"/>
                <w:color w:val="auto"/>
              </w:rPr>
            </w:pPr>
            <w:r>
              <w:rPr>
                <w:rFonts w:ascii="Arial" w:cs="Arial" w:eastAsia="Arial" w:hAnsi="Arial"/>
                <w:sz w:val="13"/>
                <w:szCs w:val="13"/>
                <w:color w:val="auto"/>
              </w:rPr>
              <w:t>90,561,768</w:t>
            </w:r>
          </w:p>
        </w:tc>
        <w:tc>
          <w:tcPr>
            <w:tcW w:w="68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4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line="133" w:lineRule="exact"/>
              <w:rPr>
                <w:sz w:val="20"/>
                <w:szCs w:val="20"/>
                <w:color w:val="auto"/>
              </w:rPr>
            </w:pPr>
            <w:r>
              <w:rPr>
                <w:rFonts w:ascii="Arial" w:cs="Arial" w:eastAsia="Arial" w:hAnsi="Arial"/>
                <w:sz w:val="13"/>
                <w:szCs w:val="13"/>
                <w:color w:val="auto"/>
              </w:rPr>
              <w:t>86,488,162</w:t>
            </w:r>
          </w:p>
        </w:tc>
        <w:tc>
          <w:tcPr>
            <w:tcW w:w="78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86,488,162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Financial</w:t>
            </w: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assets</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7"/>
              </w:rPr>
              <w:t>designated at</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fair value</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9"/>
              </w:rPr>
              <w:t>through profit</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or loss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459,099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459,099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350,328</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350,328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tcPr>
          <w:p>
            <w:pPr>
              <w:spacing w:after="0" w:line="117" w:lineRule="exact"/>
              <w:rPr>
                <w:sz w:val="20"/>
                <w:szCs w:val="20"/>
                <w:color w:val="auto"/>
              </w:rPr>
            </w:pPr>
            <w:r>
              <w:rPr>
                <w:rFonts w:ascii="Arial" w:cs="Arial" w:eastAsia="Arial" w:hAnsi="Arial"/>
                <w:sz w:val="13"/>
                <w:szCs w:val="13"/>
                <w:color w:val="auto"/>
                <w:w w:val="90"/>
              </w:rPr>
              <w:t>Premiums and</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Arial" w:cs="Arial" w:eastAsia="Arial" w:hAnsi="Arial"/>
                <w:sz w:val="13"/>
                <w:szCs w:val="13"/>
                <w:color w:val="auto"/>
              </w:rPr>
              <w:t>other policies</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3"/>
                <w:szCs w:val="13"/>
                <w:color w:val="auto"/>
              </w:rPr>
              <w:t>receivable</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643,224</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643,224</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648,017</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648,017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Accounts</w:t>
            </w: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receivable</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from</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1"/>
              </w:rPr>
              <w:t>reinsurers and</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coinsurers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454,187</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454,187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457,189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457,189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tcPr>
          <w:p>
            <w:pPr>
              <w:spacing w:after="0" w:line="117" w:lineRule="exact"/>
              <w:rPr>
                <w:sz w:val="20"/>
                <w:szCs w:val="20"/>
                <w:color w:val="auto"/>
              </w:rPr>
            </w:pPr>
            <w:r>
              <w:rPr>
                <w:rFonts w:ascii="Arial" w:cs="Arial" w:eastAsia="Arial" w:hAnsi="Arial"/>
                <w:sz w:val="13"/>
                <w:szCs w:val="13"/>
                <w:color w:val="auto"/>
              </w:rPr>
              <w:t>Due from</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Arial" w:cs="Arial" w:eastAsia="Arial" w:hAnsi="Arial"/>
                <w:sz w:val="13"/>
                <w:szCs w:val="13"/>
                <w:color w:val="auto"/>
                <w:w w:val="99"/>
              </w:rPr>
              <w:t>customers on</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3"/>
                <w:szCs w:val="13"/>
                <w:color w:val="auto"/>
              </w:rPr>
              <w:t>acceptances</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491,139</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491,139</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222,496</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222,496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8"/>
              </w:rPr>
              <w:t>Other assets,</w:t>
            </w: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note 12</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942,602</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1,286,082</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2,228,684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1,475,516</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1,769,789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3,245,305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4,957,621</w:t>
            </w:r>
          </w:p>
        </w:tc>
        <w:tc>
          <w:tcPr>
            <w:tcW w:w="8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459,099</w:t>
            </w:r>
          </w:p>
        </w:tc>
        <w:tc>
          <w:tcPr>
            <w:tcW w:w="6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w w:val="94"/>
              </w:rPr>
              <w:t>121,001,793</w:t>
            </w: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18,685,667</w:t>
            </w:r>
          </w:p>
        </w:tc>
        <w:tc>
          <w:tcPr>
            <w:tcW w:w="8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5,118,420</w:t>
            </w: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w w:val="91"/>
              </w:rPr>
              <w:t>150,222,600</w:t>
            </w:r>
          </w:p>
        </w:tc>
        <w:tc>
          <w:tcPr>
            <w:tcW w:w="8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3,798,612</w:t>
            </w: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350,328</w:t>
            </w: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w w:val="91"/>
              </w:rPr>
              <w:t>123,004,095</w:t>
            </w:r>
          </w:p>
        </w:tc>
        <w:tc>
          <w:tcPr>
            <w:tcW w:w="8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18,768,921</w:t>
            </w:r>
          </w:p>
        </w:tc>
        <w:tc>
          <w:tcPr>
            <w:tcW w:w="6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3,582,129</w:t>
            </w: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w w:val="91"/>
              </w:rPr>
              <w:t>149,504,085</w:t>
            </w: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3"/>
                <w:szCs w:val="13"/>
                <w:b w:val="1"/>
                <w:bCs w:val="1"/>
                <w:color w:val="auto"/>
              </w:rPr>
              <w:t>Liabilities</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780" w:type="dxa"/>
            <w:vAlign w:val="bottom"/>
          </w:tcPr>
          <w:p>
            <w:pPr>
              <w:spacing w:after="0" w:line="117" w:lineRule="exact"/>
              <w:rPr>
                <w:sz w:val="20"/>
                <w:szCs w:val="20"/>
                <w:color w:val="auto"/>
              </w:rPr>
            </w:pPr>
            <w:r>
              <w:rPr>
                <w:rFonts w:ascii="Arial" w:cs="Arial" w:eastAsia="Arial" w:hAnsi="Arial"/>
                <w:sz w:val="13"/>
                <w:szCs w:val="13"/>
                <w:color w:val="auto"/>
              </w:rPr>
              <w:t>Deposits and</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3"/>
                <w:szCs w:val="13"/>
                <w:color w:val="auto"/>
              </w:rPr>
              <w:t>obligations</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85,916,387</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85,916,387</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88,606,633</w:t>
            </w:r>
          </w:p>
        </w:tc>
        <w:tc>
          <w:tcPr>
            <w:tcW w:w="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88,606,633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1"/>
              </w:rPr>
              <w:t>Payables from</w:t>
            </w: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repurchase</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agreements</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and security</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lendings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15,127,999</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15,127,999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14,599,750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14,599,750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tcPr>
          <w:p>
            <w:pPr>
              <w:spacing w:after="0" w:line="117" w:lineRule="exact"/>
              <w:rPr>
                <w:sz w:val="20"/>
                <w:szCs w:val="20"/>
                <w:color w:val="auto"/>
              </w:rPr>
            </w:pPr>
            <w:r>
              <w:rPr>
                <w:rFonts w:ascii="Arial" w:cs="Arial" w:eastAsia="Arial" w:hAnsi="Arial"/>
                <w:sz w:val="13"/>
                <w:szCs w:val="13"/>
                <w:color w:val="auto"/>
                <w:w w:val="99"/>
              </w:rPr>
              <w:t>Due to banks</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Arial" w:cs="Arial" w:eastAsia="Arial" w:hAnsi="Arial"/>
                <w:sz w:val="13"/>
                <w:szCs w:val="13"/>
                <w:color w:val="auto"/>
              </w:rPr>
              <w:t>and</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3"/>
                <w:szCs w:val="13"/>
                <w:color w:val="auto"/>
                <w:w w:val="87"/>
              </w:rPr>
              <w:t>correspondents</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7,493,916</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7,493,916</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7,762,497</w:t>
            </w:r>
          </w:p>
        </w:tc>
        <w:tc>
          <w:tcPr>
            <w:tcW w:w="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7,762,497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Bankers’</w:t>
            </w: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acceptances</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outstanding</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491,139</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491,139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222,496</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222,496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tcPr>
          <w:p>
            <w:pPr>
              <w:spacing w:after="0" w:line="117" w:lineRule="exact"/>
              <w:rPr>
                <w:sz w:val="20"/>
                <w:szCs w:val="20"/>
                <w:color w:val="auto"/>
              </w:rPr>
            </w:pPr>
            <w:r>
              <w:rPr>
                <w:rFonts w:ascii="Arial" w:cs="Arial" w:eastAsia="Arial" w:hAnsi="Arial"/>
                <w:sz w:val="13"/>
                <w:szCs w:val="13"/>
                <w:color w:val="auto"/>
              </w:rPr>
              <w:t>Financial</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Arial" w:cs="Arial" w:eastAsia="Arial" w:hAnsi="Arial"/>
                <w:sz w:val="13"/>
                <w:szCs w:val="13"/>
                <w:color w:val="auto"/>
              </w:rPr>
              <w:t>liabilities at</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Arial" w:cs="Arial" w:eastAsia="Arial" w:hAnsi="Arial"/>
                <w:sz w:val="13"/>
                <w:szCs w:val="13"/>
                <w:color w:val="auto"/>
              </w:rPr>
              <w:t>fair value</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gridSpan w:val="2"/>
          </w:tcPr>
          <w:p>
            <w:pPr>
              <w:spacing w:after="0" w:line="133" w:lineRule="exact"/>
              <w:rPr>
                <w:sz w:val="20"/>
                <w:szCs w:val="20"/>
                <w:color w:val="auto"/>
              </w:rPr>
            </w:pPr>
            <w:r>
              <w:rPr>
                <w:rFonts w:ascii="Arial" w:cs="Arial" w:eastAsia="Arial" w:hAnsi="Arial"/>
                <w:sz w:val="13"/>
                <w:szCs w:val="13"/>
                <w:color w:val="auto"/>
              </w:rPr>
              <w:t>through profit</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3"/>
                <w:szCs w:val="13"/>
                <w:color w:val="auto"/>
              </w:rPr>
              <w:t>or loss</w:t>
            </w: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209,520</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209,520</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47,737</w:t>
            </w: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47,737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Accounts</w:t>
            </w: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payable to</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1"/>
              </w:rPr>
              <w:t>reinsurers and</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coinsurers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233,892</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233,892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241,847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241,847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tcPr>
          <w:p>
            <w:pPr>
              <w:spacing w:after="0" w:line="117" w:lineRule="exact"/>
              <w:rPr>
                <w:sz w:val="20"/>
                <w:szCs w:val="20"/>
                <w:color w:val="auto"/>
              </w:rPr>
            </w:pPr>
            <w:r>
              <w:rPr>
                <w:rFonts w:ascii="Arial" w:cs="Arial" w:eastAsia="Arial" w:hAnsi="Arial"/>
                <w:sz w:val="13"/>
                <w:szCs w:val="13"/>
                <w:color w:val="auto"/>
              </w:rPr>
              <w:t>Bonds and</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3"/>
                <w:szCs w:val="13"/>
                <w:color w:val="auto"/>
              </w:rPr>
              <w:t>notes issued</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8,412,515</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7,527,088</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15,939,603</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8,535,401</w:t>
            </w: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7,752,561</w:t>
            </w:r>
          </w:p>
        </w:tc>
        <w:tc>
          <w:tcPr>
            <w:tcW w:w="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16,287,962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Other</w:t>
            </w: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3"/>
              </w:rPr>
              <w:t>liabilities, note</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12</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673,015</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2,540,980</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3,213,995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942,521</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2,707,563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3,650,084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9,295,050</w:t>
            </w:r>
          </w:p>
        </w:tc>
        <w:tc>
          <w:tcPr>
            <w:tcW w:w="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119,331,401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w w:val="91"/>
              </w:rPr>
              <w:t>128,626,451</w:t>
            </w:r>
          </w:p>
        </w:tc>
        <w:tc>
          <w:tcPr>
            <w:tcW w:w="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9,525,659</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121,893,347</w:t>
            </w:r>
          </w:p>
        </w:tc>
        <w:tc>
          <w:tcPr>
            <w:tcW w:w="8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w w:val="91"/>
              </w:rPr>
              <w:t>131,419,006</w:t>
            </w:r>
          </w:p>
        </w:tc>
        <w:tc>
          <w:tcPr>
            <w:tcW w:w="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500"/>
          </w:cols>
          <w:pgMar w:left="240" w:top="824" w:right="159" w:bottom="1440" w:gutter="0" w:footer="0" w:header="0"/>
        </w:sectPr>
      </w:pPr>
    </w:p>
    <w:bookmarkStart w:id="117" w:name="page118"/>
    <w:bookmarkEnd w:id="117"/>
    <w:p>
      <w:pPr>
        <w:ind w:left="3"/>
        <w:spacing w:after="0"/>
        <w:tabs>
          <w:tab w:leader="none" w:pos="563" w:val="left"/>
        </w:tabs>
        <w:rPr>
          <w:sz w:val="20"/>
          <w:szCs w:val="20"/>
          <w:color w:val="auto"/>
        </w:rPr>
      </w:pPr>
      <w:r>
        <w:rPr>
          <w:rFonts w:ascii="Arial" w:cs="Arial" w:eastAsia="Arial" w:hAnsi="Arial"/>
          <w:sz w:val="16"/>
          <w:szCs w:val="16"/>
          <w:b w:val="1"/>
          <w:bCs w:val="1"/>
          <w:color w:val="auto"/>
        </w:rPr>
        <w:t>34</w:t>
      </w:r>
      <w:r>
        <w:rPr>
          <w:sz w:val="20"/>
          <w:szCs w:val="20"/>
          <w:color w:val="auto"/>
        </w:rPr>
        <w:tab/>
      </w:r>
      <w:r>
        <w:rPr>
          <w:rFonts w:ascii="Arial" w:cs="Arial" w:eastAsia="Arial" w:hAnsi="Arial"/>
          <w:sz w:val="16"/>
          <w:szCs w:val="16"/>
          <w:b w:val="1"/>
          <w:bCs w:val="1"/>
          <w:color w:val="auto"/>
        </w:rPr>
        <w:t>FINANCIAL RISK MANAGEMENT</w:t>
      </w:r>
    </w:p>
    <w:p>
      <w:pPr>
        <w:spacing w:after="0" w:line="207" w:lineRule="exact"/>
        <w:rPr>
          <w:sz w:val="20"/>
          <w:szCs w:val="20"/>
          <w:color w:val="auto"/>
        </w:rPr>
      </w:pPr>
    </w:p>
    <w:p>
      <w:pPr>
        <w:jc w:val="both"/>
        <w:ind w:left="3" w:right="20"/>
        <w:spacing w:after="0" w:line="266" w:lineRule="auto"/>
        <w:rPr>
          <w:sz w:val="20"/>
          <w:szCs w:val="20"/>
          <w:color w:val="auto"/>
        </w:rPr>
      </w:pPr>
      <w:r>
        <w:rPr>
          <w:rFonts w:ascii="Arial" w:cs="Arial" w:eastAsia="Arial" w:hAnsi="Arial"/>
          <w:sz w:val="16"/>
          <w:szCs w:val="16"/>
          <w:color w:val="auto"/>
        </w:rPr>
        <w:t>The Group’s activities involve principally the use of financial instruments, including derivatives. The Group accepts deposits from customers at both fixed and floating rates, for various periods, and invests these funds in high-quality assets. Additionally, it places these deposits at fixed and variable rates with legal entities and individuals, considering the finance costs and expected profitability.</w:t>
      </w:r>
    </w:p>
    <w:p>
      <w:pPr>
        <w:spacing w:after="0" w:line="162" w:lineRule="exact"/>
        <w:rPr>
          <w:sz w:val="20"/>
          <w:szCs w:val="20"/>
          <w:color w:val="auto"/>
        </w:rPr>
      </w:pPr>
    </w:p>
    <w:p>
      <w:pPr>
        <w:ind w:left="3" w:right="100"/>
        <w:spacing w:after="0" w:line="280" w:lineRule="auto"/>
        <w:rPr>
          <w:sz w:val="20"/>
          <w:szCs w:val="20"/>
          <w:color w:val="auto"/>
        </w:rPr>
      </w:pPr>
      <w:r>
        <w:rPr>
          <w:rFonts w:ascii="Arial" w:cs="Arial" w:eastAsia="Arial" w:hAnsi="Arial"/>
          <w:sz w:val="16"/>
          <w:szCs w:val="16"/>
          <w:color w:val="auto"/>
        </w:rPr>
        <w:t>The Group also seeks to raise its margins, through lending to commercial and retail borrowers with a range of credit products. Such exposures involve not just on-balance sheet loans and advances; the Group also enters into guarantees and other commitments such as letters of credit and performance bonds.</w:t>
      </w:r>
    </w:p>
    <w:p>
      <w:pPr>
        <w:spacing w:after="0" w:line="151" w:lineRule="exact"/>
        <w:rPr>
          <w:sz w:val="20"/>
          <w:szCs w:val="20"/>
          <w:color w:val="auto"/>
        </w:rPr>
      </w:pPr>
    </w:p>
    <w:p>
      <w:pPr>
        <w:ind w:left="3"/>
        <w:spacing w:after="0" w:line="280" w:lineRule="auto"/>
        <w:rPr>
          <w:sz w:val="20"/>
          <w:szCs w:val="20"/>
          <w:color w:val="auto"/>
        </w:rPr>
      </w:pPr>
      <w:r>
        <w:rPr>
          <w:rFonts w:ascii="Arial" w:cs="Arial" w:eastAsia="Arial" w:hAnsi="Arial"/>
          <w:sz w:val="16"/>
          <w:szCs w:val="16"/>
          <w:color w:val="auto"/>
        </w:rPr>
        <w:t>The Group also trades in financial instruments where it takes positions in traded and over-the-counter instruments, including derivatives, to take advantage of market movements in equities, bonds, currencies and interest rates.</w:t>
      </w:r>
    </w:p>
    <w:p>
      <w:pPr>
        <w:spacing w:after="0" w:line="151" w:lineRule="exact"/>
        <w:rPr>
          <w:sz w:val="20"/>
          <w:szCs w:val="20"/>
          <w:color w:val="auto"/>
        </w:rPr>
      </w:pPr>
    </w:p>
    <w:p>
      <w:pPr>
        <w:jc w:val="both"/>
        <w:ind w:left="3" w:right="20"/>
        <w:spacing w:after="0" w:line="292" w:lineRule="auto"/>
        <w:rPr>
          <w:sz w:val="20"/>
          <w:szCs w:val="20"/>
          <w:color w:val="auto"/>
        </w:rPr>
      </w:pPr>
      <w:r>
        <w:rPr>
          <w:rFonts w:ascii="Arial" w:cs="Arial" w:eastAsia="Arial" w:hAnsi="Arial"/>
          <w:sz w:val="15"/>
          <w:szCs w:val="15"/>
          <w:color w:val="auto"/>
        </w:rPr>
        <w:t>In this sense, risk is inherent to the Group’s activities but it is managed through a process of ongoing identification, measurement and monitoring, subject to risk limits and other controls. This process of risk management is critical to the Group’s continuing profitability and each individual within the Group is accountable for the risk exposures relating to his or her responsibilities. The Group is exposed, principally, to operating risk, credit risk, liquidity risk and market risk, strategic risk and insurance technical risk.</w:t>
      </w:r>
    </w:p>
    <w:p>
      <w:pPr>
        <w:spacing w:after="0" w:line="144" w:lineRule="exact"/>
        <w:rPr>
          <w:sz w:val="20"/>
          <w:szCs w:val="20"/>
          <w:color w:val="auto"/>
        </w:rPr>
      </w:pPr>
    </w:p>
    <w:p>
      <w:pPr>
        <w:ind w:left="283" w:hanging="283"/>
        <w:spacing w:after="0"/>
        <w:tabs>
          <w:tab w:leader="none" w:pos="28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Risk management structure -</w:t>
      </w:r>
    </w:p>
    <w:p>
      <w:pPr>
        <w:spacing w:after="0" w:line="202" w:lineRule="exact"/>
        <w:rPr>
          <w:rFonts w:ascii="Arial" w:cs="Arial" w:eastAsia="Arial" w:hAnsi="Arial"/>
          <w:sz w:val="16"/>
          <w:szCs w:val="16"/>
          <w:color w:val="auto"/>
        </w:rPr>
      </w:pPr>
    </w:p>
    <w:p>
      <w:pPr>
        <w:ind w:left="283" w:right="40"/>
        <w:spacing w:after="0" w:line="280" w:lineRule="auto"/>
        <w:rPr>
          <w:rFonts w:ascii="Arial" w:cs="Arial" w:eastAsia="Arial" w:hAnsi="Arial"/>
          <w:sz w:val="16"/>
          <w:szCs w:val="16"/>
          <w:color w:val="auto"/>
        </w:rPr>
      </w:pPr>
      <w:r>
        <w:rPr>
          <w:rFonts w:ascii="Arial" w:cs="Arial" w:eastAsia="Arial" w:hAnsi="Arial"/>
          <w:sz w:val="16"/>
          <w:szCs w:val="16"/>
          <w:color w:val="auto"/>
        </w:rPr>
        <w:t>The Board of Directors of the Group and of each subsidiary is ultimately responsible for identifying and controlling risks; however, there are separate independent bodies in the major subsidiaries responsible for managing and monitoring risks, as further explained below:</w:t>
      </w:r>
    </w:p>
    <w:p>
      <w:pPr>
        <w:spacing w:after="0" w:line="150" w:lineRule="exact"/>
        <w:rPr>
          <w:rFonts w:ascii="Arial" w:cs="Arial" w:eastAsia="Arial" w:hAnsi="Arial"/>
          <w:sz w:val="16"/>
          <w:szCs w:val="16"/>
          <w:color w:val="auto"/>
        </w:rPr>
      </w:pPr>
    </w:p>
    <w:p>
      <w:pPr>
        <w:ind w:left="583" w:hanging="293"/>
        <w:spacing w:after="0"/>
        <w:tabs>
          <w:tab w:leader="none" w:pos="583" w:val="left"/>
        </w:tabs>
        <w:numPr>
          <w:ilvl w:val="1"/>
          <w:numId w:val="123"/>
        </w:numPr>
        <w:rPr>
          <w:rFonts w:ascii="Arial" w:cs="Arial" w:eastAsia="Arial" w:hAnsi="Arial"/>
          <w:sz w:val="16"/>
          <w:szCs w:val="16"/>
          <w:color w:val="auto"/>
        </w:rPr>
      </w:pPr>
      <w:r>
        <w:rPr>
          <w:rFonts w:ascii="Arial" w:cs="Arial" w:eastAsia="Arial" w:hAnsi="Arial"/>
          <w:sz w:val="16"/>
          <w:szCs w:val="16"/>
          <w:color w:val="auto"/>
        </w:rPr>
        <w:t>Board of Directors Credicorp -</w:t>
      </w:r>
    </w:p>
    <w:p>
      <w:pPr>
        <w:spacing w:after="0" w:line="202" w:lineRule="exact"/>
        <w:rPr>
          <w:rFonts w:ascii="Arial" w:cs="Arial" w:eastAsia="Arial" w:hAnsi="Arial"/>
          <w:sz w:val="16"/>
          <w:szCs w:val="16"/>
          <w:color w:val="auto"/>
        </w:rPr>
      </w:pPr>
    </w:p>
    <w:p>
      <w:pPr>
        <w:ind w:left="563" w:right="420"/>
        <w:spacing w:after="0" w:line="266" w:lineRule="auto"/>
        <w:rPr>
          <w:rFonts w:ascii="Arial" w:cs="Arial" w:eastAsia="Arial" w:hAnsi="Arial"/>
          <w:sz w:val="16"/>
          <w:szCs w:val="16"/>
          <w:color w:val="auto"/>
        </w:rPr>
      </w:pPr>
      <w:r>
        <w:rPr>
          <w:rFonts w:ascii="Arial" w:cs="Arial" w:eastAsia="Arial" w:hAnsi="Arial"/>
          <w:sz w:val="16"/>
          <w:szCs w:val="16"/>
          <w:color w:val="auto"/>
        </w:rPr>
        <w:t>The Board of Directors is responsible for the overall risk management approach and for the approval of the policies and strategies currently in place. The Board encourages a risk management culture within the Group, it oversees the corporate internal control in place, ensures performance of the compliance function in the Group and approves the Group’s risk appetite and tolerance.</w:t>
      </w:r>
    </w:p>
    <w:p>
      <w:pPr>
        <w:spacing w:after="0" w:line="161"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6"/>
          <w:szCs w:val="16"/>
          <w:color w:val="auto"/>
        </w:rPr>
        <w:t>Board of Group Companies -</w:t>
      </w:r>
    </w:p>
    <w:p>
      <w:pPr>
        <w:spacing w:after="0" w:line="202" w:lineRule="exact"/>
        <w:rPr>
          <w:rFonts w:ascii="Arial" w:cs="Arial" w:eastAsia="Arial" w:hAnsi="Arial"/>
          <w:sz w:val="16"/>
          <w:szCs w:val="16"/>
          <w:color w:val="auto"/>
        </w:rPr>
      </w:pPr>
    </w:p>
    <w:p>
      <w:pPr>
        <w:ind w:left="583" w:right="40"/>
        <w:spacing w:after="0" w:line="266" w:lineRule="auto"/>
        <w:rPr>
          <w:rFonts w:ascii="Arial" w:cs="Arial" w:eastAsia="Arial" w:hAnsi="Arial"/>
          <w:sz w:val="16"/>
          <w:szCs w:val="16"/>
          <w:color w:val="auto"/>
        </w:rPr>
      </w:pPr>
      <w:r>
        <w:rPr>
          <w:rFonts w:ascii="Arial" w:cs="Arial" w:eastAsia="Arial" w:hAnsi="Arial"/>
          <w:sz w:val="16"/>
          <w:szCs w:val="16"/>
          <w:color w:val="auto"/>
        </w:rPr>
        <w:t>The Board of each of the main Group companies is responsible for the risk management of the subsidiary and approval of the policies and guidelines for risk management. Each subsidiary’s Board establishes an organization culture that promotes risk management within the Subsidiary, oversees the corporate internal control, and ensures performance of the compliance function of the subsidiary.</w:t>
      </w:r>
    </w:p>
    <w:p>
      <w:pPr>
        <w:spacing w:after="0" w:line="161" w:lineRule="exact"/>
        <w:rPr>
          <w:rFonts w:ascii="Arial" w:cs="Arial" w:eastAsia="Arial" w:hAnsi="Arial"/>
          <w:sz w:val="16"/>
          <w:szCs w:val="16"/>
          <w:color w:val="auto"/>
        </w:rPr>
      </w:pPr>
    </w:p>
    <w:p>
      <w:pPr>
        <w:ind w:left="583" w:right="80"/>
        <w:spacing w:after="0" w:line="280" w:lineRule="auto"/>
        <w:rPr>
          <w:rFonts w:ascii="Arial" w:cs="Arial" w:eastAsia="Arial" w:hAnsi="Arial"/>
          <w:sz w:val="16"/>
          <w:szCs w:val="16"/>
          <w:color w:val="auto"/>
        </w:rPr>
      </w:pPr>
      <w:r>
        <w:rPr>
          <w:rFonts w:ascii="Arial" w:cs="Arial" w:eastAsia="Arial" w:hAnsi="Arial"/>
          <w:sz w:val="16"/>
          <w:szCs w:val="16"/>
          <w:color w:val="auto"/>
        </w:rPr>
        <w:t>Additionally, it is charged with approving the risk appetite and tolerance of each subsidiary as well as the business objectives and plans; securing an adequate solvency position and establishing an adequate system of incentives that promotes adequate entity-wide risk management practices.</w:t>
      </w:r>
    </w:p>
    <w:p>
      <w:pPr>
        <w:spacing w:after="0" w:line="150" w:lineRule="exact"/>
        <w:rPr>
          <w:rFonts w:ascii="Arial" w:cs="Arial" w:eastAsia="Arial" w:hAnsi="Arial"/>
          <w:sz w:val="16"/>
          <w:szCs w:val="16"/>
          <w:color w:val="auto"/>
        </w:rPr>
      </w:pPr>
    </w:p>
    <w:p>
      <w:pPr>
        <w:ind w:left="583" w:hanging="293"/>
        <w:spacing w:after="0"/>
        <w:tabs>
          <w:tab w:leader="none" w:pos="583" w:val="left"/>
        </w:tabs>
        <w:numPr>
          <w:ilvl w:val="1"/>
          <w:numId w:val="123"/>
        </w:numPr>
        <w:rPr>
          <w:rFonts w:ascii="Arial" w:cs="Arial" w:eastAsia="Arial" w:hAnsi="Arial"/>
          <w:sz w:val="16"/>
          <w:szCs w:val="16"/>
          <w:color w:val="auto"/>
        </w:rPr>
      </w:pPr>
      <w:r>
        <w:rPr>
          <w:rFonts w:ascii="Arial" w:cs="Arial" w:eastAsia="Arial" w:hAnsi="Arial"/>
          <w:sz w:val="16"/>
          <w:szCs w:val="16"/>
          <w:color w:val="auto"/>
        </w:rPr>
        <w:t>Risk Committee -</w:t>
      </w:r>
    </w:p>
    <w:p>
      <w:pPr>
        <w:spacing w:after="0" w:line="202" w:lineRule="exact"/>
        <w:rPr>
          <w:rFonts w:ascii="Arial" w:cs="Arial" w:eastAsia="Arial" w:hAnsi="Arial"/>
          <w:sz w:val="16"/>
          <w:szCs w:val="16"/>
          <w:color w:val="auto"/>
        </w:rPr>
      </w:pPr>
    </w:p>
    <w:p>
      <w:pPr>
        <w:ind w:left="583" w:right="100"/>
        <w:spacing w:after="0" w:line="266" w:lineRule="auto"/>
        <w:rPr>
          <w:rFonts w:ascii="Arial" w:cs="Arial" w:eastAsia="Arial" w:hAnsi="Arial"/>
          <w:sz w:val="16"/>
          <w:szCs w:val="16"/>
          <w:color w:val="auto"/>
        </w:rPr>
      </w:pPr>
      <w:r>
        <w:rPr>
          <w:rFonts w:ascii="Arial" w:cs="Arial" w:eastAsia="Arial" w:hAnsi="Arial"/>
          <w:sz w:val="16"/>
          <w:szCs w:val="16"/>
          <w:color w:val="auto"/>
        </w:rPr>
        <w:t>It represents the Board of Credicorp in risk management decision-making. This Committee establishes the policies for monitoring the risk appetite and tolerance at the subsidiary level; the degree of exposure to a given risk, solvency rates, risk management performance metrics and other corporate measures to control, monitor and mitigate risks and overseeing the internal control system in place.</w:t>
      </w:r>
    </w:p>
    <w:p>
      <w:pPr>
        <w:spacing w:after="0" w:line="355" w:lineRule="exact"/>
        <w:rPr>
          <w:rFonts w:ascii="Arial" w:cs="Arial" w:eastAsia="Arial" w:hAnsi="Arial"/>
          <w:sz w:val="16"/>
          <w:szCs w:val="16"/>
          <w:color w:val="auto"/>
        </w:rPr>
      </w:pPr>
    </w:p>
    <w:p>
      <w:pPr>
        <w:ind w:left="5603" w:hanging="92"/>
        <w:spacing w:after="0"/>
        <w:tabs>
          <w:tab w:leader="none" w:pos="5603" w:val="left"/>
        </w:tabs>
        <w:numPr>
          <w:ilvl w:val="2"/>
          <w:numId w:val="123"/>
        </w:numPr>
        <w:rPr>
          <w:rFonts w:ascii="Arial" w:cs="Arial" w:eastAsia="Arial" w:hAnsi="Arial"/>
          <w:sz w:val="16"/>
          <w:szCs w:val="16"/>
          <w:color w:val="auto"/>
        </w:rPr>
      </w:pPr>
      <w:r>
        <w:rPr>
          <w:rFonts w:ascii="Arial" w:cs="Arial" w:eastAsia="Arial" w:hAnsi="Arial"/>
          <w:sz w:val="16"/>
          <w:szCs w:val="16"/>
          <w:color w:val="auto"/>
        </w:rPr>
        <w:t>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4" w:right="239" w:bottom="1440" w:gutter="0" w:footer="0" w:header="0"/>
        </w:sectPr>
      </w:pPr>
    </w:p>
    <w:bookmarkStart w:id="118" w:name="page119"/>
    <w:bookmarkEnd w:id="118"/>
    <w:p>
      <w:pPr>
        <w:ind w:right="380"/>
        <w:spacing w:after="0" w:line="354" w:lineRule="auto"/>
        <w:rPr>
          <w:sz w:val="20"/>
          <w:szCs w:val="20"/>
          <w:color w:val="auto"/>
        </w:rPr>
      </w:pPr>
      <w:r>
        <w:rPr>
          <w:rFonts w:ascii="Arial" w:cs="Arial" w:eastAsia="Arial" w:hAnsi="Arial"/>
          <w:sz w:val="14"/>
          <w:szCs w:val="14"/>
          <w:color w:val="auto"/>
        </w:rPr>
        <w:t>The Risk Committee is presided by a Board member of Credicorp, it is also consists of a second member of the Board of Credicorp, a Board member of BCP, the General Manager of BCP, the Central Manager of Planning and Finance of BCP, the Central Risk Manager of BCP and the Manager of Risk Management of BCP.</w:t>
      </w:r>
    </w:p>
    <w:p>
      <w:pPr>
        <w:spacing w:after="0" w:line="105"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In addition to effectively managing all the risks, the Risk Committee is supported by the following committees which report on a monthly basis all relevant changes or issues relating to the risks being managed: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Credit Risk Committee (Retail and Non-Retail) -</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Credit Risk Committee is responsible for reviewing the tolerance level, limits of exposure, the objective, guidelines and policies for managing credit risk, the delegation of authority and the supervision and establishment of autonomy for taking credit risks and the metrics for measuring performance incorporating risk variables. Also, it is responsible for approving the methodologies, models, parameters, processes, and manuals to identify, measure, treat, monitor, control and report all the market risks to which the Group is exposed. Furthermore, it proposes the approval of any changes to the functions described above and reports any finding to the Risk Committee.</w:t>
      </w:r>
    </w:p>
    <w:p>
      <w:pPr>
        <w:spacing w:after="0" w:line="16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There are two committees assigned to reviewing the various portfolio risks: Retail Risks and Non-Retail Risks. The Credit Risk Committees mainly consists of the Chief Risk Executive, the Manager of the Credit Division and the Manager of the Risk Management Area, and the Manager of the Division of Retail Banking Risks, as appropriate to their position.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Treasury and ALM Risk Committee -</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Treasury and ALM Risk Committee is responsible for reviewing the tolerance level, limits of exposure, the objective, guidelines and policies for managing the market risk and liquidity risk, the delegation of authority and the supervision and establishment of autonomy for taking market risks, and the metrics for measuring performance incorporating risk variables. It is also responsible for approving the methodologies, models, parameters, processes and manuals to identify, measure, treat, monitor, control and report all the market risks to which the Group is exposed. Furthermore, it proposes the approval of any changes in the functions described above and reports any finding to the Risk Committee.</w:t>
      </w:r>
    </w:p>
    <w:p>
      <w:pPr>
        <w:spacing w:after="0" w:line="168" w:lineRule="exact"/>
        <w:rPr>
          <w:sz w:val="20"/>
          <w:szCs w:val="20"/>
          <w:color w:val="auto"/>
        </w:rPr>
      </w:pPr>
    </w:p>
    <w:p>
      <w:pPr>
        <w:ind w:right="300"/>
        <w:spacing w:after="0" w:line="280" w:lineRule="auto"/>
        <w:rPr>
          <w:sz w:val="20"/>
          <w:szCs w:val="20"/>
          <w:color w:val="auto"/>
        </w:rPr>
      </w:pPr>
      <w:r>
        <w:rPr>
          <w:rFonts w:ascii="Arial" w:cs="Arial" w:eastAsia="Arial" w:hAnsi="Arial"/>
          <w:sz w:val="16"/>
          <w:szCs w:val="16"/>
          <w:color w:val="auto"/>
        </w:rPr>
        <w:t>The Treasury and ALM Risk Committee principally consists of the Chief risk executive, the Manager of the Risk Management Area, the Market Risk Manager, the Manager of the Treasury Risk Area and the Manager of the Treasury Division.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Operational Risk Committee -</w:t>
      </w:r>
    </w:p>
    <w:p>
      <w:pPr>
        <w:spacing w:after="0" w:line="20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Operational Risk Committee is responsible for reviewing the tolerance level, limits of exposure, the objective, guidelines and policies for managing operational risks and the mechanisms for implementing corrective actions. It is also responsible for approving: (i) the standard methodology for measuring operational risks, (ii) the taxonomy of operational risks and controls and (iii) all the critical processes of the Group. Furthermore, it proposes the approval of any changes to the functions described above and reports any finding to the Risk Committee.</w:t>
      </w:r>
    </w:p>
    <w:p>
      <w:pPr>
        <w:spacing w:after="0" w:line="167" w:lineRule="exact"/>
        <w:rPr>
          <w:sz w:val="20"/>
          <w:szCs w:val="20"/>
          <w:color w:val="auto"/>
        </w:rPr>
      </w:pPr>
    </w:p>
    <w:p>
      <w:pPr>
        <w:ind w:right="400"/>
        <w:spacing w:after="0" w:line="280" w:lineRule="auto"/>
        <w:rPr>
          <w:sz w:val="20"/>
          <w:szCs w:val="20"/>
          <w:color w:val="auto"/>
        </w:rPr>
      </w:pPr>
      <w:r>
        <w:rPr>
          <w:rFonts w:ascii="Arial" w:cs="Arial" w:eastAsia="Arial" w:hAnsi="Arial"/>
          <w:sz w:val="16"/>
          <w:szCs w:val="16"/>
          <w:color w:val="auto"/>
        </w:rPr>
        <w:t>The Operational Risk Committee is mainly composed of the Chief Risk Executive, the Manager of the Risk Management Area, the Manager of the Internal Audit Division, the Manager of the Operational Risk Management Department and Insurance Management Division.</w:t>
      </w:r>
    </w:p>
    <w:p>
      <w:pPr>
        <w:spacing w:after="0" w:line="34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- 114 -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13970</wp:posOffset>
            </wp:positionV>
            <wp:extent cx="7261225" cy="762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840"/>
          </w:cols>
          <w:pgMar w:left="800" w:top="828" w:right="259" w:bottom="1440" w:gutter="0" w:footer="0" w:header="0"/>
        </w:sectPr>
      </w:pPr>
    </w:p>
    <w:bookmarkStart w:id="119" w:name="page120"/>
    <w:bookmarkEnd w:id="119"/>
    <w:p>
      <w:pPr>
        <w:ind w:left="293" w:hanging="293"/>
        <w:spacing w:after="0"/>
        <w:tabs>
          <w:tab w:leader="none" w:pos="293" w:val="left"/>
        </w:tabs>
        <w:numPr>
          <w:ilvl w:val="0"/>
          <w:numId w:val="124"/>
        </w:numPr>
        <w:rPr>
          <w:rFonts w:ascii="Arial" w:cs="Arial" w:eastAsia="Arial" w:hAnsi="Arial"/>
          <w:sz w:val="16"/>
          <w:szCs w:val="16"/>
          <w:color w:val="auto"/>
        </w:rPr>
      </w:pPr>
      <w:r>
        <w:rPr>
          <w:rFonts w:ascii="Arial" w:cs="Arial" w:eastAsia="Arial" w:hAnsi="Arial"/>
          <w:sz w:val="16"/>
          <w:szCs w:val="16"/>
          <w:color w:val="auto"/>
        </w:rPr>
        <w:t>Central Risk Management -</w:t>
      </w:r>
    </w:p>
    <w:p>
      <w:pPr>
        <w:spacing w:after="0" w:line="202" w:lineRule="exact"/>
        <w:rPr>
          <w:rFonts w:ascii="Arial" w:cs="Arial" w:eastAsia="Arial" w:hAnsi="Arial"/>
          <w:sz w:val="16"/>
          <w:szCs w:val="16"/>
          <w:color w:val="auto"/>
        </w:rPr>
      </w:pPr>
    </w:p>
    <w:p>
      <w:pPr>
        <w:ind w:left="273" w:right="140"/>
        <w:spacing w:after="0" w:line="266" w:lineRule="auto"/>
        <w:rPr>
          <w:rFonts w:ascii="Arial" w:cs="Arial" w:eastAsia="Arial" w:hAnsi="Arial"/>
          <w:sz w:val="16"/>
          <w:szCs w:val="16"/>
          <w:color w:val="auto"/>
        </w:rPr>
      </w:pPr>
      <w:r>
        <w:rPr>
          <w:rFonts w:ascii="Arial" w:cs="Arial" w:eastAsia="Arial" w:hAnsi="Arial"/>
          <w:sz w:val="16"/>
          <w:szCs w:val="16"/>
          <w:color w:val="auto"/>
        </w:rPr>
        <w:t>The Central Risk Management is responsible for implementing policies, procedures, methodologies and actions to identify, measure, monitor, mitigate, report and control the different types of risks to which the Group is exposed. Also, it participates in the design and definition of the strategic plans of the business units to ensure that they are framed within the risk appetite metrics approved by the Group’s Board of Directors.</w:t>
      </w:r>
    </w:p>
    <w:p>
      <w:pPr>
        <w:spacing w:after="0" w:line="161" w:lineRule="exact"/>
        <w:rPr>
          <w:rFonts w:ascii="Arial" w:cs="Arial" w:eastAsia="Arial" w:hAnsi="Arial"/>
          <w:sz w:val="16"/>
          <w:szCs w:val="16"/>
          <w:color w:val="auto"/>
        </w:rPr>
      </w:pPr>
    </w:p>
    <w:p>
      <w:pPr>
        <w:ind w:left="273" w:right="6560"/>
        <w:spacing w:after="0" w:line="504" w:lineRule="auto"/>
        <w:rPr>
          <w:rFonts w:ascii="Arial" w:cs="Arial" w:eastAsia="Arial" w:hAnsi="Arial"/>
          <w:sz w:val="16"/>
          <w:szCs w:val="16"/>
          <w:color w:val="auto"/>
        </w:rPr>
      </w:pPr>
      <w:r>
        <w:rPr>
          <w:rFonts w:ascii="Arial" w:cs="Arial" w:eastAsia="Arial" w:hAnsi="Arial"/>
          <w:sz w:val="16"/>
          <w:szCs w:val="16"/>
          <w:color w:val="auto"/>
        </w:rPr>
        <w:t>The Central Risk Management is divided into the following areas: Credit Division -</w:t>
      </w:r>
    </w:p>
    <w:p>
      <w:pPr>
        <w:ind w:left="273" w:right="140"/>
        <w:spacing w:after="0" w:line="315" w:lineRule="auto"/>
        <w:rPr>
          <w:rFonts w:ascii="Arial" w:cs="Arial" w:eastAsia="Arial" w:hAnsi="Arial"/>
          <w:sz w:val="16"/>
          <w:szCs w:val="16"/>
          <w:color w:val="auto"/>
        </w:rPr>
      </w:pPr>
      <w:r>
        <w:rPr>
          <w:rFonts w:ascii="Arial" w:cs="Arial" w:eastAsia="Arial" w:hAnsi="Arial"/>
          <w:sz w:val="15"/>
          <w:szCs w:val="15"/>
          <w:color w:val="auto"/>
        </w:rPr>
        <w:t>The Credit Division is responsible for ensuring the quality of the wholesale banking portfolio in accordance with the Group's risk strategy and appetite on the basis of an effective management of the lending process relying on well-defined lending policies and highly trained personnel with best lending practices.</w:t>
      </w:r>
    </w:p>
    <w:p>
      <w:pPr>
        <w:spacing w:after="0" w:line="127" w:lineRule="exact"/>
        <w:rPr>
          <w:rFonts w:ascii="Arial" w:cs="Arial" w:eastAsia="Arial" w:hAnsi="Arial"/>
          <w:sz w:val="16"/>
          <w:szCs w:val="16"/>
          <w:color w:val="auto"/>
        </w:rPr>
      </w:pPr>
    </w:p>
    <w:p>
      <w:pPr>
        <w:ind w:left="273"/>
        <w:spacing w:after="0"/>
        <w:rPr>
          <w:rFonts w:ascii="Arial" w:cs="Arial" w:eastAsia="Arial" w:hAnsi="Arial"/>
          <w:sz w:val="16"/>
          <w:szCs w:val="16"/>
          <w:color w:val="auto"/>
        </w:rPr>
      </w:pPr>
      <w:r>
        <w:rPr>
          <w:rFonts w:ascii="Arial" w:cs="Arial" w:eastAsia="Arial" w:hAnsi="Arial"/>
          <w:sz w:val="16"/>
          <w:szCs w:val="16"/>
          <w:color w:val="auto"/>
        </w:rPr>
        <w:t>Risk Management Division -</w:t>
      </w:r>
    </w:p>
    <w:p>
      <w:pPr>
        <w:spacing w:after="0" w:line="202" w:lineRule="exact"/>
        <w:rPr>
          <w:rFonts w:ascii="Arial" w:cs="Arial" w:eastAsia="Arial" w:hAnsi="Arial"/>
          <w:sz w:val="16"/>
          <w:szCs w:val="16"/>
          <w:color w:val="auto"/>
        </w:rPr>
      </w:pPr>
    </w:p>
    <w:p>
      <w:pPr>
        <w:ind w:left="273" w:right="40"/>
        <w:spacing w:after="0" w:line="261" w:lineRule="auto"/>
        <w:rPr>
          <w:rFonts w:ascii="Arial" w:cs="Arial" w:eastAsia="Arial" w:hAnsi="Arial"/>
          <w:sz w:val="16"/>
          <w:szCs w:val="16"/>
          <w:color w:val="auto"/>
        </w:rPr>
      </w:pPr>
      <w:r>
        <w:rPr>
          <w:rFonts w:ascii="Arial" w:cs="Arial" w:eastAsia="Arial" w:hAnsi="Arial"/>
          <w:sz w:val="16"/>
          <w:szCs w:val="16"/>
          <w:color w:val="auto"/>
        </w:rPr>
        <w:t>The Risk Management Division is responsible for ensuring that policies and risk management policies established by the Board of Directors are complied with and monitored. The Risk Management Division consists of the following units: the Operational Risk and Insurance Risk Management Department the Credit and Corporate Management Risk Department, Market Risk Management Department, Global Risk Management, Internal Validation and Risk Management Methodology and Modelling.</w:t>
      </w:r>
    </w:p>
    <w:p>
      <w:pPr>
        <w:spacing w:after="0" w:line="166" w:lineRule="exact"/>
        <w:rPr>
          <w:rFonts w:ascii="Arial" w:cs="Arial" w:eastAsia="Arial" w:hAnsi="Arial"/>
          <w:sz w:val="16"/>
          <w:szCs w:val="16"/>
          <w:color w:val="auto"/>
        </w:rPr>
      </w:pPr>
    </w:p>
    <w:p>
      <w:pPr>
        <w:ind w:left="273"/>
        <w:spacing w:after="0"/>
        <w:rPr>
          <w:rFonts w:ascii="Arial" w:cs="Arial" w:eastAsia="Arial" w:hAnsi="Arial"/>
          <w:sz w:val="16"/>
          <w:szCs w:val="16"/>
          <w:color w:val="auto"/>
        </w:rPr>
      </w:pPr>
      <w:r>
        <w:rPr>
          <w:rFonts w:ascii="Arial" w:cs="Arial" w:eastAsia="Arial" w:hAnsi="Arial"/>
          <w:sz w:val="16"/>
          <w:szCs w:val="16"/>
          <w:color w:val="auto"/>
        </w:rPr>
        <w:t>Retail Banking Risk Division -</w:t>
      </w:r>
    </w:p>
    <w:p>
      <w:pPr>
        <w:spacing w:after="0" w:line="202" w:lineRule="exact"/>
        <w:rPr>
          <w:rFonts w:ascii="Arial" w:cs="Arial" w:eastAsia="Arial" w:hAnsi="Arial"/>
          <w:sz w:val="16"/>
          <w:szCs w:val="16"/>
          <w:color w:val="auto"/>
        </w:rPr>
      </w:pPr>
    </w:p>
    <w:p>
      <w:pPr>
        <w:ind w:left="273" w:right="160"/>
        <w:spacing w:after="0" w:line="280" w:lineRule="auto"/>
        <w:rPr>
          <w:rFonts w:ascii="Arial" w:cs="Arial" w:eastAsia="Arial" w:hAnsi="Arial"/>
          <w:sz w:val="16"/>
          <w:szCs w:val="16"/>
          <w:color w:val="auto"/>
        </w:rPr>
      </w:pPr>
      <w:r>
        <w:rPr>
          <w:rFonts w:ascii="Arial" w:cs="Arial" w:eastAsia="Arial" w:hAnsi="Arial"/>
          <w:sz w:val="16"/>
          <w:szCs w:val="16"/>
          <w:color w:val="auto"/>
        </w:rPr>
        <w:t>This division is responsible for making sure the quality of the retail portfolio and the development of credit policies that are consistent with the overall guidelines and policies set by the Board.</w:t>
      </w:r>
    </w:p>
    <w:p>
      <w:pPr>
        <w:spacing w:after="0" w:line="150" w:lineRule="exact"/>
        <w:rPr>
          <w:rFonts w:ascii="Arial" w:cs="Arial" w:eastAsia="Arial" w:hAnsi="Arial"/>
          <w:sz w:val="16"/>
          <w:szCs w:val="16"/>
          <w:color w:val="auto"/>
        </w:rPr>
      </w:pPr>
    </w:p>
    <w:p>
      <w:pPr>
        <w:ind w:left="273"/>
        <w:spacing w:after="0"/>
        <w:rPr>
          <w:rFonts w:ascii="Arial" w:cs="Arial" w:eastAsia="Arial" w:hAnsi="Arial"/>
          <w:sz w:val="16"/>
          <w:szCs w:val="16"/>
          <w:color w:val="auto"/>
        </w:rPr>
      </w:pPr>
      <w:r>
        <w:rPr>
          <w:rFonts w:ascii="Arial" w:cs="Arial" w:eastAsia="Arial" w:hAnsi="Arial"/>
          <w:sz w:val="16"/>
          <w:szCs w:val="16"/>
          <w:color w:val="auto"/>
        </w:rPr>
        <w:t>Treasury Risk Management -</w:t>
      </w:r>
    </w:p>
    <w:p>
      <w:pPr>
        <w:spacing w:after="0" w:line="202" w:lineRule="exact"/>
        <w:rPr>
          <w:rFonts w:ascii="Arial" w:cs="Arial" w:eastAsia="Arial" w:hAnsi="Arial"/>
          <w:sz w:val="16"/>
          <w:szCs w:val="16"/>
          <w:color w:val="auto"/>
        </w:rPr>
      </w:pPr>
    </w:p>
    <w:p>
      <w:pPr>
        <w:ind w:left="273" w:right="60"/>
        <w:spacing w:after="0" w:line="354" w:lineRule="auto"/>
        <w:rPr>
          <w:rFonts w:ascii="Arial" w:cs="Arial" w:eastAsia="Arial" w:hAnsi="Arial"/>
          <w:sz w:val="16"/>
          <w:szCs w:val="16"/>
          <w:color w:val="auto"/>
        </w:rPr>
      </w:pPr>
      <w:r>
        <w:rPr>
          <w:rFonts w:ascii="Arial" w:cs="Arial" w:eastAsia="Arial" w:hAnsi="Arial"/>
          <w:sz w:val="14"/>
          <w:szCs w:val="14"/>
          <w:color w:val="auto"/>
        </w:rPr>
        <w:t>The Treasury Risk Management is responsible for planning, coordinating and monitoring the implementation of the Treasury Division with risk measurement methodologies and limits approved by the Risk Committee. Also, it is responsible for assessing the effectiveness of hedge derivatives and the valuation of investments.</w:t>
      </w:r>
    </w:p>
    <w:p>
      <w:pPr>
        <w:spacing w:after="0" w:line="105" w:lineRule="exact"/>
        <w:rPr>
          <w:rFonts w:ascii="Arial" w:cs="Arial" w:eastAsia="Arial" w:hAnsi="Arial"/>
          <w:sz w:val="16"/>
          <w:szCs w:val="16"/>
          <w:color w:val="auto"/>
        </w:rPr>
      </w:pPr>
    </w:p>
    <w:p>
      <w:pPr>
        <w:ind w:left="293" w:hanging="293"/>
        <w:spacing w:after="0"/>
        <w:tabs>
          <w:tab w:leader="none" w:pos="293"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Internal Audit and Compliance Division -</w:t>
      </w:r>
    </w:p>
    <w:p>
      <w:pPr>
        <w:spacing w:after="0" w:line="202" w:lineRule="exact"/>
        <w:rPr>
          <w:rFonts w:ascii="Arial" w:cs="Arial" w:eastAsia="Arial" w:hAnsi="Arial"/>
          <w:sz w:val="16"/>
          <w:szCs w:val="16"/>
          <w:color w:val="auto"/>
        </w:rPr>
      </w:pPr>
    </w:p>
    <w:p>
      <w:pPr>
        <w:ind w:left="273"/>
        <w:spacing w:after="0" w:line="261" w:lineRule="auto"/>
        <w:rPr>
          <w:rFonts w:ascii="Arial" w:cs="Arial" w:eastAsia="Arial" w:hAnsi="Arial"/>
          <w:sz w:val="16"/>
          <w:szCs w:val="16"/>
          <w:color w:val="auto"/>
        </w:rPr>
      </w:pPr>
      <w:r>
        <w:rPr>
          <w:rFonts w:ascii="Arial" w:cs="Arial" w:eastAsia="Arial" w:hAnsi="Arial"/>
          <w:sz w:val="16"/>
          <w:szCs w:val="16"/>
          <w:color w:val="auto"/>
        </w:rPr>
        <w:t>The Internal Audit and Compliance Division is in charge of: i) monitoring on an ongoing basis the effectiveness of the risk management function at Credicorp, verifying compliance with laws and regulations, as well as the policies, objectives and guidelines set by the Board of Directors; ii) assessing the sufficiency and level of integration of Credicorp’s information and database systems; and iii) making sure independence is maintained between the functions of the risk management and business units.</w:t>
      </w:r>
    </w:p>
    <w:p>
      <w:pPr>
        <w:spacing w:after="0" w:line="166" w:lineRule="exact"/>
        <w:rPr>
          <w:rFonts w:ascii="Arial" w:cs="Arial" w:eastAsia="Arial" w:hAnsi="Arial"/>
          <w:sz w:val="16"/>
          <w:szCs w:val="16"/>
          <w:color w:val="auto"/>
        </w:rPr>
      </w:pPr>
    </w:p>
    <w:p>
      <w:pPr>
        <w:ind w:left="273"/>
        <w:spacing w:after="0"/>
        <w:rPr>
          <w:rFonts w:ascii="Arial" w:cs="Arial" w:eastAsia="Arial" w:hAnsi="Arial"/>
          <w:sz w:val="16"/>
          <w:szCs w:val="16"/>
          <w:color w:val="auto"/>
        </w:rPr>
      </w:pPr>
      <w:r>
        <w:rPr>
          <w:rFonts w:ascii="Arial" w:cs="Arial" w:eastAsia="Arial" w:hAnsi="Arial"/>
          <w:sz w:val="16"/>
          <w:szCs w:val="16"/>
          <w:color w:val="auto"/>
        </w:rPr>
        <w:t>The Compliance Division is responsible for making sure applicable laws and regulations and the internal Code of Ethics are adhered to.</w:t>
      </w:r>
    </w:p>
    <w:p>
      <w:pPr>
        <w:spacing w:after="0" w:line="396" w:lineRule="exact"/>
        <w:rPr>
          <w:rFonts w:ascii="Arial" w:cs="Arial" w:eastAsia="Arial" w:hAnsi="Arial"/>
          <w:sz w:val="16"/>
          <w:szCs w:val="16"/>
          <w:color w:val="auto"/>
        </w:rPr>
      </w:pPr>
    </w:p>
    <w:p>
      <w:pPr>
        <w:ind w:left="5313" w:hanging="92"/>
        <w:spacing w:after="0"/>
        <w:tabs>
          <w:tab w:leader="none" w:pos="5313" w:val="left"/>
        </w:tabs>
        <w:numPr>
          <w:ilvl w:val="1"/>
          <w:numId w:val="124"/>
        </w:numPr>
        <w:rPr>
          <w:rFonts w:ascii="Arial" w:cs="Arial" w:eastAsia="Arial" w:hAnsi="Arial"/>
          <w:sz w:val="16"/>
          <w:szCs w:val="16"/>
          <w:color w:val="auto"/>
        </w:rPr>
      </w:pPr>
      <w:r>
        <w:rPr>
          <w:rFonts w:ascii="Arial" w:cs="Arial" w:eastAsia="Arial" w:hAnsi="Arial"/>
          <w:sz w:val="16"/>
          <w:szCs w:val="16"/>
          <w:color w:val="auto"/>
        </w:rPr>
        <w:t>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13970</wp:posOffset>
            </wp:positionV>
            <wp:extent cx="7261225" cy="762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13"/>
          </w:cols>
          <w:pgMar w:left="527" w:top="828" w:right="259" w:bottom="1440" w:gutter="0" w:footer="0" w:header="0"/>
        </w:sectPr>
      </w:pPr>
    </w:p>
    <w:bookmarkStart w:id="120" w:name="page121"/>
    <w:bookmarkEnd w:id="120"/>
    <w:p>
      <w:pPr>
        <w:ind w:left="283" w:hanging="283"/>
        <w:spacing w:after="0"/>
        <w:tabs>
          <w:tab w:leader="none" w:pos="28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Risk measurement and reporting systems -</w:t>
      </w:r>
    </w:p>
    <w:p>
      <w:pPr>
        <w:spacing w:after="0" w:line="202" w:lineRule="exact"/>
        <w:rPr>
          <w:rFonts w:ascii="Arial" w:cs="Arial" w:eastAsia="Arial" w:hAnsi="Arial"/>
          <w:sz w:val="16"/>
          <w:szCs w:val="16"/>
          <w:color w:val="auto"/>
        </w:rPr>
      </w:pPr>
    </w:p>
    <w:p>
      <w:pPr>
        <w:ind w:left="283" w:right="120"/>
        <w:spacing w:after="0" w:line="266" w:lineRule="auto"/>
        <w:rPr>
          <w:rFonts w:ascii="Arial" w:cs="Arial" w:eastAsia="Arial" w:hAnsi="Arial"/>
          <w:sz w:val="16"/>
          <w:szCs w:val="16"/>
          <w:color w:val="auto"/>
        </w:rPr>
      </w:pPr>
      <w:r>
        <w:rPr>
          <w:rFonts w:ascii="Arial" w:cs="Arial" w:eastAsia="Arial" w:hAnsi="Arial"/>
          <w:sz w:val="16"/>
          <w:szCs w:val="16"/>
          <w:color w:val="auto"/>
        </w:rPr>
        <w:t>Monitoring and controlling of risks are primarily performed based on limits established by the Group. These limits reflect the business strategy and market environment of the Group as well as the level of risk that the Group is willing to accept. In addition, the Group monitors and measures the overall risk bearing capacity in relation to the aggregate risk exposure across all risk types and activities.</w:t>
      </w:r>
    </w:p>
    <w:p>
      <w:pPr>
        <w:spacing w:after="0" w:line="161"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These processes use as support internal models developed to measure the different risks.</w:t>
      </w:r>
    </w:p>
    <w:p>
      <w:pPr>
        <w:spacing w:after="0" w:line="202" w:lineRule="exact"/>
        <w:rPr>
          <w:rFonts w:ascii="Arial" w:cs="Arial" w:eastAsia="Arial" w:hAnsi="Arial"/>
          <w:sz w:val="16"/>
          <w:szCs w:val="16"/>
          <w:color w:val="auto"/>
        </w:rPr>
      </w:pPr>
    </w:p>
    <w:p>
      <w:pPr>
        <w:ind w:left="283" w:right="140"/>
        <w:spacing w:after="0" w:line="261" w:lineRule="auto"/>
        <w:rPr>
          <w:rFonts w:ascii="Arial" w:cs="Arial" w:eastAsia="Arial" w:hAnsi="Arial"/>
          <w:sz w:val="16"/>
          <w:szCs w:val="16"/>
          <w:color w:val="auto"/>
        </w:rPr>
      </w:pPr>
      <w:r>
        <w:rPr>
          <w:rFonts w:ascii="Arial" w:cs="Arial" w:eastAsia="Arial" w:hAnsi="Arial"/>
          <w:sz w:val="16"/>
          <w:szCs w:val="16"/>
          <w:color w:val="auto"/>
        </w:rPr>
        <w:t>The information compiled from the Group’s Subsidiaries is examined and processed in order to analyze, control and identify early any risks. This information is presented and explained to the Board of Directors, the Risk Committee, the Audit Committee, and all relevant members of the Group. The report includes aggregate credit exposure, credit metric forecasts, hold limit exceptions, VaR (Value at Risk), liquidity ratios and risk profile changes. Management periodically assesses the convenience of the fair value of the investments and the appropriateness of the allowance for credit losses.</w:t>
      </w:r>
    </w:p>
    <w:p>
      <w:pPr>
        <w:spacing w:after="0" w:line="166" w:lineRule="exact"/>
        <w:rPr>
          <w:rFonts w:ascii="Arial" w:cs="Arial" w:eastAsia="Arial" w:hAnsi="Arial"/>
          <w:sz w:val="16"/>
          <w:szCs w:val="16"/>
          <w:color w:val="auto"/>
        </w:rPr>
      </w:pPr>
    </w:p>
    <w:p>
      <w:pPr>
        <w:ind w:left="283" w:hanging="283"/>
        <w:spacing w:after="0"/>
        <w:tabs>
          <w:tab w:leader="none" w:pos="28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Risk mitigation -</w:t>
      </w:r>
    </w:p>
    <w:p>
      <w:pPr>
        <w:spacing w:after="0" w:line="202" w:lineRule="exact"/>
        <w:rPr>
          <w:rFonts w:ascii="Arial" w:cs="Arial" w:eastAsia="Arial" w:hAnsi="Arial"/>
          <w:sz w:val="16"/>
          <w:szCs w:val="16"/>
          <w:color w:val="auto"/>
        </w:rPr>
      </w:pPr>
    </w:p>
    <w:p>
      <w:pPr>
        <w:ind w:left="283" w:right="20"/>
        <w:spacing w:after="0" w:line="280" w:lineRule="auto"/>
        <w:rPr>
          <w:rFonts w:ascii="Arial" w:cs="Arial" w:eastAsia="Arial" w:hAnsi="Arial"/>
          <w:sz w:val="16"/>
          <w:szCs w:val="16"/>
          <w:color w:val="auto"/>
        </w:rPr>
      </w:pPr>
      <w:r>
        <w:rPr>
          <w:rFonts w:ascii="Arial" w:cs="Arial" w:eastAsia="Arial" w:hAnsi="Arial"/>
          <w:sz w:val="16"/>
          <w:szCs w:val="16"/>
          <w:color w:val="auto"/>
        </w:rPr>
        <w:t>Depending on the type of risk, the Group uses mitigating instruments to reduce its exposure, such as guarantees, derivatives, controls, insurance among others. Furthermore, it has policies linked to risk appetite and established procedures for each type of risk.</w:t>
      </w:r>
    </w:p>
    <w:p>
      <w:pPr>
        <w:spacing w:after="0" w:line="150"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The Group actively uses guarantees to reduce its credit risks.</w:t>
      </w:r>
    </w:p>
    <w:p>
      <w:pPr>
        <w:spacing w:after="0" w:line="202" w:lineRule="exact"/>
        <w:rPr>
          <w:rFonts w:ascii="Arial" w:cs="Arial" w:eastAsia="Arial" w:hAnsi="Arial"/>
          <w:sz w:val="16"/>
          <w:szCs w:val="16"/>
          <w:color w:val="auto"/>
        </w:rPr>
      </w:pPr>
    </w:p>
    <w:p>
      <w:pPr>
        <w:ind w:left="283" w:hanging="283"/>
        <w:spacing w:after="0"/>
        <w:tabs>
          <w:tab w:leader="none" w:pos="28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Risk appetite -</w:t>
      </w:r>
    </w:p>
    <w:p>
      <w:pPr>
        <w:spacing w:after="0" w:line="202" w:lineRule="exact"/>
        <w:rPr>
          <w:rFonts w:ascii="Arial" w:cs="Arial" w:eastAsia="Arial" w:hAnsi="Arial"/>
          <w:sz w:val="16"/>
          <w:szCs w:val="16"/>
          <w:color w:val="auto"/>
        </w:rPr>
      </w:pPr>
    </w:p>
    <w:p>
      <w:pPr>
        <w:ind w:left="283" w:right="140"/>
        <w:spacing w:after="0" w:line="280" w:lineRule="auto"/>
        <w:rPr>
          <w:rFonts w:ascii="Arial" w:cs="Arial" w:eastAsia="Arial" w:hAnsi="Arial"/>
          <w:sz w:val="16"/>
          <w:szCs w:val="16"/>
          <w:color w:val="auto"/>
        </w:rPr>
      </w:pPr>
      <w:r>
        <w:rPr>
          <w:rFonts w:ascii="Arial" w:cs="Arial" w:eastAsia="Arial" w:hAnsi="Arial"/>
          <w:sz w:val="16"/>
          <w:szCs w:val="16"/>
          <w:color w:val="auto"/>
        </w:rPr>
        <w:t>In the different subsidiaries of the Group, the respective Boards approve the risk appetite framework to define the maximum level of risk that the organization is willing to take in seeking to accomplish its primary and secondary business objectives.</w:t>
      </w:r>
    </w:p>
    <w:p>
      <w:pPr>
        <w:spacing w:after="0" w:line="150" w:lineRule="exact"/>
        <w:rPr>
          <w:rFonts w:ascii="Arial" w:cs="Arial" w:eastAsia="Arial" w:hAnsi="Arial"/>
          <w:sz w:val="16"/>
          <w:szCs w:val="16"/>
          <w:color w:val="auto"/>
        </w:rPr>
      </w:pPr>
    </w:p>
    <w:p>
      <w:pPr>
        <w:ind w:left="283" w:right="640"/>
        <w:spacing w:after="0" w:line="280" w:lineRule="auto"/>
        <w:rPr>
          <w:rFonts w:ascii="Arial" w:cs="Arial" w:eastAsia="Arial" w:hAnsi="Arial"/>
          <w:sz w:val="16"/>
          <w:szCs w:val="16"/>
          <w:color w:val="auto"/>
        </w:rPr>
      </w:pPr>
      <w:r>
        <w:rPr>
          <w:rFonts w:ascii="Arial" w:cs="Arial" w:eastAsia="Arial" w:hAnsi="Arial"/>
          <w:sz w:val="16"/>
          <w:szCs w:val="16"/>
          <w:color w:val="auto"/>
        </w:rPr>
        <w:t>Primary objectives are intended to preserve the strategic pillars of the organization, such as solvency, liquidity, reward and growth, stability of results and balanced structure.</w:t>
      </w:r>
    </w:p>
    <w:p>
      <w:pPr>
        <w:spacing w:after="0" w:line="150" w:lineRule="exact"/>
        <w:rPr>
          <w:rFonts w:ascii="Arial" w:cs="Arial" w:eastAsia="Arial" w:hAnsi="Arial"/>
          <w:sz w:val="16"/>
          <w:szCs w:val="16"/>
          <w:color w:val="auto"/>
        </w:rPr>
      </w:pPr>
    </w:p>
    <w:p>
      <w:pPr>
        <w:ind w:left="283" w:right="620"/>
        <w:spacing w:after="0" w:line="315" w:lineRule="auto"/>
        <w:rPr>
          <w:rFonts w:ascii="Arial" w:cs="Arial" w:eastAsia="Arial" w:hAnsi="Arial"/>
          <w:sz w:val="16"/>
          <w:szCs w:val="16"/>
          <w:color w:val="auto"/>
        </w:rPr>
      </w:pPr>
      <w:r>
        <w:rPr>
          <w:rFonts w:ascii="Arial" w:cs="Arial" w:eastAsia="Arial" w:hAnsi="Arial"/>
          <w:sz w:val="15"/>
          <w:szCs w:val="15"/>
          <w:color w:val="auto"/>
        </w:rPr>
        <w:t>Secondary objectives are intended to monitor on a qualitative and quantitative basis the various risks to which the Group is exposed, as well as defining a tolerance threshold of each of those risks so that the risk profile set by the Board is preserved and any risk focus is anticipated on a more granular basis.</w:t>
      </w:r>
    </w:p>
    <w:p>
      <w:pPr>
        <w:spacing w:after="0" w:line="127"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Risk appetite is instrumented through the following elements:</w:t>
      </w:r>
    </w:p>
    <w:p>
      <w:pPr>
        <w:spacing w:after="0" w:line="202" w:lineRule="exact"/>
        <w:rPr>
          <w:rFonts w:ascii="Arial" w:cs="Arial" w:eastAsia="Arial" w:hAnsi="Arial"/>
          <w:sz w:val="16"/>
          <w:szCs w:val="16"/>
          <w:color w:val="auto"/>
        </w:rPr>
      </w:pPr>
    </w:p>
    <w:p>
      <w:pPr>
        <w:ind w:left="583" w:hanging="293"/>
        <w:spacing w:after="0"/>
        <w:tabs>
          <w:tab w:leader="none" w:pos="583" w:val="left"/>
        </w:tabs>
        <w:numPr>
          <w:ilvl w:val="1"/>
          <w:numId w:val="125"/>
        </w:numPr>
        <w:rPr>
          <w:rFonts w:ascii="Arial" w:cs="Arial" w:eastAsia="Arial" w:hAnsi="Arial"/>
          <w:sz w:val="16"/>
          <w:szCs w:val="16"/>
          <w:color w:val="auto"/>
        </w:rPr>
      </w:pPr>
      <w:r>
        <w:rPr>
          <w:rFonts w:ascii="Arial" w:cs="Arial" w:eastAsia="Arial" w:hAnsi="Arial"/>
          <w:sz w:val="16"/>
          <w:szCs w:val="16"/>
          <w:color w:val="auto"/>
        </w:rPr>
        <w:t>Risk appetite statement: It makes explicit the general principles and the qualitative declarations which complement the Bank’s risk strategy.</w:t>
      </w:r>
    </w:p>
    <w:p>
      <w:pPr>
        <w:spacing w:after="0" w:line="202" w:lineRule="exact"/>
        <w:rPr>
          <w:rFonts w:ascii="Arial" w:cs="Arial" w:eastAsia="Arial" w:hAnsi="Arial"/>
          <w:sz w:val="16"/>
          <w:szCs w:val="16"/>
          <w:color w:val="auto"/>
        </w:rPr>
      </w:pPr>
    </w:p>
    <w:p>
      <w:pPr>
        <w:ind w:left="583" w:hanging="293"/>
        <w:spacing w:after="0"/>
        <w:tabs>
          <w:tab w:leader="none" w:pos="583" w:val="left"/>
        </w:tabs>
        <w:numPr>
          <w:ilvl w:val="1"/>
          <w:numId w:val="125"/>
        </w:numPr>
        <w:rPr>
          <w:rFonts w:ascii="Arial" w:cs="Arial" w:eastAsia="Arial" w:hAnsi="Arial"/>
          <w:sz w:val="16"/>
          <w:szCs w:val="16"/>
          <w:color w:val="auto"/>
        </w:rPr>
      </w:pPr>
      <w:r>
        <w:rPr>
          <w:rFonts w:ascii="Arial" w:cs="Arial" w:eastAsia="Arial" w:hAnsi="Arial"/>
          <w:sz w:val="16"/>
          <w:szCs w:val="16"/>
          <w:color w:val="auto"/>
        </w:rPr>
        <w:t>Metrics scorecard: These are used to define the levels of risk exposure in the different strategic pillars.</w:t>
      </w:r>
    </w:p>
    <w:p>
      <w:pPr>
        <w:spacing w:after="0" w:line="202" w:lineRule="exact"/>
        <w:rPr>
          <w:rFonts w:ascii="Arial" w:cs="Arial" w:eastAsia="Arial" w:hAnsi="Arial"/>
          <w:sz w:val="16"/>
          <w:szCs w:val="16"/>
          <w:color w:val="auto"/>
        </w:rPr>
      </w:pPr>
    </w:p>
    <w:p>
      <w:pPr>
        <w:ind w:left="583" w:hanging="293"/>
        <w:spacing w:after="0" w:line="280" w:lineRule="auto"/>
        <w:tabs>
          <w:tab w:leader="none" w:pos="583" w:val="left"/>
        </w:tabs>
        <w:numPr>
          <w:ilvl w:val="1"/>
          <w:numId w:val="125"/>
        </w:numPr>
        <w:rPr>
          <w:rFonts w:ascii="Arial" w:cs="Arial" w:eastAsia="Arial" w:hAnsi="Arial"/>
          <w:sz w:val="16"/>
          <w:szCs w:val="16"/>
          <w:color w:val="auto"/>
        </w:rPr>
      </w:pPr>
      <w:r>
        <w:rPr>
          <w:rFonts w:ascii="Arial" w:cs="Arial" w:eastAsia="Arial" w:hAnsi="Arial"/>
          <w:sz w:val="16"/>
          <w:szCs w:val="16"/>
          <w:color w:val="auto"/>
        </w:rPr>
        <w:t>Limits: Permit control over the risk-taking process within the tolerance established by the Board. They also provide accountability for the risk-taking process and define guidelines regarding the target risk profile.</w:t>
      </w:r>
    </w:p>
    <w:p>
      <w:pPr>
        <w:spacing w:after="0" w:line="150" w:lineRule="exact"/>
        <w:rPr>
          <w:rFonts w:ascii="Arial" w:cs="Arial" w:eastAsia="Arial" w:hAnsi="Arial"/>
          <w:sz w:val="16"/>
          <w:szCs w:val="16"/>
          <w:color w:val="auto"/>
        </w:rPr>
      </w:pPr>
    </w:p>
    <w:p>
      <w:pPr>
        <w:ind w:left="583" w:hanging="293"/>
        <w:spacing w:after="0"/>
        <w:tabs>
          <w:tab w:leader="none" w:pos="583" w:val="left"/>
        </w:tabs>
        <w:numPr>
          <w:ilvl w:val="1"/>
          <w:numId w:val="125"/>
        </w:numPr>
        <w:rPr>
          <w:rFonts w:ascii="Arial" w:cs="Arial" w:eastAsia="Arial" w:hAnsi="Arial"/>
          <w:sz w:val="14"/>
          <w:szCs w:val="14"/>
          <w:color w:val="auto"/>
        </w:rPr>
      </w:pPr>
      <w:r>
        <w:rPr>
          <w:rFonts w:ascii="Arial" w:cs="Arial" w:eastAsia="Arial" w:hAnsi="Arial"/>
          <w:sz w:val="14"/>
          <w:szCs w:val="14"/>
          <w:color w:val="auto"/>
        </w:rPr>
        <w:t>Government of the risk appetite process: Seeks to guarantee compliance of the framework through the different roles and responsibilities assigned to the units involved.</w:t>
      </w:r>
    </w:p>
    <w:p>
      <w:pPr>
        <w:spacing w:after="0" w:line="200" w:lineRule="exact"/>
        <w:rPr>
          <w:rFonts w:ascii="Arial" w:cs="Arial" w:eastAsia="Arial" w:hAnsi="Arial"/>
          <w:sz w:val="14"/>
          <w:szCs w:val="14"/>
          <w:color w:val="auto"/>
        </w:rPr>
      </w:pPr>
    </w:p>
    <w:p>
      <w:pPr>
        <w:spacing w:after="0" w:line="219" w:lineRule="exact"/>
        <w:rPr>
          <w:rFonts w:ascii="Arial" w:cs="Arial" w:eastAsia="Arial" w:hAnsi="Arial"/>
          <w:sz w:val="14"/>
          <w:szCs w:val="14"/>
          <w:color w:val="auto"/>
        </w:rPr>
      </w:pPr>
    </w:p>
    <w:p>
      <w:pPr>
        <w:ind w:left="5603" w:hanging="92"/>
        <w:spacing w:after="0"/>
        <w:tabs>
          <w:tab w:leader="none" w:pos="5603" w:val="left"/>
        </w:tabs>
        <w:numPr>
          <w:ilvl w:val="2"/>
          <w:numId w:val="125"/>
        </w:numPr>
        <w:rPr>
          <w:rFonts w:ascii="Arial" w:cs="Arial" w:eastAsia="Arial" w:hAnsi="Arial"/>
          <w:sz w:val="16"/>
          <w:szCs w:val="16"/>
          <w:color w:val="auto"/>
        </w:rPr>
      </w:pPr>
      <w:r>
        <w:rPr>
          <w:rFonts w:ascii="Arial" w:cs="Arial" w:eastAsia="Arial" w:hAnsi="Arial"/>
          <w:sz w:val="16"/>
          <w:szCs w:val="16"/>
          <w:color w:val="auto"/>
        </w:rPr>
        <w:t>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8" w:right="239" w:bottom="1440" w:gutter="0" w:footer="0" w:header="0"/>
        </w:sectPr>
      </w:pPr>
    </w:p>
    <w:bookmarkStart w:id="121" w:name="page122"/>
    <w:bookmarkEnd w:id="121"/>
    <w:p>
      <w:pPr>
        <w:ind w:left="283" w:hanging="283"/>
        <w:spacing w:after="0"/>
        <w:tabs>
          <w:tab w:leader="none" w:pos="28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Risk concentration -</w:t>
      </w:r>
    </w:p>
    <w:p>
      <w:pPr>
        <w:spacing w:after="0" w:line="202" w:lineRule="exact"/>
        <w:rPr>
          <w:rFonts w:ascii="Arial" w:cs="Arial" w:eastAsia="Arial" w:hAnsi="Arial"/>
          <w:sz w:val="16"/>
          <w:szCs w:val="16"/>
          <w:color w:val="auto"/>
        </w:rPr>
      </w:pPr>
    </w:p>
    <w:p>
      <w:pPr>
        <w:jc w:val="both"/>
        <w:ind w:left="283" w:right="320"/>
        <w:spacing w:after="0" w:line="266" w:lineRule="auto"/>
        <w:rPr>
          <w:rFonts w:ascii="Arial" w:cs="Arial" w:eastAsia="Arial" w:hAnsi="Arial"/>
          <w:sz w:val="16"/>
          <w:szCs w:val="16"/>
          <w:color w:val="auto"/>
        </w:rPr>
      </w:pPr>
      <w:r>
        <w:rPr>
          <w:rFonts w:ascii="Arial" w:cs="Arial" w:eastAsia="Arial" w:hAnsi="Arial"/>
          <w:sz w:val="16"/>
          <w:szCs w:val="16"/>
          <w:color w:val="auto"/>
        </w:rPr>
        <w:t>Concentrations arise when a number of counterparties are engaged in similar business activities, or activities in the same geographic region, or have similar economic, political or other conditions. Concentrations indicate the relative sensitivity of the Group’s performance to developments affecting a particular industry or geographical location.</w:t>
      </w:r>
    </w:p>
    <w:p>
      <w:pPr>
        <w:spacing w:after="0" w:line="161"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5"/>
          <w:szCs w:val="15"/>
          <w:color w:val="auto"/>
        </w:rPr>
        <w:t>In order to avoid excessive concentrations of risk, the Group’s policies and procedures include specific guidelines to focus on maintaining a diversified portfolio.</w:t>
      </w:r>
    </w:p>
    <w:p>
      <w:pPr>
        <w:spacing w:after="0" w:line="21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34.1  Credit risk -</w:t>
      </w:r>
    </w:p>
    <w:p>
      <w:pPr>
        <w:spacing w:after="0" w:line="207" w:lineRule="exact"/>
        <w:rPr>
          <w:sz w:val="20"/>
          <w:szCs w:val="20"/>
          <w:color w:val="auto"/>
        </w:rPr>
      </w:pPr>
    </w:p>
    <w:p>
      <w:pPr>
        <w:ind w:left="283" w:hanging="283"/>
        <w:spacing w:after="0" w:line="280" w:lineRule="auto"/>
        <w:tabs>
          <w:tab w:leader="none" w:pos="28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Group takes on exposure to credit risk, which is the probability of suffering losses caused by debtors or counterparties failing to comply with payment obligations in on or off the balance sheet. Exposures.</w:t>
      </w:r>
    </w:p>
    <w:p>
      <w:pPr>
        <w:spacing w:after="0" w:line="150" w:lineRule="exact"/>
        <w:rPr>
          <w:rFonts w:ascii="Arial" w:cs="Arial" w:eastAsia="Arial" w:hAnsi="Arial"/>
          <w:sz w:val="16"/>
          <w:szCs w:val="16"/>
          <w:color w:val="auto"/>
        </w:rPr>
      </w:pPr>
    </w:p>
    <w:p>
      <w:pPr>
        <w:ind w:left="283" w:right="220"/>
        <w:spacing w:after="0" w:line="259" w:lineRule="auto"/>
        <w:rPr>
          <w:rFonts w:ascii="Arial" w:cs="Arial" w:eastAsia="Arial" w:hAnsi="Arial"/>
          <w:sz w:val="16"/>
          <w:szCs w:val="16"/>
          <w:color w:val="auto"/>
        </w:rPr>
      </w:pPr>
      <w:r>
        <w:rPr>
          <w:rFonts w:ascii="Arial" w:cs="Arial" w:eastAsia="Arial" w:hAnsi="Arial"/>
          <w:sz w:val="16"/>
          <w:szCs w:val="16"/>
          <w:color w:val="auto"/>
        </w:rPr>
        <w:t>Credit risk is the most important risk for the Group’s business; therefore, Management carefully manages its exposure to credit risk. Credit exposures arise principally in lending activities that lead to loans and accounts receivable from security borrowings, and investment activities that bring debt securities and other bills into the Group’s asset portfolio. There is also credit risk in off-balance sheet financial instruments, such as contingent credits (indirect loans), which expose the Group to similar risks to loans (direct); they are both mitigated by the same control processes and policies. Likewise, credit risk arises from derivative financial instruments showing positive fair values.</w:t>
      </w:r>
    </w:p>
    <w:p>
      <w:pPr>
        <w:spacing w:after="0" w:line="167" w:lineRule="exact"/>
        <w:rPr>
          <w:rFonts w:ascii="Arial" w:cs="Arial" w:eastAsia="Arial" w:hAnsi="Arial"/>
          <w:sz w:val="16"/>
          <w:szCs w:val="16"/>
          <w:color w:val="auto"/>
        </w:rPr>
      </w:pPr>
    </w:p>
    <w:p>
      <w:pPr>
        <w:ind w:left="283" w:right="80"/>
        <w:spacing w:after="0" w:line="266" w:lineRule="auto"/>
        <w:rPr>
          <w:rFonts w:ascii="Arial" w:cs="Arial" w:eastAsia="Arial" w:hAnsi="Arial"/>
          <w:sz w:val="16"/>
          <w:szCs w:val="16"/>
          <w:color w:val="auto"/>
        </w:rPr>
      </w:pPr>
      <w:r>
        <w:rPr>
          <w:rFonts w:ascii="Arial" w:cs="Arial" w:eastAsia="Arial" w:hAnsi="Arial"/>
          <w:sz w:val="16"/>
          <w:szCs w:val="16"/>
          <w:color w:val="auto"/>
        </w:rPr>
        <w:t>Impairment provisions are assigned for losses that have been incurred at the date of the consolidated statement of financial position. Significant changes in the economy or in the particular situation of an industry segment that represents a concentration in the Group’s portfolio could result in losses that are different from those provided at the date of the consolidated statement of financial position.</w:t>
      </w:r>
    </w:p>
    <w:p>
      <w:pPr>
        <w:spacing w:after="0" w:line="161" w:lineRule="exact"/>
        <w:rPr>
          <w:rFonts w:ascii="Arial" w:cs="Arial" w:eastAsia="Arial" w:hAnsi="Arial"/>
          <w:sz w:val="16"/>
          <w:szCs w:val="16"/>
          <w:color w:val="auto"/>
        </w:rPr>
      </w:pPr>
    </w:p>
    <w:p>
      <w:pPr>
        <w:ind w:left="283" w:right="40"/>
        <w:spacing w:after="0" w:line="266" w:lineRule="auto"/>
        <w:rPr>
          <w:rFonts w:ascii="Arial" w:cs="Arial" w:eastAsia="Arial" w:hAnsi="Arial"/>
          <w:sz w:val="16"/>
          <w:szCs w:val="16"/>
          <w:color w:val="auto"/>
        </w:rPr>
      </w:pPr>
      <w:r>
        <w:rPr>
          <w:rFonts w:ascii="Arial" w:cs="Arial" w:eastAsia="Arial" w:hAnsi="Arial"/>
          <w:sz w:val="16"/>
          <w:szCs w:val="16"/>
          <w:color w:val="auto"/>
        </w:rPr>
        <w:t>The Group organizes the levels of credit risk assumed by establishing limits on the amount of risk accepted in relation to one borrower or groups of borrowers, and to geographical and industry segments. Said risks are monitored on a revolving basis and are subject to frequent reviews. Limits in the level of credit risk by product, industry sector and by geographic segment are approved by the Risk Committee.</w:t>
      </w:r>
    </w:p>
    <w:p>
      <w:pPr>
        <w:spacing w:after="0" w:line="161" w:lineRule="exact"/>
        <w:rPr>
          <w:rFonts w:ascii="Arial" w:cs="Arial" w:eastAsia="Arial" w:hAnsi="Arial"/>
          <w:sz w:val="16"/>
          <w:szCs w:val="16"/>
          <w:color w:val="auto"/>
        </w:rPr>
      </w:pPr>
    </w:p>
    <w:p>
      <w:pPr>
        <w:ind w:left="283" w:right="440"/>
        <w:spacing w:after="0" w:line="280" w:lineRule="auto"/>
        <w:rPr>
          <w:rFonts w:ascii="Arial" w:cs="Arial" w:eastAsia="Arial" w:hAnsi="Arial"/>
          <w:sz w:val="16"/>
          <w:szCs w:val="16"/>
          <w:color w:val="auto"/>
        </w:rPr>
      </w:pPr>
      <w:r>
        <w:rPr>
          <w:rFonts w:ascii="Arial" w:cs="Arial" w:eastAsia="Arial" w:hAnsi="Arial"/>
          <w:sz w:val="16"/>
          <w:szCs w:val="16"/>
          <w:color w:val="auto"/>
        </w:rPr>
        <w:t>Exposure to credit risk is managed through regular analysis of the ability of debtors and potential debtors to meet interest and principal repayment obligations and by changing these lending limits where appropriate. Some other specific control and mitigation measures are outlined below:</w:t>
      </w:r>
    </w:p>
    <w:p>
      <w:pPr>
        <w:spacing w:after="0" w:line="150" w:lineRule="exact"/>
        <w:rPr>
          <w:rFonts w:ascii="Arial" w:cs="Arial" w:eastAsia="Arial" w:hAnsi="Arial"/>
          <w:sz w:val="16"/>
          <w:szCs w:val="16"/>
          <w:color w:val="auto"/>
        </w:rPr>
      </w:pPr>
    </w:p>
    <w:p>
      <w:pPr>
        <w:ind w:left="583" w:hanging="293"/>
        <w:spacing w:after="0"/>
        <w:tabs>
          <w:tab w:leader="none" w:pos="583" w:val="left"/>
        </w:tabs>
        <w:numPr>
          <w:ilvl w:val="1"/>
          <w:numId w:val="127"/>
        </w:numPr>
        <w:rPr>
          <w:rFonts w:ascii="Arial" w:cs="Arial" w:eastAsia="Arial" w:hAnsi="Arial"/>
          <w:sz w:val="16"/>
          <w:szCs w:val="16"/>
          <w:color w:val="auto"/>
        </w:rPr>
      </w:pPr>
      <w:r>
        <w:rPr>
          <w:rFonts w:ascii="Arial" w:cs="Arial" w:eastAsia="Arial" w:hAnsi="Arial"/>
          <w:sz w:val="16"/>
          <w:szCs w:val="16"/>
          <w:color w:val="auto"/>
        </w:rPr>
        <w:t>Collateral -</w:t>
      </w:r>
    </w:p>
    <w:p>
      <w:pPr>
        <w:spacing w:after="0" w:line="203" w:lineRule="exact"/>
        <w:rPr>
          <w:sz w:val="20"/>
          <w:szCs w:val="20"/>
          <w:color w:val="auto"/>
        </w:rPr>
      </w:pPr>
    </w:p>
    <w:p>
      <w:pPr>
        <w:ind w:left="283" w:right="380"/>
        <w:spacing w:after="0" w:line="315" w:lineRule="auto"/>
        <w:rPr>
          <w:sz w:val="20"/>
          <w:szCs w:val="20"/>
          <w:color w:val="auto"/>
        </w:rPr>
      </w:pPr>
      <w:r>
        <w:rPr>
          <w:rFonts w:ascii="Arial" w:cs="Arial" w:eastAsia="Arial" w:hAnsi="Arial"/>
          <w:sz w:val="15"/>
          <w:szCs w:val="15"/>
          <w:color w:val="auto"/>
        </w:rPr>
        <w:t>The Group employs a range of policies and practices to mitigate credit risk. The most traditional of these is collaterized with guarantees part of the loan portfolio. The Group implements guidelines on the acceptability of specific classes of collateral or credit risk mitigation. The main types of collateral obtained are as follows:</w:t>
      </w:r>
    </w:p>
    <w:p>
      <w:pPr>
        <w:spacing w:after="0" w:line="127" w:lineRule="exact"/>
        <w:rPr>
          <w:sz w:val="20"/>
          <w:szCs w:val="20"/>
          <w:color w:val="auto"/>
        </w:rPr>
      </w:pPr>
    </w:p>
    <w:p>
      <w:pPr>
        <w:ind w:left="583" w:right="200" w:hanging="293"/>
        <w:spacing w:after="0" w:line="280" w:lineRule="auto"/>
        <w:tabs>
          <w:tab w:leader="none" w:pos="58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For loans and advances, collaterals include, among others, mortgages over residential properties; liens over business assets such as premises, inventory and accounts receivable; and liens over financial instruments such as debt securities and equities.</w:t>
      </w:r>
    </w:p>
    <w:p>
      <w:pPr>
        <w:spacing w:after="0" w:line="150" w:lineRule="exact"/>
        <w:rPr>
          <w:rFonts w:ascii="Arial" w:cs="Arial" w:eastAsia="Arial" w:hAnsi="Arial"/>
          <w:sz w:val="16"/>
          <w:szCs w:val="16"/>
          <w:color w:val="auto"/>
        </w:rPr>
      </w:pPr>
    </w:p>
    <w:p>
      <w:pPr>
        <w:ind w:left="583" w:right="40" w:hanging="293"/>
        <w:spacing w:after="0" w:line="280" w:lineRule="auto"/>
        <w:tabs>
          <w:tab w:leader="none" w:pos="58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For longer-term finance and lending to corporate entities, collateral includes revolving individual credit facilities. Loans to micro business generally have no collateral. In order to minimize credit loss, the Group will seek additional collateral from the counterparty as soon as impairment indicators rise up.</w:t>
      </w:r>
    </w:p>
    <w:p>
      <w:pPr>
        <w:spacing w:after="0" w:line="344" w:lineRule="exact"/>
        <w:rPr>
          <w:rFonts w:ascii="Arial" w:cs="Arial" w:eastAsia="Arial" w:hAnsi="Arial"/>
          <w:sz w:val="16"/>
          <w:szCs w:val="16"/>
          <w:color w:val="auto"/>
        </w:rPr>
      </w:pPr>
    </w:p>
    <w:p>
      <w:pPr>
        <w:ind w:left="5603" w:hanging="92"/>
        <w:spacing w:after="0"/>
        <w:tabs>
          <w:tab w:leader="none" w:pos="5603" w:val="left"/>
        </w:tabs>
        <w:numPr>
          <w:ilvl w:val="1"/>
          <w:numId w:val="128"/>
        </w:numPr>
        <w:rPr>
          <w:rFonts w:ascii="Arial" w:cs="Arial" w:eastAsia="Arial" w:hAnsi="Arial"/>
          <w:sz w:val="16"/>
          <w:szCs w:val="16"/>
          <w:color w:val="auto"/>
        </w:rPr>
      </w:pPr>
      <w:r>
        <w:rPr>
          <w:rFonts w:ascii="Arial" w:cs="Arial" w:eastAsia="Arial" w:hAnsi="Arial"/>
          <w:sz w:val="16"/>
          <w:szCs w:val="16"/>
          <w:color w:val="auto"/>
        </w:rPr>
        <w:t>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83"/>
          </w:cols>
          <w:pgMar w:left="237" w:top="828" w:right="279" w:bottom="1440" w:gutter="0" w:footer="0" w:header="0"/>
        </w:sectPr>
      </w:pPr>
    </w:p>
    <w:bookmarkStart w:id="122" w:name="page123"/>
    <w:bookmarkEnd w:id="122"/>
    <w:p>
      <w:pPr>
        <w:ind w:left="293" w:hanging="293"/>
        <w:spacing w:after="0"/>
        <w:tabs>
          <w:tab w:leader="none" w:pos="29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For repurchase agreements and security lendings, the related securities constitute collateral.</w:t>
      </w:r>
    </w:p>
    <w:p>
      <w:pPr>
        <w:spacing w:after="0" w:line="202" w:lineRule="exact"/>
        <w:rPr>
          <w:rFonts w:ascii="Arial" w:cs="Arial" w:eastAsia="Arial" w:hAnsi="Arial"/>
          <w:sz w:val="16"/>
          <w:szCs w:val="16"/>
          <w:color w:val="auto"/>
        </w:rPr>
      </w:pPr>
    </w:p>
    <w:p>
      <w:pPr>
        <w:ind w:left="293" w:right="520"/>
        <w:spacing w:after="0" w:line="354" w:lineRule="auto"/>
        <w:rPr>
          <w:rFonts w:ascii="Arial" w:cs="Arial" w:eastAsia="Arial" w:hAnsi="Arial"/>
          <w:sz w:val="16"/>
          <w:szCs w:val="16"/>
          <w:color w:val="auto"/>
        </w:rPr>
      </w:pPr>
      <w:r>
        <w:rPr>
          <w:rFonts w:ascii="Arial" w:cs="Arial" w:eastAsia="Arial" w:hAnsi="Arial"/>
          <w:sz w:val="14"/>
          <w:szCs w:val="14"/>
          <w:color w:val="auto"/>
        </w:rPr>
        <w:t>Collateral held as security for financial assets other than loans is determined by the nature of the instrument. Debt securities, treasury and other eligible bills are generally unsecured, with the exception of assets backed securities and similar instruments, which are secured by portfolios of financial instruments.</w:t>
      </w:r>
    </w:p>
    <w:p>
      <w:pPr>
        <w:spacing w:after="0" w:line="105" w:lineRule="exact"/>
        <w:rPr>
          <w:sz w:val="20"/>
          <w:szCs w:val="20"/>
          <w:color w:val="auto"/>
        </w:rPr>
      </w:pPr>
    </w:p>
    <w:p>
      <w:pPr>
        <w:ind w:left="293" w:right="180"/>
        <w:spacing w:after="0" w:line="292" w:lineRule="auto"/>
        <w:rPr>
          <w:sz w:val="20"/>
          <w:szCs w:val="20"/>
          <w:color w:val="auto"/>
        </w:rPr>
      </w:pPr>
      <w:r>
        <w:rPr>
          <w:rFonts w:ascii="Arial" w:cs="Arial" w:eastAsia="Arial" w:hAnsi="Arial"/>
          <w:sz w:val="15"/>
          <w:szCs w:val="15"/>
          <w:color w:val="auto"/>
        </w:rPr>
        <w:t>Management monitors the market value of collateral, requests additional collateral in accordance with the underlying agreement, and monitors the market value of collateral obtained during its review of the adequacy of the allowance for impairment losses. It is the Group’s policy to dispose of seized assets in an orderly manner. The proceeds are used to reduce or repay the outstanding claim. In general, the Group does not use seized assets for its own business.</w:t>
      </w:r>
    </w:p>
    <w:p>
      <w:pPr>
        <w:spacing w:after="0" w:line="144" w:lineRule="exact"/>
        <w:rPr>
          <w:sz w:val="20"/>
          <w:szCs w:val="20"/>
          <w:color w:val="auto"/>
        </w:rPr>
      </w:pPr>
    </w:p>
    <w:p>
      <w:pPr>
        <w:ind w:left="293" w:hanging="293"/>
        <w:spacing w:after="0"/>
        <w:tabs>
          <w:tab w:leader="none" w:pos="29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Derivatives -</w:t>
      </w:r>
    </w:p>
    <w:p>
      <w:pPr>
        <w:spacing w:after="0" w:line="202" w:lineRule="exact"/>
        <w:rPr>
          <w:rFonts w:ascii="Arial" w:cs="Arial" w:eastAsia="Arial" w:hAnsi="Arial"/>
          <w:sz w:val="16"/>
          <w:szCs w:val="16"/>
          <w:color w:val="auto"/>
        </w:rPr>
      </w:pPr>
    </w:p>
    <w:p>
      <w:pPr>
        <w:ind w:left="293"/>
        <w:spacing w:after="0" w:line="278" w:lineRule="auto"/>
        <w:rPr>
          <w:rFonts w:ascii="Arial" w:cs="Arial" w:eastAsia="Arial" w:hAnsi="Arial"/>
          <w:sz w:val="16"/>
          <w:szCs w:val="16"/>
          <w:color w:val="auto"/>
        </w:rPr>
      </w:pPr>
      <w:r>
        <w:rPr>
          <w:rFonts w:ascii="Arial" w:cs="Arial" w:eastAsia="Arial" w:hAnsi="Arial"/>
          <w:sz w:val="15"/>
          <w:szCs w:val="15"/>
          <w:color w:val="auto"/>
        </w:rPr>
        <w:t>The amount subject to credit risk is limited to the current and potential fair value of instruments that are favorable to the Group (for example, an asset when fair value is positive), which in relation to derivatives is only a small fraction of the contract, or notional amount used to express the volume of instruments outstanding. This credit risk exposure is managed as part of the total credit limits with customers, together with potential exposures from market movements. Collateral or other security is not usually obtained for credit risk exposures on these instruments. With respect to derivatives agreed with non-financial customers, collaterals have been granted to secure the overall amount; with respect to financial counterparties, collaterals granted are those required under the clearing provisions issued by the International Swaps and Derivatives Association Inc. (ISDA) or the local framework agreement.</w:t>
      </w:r>
    </w:p>
    <w:p>
      <w:pPr>
        <w:spacing w:after="0" w:line="155" w:lineRule="exact"/>
        <w:rPr>
          <w:rFonts w:ascii="Arial" w:cs="Arial" w:eastAsia="Arial" w:hAnsi="Arial"/>
          <w:sz w:val="16"/>
          <w:szCs w:val="16"/>
          <w:color w:val="auto"/>
        </w:rPr>
      </w:pPr>
    </w:p>
    <w:p>
      <w:pPr>
        <w:jc w:val="both"/>
        <w:ind w:left="293" w:right="160"/>
        <w:spacing w:after="0" w:line="266" w:lineRule="auto"/>
        <w:rPr>
          <w:rFonts w:ascii="Arial" w:cs="Arial" w:eastAsia="Arial" w:hAnsi="Arial"/>
          <w:sz w:val="16"/>
          <w:szCs w:val="16"/>
          <w:color w:val="auto"/>
        </w:rPr>
      </w:pPr>
      <w:r>
        <w:rPr>
          <w:rFonts w:ascii="Arial" w:cs="Arial" w:eastAsia="Arial" w:hAnsi="Arial"/>
          <w:sz w:val="16"/>
          <w:szCs w:val="16"/>
          <w:color w:val="auto"/>
        </w:rPr>
        <w:t>Settlement risk arises in any situation where a payment in cash, securities or equity is made in the expectation of a corresponding receipt in cash, securities or equity. Daily settlement limits are established for each counterparty in order to cover the aggregate of all settlement risk arising from the Group’s market transactions in only one day.</w:t>
      </w:r>
    </w:p>
    <w:p>
      <w:pPr>
        <w:spacing w:after="0" w:line="161" w:lineRule="exact"/>
        <w:rPr>
          <w:rFonts w:ascii="Arial" w:cs="Arial" w:eastAsia="Arial" w:hAnsi="Arial"/>
          <w:sz w:val="16"/>
          <w:szCs w:val="16"/>
          <w:color w:val="auto"/>
        </w:rPr>
      </w:pPr>
    </w:p>
    <w:p>
      <w:pPr>
        <w:ind w:left="293" w:hanging="293"/>
        <w:spacing w:after="0"/>
        <w:tabs>
          <w:tab w:leader="none" w:pos="29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Credit-related commitments -</w:t>
      </w:r>
    </w:p>
    <w:p>
      <w:pPr>
        <w:spacing w:after="0" w:line="202" w:lineRule="exact"/>
        <w:rPr>
          <w:rFonts w:ascii="Arial" w:cs="Arial" w:eastAsia="Arial" w:hAnsi="Arial"/>
          <w:sz w:val="16"/>
          <w:szCs w:val="16"/>
          <w:color w:val="auto"/>
        </w:rPr>
      </w:pPr>
    </w:p>
    <w:p>
      <w:pPr>
        <w:ind w:left="293" w:right="120"/>
        <w:spacing w:after="0" w:line="261" w:lineRule="auto"/>
        <w:rPr>
          <w:rFonts w:ascii="Arial" w:cs="Arial" w:eastAsia="Arial" w:hAnsi="Arial"/>
          <w:sz w:val="16"/>
          <w:szCs w:val="16"/>
          <w:color w:val="auto"/>
        </w:rPr>
      </w:pPr>
      <w:r>
        <w:rPr>
          <w:rFonts w:ascii="Arial" w:cs="Arial" w:eastAsia="Arial" w:hAnsi="Arial"/>
          <w:sz w:val="16"/>
          <w:szCs w:val="16"/>
          <w:color w:val="auto"/>
        </w:rPr>
        <w:t>The primary purpose of these instruments is to ensure that funds are available to a customer as required. Guarantees and letters of credit have the same credit risk as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have less risk than a direct loan. The Group has no mandatory commitments to extend credit.</w:t>
      </w:r>
    </w:p>
    <w:p>
      <w:pPr>
        <w:spacing w:after="0" w:line="166" w:lineRule="exact"/>
        <w:rPr>
          <w:rFonts w:ascii="Arial" w:cs="Arial" w:eastAsia="Arial" w:hAnsi="Arial"/>
          <w:sz w:val="16"/>
          <w:szCs w:val="16"/>
          <w:color w:val="auto"/>
        </w:rPr>
      </w:pPr>
    </w:p>
    <w:p>
      <w:pPr>
        <w:ind w:left="293"/>
        <w:spacing w:after="0" w:line="261" w:lineRule="auto"/>
        <w:rPr>
          <w:rFonts w:ascii="Arial" w:cs="Arial" w:eastAsia="Arial" w:hAnsi="Arial"/>
          <w:sz w:val="16"/>
          <w:szCs w:val="16"/>
          <w:color w:val="auto"/>
        </w:rPr>
      </w:pPr>
      <w:r>
        <w:rPr>
          <w:rFonts w:ascii="Arial" w:cs="Arial" w:eastAsia="Arial" w:hAnsi="Arial"/>
          <w:sz w:val="16"/>
          <w:szCs w:val="16"/>
          <w:color w:val="auto"/>
        </w:rPr>
        <w:t>In order to manage credit risk, as part of the Group’s risk management structure, there is a Credit Risk Management Department, the major functions of which are implementing methodologies and statistical models for measuring credit risk exposures, developing and applying methodologies for the calculation of risk-ratings, both at the corporate and business unit levels, performing analysis of credit concentrations, verifying that credit exposures are within the established limits and suggesting global risk exposures by economic sector, time term, among others.</w:t>
      </w:r>
    </w:p>
    <w:p>
      <w:pPr>
        <w:spacing w:after="0" w:line="166" w:lineRule="exact"/>
        <w:rPr>
          <w:rFonts w:ascii="Arial" w:cs="Arial" w:eastAsia="Arial" w:hAnsi="Arial"/>
          <w:sz w:val="16"/>
          <w:szCs w:val="16"/>
          <w:color w:val="auto"/>
        </w:rPr>
      </w:pPr>
    </w:p>
    <w:p>
      <w:pPr>
        <w:ind w:left="293"/>
        <w:spacing w:after="0" w:line="310" w:lineRule="auto"/>
        <w:rPr>
          <w:rFonts w:ascii="Arial" w:cs="Arial" w:eastAsia="Arial" w:hAnsi="Arial"/>
          <w:sz w:val="16"/>
          <w:szCs w:val="16"/>
          <w:color w:val="auto"/>
        </w:rPr>
      </w:pPr>
      <w:r>
        <w:rPr>
          <w:rFonts w:ascii="Arial" w:cs="Arial" w:eastAsia="Arial" w:hAnsi="Arial"/>
          <w:sz w:val="14"/>
          <w:szCs w:val="14"/>
          <w:color w:val="auto"/>
        </w:rPr>
        <w:t>For enhanced risk identification, the Group has internal credit scoring models, which have been prepared and implemented for the main business segments. Each model is related to a defined group of scoring bands. Clients who are inside a band are characterized by having a similar risk level (within the band); however, they are different compared to the other band. For retail clients, these scoring models are highly related to management (admission, follow-up, campaigns, etc.) from different portfolios. On the other hand, for non-retail clients, ratings mainly serve as support for making credit decisions in admission, follow-up and price allocation, etc.</w:t>
      </w:r>
    </w:p>
    <w:p>
      <w:pPr>
        <w:spacing w:after="0" w:line="328" w:lineRule="exact"/>
        <w:rPr>
          <w:rFonts w:ascii="Arial" w:cs="Arial" w:eastAsia="Arial" w:hAnsi="Arial"/>
          <w:sz w:val="16"/>
          <w:szCs w:val="16"/>
          <w:color w:val="auto"/>
        </w:rPr>
      </w:pPr>
    </w:p>
    <w:p>
      <w:pPr>
        <w:ind w:left="5313" w:hanging="92"/>
        <w:spacing w:after="0"/>
        <w:tabs>
          <w:tab w:leader="none" w:pos="5313" w:val="left"/>
        </w:tabs>
        <w:numPr>
          <w:ilvl w:val="1"/>
          <w:numId w:val="130"/>
        </w:numPr>
        <w:rPr>
          <w:rFonts w:ascii="Arial" w:cs="Arial" w:eastAsia="Arial" w:hAnsi="Arial"/>
          <w:sz w:val="16"/>
          <w:szCs w:val="16"/>
          <w:color w:val="auto"/>
        </w:rPr>
      </w:pPr>
      <w:r>
        <w:rPr>
          <w:rFonts w:ascii="Arial" w:cs="Arial" w:eastAsia="Arial" w:hAnsi="Arial"/>
          <w:sz w:val="16"/>
          <w:szCs w:val="16"/>
          <w:color w:val="auto"/>
        </w:rPr>
        <w:t>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13970</wp:posOffset>
            </wp:positionV>
            <wp:extent cx="7261225" cy="76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13"/>
          </w:cols>
          <w:pgMar w:left="527" w:top="828" w:right="259" w:bottom="1440" w:gutter="0" w:footer="0" w:header="0"/>
        </w:sectPr>
      </w:pPr>
    </w:p>
    <w:bookmarkStart w:id="123" w:name="page124"/>
    <w:bookmarkEnd w:id="123"/>
    <w:p>
      <w:pPr>
        <w:ind w:left="583" w:right="160"/>
        <w:spacing w:after="0" w:line="257" w:lineRule="auto"/>
        <w:rPr>
          <w:sz w:val="20"/>
          <w:szCs w:val="20"/>
          <w:color w:val="auto"/>
        </w:rPr>
      </w:pPr>
      <w:r>
        <w:rPr>
          <w:rFonts w:ascii="Arial" w:cs="Arial" w:eastAsia="Arial" w:hAnsi="Arial"/>
          <w:sz w:val="16"/>
          <w:szCs w:val="16"/>
          <w:color w:val="auto"/>
        </w:rPr>
        <w:t>The Group has a Credit Division, which establishes the overall credit policies for each of the businesses in which the Group decides to take part. These credit policies are set forth based on the guidelines established by the Board of Directors and keeping in mind the statutory financial laws and regulations. The main activities are to establish the client credit standards and guidelines (evaluation, authorization and control); follow the guidelines established by the Board of Directors and General Management, as well as those established by governmental regulatory bodies; review and authorize credit applications, up to the limit within the scope of its responsibilities and to submit to upper hierarchies those credit applications exceeding the established limits; monitor credit-granting activities within the different autonomous bodies, among others.</w:t>
      </w:r>
    </w:p>
    <w:p>
      <w:pPr>
        <w:spacing w:after="0" w:line="172" w:lineRule="exact"/>
        <w:rPr>
          <w:sz w:val="20"/>
          <w:szCs w:val="20"/>
          <w:color w:val="auto"/>
        </w:rPr>
      </w:pPr>
    </w:p>
    <w:p>
      <w:pPr>
        <w:ind w:left="283" w:right="580" w:hanging="283"/>
        <w:spacing w:after="0" w:line="280" w:lineRule="auto"/>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maximum exposure to credit risk at December 31, 2016 and 2015, before the effect of mitigation through any collateral, is the carrying amount of each class of financial assets indicated in note 34.7(a), 34.7(b) and the contingent credits detailed in note 21(a).</w:t>
      </w:r>
    </w:p>
    <w:p>
      <w:pPr>
        <w:spacing w:after="0" w:line="150" w:lineRule="exact"/>
        <w:rPr>
          <w:rFonts w:ascii="Arial" w:cs="Arial" w:eastAsia="Arial" w:hAnsi="Arial"/>
          <w:sz w:val="16"/>
          <w:szCs w:val="16"/>
          <w:color w:val="auto"/>
        </w:rPr>
      </w:pPr>
    </w:p>
    <w:p>
      <w:pPr>
        <w:ind w:left="283" w:right="560"/>
        <w:spacing w:after="0" w:line="280" w:lineRule="auto"/>
        <w:rPr>
          <w:rFonts w:ascii="Arial" w:cs="Arial" w:eastAsia="Arial" w:hAnsi="Arial"/>
          <w:sz w:val="16"/>
          <w:szCs w:val="16"/>
          <w:color w:val="auto"/>
        </w:rPr>
      </w:pPr>
      <w:r>
        <w:rPr>
          <w:rFonts w:ascii="Arial" w:cs="Arial" w:eastAsia="Arial" w:hAnsi="Arial"/>
          <w:sz w:val="16"/>
          <w:szCs w:val="16"/>
          <w:color w:val="auto"/>
        </w:rPr>
        <w:t>The Management is confident of its ability to continue to control and sustain minimal exposure of credit risk to the Group resulting from both its loan and securities portfolio.</w:t>
      </w:r>
    </w:p>
    <w:p>
      <w:pPr>
        <w:spacing w:after="0" w:line="150" w:lineRule="exact"/>
        <w:rPr>
          <w:rFonts w:ascii="Arial" w:cs="Arial" w:eastAsia="Arial" w:hAnsi="Arial"/>
          <w:sz w:val="16"/>
          <w:szCs w:val="16"/>
          <w:color w:val="auto"/>
        </w:rPr>
      </w:pPr>
    </w:p>
    <w:p>
      <w:pPr>
        <w:ind w:left="283" w:hanging="283"/>
        <w:spacing w:after="0"/>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Credit risk management for loans -</w:t>
      </w:r>
    </w:p>
    <w:p>
      <w:pPr>
        <w:spacing w:after="0" w:line="202" w:lineRule="exact"/>
        <w:rPr>
          <w:rFonts w:ascii="Arial" w:cs="Arial" w:eastAsia="Arial" w:hAnsi="Arial"/>
          <w:sz w:val="16"/>
          <w:szCs w:val="16"/>
          <w:color w:val="auto"/>
        </w:rPr>
      </w:pPr>
    </w:p>
    <w:p>
      <w:pPr>
        <w:ind w:left="283" w:right="460"/>
        <w:spacing w:after="0" w:line="266" w:lineRule="auto"/>
        <w:rPr>
          <w:rFonts w:ascii="Arial" w:cs="Arial" w:eastAsia="Arial" w:hAnsi="Arial"/>
          <w:sz w:val="16"/>
          <w:szCs w:val="16"/>
          <w:color w:val="auto"/>
        </w:rPr>
      </w:pPr>
      <w:r>
        <w:rPr>
          <w:rFonts w:ascii="Arial" w:cs="Arial" w:eastAsia="Arial" w:hAnsi="Arial"/>
          <w:sz w:val="16"/>
          <w:szCs w:val="16"/>
          <w:color w:val="auto"/>
        </w:rPr>
        <w:t>In addition to the rating bands and scoring of the internal models of each of the Group companies, Credicorp conducts a quantitative and qualitative analysis of each customer, its financial condition and the conditions of the market in which those customers operate; for that purpose it classifies its loan portfolio into one of five risk categories, depending upon the degree of risk of default of each debtor</w:t>
      </w:r>
    </w:p>
    <w:p>
      <w:pPr>
        <w:spacing w:after="0" w:line="161"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5"/>
          <w:szCs w:val="15"/>
          <w:color w:val="auto"/>
        </w:rPr>
        <w:t>The categories used are: (i) normal - A, (ii) potential problems - B, (iii) substandard - C, (iv) doubtful - D and (v) loss - E, which have the following characteristics:</w:t>
      </w:r>
    </w:p>
    <w:p>
      <w:pPr>
        <w:spacing w:after="0" w:line="210" w:lineRule="exact"/>
        <w:rPr>
          <w:rFonts w:ascii="Arial" w:cs="Arial" w:eastAsia="Arial" w:hAnsi="Arial"/>
          <w:sz w:val="16"/>
          <w:szCs w:val="16"/>
          <w:color w:val="auto"/>
        </w:rPr>
      </w:pPr>
    </w:p>
    <w:p>
      <w:pPr>
        <w:ind w:left="283" w:right="180"/>
        <w:spacing w:after="0" w:line="281" w:lineRule="auto"/>
        <w:rPr>
          <w:rFonts w:ascii="Arial" w:cs="Arial" w:eastAsia="Arial" w:hAnsi="Arial"/>
          <w:sz w:val="16"/>
          <w:szCs w:val="16"/>
          <w:color w:val="auto"/>
        </w:rPr>
      </w:pPr>
      <w:r>
        <w:rPr>
          <w:rFonts w:ascii="Arial" w:cs="Arial" w:eastAsia="Arial" w:hAnsi="Arial"/>
          <w:sz w:val="15"/>
          <w:szCs w:val="15"/>
          <w:b w:val="1"/>
          <w:bCs w:val="1"/>
          <w:color w:val="auto"/>
        </w:rPr>
        <w:t xml:space="preserve">Normal (Class A): </w:t>
      </w:r>
      <w:r>
        <w:rPr>
          <w:rFonts w:ascii="Arial" w:cs="Arial" w:eastAsia="Arial" w:hAnsi="Arial"/>
          <w:sz w:val="15"/>
          <w:szCs w:val="15"/>
          <w:color w:val="auto"/>
        </w:rPr>
        <w:t>Debtors of commercial loans that fall into this category have complied on a timely basis with their obligations and at the time of evaluation do not</w:t>
      </w:r>
      <w:r>
        <w:rPr>
          <w:rFonts w:ascii="Arial" w:cs="Arial" w:eastAsia="Arial" w:hAnsi="Arial"/>
          <w:sz w:val="15"/>
          <w:szCs w:val="15"/>
          <w:b w:val="1"/>
          <w:bCs w:val="1"/>
          <w:color w:val="auto"/>
        </w:rPr>
        <w:t xml:space="preserve"> </w:t>
      </w:r>
      <w:r>
        <w:rPr>
          <w:rFonts w:ascii="Arial" w:cs="Arial" w:eastAsia="Arial" w:hAnsi="Arial"/>
          <w:sz w:val="15"/>
          <w:szCs w:val="15"/>
          <w:color w:val="auto"/>
        </w:rPr>
        <w:t>present any reason for doubt with respect to repayment of interest and principal on the agreed dates, and there is no reason to believe that the status will change before the next evaluation. To place a loan in Class A, a clear understanding of the use to be made of the funds and the origin of the cash flows to be used by the debtor to repay the loan is required. Additionally, consumer and micro-business loans are categorized as Class A if payments are current or up to eight days past-due. Residential mortgage loans are classified as Class A, if payments are current or up to thirty days past-due.</w:t>
      </w:r>
    </w:p>
    <w:p>
      <w:pPr>
        <w:spacing w:after="0" w:line="150"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4"/>
          <w:szCs w:val="14"/>
          <w:b w:val="1"/>
          <w:bCs w:val="1"/>
          <w:color w:val="auto"/>
        </w:rPr>
        <w:t xml:space="preserve">Potential problems (Class B): </w:t>
      </w:r>
      <w:r>
        <w:rPr>
          <w:rFonts w:ascii="Arial" w:cs="Arial" w:eastAsia="Arial" w:hAnsi="Arial"/>
          <w:sz w:val="14"/>
          <w:szCs w:val="14"/>
          <w:color w:val="auto"/>
        </w:rPr>
        <w:t>Debtors of commercial loans included in this category are those that at the time of the evaluation demonstrate certain deficiencies, which, if</w:t>
      </w:r>
    </w:p>
    <w:p>
      <w:pPr>
        <w:spacing w:after="0" w:line="48" w:lineRule="exact"/>
        <w:rPr>
          <w:rFonts w:ascii="Arial" w:cs="Arial" w:eastAsia="Arial" w:hAnsi="Arial"/>
          <w:sz w:val="16"/>
          <w:szCs w:val="16"/>
          <w:color w:val="auto"/>
        </w:rPr>
      </w:pPr>
    </w:p>
    <w:p>
      <w:pPr>
        <w:ind w:left="283"/>
        <w:spacing w:after="0" w:line="255" w:lineRule="auto"/>
        <w:rPr>
          <w:rFonts w:ascii="Arial" w:cs="Arial" w:eastAsia="Arial" w:hAnsi="Arial"/>
          <w:sz w:val="16"/>
          <w:szCs w:val="16"/>
          <w:color w:val="auto"/>
        </w:rPr>
      </w:pPr>
      <w:r>
        <w:rPr>
          <w:rFonts w:ascii="Arial" w:cs="Arial" w:eastAsia="Arial" w:hAnsi="Arial"/>
          <w:sz w:val="16"/>
          <w:szCs w:val="16"/>
          <w:color w:val="auto"/>
        </w:rPr>
        <w:t>not corrected in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affect its ability to repay the loan, and market conditions that could affect the economic sector in which the debtor is active. Consumer and micro-business loans are categorized as Class B if payments are between 9 and 30 days late. Residential mortgage loans are classified as Class B when payments are between 31 and 60 days late.</w:t>
      </w:r>
    </w:p>
    <w:p>
      <w:pPr>
        <w:spacing w:after="0" w:line="364" w:lineRule="exact"/>
        <w:rPr>
          <w:rFonts w:ascii="Arial" w:cs="Arial" w:eastAsia="Arial" w:hAnsi="Arial"/>
          <w:sz w:val="16"/>
          <w:szCs w:val="16"/>
          <w:color w:val="auto"/>
        </w:rPr>
      </w:pPr>
    </w:p>
    <w:p>
      <w:pPr>
        <w:ind w:left="5603" w:hanging="92"/>
        <w:spacing w:after="0"/>
        <w:tabs>
          <w:tab w:leader="none" w:pos="5603" w:val="left"/>
        </w:tabs>
        <w:numPr>
          <w:ilvl w:val="1"/>
          <w:numId w:val="131"/>
        </w:numPr>
        <w:rPr>
          <w:rFonts w:ascii="Arial" w:cs="Arial" w:eastAsia="Arial" w:hAnsi="Arial"/>
          <w:sz w:val="16"/>
          <w:szCs w:val="16"/>
          <w:color w:val="auto"/>
        </w:rPr>
      </w:pPr>
      <w:r>
        <w:rPr>
          <w:rFonts w:ascii="Arial" w:cs="Arial" w:eastAsia="Arial" w:hAnsi="Arial"/>
          <w:sz w:val="16"/>
          <w:szCs w:val="16"/>
          <w:color w:val="auto"/>
        </w:rPr>
        <w:t>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8" w:right="239" w:bottom="1440" w:gutter="0" w:footer="0" w:header="0"/>
        </w:sectPr>
      </w:pPr>
    </w:p>
    <w:bookmarkStart w:id="124" w:name="page125"/>
    <w:bookmarkEnd w:id="124"/>
    <w:p>
      <w:pPr>
        <w:ind w:right="80"/>
        <w:spacing w:after="0" w:line="279" w:lineRule="auto"/>
        <w:rPr>
          <w:sz w:val="20"/>
          <w:szCs w:val="20"/>
          <w:color w:val="auto"/>
        </w:rPr>
      </w:pPr>
      <w:r>
        <w:rPr>
          <w:rFonts w:ascii="Arial" w:cs="Arial" w:eastAsia="Arial" w:hAnsi="Arial"/>
          <w:sz w:val="15"/>
          <w:szCs w:val="15"/>
          <w:b w:val="1"/>
          <w:bCs w:val="1"/>
          <w:color w:val="auto"/>
        </w:rPr>
        <w:t xml:space="preserve">Substandard (Class C): </w:t>
      </w:r>
      <w:r>
        <w:rPr>
          <w:rFonts w:ascii="Arial" w:cs="Arial" w:eastAsia="Arial" w:hAnsi="Arial"/>
          <w:sz w:val="15"/>
          <w:szCs w:val="15"/>
          <w:color w:val="auto"/>
        </w:rPr>
        <w:t>Debtors of commercial loans included in this category demonstrate serious financial weakness, often with operating results or available income</w:t>
      </w:r>
      <w:r>
        <w:rPr>
          <w:rFonts w:ascii="Arial" w:cs="Arial" w:eastAsia="Arial" w:hAnsi="Arial"/>
          <w:sz w:val="15"/>
          <w:szCs w:val="15"/>
          <w:b w:val="1"/>
          <w:bCs w:val="1"/>
          <w:color w:val="auto"/>
        </w:rPr>
        <w:t xml:space="preserve"> </w:t>
      </w:r>
      <w:r>
        <w:rPr>
          <w:rFonts w:ascii="Arial" w:cs="Arial" w:eastAsia="Arial" w:hAnsi="Arial"/>
          <w:sz w:val="15"/>
          <w:szCs w:val="15"/>
          <w:color w:val="auto"/>
        </w:rPr>
        <w:t>insufficient to cover financial obligations on agreed upon terms, with no reasonable short-term prospects for a strengthening of their financial capacity. Debtors demonstrating the same deficiencies that warrant classification as category B warrant classification as Class C if those deficiencies are such that if they are not corrected in the near term, they could impede the recovery of principal and interest on the loan on the originally agreed terms. In addition, commercial loans are classified in this category when payments are between 61 and 120 days late. Consumer and micro-business loans are categorized as Class C if payments are between 31 and 60 days late. Residential mortgage loans are classified as Class C when payments are between 61 and 120 days late.</w:t>
      </w:r>
    </w:p>
    <w:p>
      <w:pPr>
        <w:spacing w:after="0" w:line="15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b w:val="1"/>
          <w:bCs w:val="1"/>
          <w:color w:val="auto"/>
        </w:rPr>
        <w:t xml:space="preserve">Doubtful (Class D): </w:t>
      </w:r>
      <w:r>
        <w:rPr>
          <w:rFonts w:ascii="Arial" w:cs="Arial" w:eastAsia="Arial" w:hAnsi="Arial"/>
          <w:sz w:val="16"/>
          <w:szCs w:val="16"/>
          <w:color w:val="auto"/>
        </w:rPr>
        <w:t>Debtors of commercial loans included in this category present characteristics that make doubtful the recovery of the loan. Although the loan recovery</w:t>
      </w:r>
      <w:r>
        <w:rPr>
          <w:rFonts w:ascii="Arial" w:cs="Arial" w:eastAsia="Arial" w:hAnsi="Arial"/>
          <w:sz w:val="16"/>
          <w:szCs w:val="16"/>
          <w:b w:val="1"/>
          <w:bCs w:val="1"/>
          <w:color w:val="auto"/>
        </w:rPr>
        <w:t xml:space="preserve"> </w:t>
      </w:r>
      <w:r>
        <w:rPr>
          <w:rFonts w:ascii="Arial" w:cs="Arial" w:eastAsia="Arial" w:hAnsi="Arial"/>
          <w:sz w:val="16"/>
          <w:szCs w:val="16"/>
          <w:color w:val="auto"/>
        </w:rPr>
        <w:t>is doubtful, if there is a reasonable possibility that in the near future the creditworthiness of the debtor might improve, a Class D categorization is appropriate. These credits are distinguished from Class E credits by the requirement that the debtor remains in operation, generates cash flow, and makes payments on the loan, although at a rate less than that specified in its contractual obligations. In addition, commercial loans are classified in this category when payments are between 121 and 365 days late. Consumer and micro-business loans are classified as Class D if payments are between 61 and 120 days late. Residential mortgage loans are Class D when payments are between 121 and 365 days late.</w:t>
      </w:r>
    </w:p>
    <w:p>
      <w:pPr>
        <w:spacing w:after="0" w:line="167" w:lineRule="exact"/>
        <w:rPr>
          <w:sz w:val="20"/>
          <w:szCs w:val="20"/>
          <w:color w:val="auto"/>
        </w:rPr>
      </w:pPr>
    </w:p>
    <w:p>
      <w:pPr>
        <w:spacing w:after="0" w:line="263" w:lineRule="auto"/>
        <w:rPr>
          <w:sz w:val="20"/>
          <w:szCs w:val="20"/>
          <w:color w:val="auto"/>
        </w:rPr>
      </w:pPr>
      <w:r>
        <w:rPr>
          <w:rFonts w:ascii="Arial" w:cs="Arial" w:eastAsia="Arial" w:hAnsi="Arial"/>
          <w:sz w:val="16"/>
          <w:szCs w:val="16"/>
          <w:b w:val="1"/>
          <w:bCs w:val="1"/>
          <w:color w:val="auto"/>
        </w:rPr>
        <w:t xml:space="preserve">Loss (Class E): </w:t>
      </w:r>
      <w:r>
        <w:rPr>
          <w:rFonts w:ascii="Arial" w:cs="Arial" w:eastAsia="Arial" w:hAnsi="Arial"/>
          <w:sz w:val="16"/>
          <w:szCs w:val="16"/>
          <w:color w:val="auto"/>
        </w:rPr>
        <w:t>Commercial loans which are considered unrecoverable or which for any other reason should not appear on the Group’s books as an asset based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originally contracted terms fall into this category. In addition, commercial loans are classified in this category when payments are more than 365 days late. Consumer and micro-business loans are categorized as Class E if payments are more than 120 days late. Residential mortgage loans are classified as Class E when payments are more than 365 days late.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Group constantly reviews the loan portfolio in order to assess the completion and accuracy of its classifications.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All loans considered impaired (the ones classified as substandard, doubtful or loss) are analyzed by the Group’s Management, which addresses impairment in two areas: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individually assessed provisions and collectively assessed provisions, as follows:</w:t>
      </w:r>
    </w:p>
    <w:p>
      <w:pPr>
        <w:spacing w:after="0" w:line="191"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Individually assessed allowance -</w:t>
      </w:r>
    </w:p>
    <w:p>
      <w:pPr>
        <w:spacing w:after="0" w:line="203" w:lineRule="exact"/>
        <w:rPr>
          <w:sz w:val="20"/>
          <w:szCs w:val="20"/>
          <w:color w:val="auto"/>
        </w:rPr>
      </w:pPr>
    </w:p>
    <w:p>
      <w:pPr>
        <w:ind w:left="300" w:right="140"/>
        <w:spacing w:after="0" w:line="354" w:lineRule="auto"/>
        <w:rPr>
          <w:sz w:val="20"/>
          <w:szCs w:val="20"/>
          <w:color w:val="auto"/>
        </w:rPr>
      </w:pPr>
      <w:r>
        <w:rPr>
          <w:rFonts w:ascii="Arial" w:cs="Arial" w:eastAsia="Arial" w:hAnsi="Arial"/>
          <w:sz w:val="14"/>
          <w:szCs w:val="14"/>
          <w:color w:val="auto"/>
        </w:rPr>
        <w:t>The methodology is applied to all of the impaired clients (classified as deficient, doubtful or loss) of Wholesale Banking and consists of estimating the loss generated by each client after deducting the present value of the future payments that he could pay and the recovery value of the guarantees, equally brought to present value.</w:t>
      </w:r>
    </w:p>
    <w:p>
      <w:pPr>
        <w:spacing w:after="0" w:line="105" w:lineRule="exact"/>
        <w:rPr>
          <w:sz w:val="20"/>
          <w:szCs w:val="20"/>
          <w:color w:val="auto"/>
        </w:rPr>
      </w:pPr>
    </w:p>
    <w:p>
      <w:pPr>
        <w:ind w:left="300" w:right="40"/>
        <w:spacing w:after="0" w:line="280" w:lineRule="auto"/>
        <w:rPr>
          <w:sz w:val="20"/>
          <w:szCs w:val="20"/>
          <w:color w:val="auto"/>
        </w:rPr>
      </w:pPr>
      <w:r>
        <w:rPr>
          <w:rFonts w:ascii="Arial" w:cs="Arial" w:eastAsia="Arial" w:hAnsi="Arial"/>
          <w:sz w:val="16"/>
          <w:szCs w:val="16"/>
          <w:color w:val="auto"/>
        </w:rPr>
        <w:t>The methodology and assumptions used for estimating future cash flows are reviewed regularly by the Group in order to reduce any differences between loss estimates and actual loss experience.</w:t>
      </w:r>
    </w:p>
    <w:p>
      <w:pPr>
        <w:spacing w:after="0" w:line="151"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Collectively assessed allowance -</w:t>
      </w:r>
    </w:p>
    <w:p>
      <w:pPr>
        <w:spacing w:after="0" w:line="203" w:lineRule="exact"/>
        <w:rPr>
          <w:sz w:val="20"/>
          <w:szCs w:val="20"/>
          <w:color w:val="auto"/>
        </w:rPr>
      </w:pPr>
    </w:p>
    <w:p>
      <w:pPr>
        <w:ind w:left="300" w:right="40"/>
        <w:spacing w:after="0" w:line="261" w:lineRule="auto"/>
        <w:rPr>
          <w:sz w:val="20"/>
          <w:szCs w:val="20"/>
          <w:color w:val="auto"/>
        </w:rPr>
      </w:pPr>
      <w:r>
        <w:rPr>
          <w:rFonts w:ascii="Arial" w:cs="Arial" w:eastAsia="Arial" w:hAnsi="Arial"/>
          <w:sz w:val="16"/>
          <w:szCs w:val="16"/>
          <w:color w:val="auto"/>
        </w:rPr>
        <w:t>The methodology is applied for the unimpaired clients of Wholesale Banking and for Retail Credits (Consumer Credits, Small and Medium Enterprise Credits and Mortgage Loans). Allowance requirements are assessed collectively for losses on loans and advances that are not individually significant (including consumer, micro-business and residential mortgages) and for individually significant loans and advances where there is not yet objective evidence of individual impairment (included in categories A and B).</w:t>
      </w:r>
    </w:p>
    <w:p>
      <w:pPr>
        <w:spacing w:after="0" w:line="360"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- 120 -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13970</wp:posOffset>
            </wp:positionV>
            <wp:extent cx="7261225" cy="762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00"/>
          </w:cols>
          <w:pgMar w:left="520" w:top="824" w:right="279" w:bottom="1440" w:gutter="0" w:footer="0" w:header="0"/>
        </w:sectPr>
      </w:pPr>
    </w:p>
    <w:bookmarkStart w:id="125" w:name="page126"/>
    <w:bookmarkEnd w:id="125"/>
    <w:p>
      <w:pPr>
        <w:spacing w:after="0" w:line="280" w:lineRule="auto"/>
        <w:rPr>
          <w:sz w:val="20"/>
          <w:szCs w:val="20"/>
          <w:color w:val="auto"/>
        </w:rPr>
      </w:pPr>
      <w:r>
        <w:rPr>
          <w:rFonts w:ascii="Arial" w:cs="Arial" w:eastAsia="Arial" w:hAnsi="Arial"/>
          <w:sz w:val="16"/>
          <w:szCs w:val="16"/>
          <w:color w:val="auto"/>
        </w:rPr>
        <w:t>Impairment losses are estimated by taking into consideration the following information: historical losses on the portfolio, and current economic conditions. The impairment allowance is then reviewed by Management to ensure alignment with the Group’s overall policy.</w:t>
      </w:r>
    </w:p>
    <w:p>
      <w:pPr>
        <w:spacing w:after="0" w:line="151"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The methodology includes three estimation scenarios: base, upper threshold and lower threshold. These scenarios are generated by modifying some assumptions, such as collateral recovery values and the effects of changes in the economic environment.</w:t>
      </w:r>
    </w:p>
    <w:p>
      <w:pPr>
        <w:spacing w:after="0" w:line="151"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The process to select the best estimate within the range is based on management´s best judgment, complemented by historical loss experience and the Company’s strategy (e.g. penetration in new segments).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Impairment losses are evaluated at each reporting date as soon as there is any objective evidence that a financial asset or group of assets is impaired.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Financial guarantees and letter of credit (indirect loans) are assessed and a provision estimated following a similar procedure as for loans.</w:t>
      </w:r>
    </w:p>
    <w:p>
      <w:pPr>
        <w:spacing w:after="0" w:line="20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In the case of borrowers in countries where there is an increased risk of difficulties in servicing external debt, an assessment of the political and economic situation is made, and an additional country risk provision is recorded, if necessary.</w:t>
      </w:r>
    </w:p>
    <w:p>
      <w:pPr>
        <w:spacing w:after="0" w:line="151"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When a loan is uncollectible, it is written off against the related provision for loan impairment. Said loans are written off after all the necessary legal procedures have been completed.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recovery of written off loans decrease the amount of the provision for loan losses, in the consolidated statement of income.</w:t>
      </w:r>
    </w:p>
    <w:p>
      <w:pPr>
        <w:spacing w:after="0" w:line="396"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- 121 -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13970</wp:posOffset>
            </wp:positionV>
            <wp:extent cx="7261225" cy="762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080"/>
          </w:cols>
          <w:pgMar w:left="520" w:top="828" w:right="299" w:bottom="1440" w:gutter="0" w:footer="0" w:header="0"/>
        </w:sectPr>
      </w:pPr>
    </w:p>
    <w:bookmarkStart w:id="126" w:name="page127"/>
    <w:bookmarkEnd w:id="126"/>
    <w:p>
      <w:pPr>
        <w:ind w:left="3"/>
        <w:spacing w:after="0"/>
        <w:rPr>
          <w:sz w:val="20"/>
          <w:szCs w:val="20"/>
          <w:color w:val="auto"/>
        </w:rPr>
      </w:pPr>
      <w:r>
        <w:rPr>
          <w:rFonts w:ascii="Arial" w:cs="Arial" w:eastAsia="Arial" w:hAnsi="Arial"/>
          <w:sz w:val="16"/>
          <w:szCs w:val="16"/>
          <w:color w:val="auto"/>
        </w:rPr>
        <w:t xml:space="preserve">The following is a summary of the direct loans </w:t>
      </w:r>
      <w:r>
        <w:rPr>
          <w:rFonts w:ascii="Arial" w:cs="Arial" w:eastAsia="Arial" w:hAnsi="Arial"/>
          <w:sz w:val="16"/>
          <w:szCs w:val="16"/>
          <w:u w:val="single" w:color="auto"/>
          <w:color w:val="auto"/>
        </w:rPr>
        <w:t>classified</w:t>
      </w:r>
      <w:r>
        <w:rPr>
          <w:rFonts w:ascii="Arial" w:cs="Arial" w:eastAsia="Arial" w:hAnsi="Arial"/>
          <w:sz w:val="16"/>
          <w:szCs w:val="16"/>
          <w:color w:val="auto"/>
        </w:rPr>
        <w:t xml:space="preserve"> in three major groups:</w:t>
      </w:r>
    </w:p>
    <w:p>
      <w:pPr>
        <w:spacing w:after="0" w:line="203" w:lineRule="exact"/>
        <w:rPr>
          <w:sz w:val="20"/>
          <w:szCs w:val="20"/>
          <w:color w:val="auto"/>
        </w:rPr>
      </w:pPr>
    </w:p>
    <w:p>
      <w:pPr>
        <w:ind w:left="283" w:right="20" w:hanging="283"/>
        <w:spacing w:after="0" w:line="280" w:lineRule="auto"/>
        <w:tabs>
          <w:tab w:leader="none" w:pos="28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Loans neither past due nor impaired, comprising those direct loans having presently no delinquency characteristics and related to clients ranked as normal or potential problems;</w:t>
      </w:r>
    </w:p>
    <w:p>
      <w:pPr>
        <w:spacing w:after="0" w:line="150" w:lineRule="exact"/>
        <w:rPr>
          <w:rFonts w:ascii="Arial" w:cs="Arial" w:eastAsia="Arial" w:hAnsi="Arial"/>
          <w:sz w:val="16"/>
          <w:szCs w:val="16"/>
          <w:color w:val="auto"/>
        </w:rPr>
      </w:pPr>
    </w:p>
    <w:p>
      <w:pPr>
        <w:ind w:left="283" w:hanging="283"/>
        <w:spacing w:after="0"/>
        <w:tabs>
          <w:tab w:leader="none" w:pos="28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Past due but not impaired loans, comprising past due loans of clients classified as normal or with potential problems and</w:t>
      </w:r>
    </w:p>
    <w:p>
      <w:pPr>
        <w:spacing w:after="0" w:line="202" w:lineRule="exact"/>
        <w:rPr>
          <w:rFonts w:ascii="Arial" w:cs="Arial" w:eastAsia="Arial" w:hAnsi="Arial"/>
          <w:sz w:val="16"/>
          <w:szCs w:val="16"/>
          <w:color w:val="auto"/>
        </w:rPr>
      </w:pPr>
    </w:p>
    <w:p>
      <w:pPr>
        <w:ind w:left="283" w:hanging="283"/>
        <w:spacing w:after="0"/>
        <w:tabs>
          <w:tab w:leader="none" w:pos="283" w:val="left"/>
        </w:tabs>
        <w:numPr>
          <w:ilvl w:val="0"/>
          <w:numId w:val="132"/>
        </w:numPr>
        <w:rPr>
          <w:rFonts w:ascii="Arial" w:cs="Arial" w:eastAsia="Arial" w:hAnsi="Arial"/>
          <w:sz w:val="14"/>
          <w:szCs w:val="14"/>
          <w:color w:val="auto"/>
        </w:rPr>
      </w:pPr>
      <w:r>
        <w:rPr>
          <w:rFonts w:ascii="Arial" w:cs="Arial" w:eastAsia="Arial" w:hAnsi="Arial"/>
          <w:sz w:val="14"/>
          <w:szCs w:val="14"/>
          <w:color w:val="auto"/>
        </w:rPr>
        <w:t>Impaired loans, those past due loans of clients classified as substandard, doubtful or loss; presented net of the allowance for loan losses for each of the loan classifications:</w:t>
      </w:r>
    </w:p>
    <w:p>
      <w:pPr>
        <w:spacing w:after="0" w:line="230" w:lineRule="exact"/>
        <w:rPr>
          <w:sz w:val="20"/>
          <w:szCs w:val="20"/>
          <w:color w:val="auto"/>
        </w:rPr>
      </w:pPr>
    </w:p>
    <w:tbl>
      <w:tblPr>
        <w:tblLayout w:type="fixed"/>
        <w:tblInd w:w="1503" w:type="dxa"/>
        <w:tblCellMar>
          <w:top w:w="0" w:type="dxa"/>
          <w:left w:w="0" w:type="dxa"/>
          <w:bottom w:w="0" w:type="dxa"/>
          <w:right w:w="0" w:type="dxa"/>
        </w:tblCellMar>
      </w:tblPr>
      <w:tr>
        <w:trPr>
          <w:trHeight w:val="153"/>
        </w:trPr>
        <w:tc>
          <w:tcPr>
            <w:tcW w:w="1600" w:type="dxa"/>
            <w:vAlign w:val="bottom"/>
            <w:gridSpan w:val="4"/>
          </w:tcPr>
          <w:p>
            <w:pPr>
              <w:spacing w:after="0"/>
              <w:rPr>
                <w:sz w:val="20"/>
                <w:szCs w:val="20"/>
                <w:color w:val="auto"/>
              </w:rPr>
            </w:pPr>
            <w:r>
              <w:rPr>
                <w:rFonts w:ascii="Arial" w:cs="Arial" w:eastAsia="Arial" w:hAnsi="Arial"/>
                <w:sz w:val="13"/>
                <w:szCs w:val="13"/>
                <w:b w:val="1"/>
                <w:bCs w:val="1"/>
                <w:color w:val="auto"/>
              </w:rPr>
              <w:t>At December 31, 2016</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80" w:type="dxa"/>
            <w:vAlign w:val="bottom"/>
            <w:gridSpan w:val="5"/>
          </w:tcPr>
          <w:p>
            <w:pPr>
              <w:ind w:left="180"/>
              <w:spacing w:after="0"/>
              <w:rPr>
                <w:sz w:val="20"/>
                <w:szCs w:val="20"/>
                <w:color w:val="auto"/>
              </w:rPr>
            </w:pPr>
            <w:r>
              <w:rPr>
                <w:rFonts w:ascii="Arial" w:cs="Arial" w:eastAsia="Arial" w:hAnsi="Arial"/>
                <w:sz w:val="13"/>
                <w:szCs w:val="13"/>
                <w:b w:val="1"/>
                <w:bCs w:val="1"/>
                <w:color w:val="auto"/>
              </w:rPr>
              <w:t>At December 31, 2015</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8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Commercial</w:t>
            </w:r>
          </w:p>
        </w:tc>
        <w:tc>
          <w:tcPr>
            <w:tcW w:w="720" w:type="dxa"/>
            <w:vAlign w:val="bottom"/>
          </w:tcPr>
          <w:p>
            <w:pPr>
              <w:ind w:left="20"/>
              <w:spacing w:after="0" w:line="105" w:lineRule="exact"/>
              <w:rPr>
                <w:sz w:val="20"/>
                <w:szCs w:val="20"/>
                <w:color w:val="auto"/>
              </w:rPr>
            </w:pPr>
            <w:r>
              <w:rPr>
                <w:rFonts w:ascii="Arial" w:cs="Arial" w:eastAsia="Arial" w:hAnsi="Arial"/>
                <w:sz w:val="12"/>
                <w:szCs w:val="12"/>
                <w:b w:val="1"/>
                <w:bCs w:val="1"/>
                <w:color w:val="auto"/>
              </w:rPr>
              <w:t>Residential</w:t>
            </w:r>
          </w:p>
        </w:tc>
        <w:tc>
          <w:tcPr>
            <w:tcW w:w="820" w:type="dxa"/>
            <w:vAlign w:val="bottom"/>
            <w:gridSpan w:val="2"/>
          </w:tcPr>
          <w:p>
            <w:pPr>
              <w:ind w:left="160"/>
              <w:spacing w:after="0" w:line="105" w:lineRule="exact"/>
              <w:rPr>
                <w:sz w:val="20"/>
                <w:szCs w:val="20"/>
                <w:color w:val="auto"/>
              </w:rPr>
            </w:pPr>
            <w:r>
              <w:rPr>
                <w:rFonts w:ascii="Arial" w:cs="Arial" w:eastAsia="Arial" w:hAnsi="Arial"/>
                <w:sz w:val="12"/>
                <w:szCs w:val="12"/>
                <w:b w:val="1"/>
                <w:bCs w:val="1"/>
                <w:color w:val="auto"/>
              </w:rPr>
              <w:t>Micro-</w:t>
            </w:r>
          </w:p>
        </w:tc>
        <w:tc>
          <w:tcPr>
            <w:tcW w:w="1000" w:type="dxa"/>
            <w:vAlign w:val="bottom"/>
            <w:gridSpan w:val="3"/>
            <w:vMerge w:val="restart"/>
          </w:tcPr>
          <w:p>
            <w:pPr>
              <w:ind w:left="180"/>
              <w:spacing w:after="0"/>
              <w:rPr>
                <w:sz w:val="20"/>
                <w:szCs w:val="20"/>
                <w:color w:val="auto"/>
              </w:rPr>
            </w:pPr>
            <w:r>
              <w:rPr>
                <w:rFonts w:ascii="Arial" w:cs="Arial" w:eastAsia="Arial" w:hAnsi="Arial"/>
                <w:sz w:val="13"/>
                <w:szCs w:val="13"/>
                <w:b w:val="1"/>
                <w:bCs w:val="1"/>
                <w:color w:val="auto"/>
              </w:rPr>
              <w:t>Consumer</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w w:val="94"/>
              </w:rPr>
              <w:t>Commercial</w:t>
            </w:r>
          </w:p>
        </w:tc>
        <w:tc>
          <w:tcPr>
            <w:tcW w:w="1080" w:type="dxa"/>
            <w:vAlign w:val="bottom"/>
            <w:gridSpan w:val="3"/>
          </w:tcPr>
          <w:p>
            <w:pPr>
              <w:ind w:left="180"/>
              <w:spacing w:after="0" w:line="105" w:lineRule="exact"/>
              <w:rPr>
                <w:sz w:val="20"/>
                <w:szCs w:val="20"/>
                <w:color w:val="auto"/>
              </w:rPr>
            </w:pPr>
            <w:r>
              <w:rPr>
                <w:rFonts w:ascii="Arial" w:cs="Arial" w:eastAsia="Arial" w:hAnsi="Arial"/>
                <w:sz w:val="12"/>
                <w:szCs w:val="12"/>
                <w:b w:val="1"/>
                <w:bCs w:val="1"/>
                <w:color w:val="auto"/>
              </w:rPr>
              <w:t>Residential</w:t>
            </w:r>
          </w:p>
        </w:tc>
        <w:tc>
          <w:tcPr>
            <w:tcW w:w="80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Micro-</w:t>
            </w:r>
          </w:p>
        </w:tc>
        <w:tc>
          <w:tcPr>
            <w:tcW w:w="680" w:type="dxa"/>
            <w:vAlign w:val="bottom"/>
            <w:vMerge w:val="restart"/>
          </w:tcPr>
          <w:p>
            <w:pPr>
              <w:spacing w:after="0"/>
              <w:rPr>
                <w:sz w:val="20"/>
                <w:szCs w:val="20"/>
                <w:color w:val="auto"/>
              </w:rPr>
            </w:pPr>
            <w:r>
              <w:rPr>
                <w:rFonts w:ascii="Arial" w:cs="Arial" w:eastAsia="Arial" w:hAnsi="Arial"/>
                <w:sz w:val="13"/>
                <w:szCs w:val="13"/>
                <w:b w:val="1"/>
                <w:bCs w:val="1"/>
                <w:color w:val="auto"/>
              </w:rPr>
              <w:t>Consumer</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880" w:type="dxa"/>
            <w:vAlign w:val="bottom"/>
            <w:gridSpan w:val="3"/>
            <w:vMerge w:val="continue"/>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3"/>
                <w:szCs w:val="13"/>
                <w:b w:val="1"/>
                <w:bCs w:val="1"/>
                <w:color w:val="auto"/>
              </w:rPr>
              <w:t>mortgage</w:t>
            </w:r>
          </w:p>
        </w:tc>
        <w:tc>
          <w:tcPr>
            <w:tcW w:w="820" w:type="dxa"/>
            <w:vAlign w:val="bottom"/>
            <w:gridSpan w:val="2"/>
          </w:tcPr>
          <w:p>
            <w:pPr>
              <w:ind w:left="160"/>
              <w:spacing w:after="0" w:line="133" w:lineRule="exact"/>
              <w:rPr>
                <w:sz w:val="20"/>
                <w:szCs w:val="20"/>
                <w:color w:val="auto"/>
              </w:rPr>
            </w:pPr>
            <w:r>
              <w:rPr>
                <w:rFonts w:ascii="Arial" w:cs="Arial" w:eastAsia="Arial" w:hAnsi="Arial"/>
                <w:sz w:val="13"/>
                <w:szCs w:val="13"/>
                <w:b w:val="1"/>
                <w:bCs w:val="1"/>
                <w:color w:val="auto"/>
              </w:rPr>
              <w:t>business</w:t>
            </w:r>
          </w:p>
        </w:tc>
        <w:tc>
          <w:tcPr>
            <w:tcW w:w="1000" w:type="dxa"/>
            <w:vAlign w:val="bottom"/>
            <w:gridSpan w:val="3"/>
            <w:vMerge w:val="continue"/>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w:t>
            </w:r>
          </w:p>
        </w:tc>
        <w:tc>
          <w:tcPr>
            <w:tcW w:w="520" w:type="dxa"/>
            <w:vAlign w:val="bottom"/>
            <w:vMerge w:val="restart"/>
          </w:tcPr>
          <w:p>
            <w:pPr>
              <w:jc w:val="right"/>
              <w:ind w:right="316"/>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vMerge w:val="continue"/>
          </w:tcPr>
          <w:p>
            <w:pPr>
              <w:spacing w:after="0"/>
              <w:rPr>
                <w:sz w:val="11"/>
                <w:szCs w:val="11"/>
                <w:color w:val="auto"/>
              </w:rPr>
            </w:pPr>
          </w:p>
        </w:tc>
        <w:tc>
          <w:tcPr>
            <w:tcW w:w="1080" w:type="dxa"/>
            <w:vAlign w:val="bottom"/>
            <w:gridSpan w:val="3"/>
          </w:tcPr>
          <w:p>
            <w:pPr>
              <w:ind w:left="180"/>
              <w:spacing w:after="0" w:line="133" w:lineRule="exact"/>
              <w:rPr>
                <w:sz w:val="20"/>
                <w:szCs w:val="20"/>
                <w:color w:val="auto"/>
              </w:rPr>
            </w:pPr>
            <w:r>
              <w:rPr>
                <w:rFonts w:ascii="Arial" w:cs="Arial" w:eastAsia="Arial" w:hAnsi="Arial"/>
                <w:sz w:val="13"/>
                <w:szCs w:val="13"/>
                <w:b w:val="1"/>
                <w:bCs w:val="1"/>
                <w:color w:val="auto"/>
              </w:rPr>
              <w:t>mortgage</w:t>
            </w:r>
          </w:p>
        </w:tc>
        <w:tc>
          <w:tcPr>
            <w:tcW w:w="80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business</w:t>
            </w:r>
          </w:p>
        </w:tc>
        <w:tc>
          <w:tcPr>
            <w:tcW w:w="680" w:type="dxa"/>
            <w:vAlign w:val="bottom"/>
            <w:vMerge w:val="continue"/>
          </w:tcPr>
          <w:p>
            <w:pPr>
              <w:spacing w:after="0"/>
              <w:rPr>
                <w:sz w:val="11"/>
                <w:szCs w:val="11"/>
                <w:color w:val="auto"/>
              </w:rPr>
            </w:pPr>
          </w:p>
        </w:tc>
        <w:tc>
          <w:tcPr>
            <w:tcW w:w="106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520" w:type="dxa"/>
            <w:vAlign w:val="bottom"/>
            <w:vMerge w:val="restart"/>
          </w:tcPr>
          <w:p>
            <w:pPr>
              <w:jc w:val="right"/>
              <w:ind w:right="316"/>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3"/>
        </w:trPr>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loans</w:t>
            </w:r>
          </w:p>
        </w:tc>
        <w:tc>
          <w:tcPr>
            <w:tcW w:w="720" w:type="dxa"/>
            <w:vAlign w:val="bottom"/>
          </w:tcPr>
          <w:p>
            <w:pPr>
              <w:ind w:left="20"/>
              <w:spacing w:after="0"/>
              <w:rPr>
                <w:sz w:val="20"/>
                <w:szCs w:val="20"/>
                <w:color w:val="auto"/>
              </w:rPr>
            </w:pPr>
            <w:r>
              <w:rPr>
                <w:rFonts w:ascii="Arial" w:cs="Arial" w:eastAsia="Arial" w:hAnsi="Arial"/>
                <w:sz w:val="13"/>
                <w:szCs w:val="13"/>
                <w:b w:val="1"/>
                <w:bCs w:val="1"/>
                <w:color w:val="auto"/>
              </w:rPr>
              <w:t>loans</w:t>
            </w: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loans</w:t>
            </w:r>
          </w:p>
        </w:tc>
        <w:tc>
          <w:tcPr>
            <w:tcW w:w="1000" w:type="dxa"/>
            <w:vAlign w:val="bottom"/>
            <w:gridSpan w:val="3"/>
          </w:tcPr>
          <w:p>
            <w:pPr>
              <w:ind w:left="180"/>
              <w:spacing w:after="0"/>
              <w:rPr>
                <w:sz w:val="20"/>
                <w:szCs w:val="20"/>
                <w:color w:val="auto"/>
              </w:rPr>
            </w:pPr>
            <w:r>
              <w:rPr>
                <w:rFonts w:ascii="Arial" w:cs="Arial" w:eastAsia="Arial" w:hAnsi="Arial"/>
                <w:sz w:val="13"/>
                <w:szCs w:val="13"/>
                <w:b w:val="1"/>
                <w:bCs w:val="1"/>
                <w:color w:val="auto"/>
              </w:rPr>
              <w:t>loans</w:t>
            </w:r>
          </w:p>
        </w:tc>
        <w:tc>
          <w:tcPr>
            <w:tcW w:w="84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b w:val="1"/>
                <w:bCs w:val="1"/>
                <w:color w:val="auto"/>
              </w:rPr>
              <w:t>loans</w:t>
            </w:r>
          </w:p>
        </w:tc>
        <w:tc>
          <w:tcPr>
            <w:tcW w:w="1080" w:type="dxa"/>
            <w:vAlign w:val="bottom"/>
            <w:gridSpan w:val="3"/>
          </w:tcPr>
          <w:p>
            <w:pPr>
              <w:ind w:left="180"/>
              <w:spacing w:after="0"/>
              <w:rPr>
                <w:sz w:val="20"/>
                <w:szCs w:val="20"/>
                <w:color w:val="auto"/>
              </w:rPr>
            </w:pPr>
            <w:r>
              <w:rPr>
                <w:rFonts w:ascii="Arial" w:cs="Arial" w:eastAsia="Arial" w:hAnsi="Arial"/>
                <w:sz w:val="13"/>
                <w:szCs w:val="13"/>
                <w:b w:val="1"/>
                <w:bCs w:val="1"/>
                <w:color w:val="auto"/>
              </w:rPr>
              <w:t>loans</w:t>
            </w: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680" w:type="dxa"/>
            <w:vAlign w:val="bottom"/>
          </w:tcPr>
          <w:p>
            <w:pPr>
              <w:spacing w:after="0"/>
              <w:rPr>
                <w:sz w:val="20"/>
                <w:szCs w:val="20"/>
                <w:color w:val="auto"/>
              </w:rPr>
            </w:pPr>
            <w:r>
              <w:rPr>
                <w:rFonts w:ascii="Arial" w:cs="Arial" w:eastAsia="Arial" w:hAnsi="Arial"/>
                <w:sz w:val="13"/>
                <w:szCs w:val="13"/>
                <w:b w:val="1"/>
                <w:bCs w:val="1"/>
                <w:color w:val="auto"/>
              </w:rPr>
              <w:t>loans</w:t>
            </w:r>
          </w:p>
        </w:tc>
        <w:tc>
          <w:tcPr>
            <w:tcW w:w="106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0"/>
                <w:szCs w:val="10"/>
                <w:color w:val="auto"/>
              </w:rPr>
            </w:pPr>
          </w:p>
        </w:tc>
        <w:tc>
          <w:tcPr>
            <w:tcW w:w="72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7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6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48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Neither past due nor</w:t>
            </w: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 impaired</w:t>
            </w: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80" w:type="dxa"/>
            <w:vAlign w:val="bottom"/>
          </w:tcPr>
          <w:p>
            <w:pPr>
              <w:spacing w:after="0" w:line="133" w:lineRule="exact"/>
              <w:rPr>
                <w:sz w:val="20"/>
                <w:szCs w:val="20"/>
                <w:color w:val="auto"/>
              </w:rPr>
            </w:pPr>
            <w:r>
              <w:rPr>
                <w:rFonts w:ascii="Arial" w:cs="Arial" w:eastAsia="Arial" w:hAnsi="Arial"/>
                <w:sz w:val="13"/>
                <w:szCs w:val="13"/>
                <w:color w:val="auto"/>
              </w:rPr>
              <w:t>Normal</w:t>
            </w:r>
          </w:p>
        </w:tc>
        <w:tc>
          <w:tcPr>
            <w:tcW w:w="88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50,984,455</w:t>
            </w:r>
          </w:p>
        </w:tc>
        <w:tc>
          <w:tcPr>
            <w:tcW w:w="720" w:type="dxa"/>
            <w:vAlign w:val="bottom"/>
          </w:tcPr>
          <w:p>
            <w:pPr>
              <w:jc w:val="right"/>
              <w:spacing w:after="0" w:line="133" w:lineRule="exact"/>
              <w:rPr>
                <w:sz w:val="20"/>
                <w:szCs w:val="20"/>
                <w:color w:val="auto"/>
              </w:rPr>
            </w:pPr>
            <w:r>
              <w:rPr>
                <w:rFonts w:ascii="Arial" w:cs="Arial" w:eastAsia="Arial" w:hAnsi="Arial"/>
                <w:sz w:val="13"/>
                <w:szCs w:val="13"/>
                <w:color w:val="auto"/>
              </w:rPr>
              <w:t>13,052,249</w:t>
            </w:r>
          </w:p>
        </w:tc>
        <w:tc>
          <w:tcPr>
            <w:tcW w:w="160" w:type="dxa"/>
            <w:vAlign w:val="bottom"/>
          </w:tcPr>
          <w:p>
            <w:pPr>
              <w:spacing w:after="0"/>
              <w:rPr>
                <w:sz w:val="11"/>
                <w:szCs w:val="11"/>
                <w:color w:val="auto"/>
              </w:rPr>
            </w:pPr>
          </w:p>
        </w:tc>
        <w:tc>
          <w:tcPr>
            <w:tcW w:w="8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w w:val="98"/>
              </w:rPr>
              <w:t>11,292,194</w:t>
            </w:r>
          </w:p>
        </w:tc>
        <w:tc>
          <w:tcPr>
            <w:tcW w:w="82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w w:val="98"/>
              </w:rPr>
              <w:t>11,105,796</w:t>
            </w:r>
          </w:p>
        </w:tc>
        <w:tc>
          <w:tcPr>
            <w:tcW w:w="84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86,434,694</w:t>
            </w:r>
          </w:p>
        </w:tc>
        <w:tc>
          <w:tcPr>
            <w:tcW w:w="7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96.15%</w:t>
            </w:r>
          </w:p>
        </w:tc>
        <w:tc>
          <w:tcPr>
            <w:tcW w:w="90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49,198,021</w:t>
            </w:r>
          </w:p>
        </w:tc>
        <w:tc>
          <w:tcPr>
            <w:tcW w:w="90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11,958,633</w:t>
            </w:r>
          </w:p>
        </w:tc>
        <w:tc>
          <w:tcPr>
            <w:tcW w:w="80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8,137,474</w:t>
            </w:r>
          </w:p>
        </w:tc>
        <w:tc>
          <w:tcPr>
            <w:tcW w:w="680" w:type="dxa"/>
            <w:vAlign w:val="bottom"/>
          </w:tcPr>
          <w:p>
            <w:pPr>
              <w:jc w:val="right"/>
              <w:spacing w:after="0" w:line="133" w:lineRule="exact"/>
              <w:rPr>
                <w:sz w:val="20"/>
                <w:szCs w:val="20"/>
                <w:color w:val="auto"/>
              </w:rPr>
            </w:pPr>
            <w:r>
              <w:rPr>
                <w:rFonts w:ascii="Arial" w:cs="Arial" w:eastAsia="Arial" w:hAnsi="Arial"/>
                <w:sz w:val="13"/>
                <w:szCs w:val="13"/>
                <w:color w:val="auto"/>
              </w:rPr>
              <w:t>12,553,293</w:t>
            </w:r>
          </w:p>
        </w:tc>
        <w:tc>
          <w:tcPr>
            <w:tcW w:w="200" w:type="dxa"/>
            <w:vAlign w:val="bottom"/>
          </w:tcPr>
          <w:p>
            <w:pPr>
              <w:spacing w:after="0"/>
              <w:rPr>
                <w:sz w:val="11"/>
                <w:szCs w:val="11"/>
                <w:color w:val="auto"/>
              </w:rPr>
            </w:pPr>
          </w:p>
        </w:tc>
        <w:tc>
          <w:tcPr>
            <w:tcW w:w="86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w w:val="98"/>
              </w:rPr>
              <w:t>81,847,421</w:t>
            </w:r>
          </w:p>
        </w:tc>
        <w:tc>
          <w:tcPr>
            <w:tcW w:w="64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95.24%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Potential problem</w:t>
            </w:r>
          </w:p>
        </w:tc>
        <w:tc>
          <w:tcPr>
            <w:tcW w:w="8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1,367,997</w:t>
            </w:r>
          </w:p>
        </w:tc>
        <w:tc>
          <w:tcPr>
            <w:tcW w:w="8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76,585</w:t>
            </w:r>
          </w:p>
        </w:tc>
        <w:tc>
          <w:tcPr>
            <w:tcW w:w="8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182,425</w:t>
            </w:r>
          </w:p>
        </w:tc>
        <w:tc>
          <w:tcPr>
            <w:tcW w:w="8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90,498</w:t>
            </w:r>
          </w:p>
        </w:tc>
        <w:tc>
          <w:tcPr>
            <w:tcW w:w="84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1,717,505</w:t>
            </w:r>
          </w:p>
        </w:tc>
        <w:tc>
          <w:tcPr>
            <w:tcW w:w="7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1.91%</w:t>
            </w:r>
          </w:p>
        </w:tc>
        <w:tc>
          <w:tcPr>
            <w:tcW w:w="9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1,653,639</w:t>
            </w:r>
          </w:p>
        </w:tc>
        <w:tc>
          <w:tcPr>
            <w:tcW w:w="9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81,878</w:t>
            </w:r>
          </w:p>
        </w:tc>
        <w:tc>
          <w:tcPr>
            <w:tcW w:w="8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180,037</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99,826</w:t>
            </w:r>
          </w:p>
        </w:tc>
        <w:tc>
          <w:tcPr>
            <w:tcW w:w="86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2,015,380</w:t>
            </w:r>
          </w:p>
        </w:tc>
        <w:tc>
          <w:tcPr>
            <w:tcW w:w="64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1480" w:type="dxa"/>
            <w:vAlign w:val="bottom"/>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Past due but not</w:t>
            </w: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w:t>
            </w: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80" w:type="dxa"/>
            <w:vAlign w:val="bottom"/>
          </w:tcPr>
          <w:p>
            <w:pPr>
              <w:spacing w:after="0" w:line="133" w:lineRule="exact"/>
              <w:rPr>
                <w:sz w:val="20"/>
                <w:szCs w:val="20"/>
                <w:color w:val="auto"/>
              </w:rPr>
            </w:pPr>
            <w:r>
              <w:rPr>
                <w:rFonts w:ascii="Arial" w:cs="Arial" w:eastAsia="Arial" w:hAnsi="Arial"/>
                <w:sz w:val="13"/>
                <w:szCs w:val="13"/>
                <w:color w:val="auto"/>
              </w:rPr>
              <w:t>Normal</w:t>
            </w:r>
          </w:p>
        </w:tc>
        <w:tc>
          <w:tcPr>
            <w:tcW w:w="88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329,448</w:t>
            </w:r>
          </w:p>
        </w:tc>
        <w:tc>
          <w:tcPr>
            <w:tcW w:w="88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503,168</w:t>
            </w:r>
          </w:p>
        </w:tc>
        <w:tc>
          <w:tcPr>
            <w:tcW w:w="8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274,003</w:t>
            </w:r>
          </w:p>
        </w:tc>
        <w:tc>
          <w:tcPr>
            <w:tcW w:w="82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430,932</w:t>
            </w:r>
          </w:p>
        </w:tc>
        <w:tc>
          <w:tcPr>
            <w:tcW w:w="84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1,537,551</w:t>
            </w:r>
          </w:p>
        </w:tc>
        <w:tc>
          <w:tcPr>
            <w:tcW w:w="7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1.71%</w:t>
            </w:r>
          </w:p>
        </w:tc>
        <w:tc>
          <w:tcPr>
            <w:tcW w:w="90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1,161,140</w:t>
            </w:r>
          </w:p>
        </w:tc>
        <w:tc>
          <w:tcPr>
            <w:tcW w:w="90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461,084</w:t>
            </w:r>
          </w:p>
        </w:tc>
        <w:tc>
          <w:tcPr>
            <w:tcW w:w="80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7,244</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387,063</w:t>
            </w:r>
          </w:p>
        </w:tc>
        <w:tc>
          <w:tcPr>
            <w:tcW w:w="86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2,016,531</w:t>
            </w:r>
          </w:p>
        </w:tc>
        <w:tc>
          <w:tcPr>
            <w:tcW w:w="64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Potential problem</w:t>
            </w:r>
          </w:p>
        </w:tc>
        <w:tc>
          <w:tcPr>
            <w:tcW w:w="8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38,703</w:t>
            </w:r>
          </w:p>
        </w:tc>
        <w:tc>
          <w:tcPr>
            <w:tcW w:w="8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101,805</w:t>
            </w:r>
          </w:p>
        </w:tc>
        <w:tc>
          <w:tcPr>
            <w:tcW w:w="8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40,711</w:t>
            </w:r>
          </w:p>
        </w:tc>
        <w:tc>
          <w:tcPr>
            <w:tcW w:w="8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17,014</w:t>
            </w:r>
          </w:p>
        </w:tc>
        <w:tc>
          <w:tcPr>
            <w:tcW w:w="84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198,233</w:t>
            </w:r>
          </w:p>
        </w:tc>
        <w:tc>
          <w:tcPr>
            <w:tcW w:w="7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0.22%</w:t>
            </w:r>
          </w:p>
        </w:tc>
        <w:tc>
          <w:tcPr>
            <w:tcW w:w="9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114,639</w:t>
            </w:r>
          </w:p>
        </w:tc>
        <w:tc>
          <w:tcPr>
            <w:tcW w:w="9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97,316</w:t>
            </w:r>
          </w:p>
        </w:tc>
        <w:tc>
          <w:tcPr>
            <w:tcW w:w="8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18,055</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21,690</w:t>
            </w:r>
          </w:p>
        </w:tc>
        <w:tc>
          <w:tcPr>
            <w:tcW w:w="86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251,700</w:t>
            </w:r>
          </w:p>
        </w:tc>
        <w:tc>
          <w:tcPr>
            <w:tcW w:w="64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48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Impaired</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80" w:type="dxa"/>
            <w:vAlign w:val="bottom"/>
          </w:tcPr>
          <w:p>
            <w:pPr>
              <w:spacing w:after="0" w:line="133" w:lineRule="exact"/>
              <w:rPr>
                <w:sz w:val="20"/>
                <w:szCs w:val="20"/>
                <w:color w:val="auto"/>
              </w:rPr>
            </w:pPr>
            <w:r>
              <w:rPr>
                <w:rFonts w:ascii="Arial" w:cs="Arial" w:eastAsia="Arial" w:hAnsi="Arial"/>
                <w:sz w:val="13"/>
                <w:szCs w:val="13"/>
                <w:color w:val="auto"/>
              </w:rPr>
              <w:t>Substandard</w:t>
            </w:r>
          </w:p>
        </w:tc>
        <w:tc>
          <w:tcPr>
            <w:tcW w:w="88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468,745</w:t>
            </w:r>
          </w:p>
        </w:tc>
        <w:tc>
          <w:tcPr>
            <w:tcW w:w="88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143,610</w:t>
            </w:r>
          </w:p>
        </w:tc>
        <w:tc>
          <w:tcPr>
            <w:tcW w:w="8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224,559</w:t>
            </w:r>
          </w:p>
        </w:tc>
        <w:tc>
          <w:tcPr>
            <w:tcW w:w="82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222,401</w:t>
            </w:r>
          </w:p>
        </w:tc>
        <w:tc>
          <w:tcPr>
            <w:tcW w:w="84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1,059,315</w:t>
            </w:r>
          </w:p>
        </w:tc>
        <w:tc>
          <w:tcPr>
            <w:tcW w:w="7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1.18%</w:t>
            </w:r>
          </w:p>
        </w:tc>
        <w:tc>
          <w:tcPr>
            <w:tcW w:w="90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375,798</w:t>
            </w:r>
          </w:p>
        </w:tc>
        <w:tc>
          <w:tcPr>
            <w:tcW w:w="90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162,571</w:t>
            </w:r>
          </w:p>
        </w:tc>
        <w:tc>
          <w:tcPr>
            <w:tcW w:w="80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103,644</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224,751</w:t>
            </w:r>
          </w:p>
        </w:tc>
        <w:tc>
          <w:tcPr>
            <w:tcW w:w="86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866,764</w:t>
            </w:r>
          </w:p>
        </w:tc>
        <w:tc>
          <w:tcPr>
            <w:tcW w:w="64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Doutful</w:t>
            </w:r>
          </w:p>
        </w:tc>
        <w:tc>
          <w:tcPr>
            <w:tcW w:w="8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355,146</w:t>
            </w:r>
          </w:p>
        </w:tc>
        <w:tc>
          <w:tcPr>
            <w:tcW w:w="8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231,872</w:t>
            </w:r>
          </w:p>
        </w:tc>
        <w:tc>
          <w:tcPr>
            <w:tcW w:w="8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309,523</w:t>
            </w:r>
          </w:p>
        </w:tc>
        <w:tc>
          <w:tcPr>
            <w:tcW w:w="8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379,923</w:t>
            </w:r>
          </w:p>
        </w:tc>
        <w:tc>
          <w:tcPr>
            <w:tcW w:w="84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1,276,464</w:t>
            </w:r>
          </w:p>
        </w:tc>
        <w:tc>
          <w:tcPr>
            <w:tcW w:w="7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1.42%</w:t>
            </w:r>
          </w:p>
        </w:tc>
        <w:tc>
          <w:tcPr>
            <w:tcW w:w="9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545,594</w:t>
            </w:r>
          </w:p>
        </w:tc>
        <w:tc>
          <w:tcPr>
            <w:tcW w:w="9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196,524</w:t>
            </w:r>
          </w:p>
        </w:tc>
        <w:tc>
          <w:tcPr>
            <w:tcW w:w="8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133,386</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376,816</w:t>
            </w:r>
          </w:p>
        </w:tc>
        <w:tc>
          <w:tcPr>
            <w:tcW w:w="86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1,252,320</w:t>
            </w:r>
          </w:p>
        </w:tc>
        <w:tc>
          <w:tcPr>
            <w:tcW w:w="64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80" w:type="dxa"/>
            <w:vAlign w:val="bottom"/>
          </w:tcPr>
          <w:p>
            <w:pPr>
              <w:spacing w:after="0" w:line="145" w:lineRule="exact"/>
              <w:rPr>
                <w:sz w:val="20"/>
                <w:szCs w:val="20"/>
                <w:color w:val="auto"/>
              </w:rPr>
            </w:pPr>
            <w:r>
              <w:rPr>
                <w:rFonts w:ascii="Arial" w:cs="Arial" w:eastAsia="Arial" w:hAnsi="Arial"/>
                <w:sz w:val="13"/>
                <w:szCs w:val="13"/>
                <w:color w:val="auto"/>
              </w:rPr>
              <w:t>Loss</w:t>
            </w: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589,377</w:t>
            </w: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386,165</w:t>
            </w:r>
          </w:p>
        </w:tc>
        <w:tc>
          <w:tcPr>
            <w:tcW w:w="84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628,213</w:t>
            </w: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271,872</w:t>
            </w:r>
          </w:p>
        </w:tc>
        <w:tc>
          <w:tcPr>
            <w:tcW w:w="8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1,875,627</w:t>
            </w:r>
          </w:p>
        </w:tc>
        <w:tc>
          <w:tcPr>
            <w:tcW w:w="7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2.09%</w:t>
            </w: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803,376</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300,986</w:t>
            </w:r>
          </w:p>
        </w:tc>
        <w:tc>
          <w:tcPr>
            <w:tcW w:w="8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206,478</w:t>
            </w: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215,272</w:t>
            </w:r>
          </w:p>
        </w:tc>
        <w:tc>
          <w:tcPr>
            <w:tcW w:w="86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1,526,112</w:t>
            </w:r>
          </w:p>
        </w:tc>
        <w:tc>
          <w:tcPr>
            <w:tcW w:w="6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14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480" w:type="dxa"/>
            <w:vAlign w:val="bottom"/>
          </w:tcPr>
          <w:p>
            <w:pPr>
              <w:spacing w:after="0" w:line="145" w:lineRule="exact"/>
              <w:rPr>
                <w:sz w:val="20"/>
                <w:szCs w:val="20"/>
                <w:color w:val="auto"/>
              </w:rPr>
            </w:pPr>
            <w:r>
              <w:rPr>
                <w:rFonts w:ascii="Arial" w:cs="Arial" w:eastAsia="Arial" w:hAnsi="Arial"/>
                <w:sz w:val="13"/>
                <w:szCs w:val="13"/>
                <w:b w:val="1"/>
                <w:bCs w:val="1"/>
                <w:color w:val="auto"/>
              </w:rPr>
              <w:t>Gross</w:t>
            </w: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54,133,871</w:t>
            </w: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14,495,454</w:t>
            </w:r>
          </w:p>
        </w:tc>
        <w:tc>
          <w:tcPr>
            <w:tcW w:w="1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w w:val="98"/>
              </w:rPr>
              <w:t>12,951,628</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w w:val="98"/>
              </w:rPr>
              <w:t>12,518,436</w:t>
            </w:r>
          </w:p>
        </w:tc>
        <w:tc>
          <w:tcPr>
            <w:tcW w:w="84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94,099,389</w:t>
            </w:r>
          </w:p>
        </w:tc>
        <w:tc>
          <w:tcPr>
            <w:tcW w:w="7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104.68%</w:t>
            </w: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53,852,207</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13,258,992</w:t>
            </w:r>
          </w:p>
        </w:tc>
        <w:tc>
          <w:tcPr>
            <w:tcW w:w="8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8,786,318</w:t>
            </w: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13,878,711</w:t>
            </w:r>
          </w:p>
        </w:tc>
        <w:tc>
          <w:tcPr>
            <w:tcW w:w="86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w w:val="98"/>
              </w:rPr>
              <w:t>89,776,228</w:t>
            </w:r>
          </w:p>
        </w:tc>
        <w:tc>
          <w:tcPr>
            <w:tcW w:w="6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104.47%</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14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480" w:type="dxa"/>
            <w:vAlign w:val="bottom"/>
          </w:tcPr>
          <w:p>
            <w:pPr>
              <w:spacing w:after="0" w:line="133" w:lineRule="exact"/>
              <w:rPr>
                <w:sz w:val="20"/>
                <w:szCs w:val="20"/>
                <w:color w:val="auto"/>
              </w:rPr>
            </w:pPr>
            <w:r>
              <w:rPr>
                <w:rFonts w:ascii="Arial" w:cs="Arial" w:eastAsia="Arial" w:hAnsi="Arial"/>
                <w:sz w:val="13"/>
                <w:szCs w:val="13"/>
                <w:color w:val="auto"/>
              </w:rPr>
              <w:t>Less: Allowance for</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loan losses</w:t>
            </w:r>
          </w:p>
        </w:tc>
        <w:tc>
          <w:tcPr>
            <w:tcW w:w="8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1,026,411</w:t>
            </w:r>
          </w:p>
        </w:tc>
        <w:tc>
          <w:tcPr>
            <w:tcW w:w="8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193,385</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1,353,168</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1,634,169</w:t>
            </w:r>
          </w:p>
        </w:tc>
        <w:tc>
          <w:tcPr>
            <w:tcW w:w="8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4,207,133</w:t>
            </w:r>
          </w:p>
        </w:tc>
        <w:tc>
          <w:tcPr>
            <w:tcW w:w="7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4.68%</w:t>
            </w: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1,005,831</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173,879</w:t>
            </w:r>
          </w:p>
        </w:tc>
        <w:tc>
          <w:tcPr>
            <w:tcW w:w="8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1,372,099</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1,288,528</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3,840,337</w:t>
            </w:r>
          </w:p>
        </w:tc>
        <w:tc>
          <w:tcPr>
            <w:tcW w:w="64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4.47%</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14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480" w:type="dxa"/>
            <w:vAlign w:val="bottom"/>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Total, net</w:t>
            </w:r>
          </w:p>
        </w:tc>
        <w:tc>
          <w:tcPr>
            <w:tcW w:w="8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53,107,460</w:t>
            </w: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14,302,069</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w w:val="98"/>
              </w:rPr>
              <w:t>11,598,460</w:t>
            </w:r>
          </w:p>
        </w:tc>
        <w:tc>
          <w:tcPr>
            <w:tcW w:w="8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w w:val="98"/>
              </w:rPr>
              <w:t>10,884,267</w:t>
            </w:r>
          </w:p>
        </w:tc>
        <w:tc>
          <w:tcPr>
            <w:tcW w:w="8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89,892,256</w:t>
            </w:r>
          </w:p>
        </w:tc>
        <w:tc>
          <w:tcPr>
            <w:tcW w:w="7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100.00%</w:t>
            </w: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52,846,376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13,085,113</w:t>
            </w:r>
          </w:p>
        </w:tc>
        <w:tc>
          <w:tcPr>
            <w:tcW w:w="8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7,414,219</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12,592,183</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w w:val="98"/>
              </w:rPr>
              <w:t>85,935,891</w:t>
            </w:r>
          </w:p>
        </w:tc>
        <w:tc>
          <w:tcPr>
            <w:tcW w:w="64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accordance with IFRS 7, the entire loan balance is considered past due when debtors have failed to make a payment when contractually due.</w:t>
      </w:r>
    </w:p>
    <w:p>
      <w:pPr>
        <w:spacing w:after="0" w:line="203" w:lineRule="exact"/>
        <w:rPr>
          <w:sz w:val="20"/>
          <w:szCs w:val="20"/>
          <w:color w:val="auto"/>
        </w:rPr>
      </w:pPr>
    </w:p>
    <w:p>
      <w:pPr>
        <w:jc w:val="both"/>
        <w:ind w:left="3" w:right="40"/>
        <w:spacing w:after="0" w:line="266" w:lineRule="auto"/>
        <w:rPr>
          <w:sz w:val="20"/>
          <w:szCs w:val="20"/>
          <w:color w:val="auto"/>
        </w:rPr>
      </w:pPr>
      <w:r>
        <w:rPr>
          <w:rFonts w:ascii="Arial" w:cs="Arial" w:eastAsia="Arial" w:hAnsi="Arial"/>
          <w:sz w:val="16"/>
          <w:szCs w:val="16"/>
          <w:color w:val="auto"/>
        </w:rPr>
        <w:t>At December 31, 2016, the renegotiated credits amount to approximately S/ 845.0 million, of which S/ 304.5 million are classified as not past due nor impaired, S/ 201.2 million as past du but not impaired and S/ 339.3 million as impaired but not past due (S/769.3 million, S/ 678.4 million, S/17.4 million and S/73.5 million, respectively, at December 31, 2015).</w:t>
      </w:r>
    </w:p>
    <w:p>
      <w:pPr>
        <w:spacing w:after="0" w:line="166" w:lineRule="exact"/>
        <w:rPr>
          <w:sz w:val="20"/>
          <w:szCs w:val="20"/>
          <w:color w:val="auto"/>
        </w:rPr>
      </w:pPr>
    </w:p>
    <w:tbl>
      <w:tblPr>
        <w:tblLayout w:type="fixed"/>
        <w:tblInd w:w="3"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At December 31, 2016</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At December 31, 2015</w:t>
            </w: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gridSpan w:val="3"/>
            <w:vMerge w:val="restart"/>
          </w:tcPr>
          <w:p>
            <w:pPr>
              <w:ind w:left="140"/>
              <w:spacing w:after="0"/>
              <w:rPr>
                <w:sz w:val="20"/>
                <w:szCs w:val="20"/>
                <w:color w:val="auto"/>
              </w:rPr>
            </w:pPr>
            <w:r>
              <w:rPr>
                <w:rFonts w:ascii="Arial" w:cs="Arial" w:eastAsia="Arial" w:hAnsi="Arial"/>
                <w:sz w:val="13"/>
                <w:szCs w:val="13"/>
                <w:b w:val="1"/>
                <w:bCs w:val="1"/>
                <w:color w:val="auto"/>
              </w:rPr>
              <w:t>Commercial</w:t>
            </w:r>
          </w:p>
        </w:tc>
        <w:tc>
          <w:tcPr>
            <w:tcW w:w="1040" w:type="dxa"/>
            <w:vAlign w:val="bottom"/>
            <w:gridSpan w:val="3"/>
          </w:tcPr>
          <w:p>
            <w:pPr>
              <w:ind w:left="120"/>
              <w:spacing w:after="0" w:line="105" w:lineRule="exact"/>
              <w:rPr>
                <w:sz w:val="20"/>
                <w:szCs w:val="20"/>
                <w:color w:val="auto"/>
              </w:rPr>
            </w:pPr>
            <w:r>
              <w:rPr>
                <w:rFonts w:ascii="Arial" w:cs="Arial" w:eastAsia="Arial" w:hAnsi="Arial"/>
                <w:sz w:val="12"/>
                <w:szCs w:val="12"/>
                <w:b w:val="1"/>
                <w:bCs w:val="1"/>
                <w:color w:val="auto"/>
              </w:rPr>
              <w:t>Residential</w:t>
            </w:r>
          </w:p>
        </w:tc>
        <w:tc>
          <w:tcPr>
            <w:tcW w:w="1060" w:type="dxa"/>
            <w:vAlign w:val="bottom"/>
            <w:gridSpan w:val="3"/>
          </w:tcPr>
          <w:p>
            <w:pPr>
              <w:ind w:left="120"/>
              <w:spacing w:after="0" w:line="105" w:lineRule="exact"/>
              <w:rPr>
                <w:sz w:val="20"/>
                <w:szCs w:val="20"/>
                <w:color w:val="auto"/>
              </w:rPr>
            </w:pPr>
            <w:r>
              <w:rPr>
                <w:rFonts w:ascii="Arial" w:cs="Arial" w:eastAsia="Arial" w:hAnsi="Arial"/>
                <w:sz w:val="12"/>
                <w:szCs w:val="12"/>
                <w:b w:val="1"/>
                <w:bCs w:val="1"/>
                <w:color w:val="auto"/>
              </w:rPr>
              <w:t>Micro-</w:t>
            </w:r>
          </w:p>
        </w:tc>
        <w:tc>
          <w:tcPr>
            <w:tcW w:w="106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Consumer</w:t>
            </w: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Commercial</w:t>
            </w:r>
          </w:p>
        </w:tc>
        <w:tc>
          <w:tcPr>
            <w:tcW w:w="1120" w:type="dxa"/>
            <w:vAlign w:val="bottom"/>
            <w:gridSpan w:val="3"/>
          </w:tcPr>
          <w:p>
            <w:pPr>
              <w:ind w:left="100"/>
              <w:spacing w:after="0" w:line="105" w:lineRule="exact"/>
              <w:rPr>
                <w:sz w:val="20"/>
                <w:szCs w:val="20"/>
                <w:color w:val="auto"/>
              </w:rPr>
            </w:pPr>
            <w:r>
              <w:rPr>
                <w:rFonts w:ascii="Arial" w:cs="Arial" w:eastAsia="Arial" w:hAnsi="Arial"/>
                <w:sz w:val="12"/>
                <w:szCs w:val="12"/>
                <w:b w:val="1"/>
                <w:bCs w:val="1"/>
                <w:color w:val="auto"/>
              </w:rPr>
              <w:t>Residential</w:t>
            </w:r>
          </w:p>
        </w:tc>
        <w:tc>
          <w:tcPr>
            <w:tcW w:w="100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Micro-</w:t>
            </w:r>
          </w:p>
        </w:tc>
        <w:tc>
          <w:tcPr>
            <w:tcW w:w="1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Consumer</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040" w:type="dxa"/>
            <w:vAlign w:val="bottom"/>
            <w:gridSpan w:val="3"/>
          </w:tcPr>
          <w:p>
            <w:pPr>
              <w:ind w:left="120"/>
              <w:spacing w:after="0" w:line="133" w:lineRule="exact"/>
              <w:rPr>
                <w:sz w:val="20"/>
                <w:szCs w:val="20"/>
                <w:color w:val="auto"/>
              </w:rPr>
            </w:pPr>
            <w:r>
              <w:rPr>
                <w:rFonts w:ascii="Arial" w:cs="Arial" w:eastAsia="Arial" w:hAnsi="Arial"/>
                <w:sz w:val="13"/>
                <w:szCs w:val="13"/>
                <w:b w:val="1"/>
                <w:bCs w:val="1"/>
                <w:color w:val="auto"/>
              </w:rPr>
              <w:t>mortgage</w:t>
            </w:r>
          </w:p>
        </w:tc>
        <w:tc>
          <w:tcPr>
            <w:tcW w:w="1060" w:type="dxa"/>
            <w:vAlign w:val="bottom"/>
            <w:gridSpan w:val="3"/>
          </w:tcPr>
          <w:p>
            <w:pPr>
              <w:ind w:left="120"/>
              <w:spacing w:after="0" w:line="133" w:lineRule="exact"/>
              <w:rPr>
                <w:sz w:val="20"/>
                <w:szCs w:val="20"/>
                <w:color w:val="auto"/>
              </w:rPr>
            </w:pPr>
            <w:r>
              <w:rPr>
                <w:rFonts w:ascii="Arial" w:cs="Arial" w:eastAsia="Arial" w:hAnsi="Arial"/>
                <w:sz w:val="13"/>
                <w:szCs w:val="13"/>
                <w:b w:val="1"/>
                <w:bCs w:val="1"/>
                <w:color w:val="auto"/>
              </w:rPr>
              <w:t>business</w:t>
            </w:r>
          </w:p>
        </w:tc>
        <w:tc>
          <w:tcPr>
            <w:tcW w:w="1060" w:type="dxa"/>
            <w:vAlign w:val="bottom"/>
            <w:gridSpan w:val="3"/>
            <w:vMerge w:val="continue"/>
          </w:tcPr>
          <w:p>
            <w:pPr>
              <w:spacing w:after="0"/>
              <w:rPr>
                <w:sz w:val="11"/>
                <w:szCs w:val="11"/>
                <w:color w:val="auto"/>
              </w:rPr>
            </w:pPr>
          </w:p>
        </w:tc>
        <w:tc>
          <w:tcPr>
            <w:tcW w:w="104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Total</w:t>
            </w:r>
          </w:p>
        </w:tc>
        <w:tc>
          <w:tcPr>
            <w:tcW w:w="1020" w:type="dxa"/>
            <w:vAlign w:val="bottom"/>
            <w:gridSpan w:val="3"/>
            <w:vMerge w:val="continue"/>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3"/>
                <w:szCs w:val="13"/>
                <w:b w:val="1"/>
                <w:bCs w:val="1"/>
                <w:color w:val="auto"/>
              </w:rPr>
              <w:t>mortgage</w:t>
            </w:r>
          </w:p>
        </w:tc>
        <w:tc>
          <w:tcPr>
            <w:tcW w:w="100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business</w:t>
            </w:r>
          </w:p>
        </w:tc>
        <w:tc>
          <w:tcPr>
            <w:tcW w:w="1000" w:type="dxa"/>
            <w:vAlign w:val="bottom"/>
            <w:gridSpan w:val="2"/>
            <w:vMerge w:val="continue"/>
          </w:tcPr>
          <w:p>
            <w:pPr>
              <w:spacing w:after="0"/>
              <w:rPr>
                <w:sz w:val="11"/>
                <w:szCs w:val="11"/>
                <w:color w:val="auto"/>
              </w:rPr>
            </w:pPr>
          </w:p>
        </w:tc>
        <w:tc>
          <w:tcPr>
            <w:tcW w:w="9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gridSpan w:val="3"/>
          </w:tcPr>
          <w:p>
            <w:pPr>
              <w:ind w:left="140"/>
              <w:spacing w:after="0"/>
              <w:rPr>
                <w:sz w:val="20"/>
                <w:szCs w:val="20"/>
                <w:color w:val="auto"/>
              </w:rPr>
            </w:pPr>
            <w:r>
              <w:rPr>
                <w:rFonts w:ascii="Arial" w:cs="Arial" w:eastAsia="Arial" w:hAnsi="Arial"/>
                <w:sz w:val="13"/>
                <w:szCs w:val="13"/>
                <w:b w:val="1"/>
                <w:bCs w:val="1"/>
                <w:color w:val="auto"/>
              </w:rPr>
              <w:t>loans</w:t>
            </w:r>
          </w:p>
        </w:tc>
        <w:tc>
          <w:tcPr>
            <w:tcW w:w="1040" w:type="dxa"/>
            <w:vAlign w:val="bottom"/>
            <w:gridSpan w:val="3"/>
          </w:tcPr>
          <w:p>
            <w:pPr>
              <w:ind w:left="120"/>
              <w:spacing w:after="0"/>
              <w:rPr>
                <w:sz w:val="20"/>
                <w:szCs w:val="20"/>
                <w:color w:val="auto"/>
              </w:rPr>
            </w:pPr>
            <w:r>
              <w:rPr>
                <w:rFonts w:ascii="Arial" w:cs="Arial" w:eastAsia="Arial" w:hAnsi="Arial"/>
                <w:sz w:val="13"/>
                <w:szCs w:val="13"/>
                <w:b w:val="1"/>
                <w:bCs w:val="1"/>
                <w:color w:val="auto"/>
              </w:rPr>
              <w:t>loans</w:t>
            </w:r>
          </w:p>
        </w:tc>
        <w:tc>
          <w:tcPr>
            <w:tcW w:w="1060" w:type="dxa"/>
            <w:vAlign w:val="bottom"/>
            <w:gridSpan w:val="3"/>
          </w:tcPr>
          <w:p>
            <w:pPr>
              <w:ind w:left="120"/>
              <w:spacing w:after="0"/>
              <w:rPr>
                <w:sz w:val="20"/>
                <w:szCs w:val="20"/>
                <w:color w:val="auto"/>
              </w:rPr>
            </w:pPr>
            <w:r>
              <w:rPr>
                <w:rFonts w:ascii="Arial" w:cs="Arial" w:eastAsia="Arial" w:hAnsi="Arial"/>
                <w:sz w:val="13"/>
                <w:szCs w:val="13"/>
                <w:b w:val="1"/>
                <w:bCs w:val="1"/>
                <w:color w:val="auto"/>
              </w:rPr>
              <w:t>loans</w:t>
            </w:r>
          </w:p>
        </w:tc>
        <w:tc>
          <w:tcPr>
            <w:tcW w:w="1060" w:type="dxa"/>
            <w:vAlign w:val="bottom"/>
            <w:gridSpan w:val="3"/>
          </w:tcPr>
          <w:p>
            <w:pPr>
              <w:ind w:left="120"/>
              <w:spacing w:after="0"/>
              <w:rPr>
                <w:sz w:val="20"/>
                <w:szCs w:val="20"/>
                <w:color w:val="auto"/>
              </w:rPr>
            </w:pPr>
            <w:r>
              <w:rPr>
                <w:rFonts w:ascii="Arial" w:cs="Arial" w:eastAsia="Arial" w:hAnsi="Arial"/>
                <w:sz w:val="13"/>
                <w:szCs w:val="13"/>
                <w:b w:val="1"/>
                <w:bCs w:val="1"/>
                <w:color w:val="auto"/>
              </w:rPr>
              <w:t>loans</w:t>
            </w:r>
          </w:p>
        </w:tc>
        <w:tc>
          <w:tcPr>
            <w:tcW w:w="1040" w:type="dxa"/>
            <w:vAlign w:val="bottom"/>
            <w:gridSpan w:val="3"/>
            <w:vMerge w:val="continue"/>
          </w:tcPr>
          <w:p>
            <w:pPr>
              <w:spacing w:after="0"/>
              <w:rPr>
                <w:sz w:val="13"/>
                <w:szCs w:val="13"/>
                <w:color w:val="auto"/>
              </w:rPr>
            </w:pPr>
          </w:p>
        </w:tc>
        <w:tc>
          <w:tcPr>
            <w:tcW w:w="1020" w:type="dxa"/>
            <w:vAlign w:val="bottom"/>
            <w:gridSpan w:val="3"/>
          </w:tcPr>
          <w:p>
            <w:pPr>
              <w:ind w:left="120"/>
              <w:spacing w:after="0"/>
              <w:rPr>
                <w:sz w:val="20"/>
                <w:szCs w:val="20"/>
                <w:color w:val="auto"/>
              </w:rPr>
            </w:pPr>
            <w:r>
              <w:rPr>
                <w:rFonts w:ascii="Arial" w:cs="Arial" w:eastAsia="Arial" w:hAnsi="Arial"/>
                <w:sz w:val="13"/>
                <w:szCs w:val="13"/>
                <w:b w:val="1"/>
                <w:bCs w:val="1"/>
                <w:color w:val="auto"/>
              </w:rPr>
              <w:t>loans</w:t>
            </w:r>
          </w:p>
        </w:tc>
        <w:tc>
          <w:tcPr>
            <w:tcW w:w="1120" w:type="dxa"/>
            <w:vAlign w:val="bottom"/>
            <w:gridSpan w:val="3"/>
          </w:tcPr>
          <w:p>
            <w:pPr>
              <w:ind w:left="100"/>
              <w:spacing w:after="0"/>
              <w:rPr>
                <w:sz w:val="20"/>
                <w:szCs w:val="20"/>
                <w:color w:val="auto"/>
              </w:rPr>
            </w:pPr>
            <w:r>
              <w:rPr>
                <w:rFonts w:ascii="Arial" w:cs="Arial" w:eastAsia="Arial" w:hAnsi="Arial"/>
                <w:sz w:val="13"/>
                <w:szCs w:val="13"/>
                <w:b w:val="1"/>
                <w:bCs w:val="1"/>
                <w:color w:val="auto"/>
              </w:rPr>
              <w:t>loans</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3"/>
                <w:szCs w:val="13"/>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1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Impaired loans</w:t>
            </w:r>
          </w:p>
        </w:tc>
        <w:tc>
          <w:tcPr>
            <w:tcW w:w="108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1,413,268</w:t>
            </w:r>
          </w:p>
        </w:tc>
        <w:tc>
          <w:tcPr>
            <w:tcW w:w="104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761,647</w:t>
            </w:r>
          </w:p>
        </w:tc>
        <w:tc>
          <w:tcPr>
            <w:tcW w:w="106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1,162,295</w:t>
            </w:r>
          </w:p>
        </w:tc>
        <w:tc>
          <w:tcPr>
            <w:tcW w:w="106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874,196</w:t>
            </w:r>
          </w:p>
        </w:tc>
        <w:tc>
          <w:tcPr>
            <w:tcW w:w="104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4,211,406</w:t>
            </w:r>
          </w:p>
        </w:tc>
        <w:tc>
          <w:tcPr>
            <w:tcW w:w="102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1,724,768</w:t>
            </w:r>
          </w:p>
        </w:tc>
        <w:tc>
          <w:tcPr>
            <w:tcW w:w="112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660,081</w:t>
            </w:r>
          </w:p>
        </w:tc>
        <w:tc>
          <w:tcPr>
            <w:tcW w:w="10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443,508</w:t>
            </w:r>
          </w:p>
        </w:tc>
        <w:tc>
          <w:tcPr>
            <w:tcW w:w="10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816,839</w:t>
            </w:r>
          </w:p>
        </w:tc>
        <w:tc>
          <w:tcPr>
            <w:tcW w:w="9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3,645,196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00" w:type="dxa"/>
            <w:vAlign w:val="bottom"/>
          </w:tcPr>
          <w:p>
            <w:pPr>
              <w:spacing w:after="0" w:line="117" w:lineRule="exact"/>
              <w:rPr>
                <w:sz w:val="20"/>
                <w:szCs w:val="20"/>
                <w:color w:val="auto"/>
              </w:rPr>
            </w:pPr>
            <w:r>
              <w:rPr>
                <w:rFonts w:ascii="Arial" w:cs="Arial" w:eastAsia="Arial" w:hAnsi="Arial"/>
                <w:sz w:val="13"/>
                <w:szCs w:val="13"/>
                <w:color w:val="auto"/>
              </w:rPr>
              <w:t>Fair value of</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20" w:type="dxa"/>
            <w:vAlign w:val="bottom"/>
            <w:gridSpan w:val="2"/>
          </w:tcPr>
          <w:p>
            <w:pPr>
              <w:spacing w:after="0"/>
              <w:rPr>
                <w:sz w:val="20"/>
                <w:szCs w:val="20"/>
                <w:color w:val="auto"/>
              </w:rPr>
            </w:pPr>
            <w:r>
              <w:rPr>
                <w:rFonts w:ascii="Arial" w:cs="Arial" w:eastAsia="Arial" w:hAnsi="Arial"/>
                <w:sz w:val="13"/>
                <w:szCs w:val="13"/>
                <w:color w:val="auto"/>
              </w:rPr>
              <w:t>collateral</w:t>
            </w:r>
          </w:p>
        </w:tc>
        <w:tc>
          <w:tcPr>
            <w:tcW w:w="1080" w:type="dxa"/>
            <w:vAlign w:val="bottom"/>
            <w:gridSpan w:val="3"/>
          </w:tcPr>
          <w:p>
            <w:pPr>
              <w:jc w:val="right"/>
              <w:ind w:right="120"/>
              <w:spacing w:after="0"/>
              <w:rPr>
                <w:sz w:val="20"/>
                <w:szCs w:val="20"/>
                <w:color w:val="auto"/>
              </w:rPr>
            </w:pPr>
            <w:r>
              <w:rPr>
                <w:rFonts w:ascii="Arial" w:cs="Arial" w:eastAsia="Arial" w:hAnsi="Arial"/>
                <w:sz w:val="13"/>
                <w:szCs w:val="13"/>
                <w:color w:val="auto"/>
              </w:rPr>
              <w:t>1,542,874</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639,186</w:t>
            </w:r>
          </w:p>
        </w:tc>
        <w:tc>
          <w:tcPr>
            <w:tcW w:w="1060" w:type="dxa"/>
            <w:vAlign w:val="bottom"/>
            <w:gridSpan w:val="3"/>
          </w:tcPr>
          <w:p>
            <w:pPr>
              <w:jc w:val="right"/>
              <w:ind w:right="120"/>
              <w:spacing w:after="0"/>
              <w:rPr>
                <w:sz w:val="20"/>
                <w:szCs w:val="20"/>
                <w:color w:val="auto"/>
              </w:rPr>
            </w:pPr>
            <w:r>
              <w:rPr>
                <w:rFonts w:ascii="Arial" w:cs="Arial" w:eastAsia="Arial" w:hAnsi="Arial"/>
                <w:sz w:val="13"/>
                <w:szCs w:val="13"/>
                <w:color w:val="auto"/>
              </w:rPr>
              <w:t>69,503</w:t>
            </w:r>
          </w:p>
        </w:tc>
        <w:tc>
          <w:tcPr>
            <w:tcW w:w="1060" w:type="dxa"/>
            <w:vAlign w:val="bottom"/>
            <w:gridSpan w:val="3"/>
          </w:tcPr>
          <w:p>
            <w:pPr>
              <w:jc w:val="right"/>
              <w:ind w:right="120"/>
              <w:spacing w:after="0"/>
              <w:rPr>
                <w:sz w:val="20"/>
                <w:szCs w:val="20"/>
                <w:color w:val="auto"/>
              </w:rPr>
            </w:pPr>
            <w:r>
              <w:rPr>
                <w:rFonts w:ascii="Arial" w:cs="Arial" w:eastAsia="Arial" w:hAnsi="Arial"/>
                <w:sz w:val="13"/>
                <w:szCs w:val="13"/>
                <w:color w:val="auto"/>
              </w:rPr>
              <w:t>93,232</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2,344,795</w:t>
            </w:r>
          </w:p>
        </w:tc>
        <w:tc>
          <w:tcPr>
            <w:tcW w:w="1020" w:type="dxa"/>
            <w:vAlign w:val="bottom"/>
            <w:gridSpan w:val="3"/>
          </w:tcPr>
          <w:p>
            <w:pPr>
              <w:jc w:val="right"/>
              <w:ind w:right="120"/>
              <w:spacing w:after="0"/>
              <w:rPr>
                <w:sz w:val="20"/>
                <w:szCs w:val="20"/>
                <w:color w:val="auto"/>
              </w:rPr>
            </w:pPr>
            <w:r>
              <w:rPr>
                <w:rFonts w:ascii="Arial" w:cs="Arial" w:eastAsia="Arial" w:hAnsi="Arial"/>
                <w:sz w:val="13"/>
                <w:szCs w:val="13"/>
                <w:color w:val="auto"/>
              </w:rPr>
              <w:t>1,197,707</w:t>
            </w:r>
          </w:p>
        </w:tc>
        <w:tc>
          <w:tcPr>
            <w:tcW w:w="1120" w:type="dxa"/>
            <w:vAlign w:val="bottom"/>
            <w:gridSpan w:val="3"/>
          </w:tcPr>
          <w:p>
            <w:pPr>
              <w:jc w:val="right"/>
              <w:ind w:right="220"/>
              <w:spacing w:after="0"/>
              <w:rPr>
                <w:sz w:val="20"/>
                <w:szCs w:val="20"/>
                <w:color w:val="auto"/>
              </w:rPr>
            </w:pPr>
            <w:r>
              <w:rPr>
                <w:rFonts w:ascii="Arial" w:cs="Arial" w:eastAsia="Arial" w:hAnsi="Arial"/>
                <w:sz w:val="13"/>
                <w:szCs w:val="13"/>
                <w:color w:val="auto"/>
              </w:rPr>
              <w:t>530,910</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20,433</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169,570</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1,918,620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Allowance for loan</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losses</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101,073</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86,726</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283,208</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99,284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570,291</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362,197</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82,166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20,602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74,401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539,366</w:t>
            </w: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- 122 -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8" w:right="219" w:bottom="1440" w:gutter="0" w:footer="0" w:header="0"/>
        </w:sectPr>
      </w:pPr>
    </w:p>
    <w:bookmarkStart w:id="127" w:name="page128"/>
    <w:bookmarkEnd w:id="127"/>
    <w:p>
      <w:pPr>
        <w:ind w:left="3"/>
        <w:spacing w:after="0"/>
        <w:rPr>
          <w:sz w:val="20"/>
          <w:szCs w:val="20"/>
          <w:color w:val="auto"/>
        </w:rPr>
      </w:pPr>
      <w:r>
        <w:rPr>
          <w:rFonts w:ascii="Arial" w:cs="Arial" w:eastAsia="Arial" w:hAnsi="Arial"/>
          <w:sz w:val="16"/>
          <w:szCs w:val="16"/>
          <w:color w:val="auto"/>
        </w:rPr>
        <w:t>On the other hand, the breakdown of loans classified by maturity is shown below, according to the following criteria:</w:t>
      </w:r>
    </w:p>
    <w:p>
      <w:pPr>
        <w:spacing w:after="0" w:line="203" w:lineRule="exact"/>
        <w:rPr>
          <w:sz w:val="20"/>
          <w:szCs w:val="20"/>
          <w:color w:val="auto"/>
        </w:rPr>
      </w:pPr>
    </w:p>
    <w:p>
      <w:pPr>
        <w:ind w:left="383" w:hanging="383"/>
        <w:spacing w:after="0"/>
        <w:tabs>
          <w:tab w:leader="none" w:pos="38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Current loans comprise those loans with no current indicators of delinquency and related to customers ranked as normal and with potential problems</w:t>
      </w:r>
    </w:p>
    <w:p>
      <w:pPr>
        <w:spacing w:after="0" w:line="21" w:lineRule="exact"/>
        <w:rPr>
          <w:rFonts w:ascii="Arial" w:cs="Arial" w:eastAsia="Arial" w:hAnsi="Arial"/>
          <w:sz w:val="16"/>
          <w:szCs w:val="16"/>
          <w:color w:val="auto"/>
        </w:rPr>
      </w:pPr>
    </w:p>
    <w:p>
      <w:pPr>
        <w:ind w:left="383" w:hanging="383"/>
        <w:spacing w:after="0"/>
        <w:tabs>
          <w:tab w:leader="none" w:pos="383" w:val="left"/>
        </w:tabs>
        <w:numPr>
          <w:ilvl w:val="0"/>
          <w:numId w:val="133"/>
        </w:numPr>
        <w:rPr>
          <w:rFonts w:ascii="Arial" w:cs="Arial" w:eastAsia="Arial" w:hAnsi="Arial"/>
          <w:sz w:val="15"/>
          <w:szCs w:val="15"/>
          <w:color w:val="auto"/>
        </w:rPr>
      </w:pPr>
      <w:r>
        <w:rPr>
          <w:rFonts w:ascii="Arial" w:cs="Arial" w:eastAsia="Arial" w:hAnsi="Arial"/>
          <w:sz w:val="15"/>
          <w:szCs w:val="15"/>
          <w:color w:val="auto"/>
        </w:rPr>
        <w:t>Loans current but impaired, comprising those direct loans with no current indicators of delinquency but related to customers ranked as substandard, doubtful or loss.</w:t>
      </w:r>
    </w:p>
    <w:p>
      <w:pPr>
        <w:spacing w:after="0" w:line="20" w:lineRule="exact"/>
        <w:rPr>
          <w:rFonts w:ascii="Arial" w:cs="Arial" w:eastAsia="Arial" w:hAnsi="Arial"/>
          <w:sz w:val="15"/>
          <w:szCs w:val="15"/>
          <w:color w:val="auto"/>
        </w:rPr>
      </w:pPr>
    </w:p>
    <w:p>
      <w:pPr>
        <w:ind w:left="383" w:right="420" w:hanging="383"/>
        <w:spacing w:after="0" w:line="252" w:lineRule="auto"/>
        <w:tabs>
          <w:tab w:leader="none" w:pos="38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Loans with delays in payment of one day or more but which are not past due under our internal policies, comprising those direct loans related to customers ranked as normal, with potential problems, substandard, doubtful or loss.</w:t>
      </w:r>
    </w:p>
    <w:p>
      <w:pPr>
        <w:ind w:left="383" w:hanging="383"/>
        <w:spacing w:after="0"/>
        <w:tabs>
          <w:tab w:leader="none" w:pos="383" w:val="left"/>
        </w:tabs>
        <w:numPr>
          <w:ilvl w:val="0"/>
          <w:numId w:val="133"/>
        </w:numPr>
        <w:rPr>
          <w:rFonts w:ascii="Arial" w:cs="Arial" w:eastAsia="Arial" w:hAnsi="Arial"/>
          <w:sz w:val="15"/>
          <w:szCs w:val="15"/>
          <w:color w:val="auto"/>
        </w:rPr>
      </w:pPr>
      <w:r>
        <w:rPr>
          <w:rFonts w:ascii="Arial" w:cs="Arial" w:eastAsia="Arial" w:hAnsi="Arial"/>
          <w:sz w:val="15"/>
          <w:szCs w:val="15"/>
          <w:color w:val="auto"/>
        </w:rPr>
        <w:t>Internally overdue loans that are past due under our internal policies related to customers ranked as normal, with potential problems, substandard, doubtful or loss</w:t>
      </w:r>
    </w:p>
    <w:p>
      <w:pPr>
        <w:spacing w:after="0" w:line="202" w:lineRule="exact"/>
        <w:rPr>
          <w:sz w:val="20"/>
          <w:szCs w:val="20"/>
          <w:color w:val="auto"/>
        </w:rPr>
      </w:pPr>
    </w:p>
    <w:p>
      <w:pPr>
        <w:ind w:left="3"/>
        <w:spacing w:after="0"/>
        <w:rPr>
          <w:sz w:val="20"/>
          <w:szCs w:val="20"/>
          <w:color w:val="auto"/>
        </w:rPr>
      </w:pPr>
      <w:r>
        <w:rPr>
          <w:rFonts w:ascii="Arial" w:cs="Arial" w:eastAsia="Arial" w:hAnsi="Arial"/>
          <w:sz w:val="15"/>
          <w:szCs w:val="15"/>
          <w:color w:val="auto"/>
        </w:rPr>
        <w:t>The sum of items: loans with delays in payment form first day and the internal past due loans reflect the entire amount of “past due” loans in accordance with IFRS 7.</w:t>
      </w:r>
    </w:p>
    <w:p>
      <w:pPr>
        <w:spacing w:after="0" w:line="219" w:lineRule="exact"/>
        <w:rPr>
          <w:sz w:val="20"/>
          <w:szCs w:val="20"/>
          <w:color w:val="auto"/>
        </w:rPr>
      </w:pPr>
    </w:p>
    <w:tbl>
      <w:tblPr>
        <w:tblLayout w:type="fixed"/>
        <w:tblInd w:w="3"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80" w:type="dxa"/>
            <w:vAlign w:val="bottom"/>
            <w:gridSpan w:val="5"/>
          </w:tcPr>
          <w:p>
            <w:pPr>
              <w:spacing w:after="0"/>
              <w:rPr>
                <w:sz w:val="20"/>
                <w:szCs w:val="20"/>
                <w:color w:val="auto"/>
              </w:rPr>
            </w:pPr>
            <w:r>
              <w:rPr>
                <w:rFonts w:ascii="Arial" w:cs="Arial" w:eastAsia="Arial" w:hAnsi="Arial"/>
                <w:sz w:val="13"/>
                <w:szCs w:val="13"/>
                <w:b w:val="1"/>
                <w:bCs w:val="1"/>
                <w:color w:val="auto"/>
              </w:rPr>
              <w:t>As of Decembre 31, 2016</w:t>
            </w: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gridSpan w:val="6"/>
          </w:tcPr>
          <w:p>
            <w:pPr>
              <w:ind w:left="80"/>
              <w:spacing w:after="0"/>
              <w:rPr>
                <w:sz w:val="20"/>
                <w:szCs w:val="20"/>
                <w:color w:val="auto"/>
              </w:rPr>
            </w:pPr>
            <w:r>
              <w:rPr>
                <w:rFonts w:ascii="Arial" w:cs="Arial" w:eastAsia="Arial" w:hAnsi="Arial"/>
                <w:sz w:val="13"/>
                <w:szCs w:val="13"/>
                <w:b w:val="1"/>
                <w:bCs w:val="1"/>
                <w:color w:val="auto"/>
              </w:rPr>
              <w:t>As of Decembre 31, 2015</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tcPr>
          <w:p>
            <w:pPr>
              <w:spacing w:after="0" w:line="105" w:lineRule="exact"/>
              <w:rPr>
                <w:sz w:val="20"/>
                <w:szCs w:val="20"/>
                <w:color w:val="auto"/>
              </w:rPr>
            </w:pPr>
            <w:r>
              <w:rPr>
                <w:rFonts w:ascii="Arial" w:cs="Arial" w:eastAsia="Arial" w:hAnsi="Arial"/>
                <w:sz w:val="12"/>
                <w:szCs w:val="12"/>
                <w:b w:val="1"/>
                <w:bCs w:val="1"/>
                <w:color w:val="auto"/>
              </w:rPr>
              <w:t>Loans with delays</w:t>
            </w: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3"/>
          </w:tcPr>
          <w:p>
            <w:pPr>
              <w:ind w:left="80"/>
              <w:spacing w:after="0" w:line="105" w:lineRule="exact"/>
              <w:rPr>
                <w:sz w:val="20"/>
                <w:szCs w:val="20"/>
                <w:color w:val="auto"/>
              </w:rPr>
            </w:pPr>
            <w:r>
              <w:rPr>
                <w:rFonts w:ascii="Arial" w:cs="Arial" w:eastAsia="Arial" w:hAnsi="Arial"/>
                <w:sz w:val="12"/>
                <w:szCs w:val="12"/>
                <w:b w:val="1"/>
                <w:bCs w:val="1"/>
                <w:color w:val="auto"/>
              </w:rPr>
              <w:t>Loans with delays</w:t>
            </w: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in payments of</w:t>
            </w: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Internal</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80"/>
              <w:spacing w:after="0" w:line="133" w:lineRule="exact"/>
              <w:rPr>
                <w:sz w:val="20"/>
                <w:szCs w:val="20"/>
                <w:color w:val="auto"/>
              </w:rPr>
            </w:pPr>
            <w:r>
              <w:rPr>
                <w:rFonts w:ascii="Arial" w:cs="Arial" w:eastAsia="Arial" w:hAnsi="Arial"/>
                <w:sz w:val="13"/>
                <w:szCs w:val="13"/>
                <w:b w:val="1"/>
                <w:bCs w:val="1"/>
                <w:color w:val="auto"/>
              </w:rPr>
              <w:t>in payments of</w:t>
            </w:r>
          </w:p>
        </w:tc>
        <w:tc>
          <w:tcPr>
            <w:tcW w:w="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Internal</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Current</w:t>
            </w: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Current but</w:t>
            </w:r>
          </w:p>
        </w:tc>
        <w:tc>
          <w:tcPr>
            <w:tcW w:w="10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one day or more</w:t>
            </w:r>
          </w:p>
        </w:tc>
        <w:tc>
          <w:tcPr>
            <w:tcW w:w="7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w w:val="95"/>
              </w:rPr>
              <w:t>Total past due</w:t>
            </w:r>
          </w:p>
        </w:tc>
        <w:tc>
          <w:tcPr>
            <w:tcW w:w="8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Current</w:t>
            </w:r>
          </w:p>
        </w:tc>
        <w:tc>
          <w:tcPr>
            <w:tcW w:w="8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Current but</w:t>
            </w:r>
          </w:p>
        </w:tc>
        <w:tc>
          <w:tcPr>
            <w:tcW w:w="1240" w:type="dxa"/>
            <w:vAlign w:val="bottom"/>
            <w:gridSpan w:val="3"/>
          </w:tcPr>
          <w:p>
            <w:pPr>
              <w:ind w:left="80"/>
              <w:spacing w:after="0" w:line="133" w:lineRule="exact"/>
              <w:rPr>
                <w:sz w:val="20"/>
                <w:szCs w:val="20"/>
                <w:color w:val="auto"/>
              </w:rPr>
            </w:pPr>
            <w:r>
              <w:rPr>
                <w:rFonts w:ascii="Arial" w:cs="Arial" w:eastAsia="Arial" w:hAnsi="Arial"/>
                <w:sz w:val="13"/>
                <w:szCs w:val="13"/>
                <w:b w:val="1"/>
                <w:bCs w:val="1"/>
                <w:color w:val="auto"/>
              </w:rPr>
              <w:t>one day or more</w:t>
            </w: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7"/>
              </w:rPr>
              <w:t>Total past due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but not internal</w:t>
            </w:r>
          </w:p>
        </w:tc>
        <w:tc>
          <w:tcPr>
            <w:tcW w:w="700" w:type="dxa"/>
            <w:vAlign w:val="bottom"/>
            <w:gridSpan w:val="3"/>
          </w:tcPr>
          <w:p>
            <w:pPr>
              <w:ind w:left="60"/>
              <w:spacing w:after="0" w:line="133" w:lineRule="exact"/>
              <w:rPr>
                <w:sz w:val="20"/>
                <w:szCs w:val="20"/>
                <w:color w:val="auto"/>
              </w:rPr>
            </w:pPr>
            <w:r>
              <w:rPr>
                <w:rFonts w:ascii="Arial" w:cs="Arial" w:eastAsia="Arial" w:hAnsi="Arial"/>
                <w:sz w:val="13"/>
                <w:szCs w:val="13"/>
                <w:b w:val="1"/>
                <w:bCs w:val="1"/>
                <w:color w:val="auto"/>
              </w:rPr>
              <w:t>overdue</w:t>
            </w: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Total</w:t>
            </w:r>
          </w:p>
        </w:tc>
        <w:tc>
          <w:tcPr>
            <w:tcW w:w="920" w:type="dxa"/>
            <w:vAlign w:val="bottom"/>
            <w:gridSpan w:val="3"/>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240" w:type="dxa"/>
            <w:vAlign w:val="bottom"/>
            <w:gridSpan w:val="3"/>
          </w:tcPr>
          <w:p>
            <w:pPr>
              <w:ind w:left="80"/>
              <w:spacing w:after="0" w:line="133" w:lineRule="exact"/>
              <w:rPr>
                <w:sz w:val="20"/>
                <w:szCs w:val="20"/>
                <w:color w:val="auto"/>
              </w:rPr>
            </w:pPr>
            <w:r>
              <w:rPr>
                <w:rFonts w:ascii="Arial" w:cs="Arial" w:eastAsia="Arial" w:hAnsi="Arial"/>
                <w:sz w:val="13"/>
                <w:szCs w:val="13"/>
                <w:b w:val="1"/>
                <w:bCs w:val="1"/>
                <w:color w:val="auto"/>
              </w:rPr>
              <w:t>but not internal</w:t>
            </w:r>
          </w:p>
        </w:tc>
        <w:tc>
          <w:tcPr>
            <w:tcW w:w="6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overdue</w:t>
            </w:r>
          </w:p>
        </w:tc>
        <w:tc>
          <w:tcPr>
            <w:tcW w:w="8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Total</w:t>
            </w: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880" w:type="dxa"/>
            <w:vAlign w:val="bottom"/>
            <w:gridSpan w:val="3"/>
          </w:tcPr>
          <w:p>
            <w:pPr>
              <w:ind w:left="60"/>
              <w:spacing w:after="0"/>
              <w:rPr>
                <w:sz w:val="20"/>
                <w:szCs w:val="20"/>
                <w:color w:val="auto"/>
              </w:rPr>
            </w:pPr>
            <w:r>
              <w:rPr>
                <w:rFonts w:ascii="Arial" w:cs="Arial" w:eastAsia="Arial" w:hAnsi="Arial"/>
                <w:sz w:val="13"/>
                <w:szCs w:val="13"/>
                <w:b w:val="1"/>
                <w:bCs w:val="1"/>
                <w:color w:val="auto"/>
              </w:rPr>
              <w:t>impaired</w:t>
            </w:r>
          </w:p>
        </w:tc>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overdue loans</w:t>
            </w:r>
          </w:p>
        </w:tc>
        <w:tc>
          <w:tcPr>
            <w:tcW w:w="700" w:type="dxa"/>
            <w:vAlign w:val="bottom"/>
            <w:gridSpan w:val="3"/>
          </w:tcPr>
          <w:p>
            <w:pPr>
              <w:ind w:left="60"/>
              <w:spacing w:after="0"/>
              <w:rPr>
                <w:sz w:val="20"/>
                <w:szCs w:val="20"/>
                <w:color w:val="auto"/>
              </w:rPr>
            </w:pPr>
            <w:r>
              <w:rPr>
                <w:rFonts w:ascii="Arial" w:cs="Arial" w:eastAsia="Arial" w:hAnsi="Arial"/>
                <w:sz w:val="13"/>
                <w:szCs w:val="13"/>
                <w:b w:val="1"/>
                <w:bCs w:val="1"/>
                <w:color w:val="auto"/>
              </w:rPr>
              <w:t>loans</w:t>
            </w:r>
          </w:p>
        </w:tc>
        <w:tc>
          <w:tcPr>
            <w:tcW w:w="780" w:type="dxa"/>
            <w:vAlign w:val="bottom"/>
            <w:gridSpan w:val="3"/>
            <w:vMerge w:val="continue"/>
          </w:tcPr>
          <w:p>
            <w:pPr>
              <w:spacing w:after="0"/>
              <w:rPr>
                <w:sz w:val="13"/>
                <w:szCs w:val="13"/>
                <w:color w:val="auto"/>
              </w:rPr>
            </w:pPr>
          </w:p>
        </w:tc>
        <w:tc>
          <w:tcPr>
            <w:tcW w:w="920" w:type="dxa"/>
            <w:vAlign w:val="bottom"/>
            <w:gridSpan w:val="3"/>
          </w:tcPr>
          <w:p>
            <w:pPr>
              <w:ind w:left="60"/>
              <w:spacing w:after="0"/>
              <w:rPr>
                <w:sz w:val="20"/>
                <w:szCs w:val="20"/>
                <w:color w:val="auto"/>
              </w:rPr>
            </w:pPr>
            <w:r>
              <w:rPr>
                <w:rFonts w:ascii="Arial" w:cs="Arial" w:eastAsia="Arial" w:hAnsi="Arial"/>
                <w:sz w:val="13"/>
                <w:szCs w:val="13"/>
                <w:b w:val="1"/>
                <w:bCs w:val="1"/>
                <w:color w:val="auto"/>
              </w:rPr>
              <w:t>under IFRS 7</w:t>
            </w:r>
          </w:p>
        </w:tc>
        <w:tc>
          <w:tcPr>
            <w:tcW w:w="800" w:type="dxa"/>
            <w:vAlign w:val="bottom"/>
            <w:gridSpan w:val="3"/>
          </w:tcPr>
          <w:p>
            <w:pPr>
              <w:ind w:left="80"/>
              <w:spacing w:after="0"/>
              <w:rPr>
                <w:sz w:val="20"/>
                <w:szCs w:val="20"/>
                <w:color w:val="auto"/>
              </w:rPr>
            </w:pPr>
            <w:r>
              <w:rPr>
                <w:rFonts w:ascii="Arial" w:cs="Arial" w:eastAsia="Arial" w:hAnsi="Arial"/>
                <w:sz w:val="13"/>
                <w:szCs w:val="13"/>
                <w:b w:val="1"/>
                <w:bCs w:val="1"/>
                <w:color w:val="auto"/>
              </w:rPr>
              <w:t>loans</w:t>
            </w:r>
          </w:p>
        </w:tc>
        <w:tc>
          <w:tcPr>
            <w:tcW w:w="840" w:type="dxa"/>
            <w:vAlign w:val="bottom"/>
            <w:gridSpan w:val="3"/>
          </w:tcPr>
          <w:p>
            <w:pPr>
              <w:ind w:left="80"/>
              <w:spacing w:after="0"/>
              <w:rPr>
                <w:sz w:val="20"/>
                <w:szCs w:val="20"/>
                <w:color w:val="auto"/>
              </w:rPr>
            </w:pPr>
            <w:r>
              <w:rPr>
                <w:rFonts w:ascii="Arial" w:cs="Arial" w:eastAsia="Arial" w:hAnsi="Arial"/>
                <w:sz w:val="13"/>
                <w:szCs w:val="13"/>
                <w:b w:val="1"/>
                <w:bCs w:val="1"/>
                <w:color w:val="auto"/>
              </w:rPr>
              <w:t>impaired</w:t>
            </w:r>
          </w:p>
        </w:tc>
        <w:tc>
          <w:tcPr>
            <w:tcW w:w="1240" w:type="dxa"/>
            <w:vAlign w:val="bottom"/>
            <w:gridSpan w:val="3"/>
          </w:tcPr>
          <w:p>
            <w:pPr>
              <w:ind w:left="80"/>
              <w:spacing w:after="0"/>
              <w:rPr>
                <w:sz w:val="20"/>
                <w:szCs w:val="20"/>
                <w:color w:val="auto"/>
              </w:rPr>
            </w:pPr>
            <w:r>
              <w:rPr>
                <w:rFonts w:ascii="Arial" w:cs="Arial" w:eastAsia="Arial" w:hAnsi="Arial"/>
                <w:sz w:val="13"/>
                <w:szCs w:val="13"/>
                <w:b w:val="1"/>
                <w:bCs w:val="1"/>
                <w:color w:val="auto"/>
              </w:rPr>
              <w:t>overdue loans</w:t>
            </w: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860" w:type="dxa"/>
            <w:vAlign w:val="bottom"/>
            <w:gridSpan w:val="3"/>
            <w:vMerge w:val="continue"/>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under IFRS 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1060" w:type="dxa"/>
            <w:vAlign w:val="bottom"/>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Neither past due</w:t>
            </w: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nor impaired</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5"/>
              </w:rPr>
              <w:t>88,152,199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88,152,199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83,862,801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83,862,801</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3"/>
                <w:szCs w:val="13"/>
                <w:color w:val="auto"/>
              </w:rPr>
              <w:t>Normal</w:t>
            </w:r>
          </w:p>
        </w:tc>
        <w:tc>
          <w:tcPr>
            <w:tcW w:w="70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w w:val="95"/>
              </w:rPr>
              <w:t>86,434,694</w:t>
            </w:r>
          </w:p>
        </w:tc>
        <w:tc>
          <w:tcPr>
            <w:tcW w:w="76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80"/>
              <w:spacing w:after="0" w:line="133" w:lineRule="exact"/>
              <w:rPr>
                <w:sz w:val="20"/>
                <w:szCs w:val="20"/>
                <w:color w:val="auto"/>
              </w:rPr>
            </w:pPr>
            <w:r>
              <w:rPr>
                <w:rFonts w:ascii="Arial" w:cs="Arial" w:eastAsia="Arial" w:hAnsi="Arial"/>
                <w:sz w:val="13"/>
                <w:szCs w:val="13"/>
                <w:color w:val="auto"/>
              </w:rPr>
              <w:t>86,434,694</w:t>
            </w:r>
          </w:p>
        </w:tc>
        <w:tc>
          <w:tcPr>
            <w:tcW w:w="86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81,847,421</w:t>
            </w:r>
          </w:p>
        </w:tc>
        <w:tc>
          <w:tcPr>
            <w:tcW w:w="76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4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81,847,421</w:t>
            </w:r>
          </w:p>
        </w:tc>
        <w:tc>
          <w:tcPr>
            <w:tcW w:w="82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6"/>
              </w:rPr>
              <w:t>Potential problems</w:t>
            </w:r>
          </w:p>
        </w:tc>
        <w:tc>
          <w:tcPr>
            <w:tcW w:w="7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1,717,505</w:t>
            </w:r>
          </w:p>
        </w:tc>
        <w:tc>
          <w:tcPr>
            <w:tcW w:w="7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1,717,505</w:t>
            </w:r>
          </w:p>
        </w:tc>
        <w:tc>
          <w:tcPr>
            <w:tcW w:w="8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2,015,380</w:t>
            </w:r>
          </w:p>
        </w:tc>
        <w:tc>
          <w:tcPr>
            <w:tcW w:w="7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2,015,380</w:t>
            </w:r>
          </w:p>
        </w:tc>
        <w:tc>
          <w:tcPr>
            <w:tcW w:w="82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1060" w:type="dxa"/>
            <w:vAlign w:val="bottom"/>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Past due but not</w:t>
            </w: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1,675,051</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60,733</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1,735,784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1,735,784</w:t>
            </w:r>
          </w:p>
        </w:tc>
        <w:tc>
          <w:tcPr>
            <w:tcW w:w="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2,186,059</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82,172</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2,268,231</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2,268,231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3"/>
                <w:szCs w:val="13"/>
                <w:color w:val="auto"/>
              </w:rPr>
              <w:t>Normal</w:t>
            </w:r>
          </w:p>
        </w:tc>
        <w:tc>
          <w:tcPr>
            <w:tcW w:w="70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1,512,321</w:t>
            </w:r>
          </w:p>
        </w:tc>
        <w:tc>
          <w:tcPr>
            <w:tcW w:w="70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25,230</w:t>
            </w:r>
          </w:p>
        </w:tc>
        <w:tc>
          <w:tcPr>
            <w:tcW w:w="780" w:type="dxa"/>
            <w:vAlign w:val="bottom"/>
            <w:gridSpan w:val="3"/>
          </w:tcPr>
          <w:p>
            <w:pPr>
              <w:jc w:val="right"/>
              <w:ind w:right="80"/>
              <w:spacing w:after="0" w:line="133" w:lineRule="exact"/>
              <w:rPr>
                <w:sz w:val="20"/>
                <w:szCs w:val="20"/>
                <w:color w:val="auto"/>
              </w:rPr>
            </w:pPr>
            <w:r>
              <w:rPr>
                <w:rFonts w:ascii="Arial" w:cs="Arial" w:eastAsia="Arial" w:hAnsi="Arial"/>
                <w:sz w:val="13"/>
                <w:szCs w:val="13"/>
                <w:color w:val="auto"/>
              </w:rPr>
              <w:t>1,537,551</w:t>
            </w:r>
          </w:p>
        </w:tc>
        <w:tc>
          <w:tcPr>
            <w:tcW w:w="86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1,537,551</w:t>
            </w:r>
          </w:p>
        </w:tc>
        <w:tc>
          <w:tcPr>
            <w:tcW w:w="60" w:type="dxa"/>
            <w:vAlign w:val="bottom"/>
          </w:tcPr>
          <w:p>
            <w:pPr>
              <w:spacing w:after="0"/>
              <w:rPr>
                <w:sz w:val="11"/>
                <w:szCs w:val="11"/>
                <w:color w:val="auto"/>
              </w:rPr>
            </w:pPr>
          </w:p>
        </w:tc>
        <w:tc>
          <w:tcPr>
            <w:tcW w:w="80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0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1,982,230</w:t>
            </w:r>
          </w:p>
        </w:tc>
        <w:tc>
          <w:tcPr>
            <w:tcW w:w="140" w:type="dxa"/>
            <w:vAlign w:val="bottom"/>
          </w:tcPr>
          <w:p>
            <w:pPr>
              <w:spacing w:after="0"/>
              <w:rPr>
                <w:sz w:val="11"/>
                <w:szCs w:val="11"/>
                <w:color w:val="auto"/>
              </w:rPr>
            </w:pPr>
          </w:p>
        </w:tc>
        <w:tc>
          <w:tcPr>
            <w:tcW w:w="68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34,301</w:t>
            </w:r>
          </w:p>
        </w:tc>
        <w:tc>
          <w:tcPr>
            <w:tcW w:w="86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2,016,531</w:t>
            </w:r>
          </w:p>
        </w:tc>
        <w:tc>
          <w:tcPr>
            <w:tcW w:w="820" w:type="dxa"/>
            <w:vAlign w:val="bottom"/>
          </w:tcPr>
          <w:p>
            <w:pPr>
              <w:jc w:val="right"/>
              <w:spacing w:after="0" w:line="133" w:lineRule="exact"/>
              <w:rPr>
                <w:sz w:val="20"/>
                <w:szCs w:val="20"/>
                <w:color w:val="auto"/>
              </w:rPr>
            </w:pPr>
            <w:r>
              <w:rPr>
                <w:rFonts w:ascii="Arial" w:cs="Arial" w:eastAsia="Arial" w:hAnsi="Arial"/>
                <w:sz w:val="13"/>
                <w:szCs w:val="13"/>
                <w:color w:val="auto"/>
              </w:rPr>
              <w:t>2,016,531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6"/>
              </w:rPr>
              <w:t>Potential problems</w:t>
            </w:r>
          </w:p>
        </w:tc>
        <w:tc>
          <w:tcPr>
            <w:tcW w:w="7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162,730</w:t>
            </w:r>
          </w:p>
        </w:tc>
        <w:tc>
          <w:tcPr>
            <w:tcW w:w="7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35,503</w:t>
            </w:r>
          </w:p>
        </w:tc>
        <w:tc>
          <w:tcPr>
            <w:tcW w:w="78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198,233</w:t>
            </w:r>
          </w:p>
        </w:tc>
        <w:tc>
          <w:tcPr>
            <w:tcW w:w="92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198,233</w:t>
            </w:r>
          </w:p>
        </w:tc>
        <w:tc>
          <w:tcPr>
            <w:tcW w:w="8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203,829</w:t>
            </w:r>
          </w:p>
        </w:tc>
        <w:tc>
          <w:tcPr>
            <w:tcW w:w="6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47,871</w:t>
            </w: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251,700</w:t>
            </w:r>
          </w:p>
        </w:tc>
        <w:tc>
          <w:tcPr>
            <w:tcW w:w="82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251,700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Impaired debt</w:t>
            </w:r>
          </w:p>
        </w:tc>
        <w:tc>
          <w:tcPr>
            <w:tcW w:w="7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679,652</w:t>
            </w:r>
          </w:p>
        </w:tc>
        <w:tc>
          <w:tcPr>
            <w:tcW w:w="108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972,076</w:t>
            </w:r>
          </w:p>
        </w:tc>
        <w:tc>
          <w:tcPr>
            <w:tcW w:w="7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2,559,678</w:t>
            </w:r>
          </w:p>
        </w:tc>
        <w:tc>
          <w:tcPr>
            <w:tcW w:w="78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4,211,406</w:t>
            </w:r>
          </w:p>
        </w:tc>
        <w:tc>
          <w:tcPr>
            <w:tcW w:w="8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3,531,754</w:t>
            </w: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801,236</w:t>
            </w:r>
          </w:p>
        </w:tc>
        <w:tc>
          <w:tcPr>
            <w:tcW w:w="124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614,889</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2,229,071</w:t>
            </w:r>
          </w:p>
        </w:tc>
        <w:tc>
          <w:tcPr>
            <w:tcW w:w="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3,645,196</w:t>
            </w:r>
          </w:p>
        </w:tc>
        <w:tc>
          <w:tcPr>
            <w:tcW w:w="82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2,843,860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3"/>
                <w:szCs w:val="13"/>
                <w:color w:val="auto"/>
              </w:rPr>
              <w:t>Substandard</w:t>
            </w:r>
          </w:p>
        </w:tc>
        <w:tc>
          <w:tcPr>
            <w:tcW w:w="70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20"/>
              <w:spacing w:after="0" w:line="133" w:lineRule="exact"/>
              <w:rPr>
                <w:sz w:val="20"/>
                <w:szCs w:val="20"/>
                <w:color w:val="auto"/>
              </w:rPr>
            </w:pPr>
            <w:r>
              <w:rPr>
                <w:rFonts w:ascii="Arial" w:cs="Arial" w:eastAsia="Arial" w:hAnsi="Arial"/>
                <w:sz w:val="13"/>
                <w:szCs w:val="13"/>
                <w:color w:val="auto"/>
              </w:rPr>
              <w:t>349,529</w:t>
            </w:r>
          </w:p>
        </w:tc>
        <w:tc>
          <w:tcPr>
            <w:tcW w:w="108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495,719</w:t>
            </w:r>
          </w:p>
        </w:tc>
        <w:tc>
          <w:tcPr>
            <w:tcW w:w="70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214,067</w:t>
            </w:r>
          </w:p>
        </w:tc>
        <w:tc>
          <w:tcPr>
            <w:tcW w:w="780" w:type="dxa"/>
            <w:vAlign w:val="bottom"/>
            <w:gridSpan w:val="3"/>
          </w:tcPr>
          <w:p>
            <w:pPr>
              <w:jc w:val="right"/>
              <w:ind w:right="80"/>
              <w:spacing w:after="0" w:line="133" w:lineRule="exact"/>
              <w:rPr>
                <w:sz w:val="20"/>
                <w:szCs w:val="20"/>
                <w:color w:val="auto"/>
              </w:rPr>
            </w:pPr>
            <w:r>
              <w:rPr>
                <w:rFonts w:ascii="Arial" w:cs="Arial" w:eastAsia="Arial" w:hAnsi="Arial"/>
                <w:sz w:val="13"/>
                <w:szCs w:val="13"/>
                <w:color w:val="auto"/>
              </w:rPr>
              <w:t>1,059,315</w:t>
            </w:r>
          </w:p>
        </w:tc>
        <w:tc>
          <w:tcPr>
            <w:tcW w:w="92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709,786</w:t>
            </w:r>
          </w:p>
        </w:tc>
        <w:tc>
          <w:tcPr>
            <w:tcW w:w="80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80"/>
              <w:spacing w:after="0" w:line="133" w:lineRule="exact"/>
              <w:rPr>
                <w:sz w:val="20"/>
                <w:szCs w:val="20"/>
                <w:color w:val="auto"/>
              </w:rPr>
            </w:pPr>
            <w:r>
              <w:rPr>
                <w:rFonts w:ascii="Arial" w:cs="Arial" w:eastAsia="Arial" w:hAnsi="Arial"/>
                <w:sz w:val="13"/>
                <w:szCs w:val="13"/>
                <w:color w:val="auto"/>
              </w:rPr>
              <w:t>306,060</w:t>
            </w:r>
          </w:p>
        </w:tc>
        <w:tc>
          <w:tcPr>
            <w:tcW w:w="124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344,975</w:t>
            </w:r>
          </w:p>
        </w:tc>
        <w:tc>
          <w:tcPr>
            <w:tcW w:w="68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215,729</w:t>
            </w:r>
          </w:p>
        </w:tc>
        <w:tc>
          <w:tcPr>
            <w:tcW w:w="86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866,764</w:t>
            </w:r>
          </w:p>
        </w:tc>
        <w:tc>
          <w:tcPr>
            <w:tcW w:w="820" w:type="dxa"/>
            <w:vAlign w:val="bottom"/>
          </w:tcPr>
          <w:p>
            <w:pPr>
              <w:jc w:val="right"/>
              <w:spacing w:after="0" w:line="133" w:lineRule="exact"/>
              <w:rPr>
                <w:sz w:val="20"/>
                <w:szCs w:val="20"/>
                <w:color w:val="auto"/>
              </w:rPr>
            </w:pPr>
            <w:r>
              <w:rPr>
                <w:rFonts w:ascii="Arial" w:cs="Arial" w:eastAsia="Arial" w:hAnsi="Arial"/>
                <w:sz w:val="13"/>
                <w:szCs w:val="13"/>
                <w:color w:val="auto"/>
              </w:rPr>
              <w:t>560,704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Doubtful</w:t>
            </w:r>
          </w:p>
        </w:tc>
        <w:tc>
          <w:tcPr>
            <w:tcW w:w="7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299,196</w:t>
            </w:r>
          </w:p>
        </w:tc>
        <w:tc>
          <w:tcPr>
            <w:tcW w:w="108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294,905</w:t>
            </w:r>
          </w:p>
        </w:tc>
        <w:tc>
          <w:tcPr>
            <w:tcW w:w="7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682,363</w:t>
            </w:r>
          </w:p>
        </w:tc>
        <w:tc>
          <w:tcPr>
            <w:tcW w:w="78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1,276,464</w:t>
            </w:r>
          </w:p>
        </w:tc>
        <w:tc>
          <w:tcPr>
            <w:tcW w:w="92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977,268</w:t>
            </w:r>
          </w:p>
        </w:tc>
        <w:tc>
          <w:tcPr>
            <w:tcW w:w="8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411,973</w:t>
            </w:r>
          </w:p>
        </w:tc>
        <w:tc>
          <w:tcPr>
            <w:tcW w:w="8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204,355</w:t>
            </w:r>
          </w:p>
        </w:tc>
        <w:tc>
          <w:tcPr>
            <w:tcW w:w="6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635,992</w:t>
            </w: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1,252,320</w:t>
            </w:r>
          </w:p>
        </w:tc>
        <w:tc>
          <w:tcPr>
            <w:tcW w:w="82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840,347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spacing w:after="0" w:line="145" w:lineRule="exact"/>
              <w:rPr>
                <w:sz w:val="20"/>
                <w:szCs w:val="20"/>
                <w:color w:val="auto"/>
              </w:rPr>
            </w:pPr>
            <w:r>
              <w:rPr>
                <w:rFonts w:ascii="Arial" w:cs="Arial" w:eastAsia="Arial" w:hAnsi="Arial"/>
                <w:sz w:val="13"/>
                <w:szCs w:val="13"/>
                <w:color w:val="auto"/>
              </w:rPr>
              <w:t>Loss</w:t>
            </w:r>
          </w:p>
        </w:tc>
        <w:tc>
          <w:tcPr>
            <w:tcW w:w="7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30,927</w:t>
            </w:r>
          </w:p>
        </w:tc>
        <w:tc>
          <w:tcPr>
            <w:tcW w:w="10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181,452</w:t>
            </w:r>
          </w:p>
        </w:tc>
        <w:tc>
          <w:tcPr>
            <w:tcW w:w="70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1,663,248</w:t>
            </w:r>
          </w:p>
        </w:tc>
        <w:tc>
          <w:tcPr>
            <w:tcW w:w="7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1,875,627</w:t>
            </w:r>
          </w:p>
        </w:tc>
        <w:tc>
          <w:tcPr>
            <w:tcW w:w="8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1,844,700</w:t>
            </w:r>
          </w:p>
        </w:tc>
        <w:tc>
          <w:tcPr>
            <w:tcW w:w="60" w:type="dxa"/>
            <w:vAlign w:val="bottom"/>
          </w:tcPr>
          <w:p>
            <w:pPr>
              <w:spacing w:after="0"/>
              <w:rPr>
                <w:sz w:val="12"/>
                <w:szCs w:val="12"/>
                <w:color w:val="auto"/>
              </w:rPr>
            </w:pPr>
          </w:p>
        </w:tc>
        <w:tc>
          <w:tcPr>
            <w:tcW w:w="80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83,203</w:t>
            </w:r>
          </w:p>
        </w:tc>
        <w:tc>
          <w:tcPr>
            <w:tcW w:w="1240" w:type="dxa"/>
            <w:vAlign w:val="bottom"/>
            <w:gridSpan w:val="3"/>
          </w:tcPr>
          <w:p>
            <w:pPr>
              <w:jc w:val="right"/>
              <w:ind w:right="140"/>
              <w:spacing w:after="0" w:line="145" w:lineRule="exact"/>
              <w:rPr>
                <w:sz w:val="20"/>
                <w:szCs w:val="20"/>
                <w:color w:val="auto"/>
              </w:rPr>
            </w:pPr>
            <w:r>
              <w:rPr>
                <w:rFonts w:ascii="Arial" w:cs="Arial" w:eastAsia="Arial" w:hAnsi="Arial"/>
                <w:sz w:val="13"/>
                <w:szCs w:val="13"/>
                <w:color w:val="auto"/>
              </w:rPr>
              <w:t>65,559</w:t>
            </w:r>
          </w:p>
        </w:tc>
        <w:tc>
          <w:tcPr>
            <w:tcW w:w="600" w:type="dxa"/>
            <w:vAlign w:val="bottom"/>
          </w:tcPr>
          <w:p>
            <w:pPr>
              <w:jc w:val="right"/>
              <w:spacing w:after="0" w:line="145" w:lineRule="exact"/>
              <w:rPr>
                <w:sz w:val="20"/>
                <w:szCs w:val="20"/>
                <w:color w:val="auto"/>
              </w:rPr>
            </w:pPr>
            <w:r>
              <w:rPr>
                <w:rFonts w:ascii="Arial" w:cs="Arial" w:eastAsia="Arial" w:hAnsi="Arial"/>
                <w:sz w:val="13"/>
                <w:szCs w:val="13"/>
                <w:color w:val="auto"/>
              </w:rPr>
              <w:t>1,377,350</w:t>
            </w:r>
          </w:p>
        </w:tc>
        <w:tc>
          <w:tcPr>
            <w:tcW w:w="80" w:type="dxa"/>
            <w:vAlign w:val="bottom"/>
          </w:tcPr>
          <w:p>
            <w:pPr>
              <w:spacing w:after="0"/>
              <w:rPr>
                <w:sz w:val="12"/>
                <w:szCs w:val="12"/>
                <w:color w:val="auto"/>
              </w:rPr>
            </w:pPr>
          </w:p>
        </w:tc>
        <w:tc>
          <w:tcPr>
            <w:tcW w:w="860" w:type="dxa"/>
            <w:vAlign w:val="bottom"/>
            <w:gridSpan w:val="3"/>
          </w:tcPr>
          <w:p>
            <w:pPr>
              <w:jc w:val="right"/>
              <w:ind w:right="140"/>
              <w:spacing w:after="0" w:line="145" w:lineRule="exact"/>
              <w:rPr>
                <w:sz w:val="20"/>
                <w:szCs w:val="20"/>
                <w:color w:val="auto"/>
              </w:rPr>
            </w:pPr>
            <w:r>
              <w:rPr>
                <w:rFonts w:ascii="Arial" w:cs="Arial" w:eastAsia="Arial" w:hAnsi="Arial"/>
                <w:sz w:val="13"/>
                <w:szCs w:val="13"/>
                <w:color w:val="auto"/>
              </w:rPr>
              <w:t>1,526,112</w:t>
            </w:r>
          </w:p>
        </w:tc>
        <w:tc>
          <w:tcPr>
            <w:tcW w:w="820" w:type="dxa"/>
            <w:vAlign w:val="bottom"/>
          </w:tcPr>
          <w:p>
            <w:pPr>
              <w:jc w:val="right"/>
              <w:spacing w:after="0" w:line="145" w:lineRule="exact"/>
              <w:rPr>
                <w:sz w:val="20"/>
                <w:szCs w:val="20"/>
                <w:color w:val="auto"/>
              </w:rPr>
            </w:pPr>
            <w:r>
              <w:rPr>
                <w:rFonts w:ascii="Arial" w:cs="Arial" w:eastAsia="Arial" w:hAnsi="Arial"/>
                <w:sz w:val="13"/>
                <w:szCs w:val="13"/>
                <w:color w:val="auto"/>
              </w:rPr>
              <w:t>1,442,809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right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60" w:type="dxa"/>
            <w:vAlign w:val="bottom"/>
          </w:tcPr>
          <w:p>
            <w:pPr>
              <w:spacing w:after="0" w:line="145" w:lineRule="exact"/>
              <w:rPr>
                <w:sz w:val="20"/>
                <w:szCs w:val="20"/>
                <w:color w:val="auto"/>
              </w:rPr>
            </w:pPr>
            <w:r>
              <w:rPr>
                <w:rFonts w:ascii="Arial" w:cs="Arial" w:eastAsia="Arial" w:hAnsi="Arial"/>
                <w:sz w:val="13"/>
                <w:szCs w:val="13"/>
                <w:b w:val="1"/>
                <w:bCs w:val="1"/>
                <w:color w:val="auto"/>
              </w:rPr>
              <w:t>Total</w:t>
            </w:r>
          </w:p>
        </w:tc>
        <w:tc>
          <w:tcPr>
            <w:tcW w:w="7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w w:val="95"/>
              </w:rPr>
              <w:t>88,152,199</w:t>
            </w:r>
          </w:p>
        </w:tc>
        <w:tc>
          <w:tcPr>
            <w:tcW w:w="880" w:type="dxa"/>
            <w:vAlign w:val="bottom"/>
            <w:gridSpan w:val="3"/>
          </w:tcPr>
          <w:p>
            <w:pPr>
              <w:jc w:val="right"/>
              <w:ind w:right="120"/>
              <w:spacing w:after="0" w:line="145" w:lineRule="exact"/>
              <w:rPr>
                <w:sz w:val="20"/>
                <w:szCs w:val="20"/>
                <w:color w:val="auto"/>
              </w:rPr>
            </w:pPr>
            <w:r>
              <w:rPr>
                <w:rFonts w:ascii="Arial" w:cs="Arial" w:eastAsia="Arial" w:hAnsi="Arial"/>
                <w:sz w:val="13"/>
                <w:szCs w:val="13"/>
                <w:color w:val="auto"/>
              </w:rPr>
              <w:t>679,652</w:t>
            </w:r>
          </w:p>
        </w:tc>
        <w:tc>
          <w:tcPr>
            <w:tcW w:w="10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2,647,127</w:t>
            </w:r>
          </w:p>
        </w:tc>
        <w:tc>
          <w:tcPr>
            <w:tcW w:w="70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2,620,411</w:t>
            </w:r>
          </w:p>
        </w:tc>
        <w:tc>
          <w:tcPr>
            <w:tcW w:w="7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94,099,389</w:t>
            </w:r>
          </w:p>
        </w:tc>
        <w:tc>
          <w:tcPr>
            <w:tcW w:w="8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5,267,538</w:t>
            </w:r>
          </w:p>
        </w:tc>
        <w:tc>
          <w:tcPr>
            <w:tcW w:w="60" w:type="dxa"/>
            <w:vAlign w:val="bottom"/>
          </w:tcPr>
          <w:p>
            <w:pPr>
              <w:spacing w:after="0"/>
              <w:rPr>
                <w:sz w:val="12"/>
                <w:szCs w:val="12"/>
                <w:color w:val="auto"/>
              </w:rPr>
            </w:pPr>
          </w:p>
        </w:tc>
        <w:tc>
          <w:tcPr>
            <w:tcW w:w="80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83,862,801</w:t>
            </w:r>
          </w:p>
        </w:tc>
        <w:tc>
          <w:tcPr>
            <w:tcW w:w="84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801,236</w:t>
            </w:r>
          </w:p>
        </w:tc>
        <w:tc>
          <w:tcPr>
            <w:tcW w:w="11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2,800,948</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2,311,243</w:t>
            </w:r>
          </w:p>
        </w:tc>
        <w:tc>
          <w:tcPr>
            <w:tcW w:w="860" w:type="dxa"/>
            <w:vAlign w:val="bottom"/>
            <w:gridSpan w:val="3"/>
          </w:tcPr>
          <w:p>
            <w:pPr>
              <w:jc w:val="right"/>
              <w:ind w:right="140"/>
              <w:spacing w:after="0" w:line="145" w:lineRule="exact"/>
              <w:rPr>
                <w:sz w:val="20"/>
                <w:szCs w:val="20"/>
                <w:color w:val="auto"/>
              </w:rPr>
            </w:pPr>
            <w:r>
              <w:rPr>
                <w:rFonts w:ascii="Arial" w:cs="Arial" w:eastAsia="Arial" w:hAnsi="Arial"/>
                <w:sz w:val="13"/>
                <w:szCs w:val="13"/>
                <w:color w:val="auto"/>
              </w:rPr>
              <w:t>89,776,228</w:t>
            </w:r>
          </w:p>
        </w:tc>
        <w:tc>
          <w:tcPr>
            <w:tcW w:w="820" w:type="dxa"/>
            <w:vAlign w:val="bottom"/>
          </w:tcPr>
          <w:p>
            <w:pPr>
              <w:jc w:val="right"/>
              <w:spacing w:after="0" w:line="145" w:lineRule="exact"/>
              <w:rPr>
                <w:sz w:val="20"/>
                <w:szCs w:val="20"/>
                <w:color w:val="auto"/>
              </w:rPr>
            </w:pPr>
            <w:r>
              <w:rPr>
                <w:rFonts w:ascii="Arial" w:cs="Arial" w:eastAsia="Arial" w:hAnsi="Arial"/>
                <w:sz w:val="13"/>
                <w:szCs w:val="13"/>
                <w:color w:val="auto"/>
              </w:rPr>
              <w:t>5,112,091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classification of loans by type of banking and maturity is as follows:</w:t>
      </w:r>
    </w:p>
    <w:p>
      <w:pPr>
        <w:spacing w:after="0" w:line="207" w:lineRule="exact"/>
        <w:rPr>
          <w:sz w:val="20"/>
          <w:szCs w:val="20"/>
          <w:color w:val="auto"/>
        </w:rPr>
      </w:pPr>
    </w:p>
    <w:tbl>
      <w:tblPr>
        <w:tblLayout w:type="fixed"/>
        <w:tblInd w:w="3"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60" w:type="dxa"/>
            <w:vAlign w:val="bottom"/>
            <w:gridSpan w:val="5"/>
          </w:tcPr>
          <w:p>
            <w:pPr>
              <w:ind w:left="80"/>
              <w:spacing w:after="0"/>
              <w:rPr>
                <w:sz w:val="20"/>
                <w:szCs w:val="20"/>
                <w:color w:val="auto"/>
              </w:rPr>
            </w:pPr>
            <w:r>
              <w:rPr>
                <w:rFonts w:ascii="Arial" w:cs="Arial" w:eastAsia="Arial" w:hAnsi="Arial"/>
                <w:sz w:val="13"/>
                <w:szCs w:val="13"/>
                <w:b w:val="1"/>
                <w:bCs w:val="1"/>
                <w:color w:val="auto"/>
              </w:rPr>
              <w:t>As of Decembre 31, 2016</w:t>
            </w: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60" w:type="dxa"/>
            <w:vAlign w:val="bottom"/>
            <w:gridSpan w:val="5"/>
          </w:tcPr>
          <w:p>
            <w:pPr>
              <w:ind w:left="160"/>
              <w:spacing w:after="0"/>
              <w:rPr>
                <w:sz w:val="20"/>
                <w:szCs w:val="20"/>
                <w:color w:val="auto"/>
              </w:rPr>
            </w:pPr>
            <w:r>
              <w:rPr>
                <w:rFonts w:ascii="Arial" w:cs="Arial" w:eastAsia="Arial" w:hAnsi="Arial"/>
                <w:sz w:val="13"/>
                <w:szCs w:val="13"/>
                <w:b w:val="1"/>
                <w:bCs w:val="1"/>
                <w:color w:val="auto"/>
              </w:rPr>
              <w:t>As of Decembre 31, 2015</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gridSpan w:val="3"/>
          </w:tcPr>
          <w:p>
            <w:pPr>
              <w:ind w:left="60"/>
              <w:spacing w:after="0" w:line="105" w:lineRule="exact"/>
              <w:rPr>
                <w:sz w:val="20"/>
                <w:szCs w:val="20"/>
                <w:color w:val="auto"/>
              </w:rPr>
            </w:pPr>
            <w:r>
              <w:rPr>
                <w:rFonts w:ascii="Arial" w:cs="Arial" w:eastAsia="Arial" w:hAnsi="Arial"/>
                <w:sz w:val="12"/>
                <w:szCs w:val="12"/>
                <w:b w:val="1"/>
                <w:bCs w:val="1"/>
                <w:color w:val="auto"/>
              </w:rPr>
              <w:t>Loans with delay in</w:t>
            </w: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gridSpan w:val="2"/>
          </w:tcPr>
          <w:p>
            <w:pPr>
              <w:spacing w:after="0" w:line="105" w:lineRule="exact"/>
              <w:rPr>
                <w:sz w:val="20"/>
                <w:szCs w:val="20"/>
                <w:color w:val="auto"/>
              </w:rPr>
            </w:pPr>
            <w:r>
              <w:rPr>
                <w:rFonts w:ascii="Arial" w:cs="Arial" w:eastAsia="Arial" w:hAnsi="Arial"/>
                <w:sz w:val="12"/>
                <w:szCs w:val="12"/>
                <w:b w:val="1"/>
                <w:bCs w:val="1"/>
                <w:color w:val="auto"/>
              </w:rPr>
              <w:t>Loans with delay in</w:t>
            </w: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3"/>
                <w:szCs w:val="13"/>
                <w:b w:val="1"/>
                <w:bCs w:val="1"/>
                <w:color w:val="auto"/>
                <w:w w:val="94"/>
              </w:rPr>
              <w:t>payments of one day</w:t>
            </w:r>
          </w:p>
        </w:tc>
        <w:tc>
          <w:tcPr>
            <w:tcW w:w="7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Internal</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w w:val="92"/>
              </w:rPr>
              <w:t>payments of one day</w:t>
            </w:r>
          </w:p>
        </w:tc>
        <w:tc>
          <w:tcPr>
            <w:tcW w:w="8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Internal</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Current but</w:t>
            </w:r>
          </w:p>
        </w:tc>
        <w:tc>
          <w:tcPr>
            <w:tcW w:w="1300" w:type="dxa"/>
            <w:vAlign w:val="bottom"/>
            <w:gridSpan w:val="3"/>
          </w:tcPr>
          <w:p>
            <w:pPr>
              <w:ind w:left="60"/>
              <w:spacing w:after="0" w:line="133" w:lineRule="exact"/>
              <w:rPr>
                <w:sz w:val="20"/>
                <w:szCs w:val="20"/>
                <w:color w:val="auto"/>
              </w:rPr>
            </w:pPr>
            <w:r>
              <w:rPr>
                <w:rFonts w:ascii="Arial" w:cs="Arial" w:eastAsia="Arial" w:hAnsi="Arial"/>
                <w:sz w:val="13"/>
                <w:szCs w:val="13"/>
                <w:b w:val="1"/>
                <w:bCs w:val="1"/>
                <w:color w:val="auto"/>
              </w:rPr>
              <w:t>or more but not</w:t>
            </w:r>
          </w:p>
        </w:tc>
        <w:tc>
          <w:tcPr>
            <w:tcW w:w="7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Current but</w:t>
            </w:r>
          </w:p>
        </w:tc>
        <w:tc>
          <w:tcPr>
            <w:tcW w:w="12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or more but not</w:t>
            </w:r>
          </w:p>
        </w:tc>
        <w:tc>
          <w:tcPr>
            <w:tcW w:w="8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Current loans</w:t>
            </w:r>
          </w:p>
        </w:tc>
        <w:tc>
          <w:tcPr>
            <w:tcW w:w="760" w:type="dxa"/>
            <w:vAlign w:val="bottom"/>
            <w:gridSpan w:val="2"/>
            <w:vMerge w:val="continue"/>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3"/>
                <w:szCs w:val="13"/>
                <w:b w:val="1"/>
                <w:bCs w:val="1"/>
                <w:color w:val="auto"/>
              </w:rPr>
              <w:t>internal overdue</w:t>
            </w:r>
          </w:p>
        </w:tc>
        <w:tc>
          <w:tcPr>
            <w:tcW w:w="760" w:type="dxa"/>
            <w:vAlign w:val="bottom"/>
            <w:gridSpan w:val="3"/>
          </w:tcPr>
          <w:p>
            <w:pPr>
              <w:ind w:left="80"/>
              <w:spacing w:after="0" w:line="133" w:lineRule="exact"/>
              <w:rPr>
                <w:sz w:val="20"/>
                <w:szCs w:val="20"/>
                <w:color w:val="auto"/>
              </w:rPr>
            </w:pPr>
            <w:r>
              <w:rPr>
                <w:rFonts w:ascii="Arial" w:cs="Arial" w:eastAsia="Arial" w:hAnsi="Arial"/>
                <w:sz w:val="13"/>
                <w:szCs w:val="13"/>
                <w:b w:val="1"/>
                <w:bCs w:val="1"/>
                <w:color w:val="auto"/>
              </w:rPr>
              <w:t>overdue</w:t>
            </w:r>
          </w:p>
        </w:tc>
        <w:tc>
          <w:tcPr>
            <w:tcW w:w="7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10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Current loans</w:t>
            </w:r>
          </w:p>
        </w:tc>
        <w:tc>
          <w:tcPr>
            <w:tcW w:w="860" w:type="dxa"/>
            <w:vAlign w:val="bottom"/>
            <w:gridSpan w:val="2"/>
            <w:vMerge w:val="continue"/>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internal overdue</w:t>
            </w:r>
          </w:p>
        </w:tc>
        <w:tc>
          <w:tcPr>
            <w:tcW w:w="860" w:type="dxa"/>
            <w:vAlign w:val="bottom"/>
            <w:gridSpan w:val="3"/>
          </w:tcPr>
          <w:p>
            <w:pPr>
              <w:ind w:left="80"/>
              <w:spacing w:after="0" w:line="133" w:lineRule="exact"/>
              <w:rPr>
                <w:sz w:val="20"/>
                <w:szCs w:val="20"/>
                <w:color w:val="auto"/>
              </w:rPr>
            </w:pPr>
            <w:r>
              <w:rPr>
                <w:rFonts w:ascii="Arial" w:cs="Arial" w:eastAsia="Arial" w:hAnsi="Arial"/>
                <w:sz w:val="13"/>
                <w:szCs w:val="13"/>
                <w:b w:val="1"/>
                <w:bCs w:val="1"/>
                <w:color w:val="auto"/>
              </w:rPr>
              <w:t>overdue</w:t>
            </w:r>
          </w:p>
        </w:tc>
        <w:tc>
          <w:tcPr>
            <w:tcW w:w="7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impaired</w:t>
            </w: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loans</w:t>
            </w:r>
          </w:p>
        </w:tc>
        <w:tc>
          <w:tcPr>
            <w:tcW w:w="760" w:type="dxa"/>
            <w:vAlign w:val="bottom"/>
            <w:gridSpan w:val="3"/>
          </w:tcPr>
          <w:p>
            <w:pPr>
              <w:ind w:left="80"/>
              <w:spacing w:after="0"/>
              <w:rPr>
                <w:sz w:val="20"/>
                <w:szCs w:val="20"/>
                <w:color w:val="auto"/>
              </w:rPr>
            </w:pPr>
            <w:r>
              <w:rPr>
                <w:rFonts w:ascii="Arial" w:cs="Arial" w:eastAsia="Arial" w:hAnsi="Arial"/>
                <w:sz w:val="13"/>
                <w:szCs w:val="13"/>
                <w:b w:val="1"/>
                <w:bCs w:val="1"/>
                <w:color w:val="auto"/>
              </w:rPr>
              <w:t>loans</w:t>
            </w:r>
          </w:p>
        </w:tc>
        <w:tc>
          <w:tcPr>
            <w:tcW w:w="760" w:type="dxa"/>
            <w:vAlign w:val="bottom"/>
            <w:gridSpan w:val="2"/>
            <w:vMerge w:val="continue"/>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impaired</w:t>
            </w: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loans</w:t>
            </w:r>
          </w:p>
        </w:tc>
        <w:tc>
          <w:tcPr>
            <w:tcW w:w="860" w:type="dxa"/>
            <w:vAlign w:val="bottom"/>
            <w:gridSpan w:val="3"/>
          </w:tcPr>
          <w:p>
            <w:pPr>
              <w:ind w:left="80"/>
              <w:spacing w:after="0"/>
              <w:rPr>
                <w:sz w:val="20"/>
                <w:szCs w:val="20"/>
                <w:color w:val="auto"/>
              </w:rPr>
            </w:pPr>
            <w:r>
              <w:rPr>
                <w:rFonts w:ascii="Arial" w:cs="Arial" w:eastAsia="Arial" w:hAnsi="Arial"/>
                <w:sz w:val="13"/>
                <w:szCs w:val="13"/>
                <w:b w:val="1"/>
                <w:bCs w:val="1"/>
                <w:color w:val="auto"/>
              </w:rPr>
              <w:t>loans</w:t>
            </w:r>
          </w:p>
        </w:tc>
        <w:tc>
          <w:tcPr>
            <w:tcW w:w="7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3"/>
                <w:szCs w:val="13"/>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3"/>
                <w:szCs w:val="13"/>
                <w:color w:val="auto"/>
              </w:rPr>
            </w:pPr>
          </w:p>
        </w:tc>
        <w:tc>
          <w:tcPr>
            <w:tcW w:w="66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20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Commercial loans</w:t>
            </w:r>
          </w:p>
        </w:tc>
        <w:tc>
          <w:tcPr>
            <w:tcW w:w="1000" w:type="dxa"/>
            <w:vAlign w:val="bottom"/>
            <w:gridSpan w:val="3"/>
            <w:shd w:val="clear" w:color="auto" w:fill="CCEEFF"/>
          </w:tcPr>
          <w:p>
            <w:pPr>
              <w:ind w:left="280"/>
              <w:spacing w:after="0" w:line="133" w:lineRule="exact"/>
              <w:rPr>
                <w:sz w:val="20"/>
                <w:szCs w:val="20"/>
                <w:color w:val="auto"/>
              </w:rPr>
            </w:pPr>
            <w:r>
              <w:rPr>
                <w:rFonts w:ascii="Arial" w:cs="Arial" w:eastAsia="Arial" w:hAnsi="Arial"/>
                <w:sz w:val="13"/>
                <w:szCs w:val="13"/>
                <w:color w:val="auto"/>
              </w:rPr>
              <w:t>51,108,503</w:t>
            </w:r>
          </w:p>
        </w:tc>
        <w:tc>
          <w:tcPr>
            <w:tcW w:w="7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230,366</w:t>
            </w:r>
          </w:p>
        </w:tc>
        <w:tc>
          <w:tcPr>
            <w:tcW w:w="130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1,317,893</w:t>
            </w:r>
          </w:p>
        </w:tc>
        <w:tc>
          <w:tcPr>
            <w:tcW w:w="6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1,477,109</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54,133,871</w:t>
            </w:r>
          </w:p>
        </w:tc>
        <w:tc>
          <w:tcPr>
            <w:tcW w:w="1100" w:type="dxa"/>
            <w:vAlign w:val="bottom"/>
            <w:gridSpan w:val="3"/>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50,851,660</w:t>
            </w:r>
          </w:p>
        </w:tc>
        <w:tc>
          <w:tcPr>
            <w:tcW w:w="86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355,639</w:t>
            </w:r>
          </w:p>
        </w:tc>
        <w:tc>
          <w:tcPr>
            <w:tcW w:w="11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1,352,772</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1,292,136</w:t>
            </w:r>
          </w:p>
        </w:tc>
        <w:tc>
          <w:tcPr>
            <w:tcW w:w="1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w w:val="98"/>
              </w:rPr>
              <w:t>53,852,207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40" w:type="dxa"/>
            <w:vAlign w:val="bottom"/>
          </w:tcPr>
          <w:p>
            <w:pPr>
              <w:spacing w:after="0" w:line="133" w:lineRule="exact"/>
              <w:rPr>
                <w:sz w:val="20"/>
                <w:szCs w:val="20"/>
                <w:color w:val="auto"/>
              </w:rPr>
            </w:pPr>
            <w:r>
              <w:rPr>
                <w:rFonts w:ascii="Arial" w:cs="Arial" w:eastAsia="Arial" w:hAnsi="Arial"/>
                <w:sz w:val="13"/>
                <w:szCs w:val="13"/>
                <w:color w:val="auto"/>
              </w:rPr>
              <w:t>Residential mortgage loans</w:t>
            </w:r>
          </w:p>
        </w:tc>
        <w:tc>
          <w:tcPr>
            <w:tcW w:w="1000" w:type="dxa"/>
            <w:vAlign w:val="bottom"/>
            <w:gridSpan w:val="3"/>
          </w:tcPr>
          <w:p>
            <w:pPr>
              <w:ind w:left="280"/>
              <w:spacing w:after="0" w:line="133" w:lineRule="exact"/>
              <w:rPr>
                <w:sz w:val="20"/>
                <w:szCs w:val="20"/>
                <w:color w:val="auto"/>
              </w:rPr>
            </w:pPr>
            <w:r>
              <w:rPr>
                <w:rFonts w:ascii="Arial" w:cs="Arial" w:eastAsia="Arial" w:hAnsi="Arial"/>
                <w:sz w:val="13"/>
                <w:szCs w:val="13"/>
                <w:color w:val="auto"/>
              </w:rPr>
              <w:t>13,266,248</w:t>
            </w:r>
          </w:p>
        </w:tc>
        <w:tc>
          <w:tcPr>
            <w:tcW w:w="76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193,819</w:t>
            </w:r>
          </w:p>
        </w:tc>
        <w:tc>
          <w:tcPr>
            <w:tcW w:w="1300" w:type="dxa"/>
            <w:vAlign w:val="bottom"/>
            <w:gridSpan w:val="3"/>
          </w:tcPr>
          <w:p>
            <w:pPr>
              <w:jc w:val="right"/>
              <w:ind w:right="80"/>
              <w:spacing w:after="0" w:line="133" w:lineRule="exact"/>
              <w:rPr>
                <w:sz w:val="20"/>
                <w:szCs w:val="20"/>
                <w:color w:val="auto"/>
              </w:rPr>
            </w:pPr>
            <w:r>
              <w:rPr>
                <w:rFonts w:ascii="Arial" w:cs="Arial" w:eastAsia="Arial" w:hAnsi="Arial"/>
                <w:sz w:val="13"/>
                <w:szCs w:val="13"/>
                <w:color w:val="auto"/>
              </w:rPr>
              <w:t>626,045</w:t>
            </w:r>
          </w:p>
        </w:tc>
        <w:tc>
          <w:tcPr>
            <w:tcW w:w="760" w:type="dxa"/>
            <w:vAlign w:val="bottom"/>
            <w:gridSpan w:val="3"/>
          </w:tcPr>
          <w:p>
            <w:pPr>
              <w:jc w:val="right"/>
              <w:ind w:right="80"/>
              <w:spacing w:after="0" w:line="133" w:lineRule="exact"/>
              <w:rPr>
                <w:sz w:val="20"/>
                <w:szCs w:val="20"/>
                <w:color w:val="auto"/>
              </w:rPr>
            </w:pPr>
            <w:r>
              <w:rPr>
                <w:rFonts w:ascii="Arial" w:cs="Arial" w:eastAsia="Arial" w:hAnsi="Arial"/>
                <w:sz w:val="13"/>
                <w:szCs w:val="13"/>
                <w:color w:val="auto"/>
              </w:rPr>
              <w:t>409,342</w:t>
            </w:r>
          </w:p>
        </w:tc>
        <w:tc>
          <w:tcPr>
            <w:tcW w:w="76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14,495,454</w:t>
            </w:r>
          </w:p>
        </w:tc>
        <w:tc>
          <w:tcPr>
            <w:tcW w:w="1100" w:type="dxa"/>
            <w:vAlign w:val="bottom"/>
            <w:gridSpan w:val="3"/>
          </w:tcPr>
          <w:p>
            <w:pPr>
              <w:jc w:val="right"/>
              <w:ind w:right="180"/>
              <w:spacing w:after="0" w:line="133" w:lineRule="exact"/>
              <w:rPr>
                <w:sz w:val="20"/>
                <w:szCs w:val="20"/>
                <w:color w:val="auto"/>
              </w:rPr>
            </w:pPr>
            <w:r>
              <w:rPr>
                <w:rFonts w:ascii="Arial" w:cs="Arial" w:eastAsia="Arial" w:hAnsi="Arial"/>
                <w:sz w:val="13"/>
                <w:szCs w:val="13"/>
                <w:color w:val="auto"/>
              </w:rPr>
              <w:t>12,040,511</w:t>
            </w:r>
          </w:p>
        </w:tc>
        <w:tc>
          <w:tcPr>
            <w:tcW w:w="86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191,184</w:t>
            </w:r>
          </w:p>
        </w:tc>
        <w:tc>
          <w:tcPr>
            <w:tcW w:w="122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716,919</w:t>
            </w:r>
          </w:p>
        </w:tc>
        <w:tc>
          <w:tcPr>
            <w:tcW w:w="860" w:type="dxa"/>
            <w:vAlign w:val="bottom"/>
            <w:gridSpan w:val="3"/>
          </w:tcPr>
          <w:p>
            <w:pPr>
              <w:jc w:val="right"/>
              <w:ind w:right="160"/>
              <w:spacing w:after="0" w:line="133" w:lineRule="exact"/>
              <w:rPr>
                <w:sz w:val="20"/>
                <w:szCs w:val="20"/>
                <w:color w:val="auto"/>
              </w:rPr>
            </w:pPr>
            <w:r>
              <w:rPr>
                <w:rFonts w:ascii="Arial" w:cs="Arial" w:eastAsia="Arial" w:hAnsi="Arial"/>
                <w:sz w:val="13"/>
                <w:szCs w:val="13"/>
                <w:color w:val="auto"/>
              </w:rPr>
              <w:t>310,378</w:t>
            </w:r>
          </w:p>
        </w:tc>
        <w:tc>
          <w:tcPr>
            <w:tcW w:w="760" w:type="dxa"/>
            <w:vAlign w:val="bottom"/>
            <w:gridSpan w:val="3"/>
          </w:tcPr>
          <w:p>
            <w:pPr>
              <w:jc w:val="right"/>
              <w:ind w:right="100"/>
              <w:spacing w:after="0" w:line="133" w:lineRule="exact"/>
              <w:rPr>
                <w:sz w:val="20"/>
                <w:szCs w:val="20"/>
                <w:color w:val="auto"/>
              </w:rPr>
            </w:pPr>
            <w:r>
              <w:rPr>
                <w:rFonts w:ascii="Arial" w:cs="Arial" w:eastAsia="Arial" w:hAnsi="Arial"/>
                <w:sz w:val="13"/>
                <w:szCs w:val="13"/>
                <w:color w:val="auto"/>
                <w:w w:val="98"/>
              </w:rPr>
              <w:t>13,258,992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2"/>
              </w:rPr>
              <w:t>Micro-business loans y microempresa</w:t>
            </w:r>
          </w:p>
        </w:tc>
        <w:tc>
          <w:tcPr>
            <w:tcW w:w="1000" w:type="dxa"/>
            <w:vAlign w:val="bottom"/>
            <w:gridSpan w:val="3"/>
            <w:shd w:val="clear" w:color="auto" w:fill="CCEEFF"/>
          </w:tcPr>
          <w:p>
            <w:pPr>
              <w:ind w:left="280"/>
              <w:spacing w:after="0" w:line="133" w:lineRule="exact"/>
              <w:rPr>
                <w:sz w:val="20"/>
                <w:szCs w:val="20"/>
                <w:color w:val="auto"/>
              </w:rPr>
            </w:pPr>
            <w:r>
              <w:rPr>
                <w:rFonts w:ascii="Arial" w:cs="Arial" w:eastAsia="Arial" w:hAnsi="Arial"/>
                <w:sz w:val="13"/>
                <w:szCs w:val="13"/>
                <w:color w:val="auto"/>
              </w:rPr>
              <w:t>12,451,403</w:t>
            </w:r>
          </w:p>
        </w:tc>
        <w:tc>
          <w:tcPr>
            <w:tcW w:w="7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18,072</w:t>
            </w:r>
          </w:p>
        </w:tc>
        <w:tc>
          <w:tcPr>
            <w:tcW w:w="130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180,871</w:t>
            </w:r>
          </w:p>
        </w:tc>
        <w:tc>
          <w:tcPr>
            <w:tcW w:w="76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301,282</w:t>
            </w:r>
          </w:p>
        </w:tc>
        <w:tc>
          <w:tcPr>
            <w:tcW w:w="7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12,951,628</w:t>
            </w:r>
          </w:p>
        </w:tc>
        <w:tc>
          <w:tcPr>
            <w:tcW w:w="1100" w:type="dxa"/>
            <w:vAlign w:val="bottom"/>
            <w:gridSpan w:val="3"/>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8,317,511</w:t>
            </w:r>
          </w:p>
        </w:tc>
        <w:tc>
          <w:tcPr>
            <w:tcW w:w="86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14,383</w:t>
            </w:r>
          </w:p>
        </w:tc>
        <w:tc>
          <w:tcPr>
            <w:tcW w:w="12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122,814</w:t>
            </w:r>
          </w:p>
        </w:tc>
        <w:tc>
          <w:tcPr>
            <w:tcW w:w="86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331,610</w:t>
            </w:r>
          </w:p>
        </w:tc>
        <w:tc>
          <w:tcPr>
            <w:tcW w:w="760" w:type="dxa"/>
            <w:vAlign w:val="bottom"/>
            <w:gridSpan w:val="3"/>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8,786,318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40" w:type="dxa"/>
            <w:vAlign w:val="bottom"/>
          </w:tcPr>
          <w:p>
            <w:pPr>
              <w:spacing w:after="0" w:line="145" w:lineRule="exact"/>
              <w:rPr>
                <w:sz w:val="20"/>
                <w:szCs w:val="20"/>
                <w:color w:val="auto"/>
              </w:rPr>
            </w:pPr>
            <w:r>
              <w:rPr>
                <w:rFonts w:ascii="Arial" w:cs="Arial" w:eastAsia="Arial" w:hAnsi="Arial"/>
                <w:sz w:val="13"/>
                <w:szCs w:val="13"/>
                <w:color w:val="auto"/>
              </w:rPr>
              <w:t>Consumer loans</w:t>
            </w:r>
          </w:p>
        </w:tc>
        <w:tc>
          <w:tcPr>
            <w:tcW w:w="1000" w:type="dxa"/>
            <w:vAlign w:val="bottom"/>
            <w:gridSpan w:val="3"/>
          </w:tcPr>
          <w:p>
            <w:pPr>
              <w:ind w:left="280"/>
              <w:spacing w:after="0" w:line="145" w:lineRule="exact"/>
              <w:rPr>
                <w:sz w:val="20"/>
                <w:szCs w:val="20"/>
                <w:color w:val="auto"/>
              </w:rPr>
            </w:pPr>
            <w:r>
              <w:rPr>
                <w:rFonts w:ascii="Arial" w:cs="Arial" w:eastAsia="Arial" w:hAnsi="Arial"/>
                <w:sz w:val="13"/>
                <w:szCs w:val="13"/>
                <w:color w:val="auto"/>
              </w:rPr>
              <w:t>11,326,045</w:t>
            </w: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237,395</w:t>
            </w:r>
          </w:p>
        </w:tc>
        <w:tc>
          <w:tcPr>
            <w:tcW w:w="130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522,318</w:t>
            </w:r>
          </w:p>
        </w:tc>
        <w:tc>
          <w:tcPr>
            <w:tcW w:w="76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432,678</w:t>
            </w:r>
          </w:p>
        </w:tc>
        <w:tc>
          <w:tcPr>
            <w:tcW w:w="7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12,518,436</w:t>
            </w:r>
          </w:p>
        </w:tc>
        <w:tc>
          <w:tcPr>
            <w:tcW w:w="1100" w:type="dxa"/>
            <w:vAlign w:val="bottom"/>
            <w:gridSpan w:val="3"/>
          </w:tcPr>
          <w:p>
            <w:pPr>
              <w:jc w:val="right"/>
              <w:ind w:right="180"/>
              <w:spacing w:after="0" w:line="145" w:lineRule="exact"/>
              <w:rPr>
                <w:sz w:val="20"/>
                <w:szCs w:val="20"/>
                <w:color w:val="auto"/>
              </w:rPr>
            </w:pPr>
            <w:r>
              <w:rPr>
                <w:rFonts w:ascii="Arial" w:cs="Arial" w:eastAsia="Arial" w:hAnsi="Arial"/>
                <w:sz w:val="13"/>
                <w:szCs w:val="13"/>
                <w:color w:val="auto"/>
              </w:rPr>
              <w:t>12,653,119</w:t>
            </w:r>
          </w:p>
        </w:tc>
        <w:tc>
          <w:tcPr>
            <w:tcW w:w="86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240,030</w:t>
            </w:r>
          </w:p>
        </w:tc>
        <w:tc>
          <w:tcPr>
            <w:tcW w:w="12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608,443</w:t>
            </w:r>
          </w:p>
        </w:tc>
        <w:tc>
          <w:tcPr>
            <w:tcW w:w="86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377,119</w:t>
            </w:r>
          </w:p>
        </w:tc>
        <w:tc>
          <w:tcPr>
            <w:tcW w:w="7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w w:val="98"/>
              </w:rPr>
              <w:t>13,878,711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ind w:left="200"/>
              <w:spacing w:after="0" w:line="125" w:lineRule="exact"/>
              <w:rPr>
                <w:sz w:val="20"/>
                <w:szCs w:val="20"/>
                <w:color w:val="auto"/>
              </w:rPr>
            </w:pPr>
            <w:r>
              <w:rPr>
                <w:rFonts w:ascii="Arial" w:cs="Arial" w:eastAsia="Arial" w:hAnsi="Arial"/>
                <w:sz w:val="13"/>
                <w:szCs w:val="13"/>
                <w:color w:val="auto"/>
                <w:w w:val="82"/>
              </w:rPr>
              <w:t>88,152,199</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679,652</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2,647,127</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2,620,411</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94,099,389</w:t>
            </w: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83,862,801</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801,236</w:t>
            </w:r>
          </w:p>
        </w:tc>
        <w:tc>
          <w:tcPr>
            <w:tcW w:w="18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2,800,948</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2,311,243</w:t>
            </w: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5"/>
              </w:rPr>
              <w:t>89,776,228</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- 123 -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8" w:right="219" w:bottom="1440" w:gutter="0" w:footer="0" w:header="0"/>
        </w:sectPr>
      </w:pPr>
    </w:p>
    <w:bookmarkStart w:id="128" w:name="page129"/>
    <w:bookmarkEnd w:id="128"/>
    <w:p>
      <w:pPr>
        <w:ind w:left="283" w:hanging="283"/>
        <w:spacing w:after="0"/>
        <w:tabs>
          <w:tab w:leader="none" w:pos="283" w:val="left"/>
        </w:tabs>
        <w:numPr>
          <w:ilvl w:val="0"/>
          <w:numId w:val="134"/>
        </w:numPr>
        <w:rPr>
          <w:rFonts w:ascii="Arial" w:cs="Arial" w:eastAsia="Arial" w:hAnsi="Arial"/>
          <w:sz w:val="16"/>
          <w:szCs w:val="16"/>
          <w:color w:val="auto"/>
        </w:rPr>
      </w:pPr>
      <w:r>
        <w:rPr>
          <w:rFonts w:ascii="Arial" w:cs="Arial" w:eastAsia="Arial" w:hAnsi="Arial"/>
          <w:sz w:val="16"/>
          <w:szCs w:val="16"/>
          <w:color w:val="auto"/>
        </w:rPr>
        <w:t>Credit risk management on reverse repurchase agreements and security borrowings –</w:t>
      </w:r>
    </w:p>
    <w:p>
      <w:pPr>
        <w:spacing w:after="0" w:line="202" w:lineRule="exact"/>
        <w:rPr>
          <w:rFonts w:ascii="Arial" w:cs="Arial" w:eastAsia="Arial" w:hAnsi="Arial"/>
          <w:sz w:val="16"/>
          <w:szCs w:val="16"/>
          <w:color w:val="auto"/>
        </w:rPr>
      </w:pPr>
    </w:p>
    <w:p>
      <w:pPr>
        <w:ind w:left="283" w:right="240"/>
        <w:spacing w:after="0" w:line="266" w:lineRule="auto"/>
        <w:rPr>
          <w:rFonts w:ascii="Arial" w:cs="Arial" w:eastAsia="Arial" w:hAnsi="Arial"/>
          <w:sz w:val="16"/>
          <w:szCs w:val="16"/>
          <w:color w:val="auto"/>
        </w:rPr>
      </w:pPr>
      <w:r>
        <w:rPr>
          <w:rFonts w:ascii="Arial" w:cs="Arial" w:eastAsia="Arial" w:hAnsi="Arial"/>
          <w:sz w:val="16"/>
          <w:szCs w:val="16"/>
          <w:color w:val="auto"/>
        </w:rPr>
        <w:t>Most of these operations are performed by Credicorp Capital Colombia and IM Trust. The Group has implemented credit limits for each counterparty and most of the transactions are collateralized with investment grade financial instruments issued by Colombian and Chilean entities and financial instruments issued by Colombian and Chilean Governments.</w:t>
      </w:r>
    </w:p>
    <w:p>
      <w:pPr>
        <w:spacing w:after="0" w:line="161" w:lineRule="exact"/>
        <w:rPr>
          <w:rFonts w:ascii="Arial" w:cs="Arial" w:eastAsia="Arial" w:hAnsi="Arial"/>
          <w:sz w:val="16"/>
          <w:szCs w:val="16"/>
          <w:color w:val="auto"/>
        </w:rPr>
      </w:pPr>
    </w:p>
    <w:p>
      <w:pPr>
        <w:ind w:left="283" w:hanging="283"/>
        <w:spacing w:after="0"/>
        <w:tabs>
          <w:tab w:leader="none" w:pos="283" w:val="left"/>
        </w:tabs>
        <w:numPr>
          <w:ilvl w:val="0"/>
          <w:numId w:val="134"/>
        </w:numPr>
        <w:rPr>
          <w:rFonts w:ascii="Arial" w:cs="Arial" w:eastAsia="Arial" w:hAnsi="Arial"/>
          <w:sz w:val="16"/>
          <w:szCs w:val="16"/>
          <w:color w:val="auto"/>
        </w:rPr>
      </w:pPr>
      <w:r>
        <w:rPr>
          <w:rFonts w:ascii="Arial" w:cs="Arial" w:eastAsia="Arial" w:hAnsi="Arial"/>
          <w:sz w:val="16"/>
          <w:szCs w:val="16"/>
          <w:color w:val="auto"/>
        </w:rPr>
        <w:t>Credit risk management on investments in trading securities, available-for-sale and held-to-maturity investments –</w:t>
      </w:r>
    </w:p>
    <w:p>
      <w:pPr>
        <w:spacing w:after="0" w:line="202" w:lineRule="exact"/>
        <w:rPr>
          <w:rFonts w:ascii="Arial" w:cs="Arial" w:eastAsia="Arial" w:hAnsi="Arial"/>
          <w:sz w:val="16"/>
          <w:szCs w:val="16"/>
          <w:color w:val="auto"/>
        </w:rPr>
      </w:pPr>
    </w:p>
    <w:p>
      <w:pPr>
        <w:ind w:left="283"/>
        <w:spacing w:after="0" w:line="292" w:lineRule="auto"/>
        <w:rPr>
          <w:rFonts w:ascii="Arial" w:cs="Arial" w:eastAsia="Arial" w:hAnsi="Arial"/>
          <w:sz w:val="16"/>
          <w:szCs w:val="16"/>
          <w:color w:val="auto"/>
        </w:rPr>
      </w:pPr>
      <w:r>
        <w:rPr>
          <w:rFonts w:ascii="Arial" w:cs="Arial" w:eastAsia="Arial" w:hAnsi="Arial"/>
          <w:sz w:val="15"/>
          <w:szCs w:val="15"/>
          <w:color w:val="auto"/>
        </w:rPr>
        <w:t>The Group evaluates the credit risk identified of each of the financial instruments in these categories, considering the risk rating granted to them by a risk rating agency. For investments traded in Peru, the risk ratings used are those provided by the three most prestigious Peruvian rating agencies (authorized by the Peruvian government regulator) and for investments traded abroad, the risk-ratings used are those provided by the three most prestigious international rating agencies.</w:t>
      </w:r>
    </w:p>
    <w:p>
      <w:pPr>
        <w:spacing w:after="0" w:line="144" w:lineRule="exact"/>
        <w:rPr>
          <w:rFonts w:ascii="Arial" w:cs="Arial" w:eastAsia="Arial" w:hAnsi="Arial"/>
          <w:sz w:val="16"/>
          <w:szCs w:val="16"/>
          <w:color w:val="auto"/>
        </w:rPr>
      </w:pPr>
    </w:p>
    <w:p>
      <w:pPr>
        <w:ind w:left="283" w:right="200"/>
        <w:spacing w:after="0" w:line="280" w:lineRule="auto"/>
        <w:rPr>
          <w:rFonts w:ascii="Arial" w:cs="Arial" w:eastAsia="Arial" w:hAnsi="Arial"/>
          <w:sz w:val="16"/>
          <w:szCs w:val="16"/>
          <w:color w:val="auto"/>
        </w:rPr>
      </w:pPr>
      <w:r>
        <w:rPr>
          <w:rFonts w:ascii="Arial" w:cs="Arial" w:eastAsia="Arial" w:hAnsi="Arial"/>
          <w:sz w:val="16"/>
          <w:szCs w:val="16"/>
          <w:color w:val="auto"/>
        </w:rPr>
        <w:t>In the event that any Subsidiary uses a risk-rating prepared by any other risk rating agency, said risk-ratings are standardized with those provided by the afore-mentioned institutions.</w:t>
      </w:r>
    </w:p>
    <w:p>
      <w:pPr>
        <w:spacing w:after="0" w:line="344" w:lineRule="exact"/>
        <w:rPr>
          <w:rFonts w:ascii="Arial" w:cs="Arial" w:eastAsia="Arial" w:hAnsi="Arial"/>
          <w:sz w:val="16"/>
          <w:szCs w:val="16"/>
          <w:color w:val="auto"/>
        </w:rPr>
      </w:pPr>
    </w:p>
    <w:p>
      <w:pPr>
        <w:ind w:left="5603" w:hanging="95"/>
        <w:spacing w:after="0"/>
        <w:tabs>
          <w:tab w:leader="none" w:pos="5603" w:val="left"/>
        </w:tabs>
        <w:numPr>
          <w:ilvl w:val="1"/>
          <w:numId w:val="134"/>
        </w:numPr>
        <w:rPr>
          <w:rFonts w:ascii="Arial" w:cs="Arial" w:eastAsia="Arial" w:hAnsi="Arial"/>
          <w:sz w:val="16"/>
          <w:szCs w:val="16"/>
          <w:color w:val="auto"/>
        </w:rPr>
      </w:pPr>
      <w:r>
        <w:rPr>
          <w:rFonts w:ascii="Arial" w:cs="Arial" w:eastAsia="Arial" w:hAnsi="Arial"/>
          <w:sz w:val="16"/>
          <w:szCs w:val="16"/>
          <w:color w:val="auto"/>
        </w:rPr>
        <w:t>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83"/>
          </w:cols>
          <w:pgMar w:left="237" w:top="828" w:right="27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color w:val="auto"/>
        </w:rPr>
        <w:t>The following table shows the analysis of the risk-rating of available-for-sale and held-to-maturity investments referred to above: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At December 31, 2016</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0"/>
              </w:rPr>
              <w:t>At December 31, 2015</w:t>
            </w:r>
          </w:p>
        </w:tc>
        <w:tc>
          <w:tcPr>
            <w:tcW w:w="13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96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b w:val="1"/>
                <w:bCs w:val="1"/>
                <w:color w:val="auto"/>
                <w:w w:val="99"/>
              </w:rPr>
              <w:t>S/(000)</w:t>
            </w:r>
          </w:p>
        </w:tc>
        <w:tc>
          <w:tcPr>
            <w:tcW w:w="158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3"/>
          </w:tcPr>
          <w:p>
            <w:pPr>
              <w:spacing w:after="0"/>
              <w:rPr>
                <w:sz w:val="20"/>
                <w:szCs w:val="20"/>
                <w:color w:val="auto"/>
              </w:rPr>
            </w:pPr>
            <w:r>
              <w:rPr>
                <w:rFonts w:ascii="Arial" w:cs="Arial" w:eastAsia="Arial" w:hAnsi="Arial"/>
                <w:sz w:val="16"/>
                <w:szCs w:val="16"/>
                <w:b w:val="1"/>
                <w:bCs w:val="1"/>
                <w:color w:val="auto"/>
              </w:rPr>
              <w:t>S/(000)</w:t>
            </w:r>
          </w:p>
        </w:tc>
        <w:tc>
          <w:tcPr>
            <w:tcW w:w="1320" w:type="dxa"/>
            <w:vAlign w:val="bottom"/>
          </w:tcPr>
          <w:p>
            <w:pPr>
              <w:jc w:val="right"/>
              <w:ind w:right="1079"/>
              <w:spacing w:after="0"/>
              <w:rPr>
                <w:sz w:val="20"/>
                <w:szCs w:val="20"/>
                <w:color w:val="auto"/>
              </w:rPr>
            </w:pPr>
            <w:r>
              <w:rPr>
                <w:rFonts w:ascii="Arial" w:cs="Arial" w:eastAsia="Arial" w:hAnsi="Arial"/>
                <w:sz w:val="16"/>
                <w:szCs w:val="16"/>
                <w:b w:val="1"/>
                <w:bCs w:val="1"/>
                <w:color w:val="auto"/>
                <w:w w:val="98"/>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7"/>
        </w:trPr>
        <w:tc>
          <w:tcPr>
            <w:tcW w:w="4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Instruments rated in Peru:</w:t>
            </w: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Arial" w:cs="Arial" w:eastAsia="Arial" w:hAnsi="Arial"/>
                <w:sz w:val="16"/>
                <w:szCs w:val="16"/>
                <w:color w:val="auto"/>
              </w:rPr>
              <w:t>AAA</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1,412,290</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5.1</w:t>
            </w:r>
          </w:p>
        </w:tc>
        <w:tc>
          <w:tcPr>
            <w:tcW w:w="1520" w:type="dxa"/>
            <w:vAlign w:val="bottom"/>
            <w:gridSpan w:val="3"/>
          </w:tcPr>
          <w:p>
            <w:pPr>
              <w:jc w:val="right"/>
              <w:ind w:right="200"/>
              <w:spacing w:after="0"/>
              <w:rPr>
                <w:sz w:val="20"/>
                <w:szCs w:val="20"/>
                <w:color w:val="auto"/>
              </w:rPr>
            </w:pPr>
            <w:r>
              <w:rPr>
                <w:rFonts w:ascii="Arial" w:cs="Arial" w:eastAsia="Arial" w:hAnsi="Arial"/>
                <w:sz w:val="16"/>
                <w:szCs w:val="16"/>
                <w:color w:val="auto"/>
              </w:rPr>
              <w:t>1,342,437</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AA- to AA+</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1,060,347</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984,969</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Arial" w:cs="Arial" w:eastAsia="Arial" w:hAnsi="Arial"/>
                <w:sz w:val="16"/>
                <w:szCs w:val="16"/>
                <w:color w:val="auto"/>
              </w:rPr>
              <w:t>A- to A+</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5,483,403</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19.7</w:t>
            </w:r>
          </w:p>
        </w:tc>
        <w:tc>
          <w:tcPr>
            <w:tcW w:w="1520" w:type="dxa"/>
            <w:vAlign w:val="bottom"/>
            <w:gridSpan w:val="3"/>
          </w:tcPr>
          <w:p>
            <w:pPr>
              <w:jc w:val="right"/>
              <w:ind w:right="200"/>
              <w:spacing w:after="0"/>
              <w:rPr>
                <w:sz w:val="20"/>
                <w:szCs w:val="20"/>
                <w:color w:val="auto"/>
              </w:rPr>
            </w:pPr>
            <w:r>
              <w:rPr>
                <w:rFonts w:ascii="Arial" w:cs="Arial" w:eastAsia="Arial" w:hAnsi="Arial"/>
                <w:sz w:val="16"/>
                <w:szCs w:val="16"/>
                <w:color w:val="auto"/>
              </w:rPr>
              <w:t>3,582,234</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BBB- to BBB+</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1,919,853</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1,053,774</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Arial" w:cs="Arial" w:eastAsia="Arial" w:hAnsi="Arial"/>
                <w:sz w:val="16"/>
                <w:szCs w:val="16"/>
                <w:color w:val="auto"/>
              </w:rPr>
              <w:t>BB- to BB+</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314,913</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1.1</w:t>
            </w:r>
          </w:p>
        </w:tc>
        <w:tc>
          <w:tcPr>
            <w:tcW w:w="1520" w:type="dxa"/>
            <w:vAlign w:val="bottom"/>
            <w:gridSpan w:val="3"/>
          </w:tcPr>
          <w:p>
            <w:pPr>
              <w:jc w:val="right"/>
              <w:ind w:right="200"/>
              <w:spacing w:after="0"/>
              <w:rPr>
                <w:sz w:val="20"/>
                <w:szCs w:val="20"/>
                <w:color w:val="auto"/>
              </w:rPr>
            </w:pPr>
            <w:r>
              <w:rPr>
                <w:rFonts w:ascii="Arial" w:cs="Arial" w:eastAsia="Arial" w:hAnsi="Arial"/>
                <w:sz w:val="16"/>
                <w:szCs w:val="16"/>
                <w:color w:val="auto"/>
              </w:rPr>
              <w:t>59,005</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Lower than +B</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22,129</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89,378</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Arial" w:cs="Arial" w:eastAsia="Arial" w:hAnsi="Arial"/>
                <w:sz w:val="16"/>
                <w:szCs w:val="16"/>
                <w:color w:val="auto"/>
              </w:rPr>
              <w:t>Unrated</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BCRP certificates of deposit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7,066,653</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25.4</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6,006,110</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Arial" w:cs="Arial" w:eastAsia="Arial" w:hAnsi="Arial"/>
                <w:sz w:val="16"/>
                <w:szCs w:val="16"/>
                <w:color w:val="auto"/>
              </w:rPr>
              <w:t>Listed and unlisted securities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796,961</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2.9</w:t>
            </w:r>
          </w:p>
        </w:tc>
        <w:tc>
          <w:tcPr>
            <w:tcW w:w="1520" w:type="dxa"/>
            <w:vAlign w:val="bottom"/>
            <w:gridSpan w:val="3"/>
          </w:tcPr>
          <w:p>
            <w:pPr>
              <w:jc w:val="right"/>
              <w:ind w:right="200"/>
              <w:spacing w:after="0"/>
              <w:rPr>
                <w:sz w:val="20"/>
                <w:szCs w:val="20"/>
                <w:color w:val="auto"/>
              </w:rPr>
            </w:pPr>
            <w:r>
              <w:rPr>
                <w:rFonts w:ascii="Arial" w:cs="Arial" w:eastAsia="Arial" w:hAnsi="Arial"/>
                <w:sz w:val="16"/>
                <w:szCs w:val="16"/>
                <w:color w:val="auto"/>
              </w:rPr>
              <w:t>735,641</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mutual funds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368,418</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335,764</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Arial" w:cs="Arial" w:eastAsia="Arial" w:hAnsi="Arial"/>
                <w:sz w:val="16"/>
                <w:szCs w:val="16"/>
                <w:color w:val="auto"/>
              </w:rPr>
              <w:t>Mutual funds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50,314</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0.2</w:t>
            </w:r>
          </w:p>
        </w:tc>
        <w:tc>
          <w:tcPr>
            <w:tcW w:w="1520" w:type="dxa"/>
            <w:vAlign w:val="bottom"/>
            <w:gridSpan w:val="3"/>
          </w:tcPr>
          <w:p>
            <w:pPr>
              <w:jc w:val="right"/>
              <w:ind w:right="200"/>
              <w:spacing w:after="0"/>
              <w:rPr>
                <w:sz w:val="20"/>
                <w:szCs w:val="20"/>
                <w:color w:val="auto"/>
              </w:rPr>
            </w:pPr>
            <w:r>
              <w:rPr>
                <w:rFonts w:ascii="Arial" w:cs="Arial" w:eastAsia="Arial" w:hAnsi="Arial"/>
                <w:sz w:val="16"/>
                <w:szCs w:val="16"/>
                <w:color w:val="auto"/>
              </w:rPr>
              <w:t>128,777</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6"/>
                <w:szCs w:val="16"/>
                <w:color w:val="auto"/>
              </w:rPr>
            </w:pPr>
          </w:p>
        </w:tc>
      </w:tr>
      <w:tr>
        <w:trPr>
          <w:trHeight w:val="205"/>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instruments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90,407</w:t>
            </w:r>
          </w:p>
        </w:tc>
        <w:tc>
          <w:tcPr>
            <w:tcW w:w="5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0.3</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43,559</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7"/>
                <w:szCs w:val="17"/>
                <w:color w:val="auto"/>
              </w:rPr>
            </w:pPr>
          </w:p>
        </w:tc>
      </w:tr>
      <w:tr>
        <w:trPr>
          <w:trHeight w:val="185"/>
        </w:trPr>
        <w:tc>
          <w:tcPr>
            <w:tcW w:w="49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Subtotal</w:t>
            </w:r>
          </w:p>
        </w:tc>
        <w:tc>
          <w:tcPr>
            <w:tcW w:w="5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18,585,688</w:t>
            </w:r>
          </w:p>
        </w:tc>
        <w:tc>
          <w:tcPr>
            <w:tcW w:w="220" w:type="dxa"/>
            <w:vAlign w:val="bottom"/>
            <w:tcBorders>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14,361,648</w:t>
            </w:r>
          </w:p>
        </w:tc>
        <w:tc>
          <w:tcPr>
            <w:tcW w:w="200" w:type="dxa"/>
            <w:vAlign w:val="bottom"/>
            <w:tcBorders>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185"/>
        </w:trPr>
        <w:tc>
          <w:tcPr>
            <w:tcW w:w="4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Arial" w:cs="Arial" w:eastAsia="Arial" w:hAnsi="Arial"/>
                <w:sz w:val="16"/>
                <w:szCs w:val="16"/>
                <w:color w:val="auto"/>
              </w:rPr>
              <w:t>Instruments rated abroad:</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AAA</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1,385,911</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821,482</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Arial" w:cs="Arial" w:eastAsia="Arial" w:hAnsi="Arial"/>
                <w:sz w:val="16"/>
                <w:szCs w:val="16"/>
                <w:color w:val="auto"/>
              </w:rPr>
              <w:t>AA- to AA+</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677,042</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2.4</w:t>
            </w:r>
          </w:p>
        </w:tc>
        <w:tc>
          <w:tcPr>
            <w:tcW w:w="1520" w:type="dxa"/>
            <w:vAlign w:val="bottom"/>
            <w:gridSpan w:val="3"/>
          </w:tcPr>
          <w:p>
            <w:pPr>
              <w:jc w:val="right"/>
              <w:ind w:right="200"/>
              <w:spacing w:after="0"/>
              <w:rPr>
                <w:sz w:val="20"/>
                <w:szCs w:val="20"/>
                <w:color w:val="auto"/>
              </w:rPr>
            </w:pPr>
            <w:r>
              <w:rPr>
                <w:rFonts w:ascii="Arial" w:cs="Arial" w:eastAsia="Arial" w:hAnsi="Arial"/>
                <w:sz w:val="16"/>
                <w:szCs w:val="16"/>
                <w:color w:val="auto"/>
              </w:rPr>
              <w:t>443,522</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 to A+</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1,298,815</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2,064,134</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Arial" w:cs="Arial" w:eastAsia="Arial" w:hAnsi="Arial"/>
                <w:sz w:val="16"/>
                <w:szCs w:val="16"/>
                <w:color w:val="auto"/>
              </w:rPr>
              <w:t>BBB- to BBB+</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3,069,547</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11.0</w:t>
            </w:r>
          </w:p>
        </w:tc>
        <w:tc>
          <w:tcPr>
            <w:tcW w:w="1520" w:type="dxa"/>
            <w:vAlign w:val="bottom"/>
            <w:gridSpan w:val="3"/>
          </w:tcPr>
          <w:p>
            <w:pPr>
              <w:jc w:val="right"/>
              <w:ind w:right="200"/>
              <w:spacing w:after="0"/>
              <w:rPr>
                <w:sz w:val="20"/>
                <w:szCs w:val="20"/>
                <w:color w:val="auto"/>
              </w:rPr>
            </w:pPr>
            <w:r>
              <w:rPr>
                <w:rFonts w:ascii="Arial" w:cs="Arial" w:eastAsia="Arial" w:hAnsi="Arial"/>
                <w:sz w:val="16"/>
                <w:szCs w:val="16"/>
                <w:color w:val="auto"/>
              </w:rPr>
              <w:t>3,654,183</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14.8</w:t>
            </w: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BB- to BB+</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1,011,463</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1,102,256</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Arial" w:cs="Arial" w:eastAsia="Arial" w:hAnsi="Arial"/>
                <w:sz w:val="16"/>
                <w:szCs w:val="16"/>
                <w:color w:val="auto"/>
              </w:rPr>
              <w:t>Lower than B+</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148,212</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0.5</w:t>
            </w:r>
          </w:p>
        </w:tc>
        <w:tc>
          <w:tcPr>
            <w:tcW w:w="1520" w:type="dxa"/>
            <w:vAlign w:val="bottom"/>
            <w:gridSpan w:val="3"/>
          </w:tcPr>
          <w:p>
            <w:pPr>
              <w:jc w:val="right"/>
              <w:ind w:right="200"/>
              <w:spacing w:after="0"/>
              <w:rPr>
                <w:sz w:val="20"/>
                <w:szCs w:val="20"/>
                <w:color w:val="auto"/>
              </w:rPr>
            </w:pPr>
            <w:r>
              <w:rPr>
                <w:rFonts w:ascii="Arial" w:cs="Arial" w:eastAsia="Arial" w:hAnsi="Arial"/>
                <w:sz w:val="16"/>
                <w:szCs w:val="16"/>
                <w:color w:val="auto"/>
              </w:rPr>
              <w:t>174,542</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Rated and unrated instruments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586,953</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809,766</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Arial" w:cs="Arial" w:eastAsia="Arial" w:hAnsi="Arial"/>
                <w:sz w:val="16"/>
                <w:szCs w:val="16"/>
                <w:color w:val="auto"/>
              </w:rPr>
              <w:t>Certificates of deposit of Banco Central de Bolivia</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14,644</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0.1</w:t>
            </w:r>
          </w:p>
        </w:tc>
        <w:tc>
          <w:tcPr>
            <w:tcW w:w="1520" w:type="dxa"/>
            <w:vAlign w:val="bottom"/>
            <w:gridSpan w:val="3"/>
          </w:tcPr>
          <w:p>
            <w:pPr>
              <w:jc w:val="right"/>
              <w:ind w:right="200"/>
              <w:spacing w:after="0"/>
              <w:rPr>
                <w:sz w:val="20"/>
                <w:szCs w:val="20"/>
                <w:color w:val="auto"/>
              </w:rPr>
            </w:pPr>
            <w:r>
              <w:rPr>
                <w:rFonts w:ascii="Arial" w:cs="Arial" w:eastAsia="Arial" w:hAnsi="Arial"/>
                <w:sz w:val="16"/>
                <w:szCs w:val="16"/>
                <w:color w:val="auto"/>
              </w:rPr>
              <w:t>154,404</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Participations of RAL Funds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650,804</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694,915</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6"/>
                <w:szCs w:val="16"/>
                <w:color w:val="auto"/>
              </w:rPr>
            </w:pPr>
          </w:p>
        </w:tc>
      </w:tr>
      <w:tr>
        <w:trPr>
          <w:trHeight w:val="193"/>
        </w:trPr>
        <w:tc>
          <w:tcPr>
            <w:tcW w:w="5500" w:type="dxa"/>
            <w:vAlign w:val="bottom"/>
            <w:gridSpan w:val="2"/>
          </w:tcPr>
          <w:p>
            <w:pPr>
              <w:spacing w:after="0"/>
              <w:rPr>
                <w:sz w:val="20"/>
                <w:szCs w:val="20"/>
                <w:color w:val="auto"/>
              </w:rPr>
            </w:pPr>
            <w:r>
              <w:rPr>
                <w:rFonts w:ascii="Arial" w:cs="Arial" w:eastAsia="Arial" w:hAnsi="Arial"/>
                <w:sz w:val="16"/>
                <w:szCs w:val="16"/>
                <w:color w:val="auto"/>
              </w:rPr>
              <w:t>Mutual funds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245,730</w:t>
            </w:r>
          </w:p>
        </w:tc>
        <w:tc>
          <w:tcPr>
            <w:tcW w:w="5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0.9</w:t>
            </w:r>
          </w:p>
        </w:tc>
        <w:tc>
          <w:tcPr>
            <w:tcW w:w="1520" w:type="dxa"/>
            <w:vAlign w:val="bottom"/>
            <w:gridSpan w:val="3"/>
          </w:tcPr>
          <w:p>
            <w:pPr>
              <w:jc w:val="right"/>
              <w:ind w:right="200"/>
              <w:spacing w:after="0"/>
              <w:rPr>
                <w:sz w:val="20"/>
                <w:szCs w:val="20"/>
                <w:color w:val="auto"/>
              </w:rPr>
            </w:pPr>
            <w:r>
              <w:rPr>
                <w:rFonts w:ascii="Arial" w:cs="Arial" w:eastAsia="Arial" w:hAnsi="Arial"/>
                <w:sz w:val="16"/>
                <w:szCs w:val="16"/>
                <w:color w:val="auto"/>
              </w:rPr>
              <w:t>36,179</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6"/>
                <w:szCs w:val="16"/>
                <w:color w:val="auto"/>
              </w:rPr>
            </w:pPr>
          </w:p>
        </w:tc>
      </w:tr>
      <w:tr>
        <w:trPr>
          <w:trHeight w:val="193"/>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Hedge funds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1,095</w:t>
            </w:r>
          </w:p>
        </w:tc>
        <w:tc>
          <w:tcPr>
            <w:tcW w:w="5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133,194</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6"/>
                <w:szCs w:val="16"/>
                <w:color w:val="auto"/>
              </w:rPr>
            </w:pPr>
          </w:p>
        </w:tc>
      </w:tr>
      <w:tr>
        <w:trPr>
          <w:trHeight w:val="205"/>
        </w:trPr>
        <w:tc>
          <w:tcPr>
            <w:tcW w:w="5500" w:type="dxa"/>
            <w:vAlign w:val="bottom"/>
            <w:gridSpan w:val="2"/>
          </w:tcPr>
          <w:p>
            <w:pPr>
              <w:spacing w:after="0"/>
              <w:rPr>
                <w:sz w:val="20"/>
                <w:szCs w:val="20"/>
                <w:color w:val="auto"/>
              </w:rPr>
            </w:pPr>
            <w:r>
              <w:rPr>
                <w:rFonts w:ascii="Arial" w:cs="Arial" w:eastAsia="Arial" w:hAnsi="Arial"/>
                <w:sz w:val="16"/>
                <w:szCs w:val="16"/>
                <w:color w:val="auto"/>
              </w:rPr>
              <w:t>Other instruments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143,202</w:t>
            </w:r>
          </w:p>
        </w:tc>
        <w:tc>
          <w:tcPr>
            <w:tcW w:w="5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0.5</w:t>
            </w:r>
          </w:p>
        </w:tc>
        <w:tc>
          <w:tcPr>
            <w:tcW w:w="1520" w:type="dxa"/>
            <w:vAlign w:val="bottom"/>
            <w:gridSpan w:val="3"/>
          </w:tcPr>
          <w:p>
            <w:pPr>
              <w:jc w:val="right"/>
              <w:ind w:right="200"/>
              <w:spacing w:after="0"/>
              <w:rPr>
                <w:sz w:val="20"/>
                <w:szCs w:val="20"/>
                <w:color w:val="auto"/>
              </w:rPr>
            </w:pPr>
            <w:r>
              <w:rPr>
                <w:rFonts w:ascii="Arial" w:cs="Arial" w:eastAsia="Arial" w:hAnsi="Arial"/>
                <w:sz w:val="16"/>
                <w:szCs w:val="16"/>
                <w:color w:val="auto"/>
              </w:rPr>
              <w:t>223,921</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17"/>
                <w:szCs w:val="17"/>
                <w:color w:val="auto"/>
              </w:rPr>
            </w:pPr>
          </w:p>
        </w:tc>
      </w:tr>
      <w:tr>
        <w:trPr>
          <w:trHeight w:val="185"/>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Subtotal</w:t>
            </w:r>
          </w:p>
        </w:tc>
        <w:tc>
          <w:tcPr>
            <w:tcW w:w="5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9,233,418</w:t>
            </w:r>
          </w:p>
        </w:tc>
        <w:tc>
          <w:tcPr>
            <w:tcW w:w="2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10,312,498</w:t>
            </w:r>
          </w:p>
        </w:tc>
        <w:tc>
          <w:tcPr>
            <w:tcW w:w="2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85"/>
        </w:trPr>
        <w:tc>
          <w:tcPr>
            <w:tcW w:w="4960" w:type="dxa"/>
            <w:vAlign w:val="bottom"/>
          </w:tcPr>
          <w:p>
            <w:pPr>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27,819,106</w:t>
            </w:r>
          </w:p>
        </w:tc>
        <w:tc>
          <w:tcPr>
            <w:tcW w:w="2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24,674,146</w:t>
            </w:r>
          </w:p>
        </w:tc>
        <w:tc>
          <w:tcPr>
            <w:tcW w:w="20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37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- 125 -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13970</wp:posOffset>
            </wp:positionV>
            <wp:extent cx="7261225" cy="762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980"/>
          </w:cols>
          <w:pgMar w:left="520" w:top="828" w:right="399" w:bottom="1440" w:gutter="0" w:footer="0" w:header="0"/>
        </w:sectPr>
      </w:pPr>
    </w:p>
    <w:bookmarkStart w:id="130" w:name="page131"/>
    <w:bookmarkEnd w:id="130"/>
    <w:p>
      <w:pPr>
        <w:ind w:left="283" w:hanging="283"/>
        <w:spacing w:after="0"/>
        <w:tabs>
          <w:tab w:leader="none" w:pos="28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Concentration of financial instruments exposed to credit risk -</w:t>
      </w:r>
    </w:p>
    <w:p>
      <w:pPr>
        <w:spacing w:after="0" w:line="202"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As of December 31, 2016 and 2015 financial instruments with exposure to credit risk were distributed considering the following economic sectors:</w:t>
      </w:r>
    </w:p>
    <w:p>
      <w:pPr>
        <w:spacing w:after="0" w:line="207" w:lineRule="exact"/>
        <w:rPr>
          <w:sz w:val="20"/>
          <w:szCs w:val="20"/>
          <w:color w:val="auto"/>
        </w:rPr>
      </w:pPr>
    </w:p>
    <w:tbl>
      <w:tblPr>
        <w:tblLayout w:type="fixed"/>
        <w:tblInd w:w="3"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3"/>
                <w:szCs w:val="13"/>
                <w:b w:val="1"/>
                <w:bCs w:val="1"/>
                <w:color w:val="auto"/>
              </w:rPr>
              <w:t>2015</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720" w:type="dxa"/>
            <w:vAlign w:val="bottom"/>
            <w:gridSpan w:val="4"/>
          </w:tcPr>
          <w:p>
            <w:pPr>
              <w:spacing w:after="0" w:line="105" w:lineRule="exact"/>
              <w:rPr>
                <w:sz w:val="20"/>
                <w:szCs w:val="20"/>
                <w:color w:val="auto"/>
              </w:rPr>
            </w:pPr>
            <w:r>
              <w:rPr>
                <w:rFonts w:ascii="Arial" w:cs="Arial" w:eastAsia="Arial" w:hAnsi="Arial"/>
                <w:sz w:val="12"/>
                <w:szCs w:val="12"/>
                <w:b w:val="1"/>
                <w:bCs w:val="1"/>
                <w:color w:val="auto"/>
                <w:w w:val="98"/>
              </w:rPr>
              <w:t>Designed at fair value through</w:t>
            </w: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gridSpan w:val="4"/>
          </w:tcPr>
          <w:p>
            <w:pPr>
              <w:spacing w:after="0" w:line="105" w:lineRule="exact"/>
              <w:rPr>
                <w:sz w:val="20"/>
                <w:szCs w:val="20"/>
                <w:color w:val="auto"/>
              </w:rPr>
            </w:pPr>
            <w:r>
              <w:rPr>
                <w:rFonts w:ascii="Arial" w:cs="Arial" w:eastAsia="Arial" w:hAnsi="Arial"/>
                <w:sz w:val="12"/>
                <w:szCs w:val="12"/>
                <w:b w:val="1"/>
                <w:bCs w:val="1"/>
                <w:color w:val="auto"/>
              </w:rPr>
              <w:t>Designed at fair value</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profit for loss</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Investments</w:t>
            </w:r>
          </w:p>
        </w:tc>
        <w:tc>
          <w:tcPr>
            <w:tcW w:w="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Investments</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5"/>
          </w:tcPr>
          <w:p>
            <w:pPr>
              <w:spacing w:after="0"/>
              <w:rPr>
                <w:sz w:val="20"/>
                <w:szCs w:val="20"/>
                <w:color w:val="auto"/>
              </w:rPr>
            </w:pPr>
            <w:r>
              <w:rPr>
                <w:rFonts w:ascii="Arial" w:cs="Arial" w:eastAsia="Arial" w:hAnsi="Arial"/>
                <w:sz w:val="13"/>
                <w:szCs w:val="13"/>
                <w:b w:val="1"/>
                <w:bCs w:val="1"/>
                <w:color w:val="auto"/>
              </w:rPr>
              <w:t>through profit for loss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Investments</w:t>
            </w:r>
          </w:p>
        </w:tc>
        <w:tc>
          <w:tcPr>
            <w:tcW w:w="8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Investments</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60" w:type="dxa"/>
            <w:vAlign w:val="bottom"/>
            <w:tcBorders>
              <w:top w:val="single" w:sz="8" w:color="auto"/>
            </w:tcBorders>
            <w:gridSpan w:val="2"/>
          </w:tcPr>
          <w:p>
            <w:pPr>
              <w:spacing w:after="0" w:line="105" w:lineRule="exact"/>
              <w:rPr>
                <w:sz w:val="20"/>
                <w:szCs w:val="20"/>
                <w:color w:val="auto"/>
              </w:rPr>
            </w:pPr>
            <w:r>
              <w:rPr>
                <w:rFonts w:ascii="Arial" w:cs="Arial" w:eastAsia="Arial" w:hAnsi="Arial"/>
                <w:sz w:val="12"/>
                <w:szCs w:val="12"/>
                <w:b w:val="1"/>
                <w:bCs w:val="1"/>
                <w:color w:val="auto"/>
              </w:rPr>
              <w:t>Held for</w:t>
            </w: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Loans and</w:t>
            </w:r>
          </w:p>
        </w:tc>
        <w:tc>
          <w:tcPr>
            <w:tcW w:w="84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Borders>
              <w:top w:val="single" w:sz="8" w:color="auto"/>
            </w:tcBorders>
            <w:gridSpan w:val="3"/>
          </w:tcPr>
          <w:p>
            <w:pPr>
              <w:spacing w:after="0" w:line="105" w:lineRule="exact"/>
              <w:rPr>
                <w:sz w:val="20"/>
                <w:szCs w:val="20"/>
                <w:color w:val="auto"/>
              </w:rPr>
            </w:pPr>
            <w:r>
              <w:rPr>
                <w:rFonts w:ascii="Arial" w:cs="Arial" w:eastAsia="Arial" w:hAnsi="Arial"/>
                <w:sz w:val="12"/>
                <w:szCs w:val="12"/>
                <w:b w:val="1"/>
                <w:bCs w:val="1"/>
                <w:color w:val="auto"/>
              </w:rPr>
              <w:t>Held for</w:t>
            </w: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Loans and</w:t>
            </w:r>
          </w:p>
        </w:tc>
        <w:tc>
          <w:tcPr>
            <w:tcW w:w="86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trading and</w:t>
            </w:r>
          </w:p>
        </w:tc>
        <w:tc>
          <w:tcPr>
            <w:tcW w:w="76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8"/>
              </w:rPr>
              <w:t>At inception</w:t>
            </w:r>
          </w:p>
        </w:tc>
        <w:tc>
          <w:tcPr>
            <w:tcW w:w="900" w:type="dxa"/>
            <w:vAlign w:val="bottom"/>
            <w:gridSpan w:val="3"/>
            <w:vMerge w:val="continue"/>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available-</w:t>
            </w:r>
          </w:p>
        </w:tc>
        <w:tc>
          <w:tcPr>
            <w:tcW w:w="8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held-to-</w:t>
            </w: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w:t>
            </w:r>
          </w:p>
        </w:tc>
        <w:tc>
          <w:tcPr>
            <w:tcW w:w="820" w:type="dxa"/>
            <w:vAlign w:val="bottom"/>
            <w:gridSpan w:val="3"/>
          </w:tcPr>
          <w:p>
            <w:pPr>
              <w:spacing w:after="0" w:line="133" w:lineRule="exact"/>
              <w:rPr>
                <w:sz w:val="20"/>
                <w:szCs w:val="20"/>
                <w:color w:val="auto"/>
              </w:rPr>
            </w:pPr>
            <w:r>
              <w:rPr>
                <w:rFonts w:ascii="Arial" w:cs="Arial" w:eastAsia="Arial" w:hAnsi="Arial"/>
                <w:sz w:val="13"/>
                <w:szCs w:val="13"/>
                <w:b w:val="1"/>
                <w:bCs w:val="1"/>
                <w:color w:val="auto"/>
              </w:rPr>
              <w:t>trading and</w:t>
            </w:r>
          </w:p>
        </w:tc>
        <w:tc>
          <w:tcPr>
            <w:tcW w:w="74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5"/>
              </w:rPr>
              <w:t>At inception</w:t>
            </w:r>
          </w:p>
        </w:tc>
        <w:tc>
          <w:tcPr>
            <w:tcW w:w="940" w:type="dxa"/>
            <w:vAlign w:val="bottom"/>
            <w:gridSpan w:val="3"/>
            <w:vMerge w:val="continue"/>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available-</w:t>
            </w:r>
          </w:p>
        </w:tc>
        <w:tc>
          <w:tcPr>
            <w:tcW w:w="8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held-to-</w:t>
            </w:r>
          </w:p>
        </w:tc>
        <w:tc>
          <w:tcPr>
            <w:tcW w:w="8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hedging</w:t>
            </w:r>
          </w:p>
        </w:tc>
        <w:tc>
          <w:tcPr>
            <w:tcW w:w="760" w:type="dxa"/>
            <w:vAlign w:val="bottom"/>
            <w:gridSpan w:val="2"/>
            <w:vMerge w:val="continue"/>
          </w:tcPr>
          <w:p>
            <w:pPr>
              <w:spacing w:after="0"/>
              <w:rPr>
                <w:sz w:val="13"/>
                <w:szCs w:val="13"/>
                <w:color w:val="auto"/>
              </w:rPr>
            </w:pPr>
          </w:p>
        </w:tc>
        <w:tc>
          <w:tcPr>
            <w:tcW w:w="900" w:type="dxa"/>
            <w:vAlign w:val="bottom"/>
            <w:gridSpan w:val="3"/>
          </w:tcPr>
          <w:p>
            <w:pPr>
              <w:ind w:left="60"/>
              <w:spacing w:after="0"/>
              <w:rPr>
                <w:sz w:val="20"/>
                <w:szCs w:val="20"/>
                <w:color w:val="auto"/>
              </w:rPr>
            </w:pPr>
            <w:r>
              <w:rPr>
                <w:rFonts w:ascii="Arial" w:cs="Arial" w:eastAsia="Arial" w:hAnsi="Arial"/>
                <w:sz w:val="13"/>
                <w:szCs w:val="13"/>
                <w:b w:val="1"/>
                <w:bCs w:val="1"/>
                <w:color w:val="auto"/>
              </w:rPr>
              <w:t>receivables</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for-sale</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maturity</w:t>
            </w:r>
          </w:p>
        </w:tc>
        <w:tc>
          <w:tcPr>
            <w:tcW w:w="880" w:type="dxa"/>
            <w:vAlign w:val="bottom"/>
            <w:gridSpan w:val="2"/>
            <w:vMerge w:val="continue"/>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hedging</w:t>
            </w:r>
          </w:p>
        </w:tc>
        <w:tc>
          <w:tcPr>
            <w:tcW w:w="740" w:type="dxa"/>
            <w:vAlign w:val="bottom"/>
            <w:gridSpan w:val="2"/>
            <w:vMerge w:val="continue"/>
          </w:tcPr>
          <w:p>
            <w:pPr>
              <w:spacing w:after="0"/>
              <w:rPr>
                <w:sz w:val="13"/>
                <w:szCs w:val="13"/>
                <w:color w:val="auto"/>
              </w:rPr>
            </w:pPr>
          </w:p>
        </w:tc>
        <w:tc>
          <w:tcPr>
            <w:tcW w:w="940" w:type="dxa"/>
            <w:vAlign w:val="bottom"/>
            <w:gridSpan w:val="3"/>
          </w:tcPr>
          <w:p>
            <w:pPr>
              <w:ind w:left="80"/>
              <w:spacing w:after="0"/>
              <w:rPr>
                <w:sz w:val="20"/>
                <w:szCs w:val="20"/>
                <w:color w:val="auto"/>
              </w:rPr>
            </w:pPr>
            <w:r>
              <w:rPr>
                <w:rFonts w:ascii="Arial" w:cs="Arial" w:eastAsia="Arial" w:hAnsi="Arial"/>
                <w:sz w:val="13"/>
                <w:szCs w:val="13"/>
                <w:b w:val="1"/>
                <w:bCs w:val="1"/>
                <w:color w:val="auto"/>
              </w:rPr>
              <w:t>receivables</w:t>
            </w: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for-sale</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maturity</w:t>
            </w:r>
          </w:p>
        </w:tc>
        <w:tc>
          <w:tcPr>
            <w:tcW w:w="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6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1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2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Banco Central de</w:t>
            </w: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3"/>
                <w:szCs w:val="13"/>
                <w:color w:val="auto"/>
              </w:rPr>
              <w:t>Reserva del Perú</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2,122,662</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18,748,155</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3,419,374</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24,290,191</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1,618,619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24,036,302</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4,593,585</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30,248,506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Pr>
          <w:p>
            <w:pPr>
              <w:spacing w:after="0" w:line="133" w:lineRule="exact"/>
              <w:rPr>
                <w:sz w:val="20"/>
                <w:szCs w:val="20"/>
                <w:color w:val="auto"/>
              </w:rPr>
            </w:pPr>
            <w:r>
              <w:rPr>
                <w:rFonts w:ascii="Arial" w:cs="Arial" w:eastAsia="Arial" w:hAnsi="Arial"/>
                <w:sz w:val="13"/>
                <w:szCs w:val="13"/>
                <w:color w:val="auto"/>
              </w:rPr>
              <w:t>Financial services</w:t>
            </w: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2,051,650</w:t>
            </w:r>
          </w:p>
        </w:tc>
        <w:tc>
          <w:tcPr>
            <w:tcW w:w="260" w:type="dxa"/>
            <w:vAlign w:val="bottom"/>
          </w:tcPr>
          <w:p>
            <w:pPr>
              <w:spacing w:after="0"/>
              <w:rPr>
                <w:sz w:val="11"/>
                <w:szCs w:val="11"/>
                <w:color w:val="auto"/>
              </w:rPr>
            </w:pPr>
          </w:p>
        </w:tc>
        <w:tc>
          <w:tcPr>
            <w:tcW w:w="76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321,298</w:t>
            </w:r>
          </w:p>
        </w:tc>
        <w:tc>
          <w:tcPr>
            <w:tcW w:w="78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10,732,478</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3"/>
                <w:szCs w:val="13"/>
                <w:color w:val="auto"/>
              </w:rPr>
              <w:t>5,721,827</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308,961</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19,136,214</w:t>
            </w:r>
          </w:p>
        </w:tc>
        <w:tc>
          <w:tcPr>
            <w:tcW w:w="82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1,305,929</w:t>
            </w:r>
          </w:p>
        </w:tc>
        <w:tc>
          <w:tcPr>
            <w:tcW w:w="74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255,630</w:t>
            </w:r>
          </w:p>
        </w:tc>
        <w:tc>
          <w:tcPr>
            <w:tcW w:w="80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10,990,139</w:t>
            </w: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3"/>
                <w:szCs w:val="13"/>
                <w:color w:val="auto"/>
              </w:rPr>
              <w:t>6,021,800</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18,573,498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Manufacturing</w:t>
            </w:r>
          </w:p>
        </w:tc>
        <w:tc>
          <w:tcPr>
            <w:tcW w:w="96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3"/>
                <w:szCs w:val="13"/>
                <w:color w:val="auto"/>
              </w:rPr>
              <w:t>9,886</w:t>
            </w:r>
          </w:p>
        </w:tc>
        <w:tc>
          <w:tcPr>
            <w:tcW w:w="7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12,026</w:t>
            </w:r>
          </w:p>
        </w:tc>
        <w:tc>
          <w:tcPr>
            <w:tcW w:w="7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13,952,167</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1,650,833</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37,965</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15,662,877</w:t>
            </w:r>
          </w:p>
        </w:tc>
        <w:tc>
          <w:tcPr>
            <w:tcW w:w="82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28,211</w:t>
            </w:r>
          </w:p>
        </w:tc>
        <w:tc>
          <w:tcPr>
            <w:tcW w:w="7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8,423</w:t>
            </w:r>
          </w:p>
        </w:tc>
        <w:tc>
          <w:tcPr>
            <w:tcW w:w="8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13,035,603</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1,437,064</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14,509,301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Pr>
          <w:p>
            <w:pPr>
              <w:spacing w:after="0" w:line="133" w:lineRule="exact"/>
              <w:rPr>
                <w:sz w:val="20"/>
                <w:szCs w:val="20"/>
                <w:color w:val="auto"/>
              </w:rPr>
            </w:pPr>
            <w:r>
              <w:rPr>
                <w:rFonts w:ascii="Arial" w:cs="Arial" w:eastAsia="Arial" w:hAnsi="Arial"/>
                <w:sz w:val="13"/>
                <w:szCs w:val="13"/>
                <w:color w:val="auto"/>
              </w:rPr>
              <w:t>Mortgage loans</w:t>
            </w: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13,283,126</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13,283,126</w:t>
            </w:r>
          </w:p>
        </w:tc>
        <w:tc>
          <w:tcPr>
            <w:tcW w:w="82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12,765,981</w:t>
            </w: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12,765,981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Consumer loans</w:t>
            </w: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11,410,640</w:t>
            </w: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11,410,640</w:t>
            </w:r>
          </w:p>
        </w:tc>
        <w:tc>
          <w:tcPr>
            <w:tcW w:w="82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11,282,568</w:t>
            </w: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11,282,568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Pr>
          <w:p>
            <w:pPr>
              <w:spacing w:after="0" w:line="133" w:lineRule="exact"/>
              <w:rPr>
                <w:sz w:val="20"/>
                <w:szCs w:val="20"/>
                <w:color w:val="auto"/>
              </w:rPr>
            </w:pPr>
            <w:r>
              <w:rPr>
                <w:rFonts w:ascii="Arial" w:cs="Arial" w:eastAsia="Arial" w:hAnsi="Arial"/>
                <w:sz w:val="13"/>
                <w:szCs w:val="13"/>
                <w:color w:val="auto"/>
              </w:rPr>
              <w:t>Micro-business loans</w:t>
            </w: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5,175,700</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5,175,700</w:t>
            </w:r>
          </w:p>
        </w:tc>
        <w:tc>
          <w:tcPr>
            <w:tcW w:w="82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10,825,304</w:t>
            </w: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10,825,304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Commerce</w:t>
            </w:r>
          </w:p>
        </w:tc>
        <w:tc>
          <w:tcPr>
            <w:tcW w:w="96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3"/>
                <w:szCs w:val="13"/>
                <w:color w:val="auto"/>
              </w:rPr>
              <w:t>35,022</w:t>
            </w:r>
          </w:p>
        </w:tc>
        <w:tc>
          <w:tcPr>
            <w:tcW w:w="7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3,693</w:t>
            </w:r>
          </w:p>
        </w:tc>
        <w:tc>
          <w:tcPr>
            <w:tcW w:w="7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14,242,421</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192,136</w:t>
            </w:r>
          </w:p>
        </w:tc>
        <w:tc>
          <w:tcPr>
            <w:tcW w:w="82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14,765</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14,488,037</w:t>
            </w:r>
          </w:p>
        </w:tc>
        <w:tc>
          <w:tcPr>
            <w:tcW w:w="82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48,881</w:t>
            </w:r>
          </w:p>
        </w:tc>
        <w:tc>
          <w:tcPr>
            <w:tcW w:w="7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9,815,475</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212,512</w:t>
            </w:r>
          </w:p>
        </w:tc>
        <w:tc>
          <w:tcPr>
            <w:tcW w:w="84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10,076,868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tcPr>
          <w:p>
            <w:pPr>
              <w:spacing w:after="0" w:line="117" w:lineRule="exact"/>
              <w:rPr>
                <w:sz w:val="20"/>
                <w:szCs w:val="20"/>
                <w:color w:val="auto"/>
              </w:rPr>
            </w:pPr>
            <w:r>
              <w:rPr>
                <w:rFonts w:ascii="Arial" w:cs="Arial" w:eastAsia="Arial" w:hAnsi="Arial"/>
                <w:sz w:val="13"/>
                <w:szCs w:val="13"/>
                <w:color w:val="auto"/>
                <w:w w:val="92"/>
              </w:rPr>
              <w:t>Government and public</w:t>
            </w: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rPr>
                <w:sz w:val="20"/>
                <w:szCs w:val="20"/>
                <w:color w:val="auto"/>
              </w:rPr>
            </w:pPr>
            <w:r>
              <w:rPr>
                <w:rFonts w:ascii="Arial" w:cs="Arial" w:eastAsia="Arial" w:hAnsi="Arial"/>
                <w:sz w:val="13"/>
                <w:szCs w:val="13"/>
                <w:color w:val="auto"/>
              </w:rPr>
              <w:t>administration</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221,754</w:t>
            </w:r>
          </w:p>
        </w:tc>
        <w:tc>
          <w:tcPr>
            <w:tcW w:w="700" w:type="dxa"/>
            <w:vAlign w:val="bottom"/>
          </w:tcPr>
          <w:p>
            <w:pPr>
              <w:jc w:val="right"/>
              <w:spacing w:after="0"/>
              <w:rPr>
                <w:sz w:val="20"/>
                <w:szCs w:val="20"/>
                <w:color w:val="auto"/>
              </w:rPr>
            </w:pPr>
            <w:r>
              <w:rPr>
                <w:rFonts w:ascii="Arial" w:cs="Arial" w:eastAsia="Arial" w:hAnsi="Arial"/>
                <w:sz w:val="13"/>
                <w:szCs w:val="13"/>
                <w:color w:val="auto"/>
              </w:rPr>
              <w:t>11,199</w:t>
            </w:r>
          </w:p>
        </w:tc>
        <w:tc>
          <w:tcPr>
            <w:tcW w:w="60" w:type="dxa"/>
            <w:vAlign w:val="bottom"/>
          </w:tcPr>
          <w:p>
            <w:pPr>
              <w:spacing w:after="0"/>
              <w:rPr>
                <w:sz w:val="12"/>
                <w:szCs w:val="12"/>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245,948</w:t>
            </w:r>
          </w:p>
        </w:tc>
        <w:tc>
          <w:tcPr>
            <w:tcW w:w="720" w:type="dxa"/>
            <w:vAlign w:val="bottom"/>
          </w:tcPr>
          <w:p>
            <w:pPr>
              <w:jc w:val="right"/>
              <w:spacing w:after="0"/>
              <w:rPr>
                <w:sz w:val="20"/>
                <w:szCs w:val="20"/>
                <w:color w:val="auto"/>
              </w:rPr>
            </w:pPr>
            <w:r>
              <w:rPr>
                <w:rFonts w:ascii="Arial" w:cs="Arial" w:eastAsia="Arial" w:hAnsi="Arial"/>
                <w:sz w:val="13"/>
                <w:szCs w:val="13"/>
                <w:color w:val="auto"/>
              </w:rPr>
              <w:t>2,830,156</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4,651,535</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7,960,592</w:t>
            </w: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425,392</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1,767</w:t>
            </w: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370,372</w:t>
            </w:r>
          </w:p>
        </w:tc>
        <w:tc>
          <w:tcPr>
            <w:tcW w:w="720" w:type="dxa"/>
            <w:vAlign w:val="bottom"/>
          </w:tcPr>
          <w:p>
            <w:pPr>
              <w:jc w:val="right"/>
              <w:spacing w:after="0"/>
              <w:rPr>
                <w:sz w:val="20"/>
                <w:szCs w:val="20"/>
                <w:color w:val="auto"/>
              </w:rPr>
            </w:pPr>
            <w:r>
              <w:rPr>
                <w:rFonts w:ascii="Arial" w:cs="Arial" w:eastAsia="Arial" w:hAnsi="Arial"/>
                <w:sz w:val="13"/>
                <w:szCs w:val="13"/>
                <w:color w:val="auto"/>
              </w:rPr>
              <w:t>2,213,647</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3,582,129</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6,593,307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Electricity, gas and</w:t>
            </w: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3"/>
                <w:szCs w:val="13"/>
                <w:color w:val="auto"/>
              </w:rPr>
              <w:t>water</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26,068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41,877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4,562,433</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1,903,494</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44,640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6,578,512</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62,141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40,265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4,258,699</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1,745,564</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6,106,669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Pr>
          <w:p>
            <w:pPr>
              <w:spacing w:after="0" w:line="133" w:lineRule="exact"/>
              <w:rPr>
                <w:sz w:val="20"/>
                <w:szCs w:val="20"/>
                <w:color w:val="auto"/>
              </w:rPr>
            </w:pPr>
            <w:r>
              <w:rPr>
                <w:rFonts w:ascii="Arial" w:cs="Arial" w:eastAsia="Arial" w:hAnsi="Arial"/>
                <w:sz w:val="13"/>
                <w:szCs w:val="13"/>
                <w:color w:val="auto"/>
              </w:rPr>
              <w:t>Community services</w:t>
            </w: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00" w:type="dxa"/>
            <w:vAlign w:val="bottom"/>
            <w:gridSpan w:val="3"/>
          </w:tcPr>
          <w:p>
            <w:pPr>
              <w:jc w:val="right"/>
              <w:ind w:right="120"/>
              <w:spacing w:after="0" w:line="133" w:lineRule="exact"/>
              <w:rPr>
                <w:sz w:val="20"/>
                <w:szCs w:val="20"/>
                <w:color w:val="auto"/>
              </w:rPr>
            </w:pPr>
            <w:r>
              <w:rPr>
                <w:rFonts w:ascii="Arial" w:cs="Arial" w:eastAsia="Arial" w:hAnsi="Arial"/>
                <w:sz w:val="13"/>
                <w:szCs w:val="13"/>
                <w:color w:val="auto"/>
              </w:rPr>
              <w:t>4,118,309</w:t>
            </w:r>
          </w:p>
        </w:tc>
        <w:tc>
          <w:tcPr>
            <w:tcW w:w="840" w:type="dxa"/>
            <w:vAlign w:val="bottom"/>
            <w:gridSpan w:val="2"/>
          </w:tcPr>
          <w:p>
            <w:pPr>
              <w:jc w:val="right"/>
              <w:ind w:right="120"/>
              <w:spacing w:after="0" w:line="133" w:lineRule="exact"/>
              <w:rPr>
                <w:sz w:val="20"/>
                <w:szCs w:val="20"/>
                <w:color w:val="auto"/>
              </w:rPr>
            </w:pPr>
            <w:r>
              <w:rPr>
                <w:rFonts w:ascii="Arial" w:cs="Arial" w:eastAsia="Arial" w:hAnsi="Arial"/>
                <w:sz w:val="13"/>
                <w:szCs w:val="13"/>
                <w:color w:val="auto"/>
              </w:rPr>
              <w:t>43,992</w:t>
            </w:r>
          </w:p>
        </w:tc>
        <w:tc>
          <w:tcPr>
            <w:tcW w:w="82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4,162,301</w:t>
            </w:r>
          </w:p>
        </w:tc>
        <w:tc>
          <w:tcPr>
            <w:tcW w:w="82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4,391,748</w:t>
            </w: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4,391,748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Communications,</w:t>
            </w: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storage and</w:t>
            </w: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3"/>
                <w:szCs w:val="13"/>
                <w:color w:val="auto"/>
              </w:rPr>
              <w:t>transportation</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8,043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6,659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4,122,639</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983,966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35,998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5,157,305</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9,366</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5,043</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2,997,811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890,635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3,902,855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Pr>
          <w:p>
            <w:pPr>
              <w:spacing w:after="0" w:line="133" w:lineRule="exact"/>
              <w:rPr>
                <w:sz w:val="20"/>
                <w:szCs w:val="20"/>
                <w:color w:val="auto"/>
              </w:rPr>
            </w:pPr>
            <w:r>
              <w:rPr>
                <w:rFonts w:ascii="Arial" w:cs="Arial" w:eastAsia="Arial" w:hAnsi="Arial"/>
                <w:sz w:val="13"/>
                <w:szCs w:val="13"/>
                <w:color w:val="auto"/>
              </w:rPr>
              <w:t>Mining</w:t>
            </w:r>
          </w:p>
        </w:tc>
        <w:tc>
          <w:tcPr>
            <w:tcW w:w="960" w:type="dxa"/>
            <w:vAlign w:val="bottom"/>
            <w:gridSpan w:val="2"/>
          </w:tcPr>
          <w:p>
            <w:pPr>
              <w:jc w:val="right"/>
              <w:ind w:right="260"/>
              <w:spacing w:after="0" w:line="133" w:lineRule="exact"/>
              <w:rPr>
                <w:sz w:val="20"/>
                <w:szCs w:val="20"/>
                <w:color w:val="auto"/>
              </w:rPr>
            </w:pPr>
            <w:r>
              <w:rPr>
                <w:rFonts w:ascii="Arial" w:cs="Arial" w:eastAsia="Arial" w:hAnsi="Arial"/>
                <w:sz w:val="13"/>
                <w:szCs w:val="13"/>
                <w:color w:val="auto"/>
              </w:rPr>
              <w:t>40,441</w:t>
            </w:r>
          </w:p>
        </w:tc>
        <w:tc>
          <w:tcPr>
            <w:tcW w:w="76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32,380</w:t>
            </w:r>
          </w:p>
        </w:tc>
        <w:tc>
          <w:tcPr>
            <w:tcW w:w="78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2,318,702</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line="133" w:lineRule="exact"/>
              <w:rPr>
                <w:sz w:val="20"/>
                <w:szCs w:val="20"/>
                <w:color w:val="auto"/>
              </w:rPr>
            </w:pPr>
            <w:r>
              <w:rPr>
                <w:rFonts w:ascii="Arial" w:cs="Arial" w:eastAsia="Arial" w:hAnsi="Arial"/>
                <w:sz w:val="13"/>
                <w:szCs w:val="13"/>
                <w:color w:val="auto"/>
              </w:rPr>
              <w:t>285,571</w:t>
            </w:r>
          </w:p>
        </w:tc>
        <w:tc>
          <w:tcPr>
            <w:tcW w:w="82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2,677,094</w:t>
            </w:r>
          </w:p>
        </w:tc>
        <w:tc>
          <w:tcPr>
            <w:tcW w:w="82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55,497</w:t>
            </w:r>
          </w:p>
        </w:tc>
        <w:tc>
          <w:tcPr>
            <w:tcW w:w="74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21,665</w:t>
            </w:r>
          </w:p>
        </w:tc>
        <w:tc>
          <w:tcPr>
            <w:tcW w:w="80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2,644,951</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372,092</w:t>
            </w:r>
          </w:p>
        </w:tc>
        <w:tc>
          <w:tcPr>
            <w:tcW w:w="84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3,094,205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Construction</w:t>
            </w:r>
          </w:p>
        </w:tc>
        <w:tc>
          <w:tcPr>
            <w:tcW w:w="96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3"/>
                <w:szCs w:val="13"/>
                <w:color w:val="auto"/>
              </w:rPr>
              <w:t>45,030</w:t>
            </w:r>
          </w:p>
        </w:tc>
        <w:tc>
          <w:tcPr>
            <w:tcW w:w="7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27,033</w:t>
            </w:r>
          </w:p>
        </w:tc>
        <w:tc>
          <w:tcPr>
            <w:tcW w:w="7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1,910,677</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387,779</w:t>
            </w:r>
          </w:p>
        </w:tc>
        <w:tc>
          <w:tcPr>
            <w:tcW w:w="82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9,569</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2,380,088</w:t>
            </w:r>
          </w:p>
        </w:tc>
        <w:tc>
          <w:tcPr>
            <w:tcW w:w="82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69,160</w:t>
            </w:r>
          </w:p>
        </w:tc>
        <w:tc>
          <w:tcPr>
            <w:tcW w:w="7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17,535</w:t>
            </w:r>
          </w:p>
        </w:tc>
        <w:tc>
          <w:tcPr>
            <w:tcW w:w="8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1,888,732</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357,016</w:t>
            </w:r>
          </w:p>
        </w:tc>
        <w:tc>
          <w:tcPr>
            <w:tcW w:w="84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2,332,443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Pr>
          <w:p>
            <w:pPr>
              <w:spacing w:after="0" w:line="133" w:lineRule="exact"/>
              <w:rPr>
                <w:sz w:val="20"/>
                <w:szCs w:val="20"/>
                <w:color w:val="auto"/>
              </w:rPr>
            </w:pPr>
            <w:r>
              <w:rPr>
                <w:rFonts w:ascii="Arial" w:cs="Arial" w:eastAsia="Arial" w:hAnsi="Arial"/>
                <w:sz w:val="13"/>
                <w:szCs w:val="13"/>
                <w:color w:val="auto"/>
              </w:rPr>
              <w:t>Agriculture</w:t>
            </w:r>
          </w:p>
        </w:tc>
        <w:tc>
          <w:tcPr>
            <w:tcW w:w="960" w:type="dxa"/>
            <w:vAlign w:val="bottom"/>
            <w:gridSpan w:val="2"/>
          </w:tcPr>
          <w:p>
            <w:pPr>
              <w:jc w:val="right"/>
              <w:ind w:right="260"/>
              <w:spacing w:after="0" w:line="133" w:lineRule="exact"/>
              <w:rPr>
                <w:sz w:val="20"/>
                <w:szCs w:val="20"/>
                <w:color w:val="auto"/>
              </w:rPr>
            </w:pPr>
            <w:r>
              <w:rPr>
                <w:rFonts w:ascii="Arial" w:cs="Arial" w:eastAsia="Arial" w:hAnsi="Arial"/>
                <w:sz w:val="13"/>
                <w:szCs w:val="13"/>
                <w:color w:val="auto"/>
              </w:rPr>
              <w:t>14,992</w:t>
            </w: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2,222,398</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line="133" w:lineRule="exact"/>
              <w:rPr>
                <w:sz w:val="20"/>
                <w:szCs w:val="20"/>
                <w:color w:val="auto"/>
              </w:rPr>
            </w:pPr>
            <w:r>
              <w:rPr>
                <w:rFonts w:ascii="Arial" w:cs="Arial" w:eastAsia="Arial" w:hAnsi="Arial"/>
                <w:sz w:val="13"/>
                <w:szCs w:val="13"/>
                <w:color w:val="auto"/>
              </w:rPr>
              <w:t>5,100</w:t>
            </w:r>
          </w:p>
        </w:tc>
        <w:tc>
          <w:tcPr>
            <w:tcW w:w="82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2,242,490</w:t>
            </w:r>
          </w:p>
        </w:tc>
        <w:tc>
          <w:tcPr>
            <w:tcW w:w="82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13,636</w:t>
            </w:r>
          </w:p>
        </w:tc>
        <w:tc>
          <w:tcPr>
            <w:tcW w:w="74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1,870,989</w:t>
            </w: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3"/>
                <w:szCs w:val="13"/>
                <w:color w:val="auto"/>
              </w:rPr>
              <w:t>469</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1,885,094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Insurance</w:t>
            </w:r>
          </w:p>
        </w:tc>
        <w:tc>
          <w:tcPr>
            <w:tcW w:w="96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3"/>
                <w:szCs w:val="13"/>
                <w:color w:val="auto"/>
              </w:rPr>
              <w:t>24,376</w:t>
            </w: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1,288,212</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1,312,588</w:t>
            </w:r>
          </w:p>
        </w:tc>
        <w:tc>
          <w:tcPr>
            <w:tcW w:w="82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24,812</w:t>
            </w:r>
          </w:p>
        </w:tc>
        <w:tc>
          <w:tcPr>
            <w:tcW w:w="7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1,488,533</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342,235</w:t>
            </w:r>
          </w:p>
        </w:tc>
        <w:tc>
          <w:tcPr>
            <w:tcW w:w="84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1,855,580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tcPr>
          <w:p>
            <w:pPr>
              <w:spacing w:after="0" w:line="117" w:lineRule="exact"/>
              <w:rPr>
                <w:sz w:val="20"/>
                <w:szCs w:val="20"/>
                <w:color w:val="auto"/>
              </w:rPr>
            </w:pPr>
            <w:r>
              <w:rPr>
                <w:rFonts w:ascii="Arial" w:cs="Arial" w:eastAsia="Arial" w:hAnsi="Arial"/>
                <w:sz w:val="13"/>
                <w:szCs w:val="13"/>
                <w:color w:val="auto"/>
                <w:w w:val="98"/>
              </w:rPr>
              <w:t>Education, health and</w:t>
            </w: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rPr>
                <w:sz w:val="20"/>
                <w:szCs w:val="20"/>
                <w:color w:val="auto"/>
              </w:rPr>
            </w:pPr>
            <w:r>
              <w:rPr>
                <w:rFonts w:ascii="Arial" w:cs="Arial" w:eastAsia="Arial" w:hAnsi="Arial"/>
                <w:sz w:val="13"/>
                <w:szCs w:val="13"/>
                <w:color w:val="auto"/>
              </w:rPr>
              <w:t>other services</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9,956</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2,934</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912,031</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359,602</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3,471</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1,287,994</w:t>
            </w: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24,982</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1,171,341</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216,423</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1,412,746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Real Estate and</w:t>
            </w: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3"/>
                <w:szCs w:val="13"/>
                <w:color w:val="auto"/>
              </w:rPr>
              <w:t>Leasing</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17,359</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7,115,947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244,377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7,377,683</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34,500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520,687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236,558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791,745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Pr>
          <w:p>
            <w:pPr>
              <w:spacing w:after="0" w:line="133" w:lineRule="exact"/>
              <w:rPr>
                <w:sz w:val="20"/>
                <w:szCs w:val="20"/>
                <w:color w:val="auto"/>
              </w:rPr>
            </w:pPr>
            <w:r>
              <w:rPr>
                <w:rFonts w:ascii="Arial" w:cs="Arial" w:eastAsia="Arial" w:hAnsi="Arial"/>
                <w:sz w:val="13"/>
                <w:szCs w:val="13"/>
                <w:color w:val="auto"/>
              </w:rPr>
              <w:t>Fishing</w:t>
            </w:r>
          </w:p>
        </w:tc>
        <w:tc>
          <w:tcPr>
            <w:tcW w:w="960" w:type="dxa"/>
            <w:vAlign w:val="bottom"/>
            <w:gridSpan w:val="2"/>
          </w:tcPr>
          <w:p>
            <w:pPr>
              <w:jc w:val="right"/>
              <w:ind w:right="260"/>
              <w:spacing w:after="0" w:line="133" w:lineRule="exact"/>
              <w:rPr>
                <w:sz w:val="20"/>
                <w:szCs w:val="20"/>
                <w:color w:val="auto"/>
              </w:rPr>
            </w:pPr>
            <w:r>
              <w:rPr>
                <w:rFonts w:ascii="Arial" w:cs="Arial" w:eastAsia="Arial" w:hAnsi="Arial"/>
                <w:sz w:val="13"/>
                <w:szCs w:val="13"/>
                <w:color w:val="auto"/>
              </w:rPr>
              <w:t>7,521</w:t>
            </w: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00" w:type="dxa"/>
            <w:vAlign w:val="bottom"/>
            <w:gridSpan w:val="3"/>
          </w:tcPr>
          <w:p>
            <w:pPr>
              <w:jc w:val="right"/>
              <w:ind w:right="120"/>
              <w:spacing w:after="0" w:line="133" w:lineRule="exact"/>
              <w:rPr>
                <w:sz w:val="20"/>
                <w:szCs w:val="20"/>
                <w:color w:val="auto"/>
              </w:rPr>
            </w:pPr>
            <w:r>
              <w:rPr>
                <w:rFonts w:ascii="Arial" w:cs="Arial" w:eastAsia="Arial" w:hAnsi="Arial"/>
                <w:sz w:val="13"/>
                <w:szCs w:val="13"/>
                <w:color w:val="auto"/>
              </w:rPr>
              <w:t>405,538</w:t>
            </w:r>
          </w:p>
        </w:tc>
        <w:tc>
          <w:tcPr>
            <w:tcW w:w="72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413,059</w:t>
            </w:r>
          </w:p>
        </w:tc>
        <w:tc>
          <w:tcPr>
            <w:tcW w:w="82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18,054</w:t>
            </w:r>
          </w:p>
        </w:tc>
        <w:tc>
          <w:tcPr>
            <w:tcW w:w="74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407,193</w:t>
            </w:r>
          </w:p>
        </w:tc>
        <w:tc>
          <w:tcPr>
            <w:tcW w:w="72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425,247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Others</w:t>
            </w:r>
          </w:p>
        </w:tc>
        <w:tc>
          <w:tcPr>
            <w:tcW w:w="96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3"/>
                <w:szCs w:val="13"/>
                <w:color w:val="auto"/>
              </w:rPr>
              <w:t>322,861</w:t>
            </w: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4,234,272</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3"/>
                <w:szCs w:val="13"/>
                <w:color w:val="auto"/>
              </w:rPr>
              <w:t>657,460</w:t>
            </w:r>
          </w:p>
        </w:tc>
        <w:tc>
          <w:tcPr>
            <w:tcW w:w="8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11,516</w:t>
            </w: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5,226,109</w:t>
            </w:r>
          </w:p>
        </w:tc>
        <w:tc>
          <w:tcPr>
            <w:tcW w:w="8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59,432</w:t>
            </w:r>
          </w:p>
        </w:tc>
        <w:tc>
          <w:tcPr>
            <w:tcW w:w="7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8,241,667</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129,321</w:t>
            </w:r>
          </w:p>
        </w:tc>
        <w:tc>
          <w:tcPr>
            <w:tcW w:w="8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8,430,420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60" w:type="dxa"/>
            <w:vAlign w:val="bottom"/>
          </w:tcPr>
          <w:p>
            <w:pPr>
              <w:spacing w:after="0" w:line="125" w:lineRule="exact"/>
              <w:rPr>
                <w:sz w:val="20"/>
                <w:szCs w:val="20"/>
                <w:color w:val="auto"/>
              </w:rPr>
            </w:pPr>
            <w:r>
              <w:rPr>
                <w:rFonts w:ascii="Arial" w:cs="Arial" w:eastAsia="Arial" w:hAnsi="Arial"/>
                <w:sz w:val="13"/>
                <w:szCs w:val="13"/>
                <w:b w:val="1"/>
                <w:bCs w:val="1"/>
                <w:color w:val="auto"/>
              </w:rPr>
              <w:t>Total</w:t>
            </w: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4,957,621</w:t>
            </w:r>
          </w:p>
        </w:tc>
        <w:tc>
          <w:tcPr>
            <w:tcW w:w="26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459,099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w w:val="96"/>
              </w:rPr>
              <w:t>121,001,793</w:t>
            </w:r>
          </w:p>
        </w:tc>
        <w:tc>
          <w:tcPr>
            <w:tcW w:w="12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18,685,667</w:t>
            </w:r>
          </w:p>
        </w:tc>
        <w:tc>
          <w:tcPr>
            <w:tcW w:w="12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5,118,420</w:t>
            </w:r>
          </w:p>
        </w:tc>
        <w:tc>
          <w:tcPr>
            <w:tcW w:w="14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w w:val="99"/>
              </w:rPr>
              <w:t>150,222,600</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3,798,612</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350,328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w w:val="96"/>
              </w:rPr>
              <w:t>123,004,095</w:t>
            </w:r>
          </w:p>
        </w:tc>
        <w:tc>
          <w:tcPr>
            <w:tcW w:w="14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18,768,921</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ind w:left="180"/>
              <w:spacing w:after="0" w:line="125" w:lineRule="exact"/>
              <w:rPr>
                <w:sz w:val="20"/>
                <w:szCs w:val="20"/>
                <w:color w:val="auto"/>
              </w:rPr>
            </w:pPr>
            <w:r>
              <w:rPr>
                <w:rFonts w:ascii="Arial" w:cs="Arial" w:eastAsia="Arial" w:hAnsi="Arial"/>
                <w:sz w:val="13"/>
                <w:szCs w:val="13"/>
                <w:color w:val="auto"/>
                <w:w w:val="82"/>
              </w:rPr>
              <w:t>3,582,129</w:t>
            </w:r>
          </w:p>
        </w:tc>
        <w:tc>
          <w:tcPr>
            <w:tcW w:w="16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w w:val="96"/>
              </w:rPr>
              <w:t>149,504,085</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- 126 -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8" w:right="21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color w:val="auto"/>
        </w:rPr>
        <w:t>As of December 31, 2016 and 2015 financial instruments with exposure to credit risk were distributed by the following geographical areas: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gridSpan w:val="2"/>
          </w:tcPr>
          <w:p>
            <w:pPr>
              <w:ind w:left="220"/>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2015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Borders>
              <w:top w:val="single" w:sz="8" w:color="auto"/>
            </w:tcBorders>
            <w:gridSpan w:val="4"/>
          </w:tcPr>
          <w:p>
            <w:pPr>
              <w:spacing w:after="0" w:line="105" w:lineRule="exact"/>
              <w:rPr>
                <w:sz w:val="20"/>
                <w:szCs w:val="20"/>
                <w:color w:val="auto"/>
              </w:rPr>
            </w:pPr>
            <w:r>
              <w:rPr>
                <w:rFonts w:ascii="Arial" w:cs="Arial" w:eastAsia="Arial" w:hAnsi="Arial"/>
                <w:sz w:val="12"/>
                <w:szCs w:val="12"/>
                <w:b w:val="1"/>
                <w:bCs w:val="1"/>
                <w:color w:val="auto"/>
              </w:rPr>
              <w:t>Designed at fair value</w:t>
            </w:r>
          </w:p>
        </w:tc>
        <w:tc>
          <w:tcPr>
            <w:tcW w:w="7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tcBorders>
              <w:top w:val="single" w:sz="8" w:color="auto"/>
            </w:tcBorders>
            <w:gridSpan w:val="6"/>
          </w:tcPr>
          <w:p>
            <w:pPr>
              <w:spacing w:after="0" w:line="105" w:lineRule="exact"/>
              <w:rPr>
                <w:sz w:val="20"/>
                <w:szCs w:val="20"/>
                <w:color w:val="auto"/>
              </w:rPr>
            </w:pPr>
            <w:r>
              <w:rPr>
                <w:rFonts w:ascii="Arial" w:cs="Arial" w:eastAsia="Arial" w:hAnsi="Arial"/>
                <w:sz w:val="12"/>
                <w:szCs w:val="12"/>
                <w:b w:val="1"/>
                <w:bCs w:val="1"/>
                <w:color w:val="auto"/>
              </w:rPr>
              <w:t>Designed at fair value</w:t>
            </w:r>
          </w:p>
        </w:tc>
        <w:tc>
          <w:tcPr>
            <w:tcW w:w="7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6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through profit for loss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Investments</w:t>
            </w:r>
          </w:p>
        </w:tc>
        <w:tc>
          <w:tcPr>
            <w:tcW w:w="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Investments</w:t>
            </w:r>
          </w:p>
        </w:tc>
        <w:tc>
          <w:tcPr>
            <w:tcW w:w="1640" w:type="dxa"/>
            <w:vAlign w:val="bottom"/>
            <w:gridSpan w:val="6"/>
          </w:tcPr>
          <w:p>
            <w:pPr>
              <w:spacing w:after="0"/>
              <w:rPr>
                <w:sz w:val="20"/>
                <w:szCs w:val="20"/>
                <w:color w:val="auto"/>
              </w:rPr>
            </w:pPr>
            <w:r>
              <w:rPr>
                <w:rFonts w:ascii="Arial" w:cs="Arial" w:eastAsia="Arial" w:hAnsi="Arial"/>
                <w:sz w:val="13"/>
                <w:szCs w:val="13"/>
                <w:b w:val="1"/>
                <w:bCs w:val="1"/>
                <w:color w:val="auto"/>
              </w:rPr>
              <w:t>through profit for loss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Investments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top w:val="single" w:sz="8" w:color="auto"/>
            </w:tcBorders>
            <w:gridSpan w:val="2"/>
          </w:tcPr>
          <w:p>
            <w:pPr>
              <w:spacing w:after="0" w:line="105" w:lineRule="exact"/>
              <w:rPr>
                <w:sz w:val="20"/>
                <w:szCs w:val="20"/>
                <w:color w:val="auto"/>
              </w:rPr>
            </w:pPr>
            <w:r>
              <w:rPr>
                <w:rFonts w:ascii="Arial" w:cs="Arial" w:eastAsia="Arial" w:hAnsi="Arial"/>
                <w:sz w:val="12"/>
                <w:szCs w:val="12"/>
                <w:b w:val="1"/>
                <w:bCs w:val="1"/>
                <w:color w:val="auto"/>
              </w:rPr>
              <w:t>Held for</w:t>
            </w:r>
          </w:p>
        </w:tc>
        <w:tc>
          <w:tcPr>
            <w:tcW w:w="660" w:type="dxa"/>
            <w:vAlign w:val="bottom"/>
            <w:tcBorders>
              <w:top w:val="single" w:sz="8" w:color="auto"/>
            </w:tcBorders>
          </w:tcPr>
          <w:p>
            <w:pPr>
              <w:spacing w:after="0" w:line="105" w:lineRule="exact"/>
              <w:rPr>
                <w:sz w:val="20"/>
                <w:szCs w:val="20"/>
                <w:color w:val="auto"/>
              </w:rPr>
            </w:pPr>
            <w:r>
              <w:rPr>
                <w:rFonts w:ascii="Arial" w:cs="Arial" w:eastAsia="Arial" w:hAnsi="Arial"/>
                <w:sz w:val="12"/>
                <w:szCs w:val="12"/>
                <w:b w:val="1"/>
                <w:bCs w:val="1"/>
                <w:color w:val="auto"/>
              </w:rPr>
              <w:t>Held for</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Loans and</w:t>
            </w:r>
          </w:p>
        </w:tc>
        <w:tc>
          <w:tcPr>
            <w:tcW w:w="880" w:type="dxa"/>
            <w:vAlign w:val="bottom"/>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740" w:type="dxa"/>
            <w:vAlign w:val="bottom"/>
            <w:tcBorders>
              <w:top w:val="single" w:sz="8" w:color="auto"/>
            </w:tcBorders>
            <w:gridSpan w:val="3"/>
          </w:tcPr>
          <w:p>
            <w:pPr>
              <w:spacing w:after="0" w:line="105" w:lineRule="exact"/>
              <w:rPr>
                <w:sz w:val="20"/>
                <w:szCs w:val="20"/>
                <w:color w:val="auto"/>
              </w:rPr>
            </w:pPr>
            <w:r>
              <w:rPr>
                <w:rFonts w:ascii="Arial" w:cs="Arial" w:eastAsia="Arial" w:hAnsi="Arial"/>
                <w:sz w:val="12"/>
                <w:szCs w:val="12"/>
                <w:b w:val="1"/>
                <w:bCs w:val="1"/>
                <w:color w:val="auto"/>
              </w:rPr>
              <w:t>Held for</w:t>
            </w:r>
          </w:p>
        </w:tc>
        <w:tc>
          <w:tcPr>
            <w:tcW w:w="760" w:type="dxa"/>
            <w:vAlign w:val="bottom"/>
            <w:tcBorders>
              <w:top w:val="single" w:sz="8" w:color="auto"/>
            </w:tcBorders>
            <w:gridSpan w:val="2"/>
          </w:tcPr>
          <w:p>
            <w:pPr>
              <w:ind w:left="80"/>
              <w:spacing w:after="0" w:line="105" w:lineRule="exact"/>
              <w:rPr>
                <w:sz w:val="20"/>
                <w:szCs w:val="20"/>
                <w:color w:val="auto"/>
              </w:rPr>
            </w:pPr>
            <w:r>
              <w:rPr>
                <w:rFonts w:ascii="Arial" w:cs="Arial" w:eastAsia="Arial" w:hAnsi="Arial"/>
                <w:sz w:val="12"/>
                <w:szCs w:val="12"/>
                <w:b w:val="1"/>
                <w:bCs w:val="1"/>
                <w:color w:val="auto"/>
              </w:rPr>
              <w:t>Held for</w:t>
            </w: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Loans and</w:t>
            </w:r>
          </w:p>
        </w:tc>
        <w:tc>
          <w:tcPr>
            <w:tcW w:w="88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gridSpan w:val="3"/>
          </w:tcPr>
          <w:p>
            <w:pPr>
              <w:ind w:left="220"/>
              <w:spacing w:after="0" w:line="133" w:lineRule="exact"/>
              <w:rPr>
                <w:sz w:val="20"/>
                <w:szCs w:val="20"/>
                <w:color w:val="auto"/>
              </w:rPr>
            </w:pPr>
            <w:r>
              <w:rPr>
                <w:rFonts w:ascii="Arial" w:cs="Arial" w:eastAsia="Arial" w:hAnsi="Arial"/>
                <w:sz w:val="13"/>
                <w:szCs w:val="13"/>
                <w:b w:val="1"/>
                <w:bCs w:val="1"/>
                <w:color w:val="auto"/>
              </w:rPr>
              <w:t>trading and</w:t>
            </w:r>
          </w:p>
        </w:tc>
        <w:tc>
          <w:tcPr>
            <w:tcW w:w="8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trading and</w:t>
            </w: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At inception</w:t>
            </w:r>
          </w:p>
        </w:tc>
        <w:tc>
          <w:tcPr>
            <w:tcW w:w="860" w:type="dxa"/>
            <w:vAlign w:val="bottom"/>
            <w:gridSpan w:val="3"/>
            <w:vMerge w:val="continue"/>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available-for-</w:t>
            </w:r>
          </w:p>
        </w:tc>
        <w:tc>
          <w:tcPr>
            <w:tcW w:w="9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held-to-</w:t>
            </w:r>
          </w:p>
        </w:tc>
        <w:tc>
          <w:tcPr>
            <w:tcW w:w="740" w:type="dxa"/>
            <w:vAlign w:val="bottom"/>
            <w:gridSpan w:val="3"/>
          </w:tcPr>
          <w:p>
            <w:pPr>
              <w:spacing w:after="0" w:line="133" w:lineRule="exact"/>
              <w:rPr>
                <w:sz w:val="20"/>
                <w:szCs w:val="20"/>
                <w:color w:val="auto"/>
              </w:rPr>
            </w:pPr>
            <w:r>
              <w:rPr>
                <w:rFonts w:ascii="Arial" w:cs="Arial" w:eastAsia="Arial" w:hAnsi="Arial"/>
                <w:sz w:val="13"/>
                <w:szCs w:val="13"/>
                <w:b w:val="1"/>
                <w:bCs w:val="1"/>
                <w:color w:val="auto"/>
              </w:rPr>
              <w:t>trading and</w:t>
            </w:r>
          </w:p>
        </w:tc>
        <w:tc>
          <w:tcPr>
            <w:tcW w:w="900" w:type="dxa"/>
            <w:vAlign w:val="bottom"/>
            <w:gridSpan w:val="3"/>
          </w:tcPr>
          <w:p>
            <w:pPr>
              <w:ind w:left="80"/>
              <w:spacing w:after="0" w:line="133" w:lineRule="exact"/>
              <w:rPr>
                <w:sz w:val="20"/>
                <w:szCs w:val="20"/>
                <w:color w:val="auto"/>
              </w:rPr>
            </w:pPr>
            <w:r>
              <w:rPr>
                <w:rFonts w:ascii="Arial" w:cs="Arial" w:eastAsia="Arial" w:hAnsi="Arial"/>
                <w:sz w:val="13"/>
                <w:szCs w:val="13"/>
                <w:b w:val="1"/>
                <w:bCs w:val="1"/>
                <w:color w:val="auto"/>
              </w:rPr>
              <w:t>trading and</w:t>
            </w: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At inception</w:t>
            </w:r>
          </w:p>
        </w:tc>
        <w:tc>
          <w:tcPr>
            <w:tcW w:w="860" w:type="dxa"/>
            <w:vAlign w:val="bottom"/>
            <w:gridSpan w:val="3"/>
            <w:vMerge w:val="continue"/>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available-for-</w:t>
            </w:r>
          </w:p>
        </w:tc>
        <w:tc>
          <w:tcPr>
            <w:tcW w:w="8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gridSpan w:val="3"/>
          </w:tcPr>
          <w:p>
            <w:pPr>
              <w:ind w:left="220"/>
              <w:spacing w:after="0"/>
              <w:rPr>
                <w:sz w:val="20"/>
                <w:szCs w:val="20"/>
                <w:color w:val="auto"/>
              </w:rPr>
            </w:pPr>
            <w:r>
              <w:rPr>
                <w:rFonts w:ascii="Arial" w:cs="Arial" w:eastAsia="Arial" w:hAnsi="Arial"/>
                <w:sz w:val="13"/>
                <w:szCs w:val="13"/>
                <w:b w:val="1"/>
                <w:bCs w:val="1"/>
                <w:color w:val="auto"/>
              </w:rPr>
              <w:t>hedging</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hedging</w:t>
            </w:r>
          </w:p>
        </w:tc>
        <w:tc>
          <w:tcPr>
            <w:tcW w:w="800" w:type="dxa"/>
            <w:vAlign w:val="bottom"/>
            <w:gridSpan w:val="2"/>
            <w:vMerge w:val="continue"/>
          </w:tcPr>
          <w:p>
            <w:pPr>
              <w:spacing w:after="0"/>
              <w:rPr>
                <w:sz w:val="13"/>
                <w:szCs w:val="13"/>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b w:val="1"/>
                <w:bCs w:val="1"/>
                <w:color w:val="auto"/>
              </w:rPr>
              <w:t>receivables</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sale</w:t>
            </w: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maturity</w:t>
            </w: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hedging</w:t>
            </w:r>
          </w:p>
        </w:tc>
        <w:tc>
          <w:tcPr>
            <w:tcW w:w="900" w:type="dxa"/>
            <w:vAlign w:val="bottom"/>
            <w:gridSpan w:val="3"/>
          </w:tcPr>
          <w:p>
            <w:pPr>
              <w:ind w:left="80"/>
              <w:spacing w:after="0"/>
              <w:rPr>
                <w:sz w:val="20"/>
                <w:szCs w:val="20"/>
                <w:color w:val="auto"/>
              </w:rPr>
            </w:pPr>
            <w:r>
              <w:rPr>
                <w:rFonts w:ascii="Arial" w:cs="Arial" w:eastAsia="Arial" w:hAnsi="Arial"/>
                <w:sz w:val="13"/>
                <w:szCs w:val="13"/>
                <w:b w:val="1"/>
                <w:bCs w:val="1"/>
                <w:color w:val="auto"/>
              </w:rPr>
              <w:t>hedging</w:t>
            </w:r>
          </w:p>
        </w:tc>
        <w:tc>
          <w:tcPr>
            <w:tcW w:w="800" w:type="dxa"/>
            <w:vAlign w:val="bottom"/>
            <w:gridSpan w:val="2"/>
            <w:vMerge w:val="continue"/>
          </w:tcPr>
          <w:p>
            <w:pPr>
              <w:spacing w:after="0"/>
              <w:rPr>
                <w:sz w:val="13"/>
                <w:szCs w:val="13"/>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b w:val="1"/>
                <w:bCs w:val="1"/>
                <w:color w:val="auto"/>
              </w:rPr>
              <w:t>receivables</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sale</w:t>
            </w:r>
          </w:p>
        </w:tc>
        <w:tc>
          <w:tcPr>
            <w:tcW w:w="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Perú</w:t>
            </w:r>
          </w:p>
        </w:tc>
        <w:tc>
          <w:tcPr>
            <w:tcW w:w="104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2,661,743</w:t>
            </w:r>
          </w:p>
        </w:tc>
        <w:tc>
          <w:tcPr>
            <w:tcW w:w="8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174,771</w:t>
            </w: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w w:val="96"/>
              </w:rPr>
              <w:t>107,315,656</w:t>
            </w: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11,515,894</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4,606,110</w:t>
            </w: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126,274,174</w:t>
            </w:r>
          </w:p>
        </w:tc>
        <w:tc>
          <w:tcPr>
            <w:tcW w:w="1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2,071,143</w:t>
            </w:r>
          </w:p>
        </w:tc>
        <w:tc>
          <w:tcPr>
            <w:tcW w:w="90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139,095</w:t>
            </w: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w w:val="96"/>
              </w:rPr>
              <w:t>108,531,535</w:t>
            </w: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11,218,896</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3,263,286</w:t>
            </w:r>
          </w:p>
        </w:tc>
        <w:tc>
          <w:tcPr>
            <w:tcW w:w="7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w w:val="99"/>
              </w:rPr>
              <w:t>125,223,955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60" w:type="dxa"/>
            <w:vAlign w:val="bottom"/>
          </w:tcPr>
          <w:p>
            <w:pPr>
              <w:spacing w:after="0" w:line="117" w:lineRule="exact"/>
              <w:rPr>
                <w:sz w:val="20"/>
                <w:szCs w:val="20"/>
                <w:color w:val="auto"/>
              </w:rPr>
            </w:pPr>
            <w:r>
              <w:rPr>
                <w:rFonts w:ascii="Arial" w:cs="Arial" w:eastAsia="Arial" w:hAnsi="Arial"/>
                <w:sz w:val="13"/>
                <w:szCs w:val="13"/>
                <w:color w:val="auto"/>
              </w:rPr>
              <w:t>United States of</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spacing w:after="0"/>
              <w:rPr>
                <w:sz w:val="20"/>
                <w:szCs w:val="20"/>
                <w:color w:val="auto"/>
              </w:rPr>
            </w:pPr>
            <w:r>
              <w:rPr>
                <w:rFonts w:ascii="Arial" w:cs="Arial" w:eastAsia="Arial" w:hAnsi="Arial"/>
                <w:sz w:val="13"/>
                <w:szCs w:val="13"/>
                <w:color w:val="auto"/>
              </w:rPr>
              <w:t>America</w:t>
            </w:r>
          </w:p>
        </w:tc>
        <w:tc>
          <w:tcPr>
            <w:tcW w:w="1040" w:type="dxa"/>
            <w:vAlign w:val="bottom"/>
            <w:gridSpan w:val="3"/>
          </w:tcPr>
          <w:p>
            <w:pPr>
              <w:jc w:val="right"/>
              <w:ind w:right="160"/>
              <w:spacing w:after="0"/>
              <w:rPr>
                <w:sz w:val="20"/>
                <w:szCs w:val="20"/>
                <w:color w:val="auto"/>
              </w:rPr>
            </w:pPr>
            <w:r>
              <w:rPr>
                <w:rFonts w:ascii="Arial" w:cs="Arial" w:eastAsia="Arial" w:hAnsi="Arial"/>
                <w:sz w:val="13"/>
                <w:szCs w:val="13"/>
                <w:color w:val="auto"/>
              </w:rPr>
              <w:t>235,036</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223,223</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1,722,387</w:t>
            </w:r>
          </w:p>
        </w:tc>
        <w:tc>
          <w:tcPr>
            <w:tcW w:w="860" w:type="dxa"/>
            <w:vAlign w:val="bottom"/>
            <w:gridSpan w:val="3"/>
          </w:tcPr>
          <w:p>
            <w:pPr>
              <w:jc w:val="right"/>
              <w:ind w:right="140"/>
              <w:spacing w:after="0"/>
              <w:rPr>
                <w:sz w:val="20"/>
                <w:szCs w:val="20"/>
                <w:color w:val="auto"/>
              </w:rPr>
            </w:pPr>
            <w:r>
              <w:rPr>
                <w:rFonts w:ascii="Arial" w:cs="Arial" w:eastAsia="Arial" w:hAnsi="Arial"/>
                <w:sz w:val="13"/>
                <w:szCs w:val="13"/>
                <w:color w:val="auto"/>
              </w:rPr>
              <w:t>2,986,309</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82,536</w:t>
            </w:r>
          </w:p>
        </w:tc>
        <w:tc>
          <w:tcPr>
            <w:tcW w:w="800" w:type="dxa"/>
            <w:vAlign w:val="bottom"/>
          </w:tcPr>
          <w:p>
            <w:pPr>
              <w:jc w:val="right"/>
              <w:spacing w:after="0"/>
              <w:rPr>
                <w:sz w:val="20"/>
                <w:szCs w:val="20"/>
                <w:color w:val="auto"/>
              </w:rPr>
            </w:pPr>
            <w:r>
              <w:rPr>
                <w:rFonts w:ascii="Arial" w:cs="Arial" w:eastAsia="Arial" w:hAnsi="Arial"/>
                <w:sz w:val="13"/>
                <w:szCs w:val="13"/>
                <w:color w:val="auto"/>
              </w:rPr>
              <w:t>5,249,491</w:t>
            </w:r>
          </w:p>
        </w:tc>
        <w:tc>
          <w:tcPr>
            <w:tcW w:w="14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276,401</w:t>
            </w:r>
          </w:p>
        </w:tc>
        <w:tc>
          <w:tcPr>
            <w:tcW w:w="900" w:type="dxa"/>
            <w:vAlign w:val="bottom"/>
            <w:gridSpan w:val="3"/>
          </w:tcPr>
          <w:p>
            <w:pPr>
              <w:jc w:val="right"/>
              <w:ind w:right="140"/>
              <w:spacing w:after="0"/>
              <w:rPr>
                <w:sz w:val="20"/>
                <w:szCs w:val="20"/>
                <w:color w:val="auto"/>
              </w:rPr>
            </w:pPr>
            <w:r>
              <w:rPr>
                <w:rFonts w:ascii="Arial" w:cs="Arial" w:eastAsia="Arial" w:hAnsi="Arial"/>
                <w:sz w:val="13"/>
                <w:szCs w:val="13"/>
                <w:color w:val="auto"/>
              </w:rPr>
              <w:t>171,933</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3,755,619</w:t>
            </w:r>
          </w:p>
        </w:tc>
        <w:tc>
          <w:tcPr>
            <w:tcW w:w="860" w:type="dxa"/>
            <w:vAlign w:val="bottom"/>
            <w:gridSpan w:val="3"/>
          </w:tcPr>
          <w:p>
            <w:pPr>
              <w:jc w:val="right"/>
              <w:ind w:right="140"/>
              <w:spacing w:after="0"/>
              <w:rPr>
                <w:sz w:val="20"/>
                <w:szCs w:val="20"/>
                <w:color w:val="auto"/>
              </w:rPr>
            </w:pPr>
            <w:r>
              <w:rPr>
                <w:rFonts w:ascii="Arial" w:cs="Arial" w:eastAsia="Arial" w:hAnsi="Arial"/>
                <w:sz w:val="13"/>
                <w:szCs w:val="13"/>
                <w:color w:val="auto"/>
              </w:rPr>
              <w:t>2,912,022</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7,115,975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Bolivia</w:t>
            </w:r>
          </w:p>
        </w:tc>
        <w:tc>
          <w:tcPr>
            <w:tcW w:w="104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6,992,985</w:t>
            </w: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885,013</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7,877,998</w:t>
            </w:r>
          </w:p>
        </w:tc>
        <w:tc>
          <w:tcPr>
            <w:tcW w:w="1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5</w:t>
            </w:r>
          </w:p>
        </w:tc>
        <w:tc>
          <w:tcPr>
            <w:tcW w:w="90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6,018,849</w:t>
            </w: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1,074,722</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7,093,576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3"/>
                <w:szCs w:val="13"/>
                <w:color w:val="auto"/>
              </w:rPr>
              <w:t>Colombia</w:t>
            </w:r>
          </w:p>
        </w:tc>
        <w:tc>
          <w:tcPr>
            <w:tcW w:w="1040" w:type="dxa"/>
            <w:vAlign w:val="bottom"/>
            <w:gridSpan w:val="3"/>
          </w:tcPr>
          <w:p>
            <w:pPr>
              <w:jc w:val="right"/>
              <w:ind w:right="160"/>
              <w:spacing w:after="0" w:line="133" w:lineRule="exact"/>
              <w:rPr>
                <w:sz w:val="20"/>
                <w:szCs w:val="20"/>
                <w:color w:val="auto"/>
              </w:rPr>
            </w:pPr>
            <w:r>
              <w:rPr>
                <w:rFonts w:ascii="Arial" w:cs="Arial" w:eastAsia="Arial" w:hAnsi="Arial"/>
                <w:sz w:val="13"/>
                <w:szCs w:val="13"/>
                <w:color w:val="auto"/>
              </w:rPr>
              <w:t>1,245,998</w:t>
            </w:r>
          </w:p>
        </w:tc>
        <w:tc>
          <w:tcPr>
            <w:tcW w:w="82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1,157,154</w:t>
            </w:r>
          </w:p>
        </w:tc>
        <w:tc>
          <w:tcPr>
            <w:tcW w:w="86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780,468</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150,667</w:t>
            </w:r>
          </w:p>
        </w:tc>
        <w:tc>
          <w:tcPr>
            <w:tcW w:w="800" w:type="dxa"/>
            <w:vAlign w:val="bottom"/>
          </w:tcPr>
          <w:p>
            <w:pPr>
              <w:jc w:val="right"/>
              <w:spacing w:after="0" w:line="133" w:lineRule="exact"/>
              <w:rPr>
                <w:sz w:val="20"/>
                <w:szCs w:val="20"/>
                <w:color w:val="auto"/>
              </w:rPr>
            </w:pPr>
            <w:r>
              <w:rPr>
                <w:rFonts w:ascii="Arial" w:cs="Arial" w:eastAsia="Arial" w:hAnsi="Arial"/>
                <w:sz w:val="13"/>
                <w:szCs w:val="13"/>
                <w:color w:val="auto"/>
              </w:rPr>
              <w:t>3,334,287</w:t>
            </w:r>
          </w:p>
        </w:tc>
        <w:tc>
          <w:tcPr>
            <w:tcW w:w="140" w:type="dxa"/>
            <w:vAlign w:val="bottom"/>
          </w:tcPr>
          <w:p>
            <w:pPr>
              <w:spacing w:after="0"/>
              <w:rPr>
                <w:sz w:val="11"/>
                <w:szCs w:val="11"/>
                <w:color w:val="auto"/>
              </w:rPr>
            </w:pPr>
          </w:p>
        </w:tc>
        <w:tc>
          <w:tcPr>
            <w:tcW w:w="74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732,145</w:t>
            </w:r>
          </w:p>
        </w:tc>
        <w:tc>
          <w:tcPr>
            <w:tcW w:w="90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433,495</w:t>
            </w:r>
          </w:p>
        </w:tc>
        <w:tc>
          <w:tcPr>
            <w:tcW w:w="86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881,482</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152,109</w:t>
            </w:r>
          </w:p>
        </w:tc>
        <w:tc>
          <w:tcPr>
            <w:tcW w:w="76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2,199,231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Panama</w:t>
            </w:r>
          </w:p>
        </w:tc>
        <w:tc>
          <w:tcPr>
            <w:tcW w:w="104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65</w:t>
            </w:r>
          </w:p>
        </w:tc>
        <w:tc>
          <w:tcPr>
            <w:tcW w:w="8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660,191</w:t>
            </w: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65,767</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726,023</w:t>
            </w:r>
          </w:p>
        </w:tc>
        <w:tc>
          <w:tcPr>
            <w:tcW w:w="74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2,033,384</w:t>
            </w: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52,281</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2,085,665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3"/>
                <w:szCs w:val="13"/>
                <w:color w:val="auto"/>
              </w:rPr>
              <w:t>Chile</w:t>
            </w:r>
          </w:p>
        </w:tc>
        <w:tc>
          <w:tcPr>
            <w:tcW w:w="1040" w:type="dxa"/>
            <w:vAlign w:val="bottom"/>
            <w:gridSpan w:val="3"/>
          </w:tcPr>
          <w:p>
            <w:pPr>
              <w:jc w:val="right"/>
              <w:ind w:right="160"/>
              <w:spacing w:after="0" w:line="133" w:lineRule="exact"/>
              <w:rPr>
                <w:sz w:val="20"/>
                <w:szCs w:val="20"/>
                <w:color w:val="auto"/>
              </w:rPr>
            </w:pPr>
            <w:r>
              <w:rPr>
                <w:rFonts w:ascii="Arial" w:cs="Arial" w:eastAsia="Arial" w:hAnsi="Arial"/>
                <w:sz w:val="13"/>
                <w:szCs w:val="13"/>
                <w:color w:val="auto"/>
              </w:rPr>
              <w:t>342,613</w:t>
            </w:r>
          </w:p>
        </w:tc>
        <w:tc>
          <w:tcPr>
            <w:tcW w:w="82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29,315</w:t>
            </w:r>
          </w:p>
        </w:tc>
        <w:tc>
          <w:tcPr>
            <w:tcW w:w="8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1,597,426</w:t>
            </w:r>
          </w:p>
        </w:tc>
        <w:tc>
          <w:tcPr>
            <w:tcW w:w="86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838,702</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69,839</w:t>
            </w:r>
          </w:p>
        </w:tc>
        <w:tc>
          <w:tcPr>
            <w:tcW w:w="800" w:type="dxa"/>
            <w:vAlign w:val="bottom"/>
          </w:tcPr>
          <w:p>
            <w:pPr>
              <w:jc w:val="right"/>
              <w:spacing w:after="0" w:line="133" w:lineRule="exact"/>
              <w:rPr>
                <w:sz w:val="20"/>
                <w:szCs w:val="20"/>
                <w:color w:val="auto"/>
              </w:rPr>
            </w:pPr>
            <w:r>
              <w:rPr>
                <w:rFonts w:ascii="Arial" w:cs="Arial" w:eastAsia="Arial" w:hAnsi="Arial"/>
                <w:sz w:val="13"/>
                <w:szCs w:val="13"/>
                <w:color w:val="auto"/>
              </w:rPr>
              <w:t>2,877,895</w:t>
            </w:r>
          </w:p>
        </w:tc>
        <w:tc>
          <w:tcPr>
            <w:tcW w:w="140" w:type="dxa"/>
            <w:vAlign w:val="bottom"/>
          </w:tcPr>
          <w:p>
            <w:pPr>
              <w:spacing w:after="0"/>
              <w:rPr>
                <w:sz w:val="11"/>
                <w:szCs w:val="11"/>
                <w:color w:val="auto"/>
              </w:rPr>
            </w:pPr>
          </w:p>
        </w:tc>
        <w:tc>
          <w:tcPr>
            <w:tcW w:w="74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107,477</w:t>
            </w:r>
          </w:p>
        </w:tc>
        <w:tc>
          <w:tcPr>
            <w:tcW w:w="90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4,482</w:t>
            </w:r>
          </w:p>
        </w:tc>
        <w:tc>
          <w:tcPr>
            <w:tcW w:w="8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906,869</w:t>
            </w:r>
          </w:p>
        </w:tc>
        <w:tc>
          <w:tcPr>
            <w:tcW w:w="86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1,042,183</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2,061,011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Brazil</w:t>
            </w:r>
          </w:p>
        </w:tc>
        <w:tc>
          <w:tcPr>
            <w:tcW w:w="104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283,056</w:t>
            </w: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98,022</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121,794</w:t>
            </w:r>
          </w:p>
        </w:tc>
        <w:tc>
          <w:tcPr>
            <w:tcW w:w="94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502,872</w:t>
            </w:r>
          </w:p>
        </w:tc>
        <w:tc>
          <w:tcPr>
            <w:tcW w:w="74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98,177</w:t>
            </w: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229,489</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130,453</w:t>
            </w:r>
          </w:p>
        </w:tc>
        <w:tc>
          <w:tcPr>
            <w:tcW w:w="7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458,119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3"/>
                <w:szCs w:val="13"/>
                <w:color w:val="auto"/>
              </w:rPr>
              <w:t>México</w:t>
            </w:r>
          </w:p>
        </w:tc>
        <w:tc>
          <w:tcPr>
            <w:tcW w:w="1040" w:type="dxa"/>
            <w:vAlign w:val="bottom"/>
            <w:gridSpan w:val="3"/>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7,654</w:t>
            </w:r>
          </w:p>
        </w:tc>
        <w:tc>
          <w:tcPr>
            <w:tcW w:w="8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83,792</w:t>
            </w:r>
          </w:p>
        </w:tc>
        <w:tc>
          <w:tcPr>
            <w:tcW w:w="86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334,116</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77,423</w:t>
            </w:r>
          </w:p>
        </w:tc>
        <w:tc>
          <w:tcPr>
            <w:tcW w:w="94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502,985</w:t>
            </w:r>
          </w:p>
        </w:tc>
        <w:tc>
          <w:tcPr>
            <w:tcW w:w="74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171</w:t>
            </w:r>
          </w:p>
        </w:tc>
        <w:tc>
          <w:tcPr>
            <w:tcW w:w="90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4,484</w:t>
            </w:r>
          </w:p>
        </w:tc>
        <w:tc>
          <w:tcPr>
            <w:tcW w:w="8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1,449</w:t>
            </w:r>
          </w:p>
        </w:tc>
        <w:tc>
          <w:tcPr>
            <w:tcW w:w="86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318,221</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36,281</w:t>
            </w:r>
          </w:p>
        </w:tc>
        <w:tc>
          <w:tcPr>
            <w:tcW w:w="76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360,606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Canada</w:t>
            </w:r>
          </w:p>
        </w:tc>
        <w:tc>
          <w:tcPr>
            <w:tcW w:w="104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5,819</w:t>
            </w:r>
          </w:p>
        </w:tc>
        <w:tc>
          <w:tcPr>
            <w:tcW w:w="8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28,295</w:t>
            </w: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72,102</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106,216</w:t>
            </w:r>
          </w:p>
        </w:tc>
        <w:tc>
          <w:tcPr>
            <w:tcW w:w="74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279</w:t>
            </w:r>
          </w:p>
        </w:tc>
        <w:tc>
          <w:tcPr>
            <w:tcW w:w="90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30,169</w:t>
            </w: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61,193</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91,641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3"/>
                <w:szCs w:val="13"/>
                <w:color w:val="auto"/>
              </w:rPr>
              <w:t>Europe:</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Unted Kingdom</w:t>
            </w:r>
          </w:p>
        </w:tc>
        <w:tc>
          <w:tcPr>
            <w:tcW w:w="104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364,433</w:t>
            </w:r>
          </w:p>
        </w:tc>
        <w:tc>
          <w:tcPr>
            <w:tcW w:w="8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111,019</w:t>
            </w: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129,960</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3,218</w:t>
            </w:r>
          </w:p>
        </w:tc>
        <w:tc>
          <w:tcPr>
            <w:tcW w:w="94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608,630</w:t>
            </w:r>
          </w:p>
        </w:tc>
        <w:tc>
          <w:tcPr>
            <w:tcW w:w="74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529,910</w:t>
            </w:r>
          </w:p>
        </w:tc>
        <w:tc>
          <w:tcPr>
            <w:tcW w:w="90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629,965</w:t>
            </w: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111,450</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1,271,325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3"/>
                <w:szCs w:val="13"/>
                <w:color w:val="auto"/>
              </w:rPr>
              <w:t>Other in Europe</w:t>
            </w:r>
          </w:p>
        </w:tc>
        <w:tc>
          <w:tcPr>
            <w:tcW w:w="1040" w:type="dxa"/>
            <w:vAlign w:val="bottom"/>
            <w:gridSpan w:val="3"/>
          </w:tcPr>
          <w:p>
            <w:pPr>
              <w:jc w:val="right"/>
              <w:ind w:right="160"/>
              <w:spacing w:after="0" w:line="133" w:lineRule="exact"/>
              <w:rPr>
                <w:sz w:val="20"/>
                <w:szCs w:val="20"/>
                <w:color w:val="auto"/>
              </w:rPr>
            </w:pPr>
            <w:r>
              <w:rPr>
                <w:rFonts w:ascii="Arial" w:cs="Arial" w:eastAsia="Arial" w:hAnsi="Arial"/>
                <w:sz w:val="13"/>
                <w:szCs w:val="13"/>
                <w:color w:val="auto"/>
              </w:rPr>
              <w:t>1,605</w:t>
            </w:r>
          </w:p>
        </w:tc>
        <w:tc>
          <w:tcPr>
            <w:tcW w:w="82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133,373</w:t>
            </w:r>
          </w:p>
        </w:tc>
        <w:tc>
          <w:tcPr>
            <w:tcW w:w="86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154,668</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289,646</w:t>
            </w:r>
          </w:p>
        </w:tc>
        <w:tc>
          <w:tcPr>
            <w:tcW w:w="74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3,249</w:t>
            </w:r>
          </w:p>
        </w:tc>
        <w:tc>
          <w:tcPr>
            <w:tcW w:w="90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278,151</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281,400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France</w:t>
            </w:r>
          </w:p>
        </w:tc>
        <w:tc>
          <w:tcPr>
            <w:tcW w:w="104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98,556</w:t>
            </w:r>
          </w:p>
        </w:tc>
        <w:tc>
          <w:tcPr>
            <w:tcW w:w="8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23,465</w:t>
            </w: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74,734</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1,708</w:t>
            </w:r>
          </w:p>
        </w:tc>
        <w:tc>
          <w:tcPr>
            <w:tcW w:w="94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198,463</w:t>
            </w:r>
          </w:p>
        </w:tc>
        <w:tc>
          <w:tcPr>
            <w:tcW w:w="74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77,752</w:t>
            </w:r>
          </w:p>
        </w:tc>
        <w:tc>
          <w:tcPr>
            <w:tcW w:w="90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83,134</w:t>
            </w: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67,423</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228,309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3"/>
                <w:szCs w:val="13"/>
                <w:color w:val="auto"/>
              </w:rPr>
              <w:t>Spain</w:t>
            </w:r>
          </w:p>
        </w:tc>
        <w:tc>
          <w:tcPr>
            <w:tcW w:w="1040" w:type="dxa"/>
            <w:vAlign w:val="bottom"/>
            <w:gridSpan w:val="3"/>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205,334</w:t>
            </w:r>
          </w:p>
        </w:tc>
        <w:tc>
          <w:tcPr>
            <w:tcW w:w="86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6,119</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3,414</w:t>
            </w:r>
          </w:p>
        </w:tc>
        <w:tc>
          <w:tcPr>
            <w:tcW w:w="94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214,867</w:t>
            </w:r>
          </w:p>
        </w:tc>
        <w:tc>
          <w:tcPr>
            <w:tcW w:w="74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78</w:t>
            </w:r>
          </w:p>
        </w:tc>
        <w:tc>
          <w:tcPr>
            <w:tcW w:w="90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99,002</w:t>
            </w:r>
          </w:p>
        </w:tc>
        <w:tc>
          <w:tcPr>
            <w:tcW w:w="86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10,680</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109,760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Switzerland</w:t>
            </w:r>
          </w:p>
        </w:tc>
        <w:tc>
          <w:tcPr>
            <w:tcW w:w="104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171,335</w:t>
            </w: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36,065</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207,400</w:t>
            </w:r>
          </w:p>
        </w:tc>
        <w:tc>
          <w:tcPr>
            <w:tcW w:w="74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40,702</w:t>
            </w:r>
          </w:p>
        </w:tc>
        <w:tc>
          <w:tcPr>
            <w:tcW w:w="86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35,822</w:t>
            </w: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76,524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3"/>
                <w:szCs w:val="13"/>
                <w:color w:val="auto"/>
              </w:rPr>
              <w:t>The Netherlands</w:t>
            </w:r>
          </w:p>
        </w:tc>
        <w:tc>
          <w:tcPr>
            <w:tcW w:w="1040" w:type="dxa"/>
            <w:vAlign w:val="bottom"/>
            <w:gridSpan w:val="3"/>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56,136</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56,136</w:t>
            </w:r>
          </w:p>
        </w:tc>
        <w:tc>
          <w:tcPr>
            <w:tcW w:w="74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48,737</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48,737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Other</w:t>
            </w:r>
          </w:p>
        </w:tc>
        <w:tc>
          <w:tcPr>
            <w:tcW w:w="1040" w:type="dxa"/>
            <w:vAlign w:val="bottom"/>
            <w:gridSpan w:val="3"/>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1,753</w:t>
            </w:r>
          </w:p>
        </w:tc>
        <w:tc>
          <w:tcPr>
            <w:tcW w:w="8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24,136</w:t>
            </w: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516,325</w:t>
            </w:r>
          </w:p>
        </w:tc>
        <w:tc>
          <w:tcPr>
            <w:tcW w:w="86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651,592</w:t>
            </w: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1,711</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1,195,517</w:t>
            </w: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2</w:t>
            </w:r>
          </w:p>
        </w:tc>
        <w:tc>
          <w:tcPr>
            <w:tcW w:w="90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30,334</w:t>
            </w: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341,746</w:t>
            </w:r>
          </w:p>
        </w:tc>
        <w:tc>
          <w:tcPr>
            <w:tcW w:w="86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426,169</w:t>
            </w: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798,251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60" w:type="dxa"/>
            <w:vAlign w:val="bottom"/>
          </w:tcPr>
          <w:p>
            <w:pPr>
              <w:spacing w:after="0" w:line="125"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4,957,621</w:t>
            </w:r>
          </w:p>
        </w:tc>
        <w:tc>
          <w:tcPr>
            <w:tcW w:w="160" w:type="dxa"/>
            <w:vAlign w:val="bottom"/>
          </w:tcPr>
          <w:p>
            <w:pPr>
              <w:spacing w:after="0"/>
              <w:rPr>
                <w:sz w:val="10"/>
                <w:szCs w:val="10"/>
                <w:color w:val="auto"/>
              </w:rPr>
            </w:pPr>
          </w:p>
        </w:tc>
        <w:tc>
          <w:tcPr>
            <w:tcW w:w="660" w:type="dxa"/>
            <w:vAlign w:val="bottom"/>
            <w:tcBorders>
              <w:top w:val="single" w:sz="8" w:color="auto"/>
              <w:bottom w:val="single" w:sz="8" w:color="auto"/>
            </w:tcBorders>
          </w:tcPr>
          <w:p>
            <w:pPr>
              <w:ind w:left="260"/>
              <w:spacing w:after="0" w:line="125" w:lineRule="exact"/>
              <w:rPr>
                <w:sz w:val="20"/>
                <w:szCs w:val="20"/>
                <w:color w:val="auto"/>
              </w:rPr>
            </w:pPr>
            <w:r>
              <w:rPr>
                <w:rFonts w:ascii="Arial" w:cs="Arial" w:eastAsia="Arial" w:hAnsi="Arial"/>
                <w:sz w:val="13"/>
                <w:szCs w:val="13"/>
                <w:color w:val="auto"/>
                <w:w w:val="80"/>
              </w:rPr>
              <w:t>459,099</w:t>
            </w:r>
          </w:p>
        </w:tc>
        <w:tc>
          <w:tcPr>
            <w:tcW w:w="16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w w:val="96"/>
              </w:rPr>
              <w:t>121,001,793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w w:val="98"/>
              </w:rPr>
              <w:t>18,685,667</w:t>
            </w:r>
          </w:p>
        </w:tc>
        <w:tc>
          <w:tcPr>
            <w:tcW w:w="14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5,118,420</w:t>
            </w:r>
          </w:p>
        </w:tc>
        <w:tc>
          <w:tcPr>
            <w:tcW w:w="14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150,222,600</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3,798,612</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350,328</w:t>
            </w:r>
          </w:p>
        </w:tc>
        <w:tc>
          <w:tcPr>
            <w:tcW w:w="14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w w:val="96"/>
              </w:rPr>
              <w:t>123,004,095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w w:val="98"/>
              </w:rPr>
              <w:t>18,768,921</w:t>
            </w:r>
          </w:p>
        </w:tc>
        <w:tc>
          <w:tcPr>
            <w:tcW w:w="14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3,582,129</w:t>
            </w:r>
          </w:p>
        </w:tc>
        <w:tc>
          <w:tcPr>
            <w:tcW w:w="14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w w:val="99"/>
              </w:rPr>
              <w:t>149,504,085</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828" w:right="219" w:bottom="1440" w:gutter="0" w:footer="0" w:header="0"/>
        </w:sectPr>
      </w:pPr>
    </w:p>
    <w:bookmarkStart w:id="132" w:name="page133"/>
    <w:bookmarkEnd w:id="132"/>
    <w:p>
      <w:pPr>
        <w:ind w:left="283" w:hanging="283"/>
        <w:spacing w:after="0"/>
        <w:tabs>
          <w:tab w:leader="none" w:pos="28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Offsetting financial assets and liabilities</w:t>
      </w:r>
    </w:p>
    <w:p>
      <w:pPr>
        <w:spacing w:after="0" w:line="202"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The disclosures set out in the tables below include financial assets and liabilities that:</w:t>
      </w:r>
    </w:p>
    <w:p>
      <w:pPr>
        <w:spacing w:after="0" w:line="202" w:lineRule="exact"/>
        <w:rPr>
          <w:rFonts w:ascii="Arial" w:cs="Arial" w:eastAsia="Arial" w:hAnsi="Arial"/>
          <w:sz w:val="16"/>
          <w:szCs w:val="16"/>
          <w:color w:val="auto"/>
        </w:rPr>
      </w:pPr>
    </w:p>
    <w:p>
      <w:pPr>
        <w:ind w:left="583" w:hanging="293"/>
        <w:spacing w:after="0"/>
        <w:tabs>
          <w:tab w:leader="none" w:pos="583"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Are offset in the Group’s consolidated statement of financial position; or</w:t>
      </w:r>
    </w:p>
    <w:p>
      <w:pPr>
        <w:spacing w:after="0" w:line="21" w:lineRule="exact"/>
        <w:rPr>
          <w:rFonts w:ascii="Arial" w:cs="Arial" w:eastAsia="Arial" w:hAnsi="Arial"/>
          <w:sz w:val="16"/>
          <w:szCs w:val="16"/>
          <w:color w:val="auto"/>
        </w:rPr>
      </w:pPr>
    </w:p>
    <w:p>
      <w:pPr>
        <w:ind w:left="583" w:right="300" w:hanging="293"/>
        <w:spacing w:after="0" w:line="264" w:lineRule="auto"/>
        <w:tabs>
          <w:tab w:leader="none" w:pos="583"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Are subject to an enforceable master netting arrangement or similar agreement that covers similar financial statements, irrespective of whether they are offset in the statement of financial position.</w:t>
      </w:r>
    </w:p>
    <w:p>
      <w:pPr>
        <w:spacing w:after="0" w:line="163" w:lineRule="exact"/>
        <w:rPr>
          <w:sz w:val="20"/>
          <w:szCs w:val="20"/>
          <w:color w:val="auto"/>
        </w:rPr>
      </w:pPr>
    </w:p>
    <w:p>
      <w:pPr>
        <w:ind w:left="283"/>
        <w:spacing w:after="0" w:line="261" w:lineRule="auto"/>
        <w:rPr>
          <w:sz w:val="20"/>
          <w:szCs w:val="20"/>
          <w:color w:val="auto"/>
        </w:rPr>
      </w:pPr>
      <w:r>
        <w:rPr>
          <w:rFonts w:ascii="Arial" w:cs="Arial" w:eastAsia="Arial" w:hAnsi="Arial"/>
          <w:sz w:val="16"/>
          <w:szCs w:val="16"/>
          <w:color w:val="auto"/>
        </w:rPr>
        <w:t>The similar agreements include derivative clearing agreements, master repurchase agreements, and master securities lending agreements. Similar financial instruments include derivatives, Accounts receivable from reverse repurchase agreements and security borrowings, payables from repurchase agreements and security lendings and other financial assets and liabilities. Financial instruments such as loans and deposits are not disclosed in the tables below unless they are offset in the statement of financial position.</w:t>
      </w:r>
    </w:p>
    <w:p>
      <w:pPr>
        <w:spacing w:after="0" w:line="167" w:lineRule="exact"/>
        <w:rPr>
          <w:sz w:val="20"/>
          <w:szCs w:val="20"/>
          <w:color w:val="auto"/>
        </w:rPr>
      </w:pPr>
    </w:p>
    <w:p>
      <w:pPr>
        <w:jc w:val="both"/>
        <w:ind w:left="283" w:right="80"/>
        <w:spacing w:after="0" w:line="284" w:lineRule="auto"/>
        <w:rPr>
          <w:sz w:val="20"/>
          <w:szCs w:val="20"/>
          <w:color w:val="auto"/>
        </w:rPr>
      </w:pPr>
      <w:r>
        <w:rPr>
          <w:rFonts w:ascii="Arial" w:cs="Arial" w:eastAsia="Arial" w:hAnsi="Arial"/>
          <w:sz w:val="15"/>
          <w:szCs w:val="15"/>
          <w:color w:val="auto"/>
        </w:rPr>
        <w:t>The offsetting framework agreement issued by the International Swaps and Derivatives Association Inc. (“ISDA”) and similar master netting arrangements do not meet the criteria for offsetting in the statement of financial position, because said agreements were created in order for both parties to have an enforceable offsetting right in cases of default, insolvency or bankruptcy of the Group or the counterparties or following other predetermined events. In addition, the Group and its counterparties do not intend to settle said instruments on a net basis or to realize the assets and settle the liabilities simultaneously.</w:t>
      </w:r>
    </w:p>
    <w:p>
      <w:pPr>
        <w:spacing w:after="0" w:line="151"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Group receives and gives collateral in the form of cash and marketable securities in respect of the following transactions:</w:t>
      </w:r>
    </w:p>
    <w:p>
      <w:pPr>
        <w:spacing w:after="0" w:line="203" w:lineRule="exact"/>
        <w:rPr>
          <w:sz w:val="20"/>
          <w:szCs w:val="20"/>
          <w:color w:val="auto"/>
        </w:rPr>
      </w:pPr>
    </w:p>
    <w:p>
      <w:pPr>
        <w:ind w:left="583" w:hanging="293"/>
        <w:spacing w:after="0"/>
        <w:tabs>
          <w:tab w:leader="none" w:pos="58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Derivatives;</w:t>
      </w:r>
    </w:p>
    <w:p>
      <w:pPr>
        <w:spacing w:after="0" w:line="21" w:lineRule="exact"/>
        <w:rPr>
          <w:rFonts w:ascii="Arial" w:cs="Arial" w:eastAsia="Arial" w:hAnsi="Arial"/>
          <w:sz w:val="16"/>
          <w:szCs w:val="16"/>
          <w:color w:val="auto"/>
        </w:rPr>
      </w:pPr>
    </w:p>
    <w:p>
      <w:pPr>
        <w:ind w:left="583" w:hanging="293"/>
        <w:spacing w:after="0"/>
        <w:tabs>
          <w:tab w:leader="none" w:pos="58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Accounts receivable from reverse repurchase agreements and security borrowings;</w:t>
      </w:r>
    </w:p>
    <w:p>
      <w:pPr>
        <w:spacing w:after="0" w:line="9" w:lineRule="exact"/>
        <w:rPr>
          <w:rFonts w:ascii="Arial" w:cs="Arial" w:eastAsia="Arial" w:hAnsi="Arial"/>
          <w:sz w:val="16"/>
          <w:szCs w:val="16"/>
          <w:color w:val="auto"/>
        </w:rPr>
      </w:pPr>
    </w:p>
    <w:p>
      <w:pPr>
        <w:ind w:left="583" w:hanging="293"/>
        <w:spacing w:after="0"/>
        <w:tabs>
          <w:tab w:leader="none" w:pos="58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Payables from repurchase agreements and security lendings; and</w:t>
      </w:r>
    </w:p>
    <w:p>
      <w:pPr>
        <w:spacing w:after="0" w:line="9" w:lineRule="exact"/>
        <w:rPr>
          <w:rFonts w:ascii="Arial" w:cs="Arial" w:eastAsia="Arial" w:hAnsi="Arial"/>
          <w:sz w:val="16"/>
          <w:szCs w:val="16"/>
          <w:color w:val="auto"/>
        </w:rPr>
      </w:pPr>
    </w:p>
    <w:p>
      <w:pPr>
        <w:ind w:left="583" w:hanging="293"/>
        <w:spacing w:after="0"/>
        <w:tabs>
          <w:tab w:leader="none" w:pos="58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Other financial assets and liabilities</w:t>
      </w:r>
    </w:p>
    <w:p>
      <w:pPr>
        <w:spacing w:after="0" w:line="191" w:lineRule="exact"/>
        <w:rPr>
          <w:sz w:val="20"/>
          <w:szCs w:val="20"/>
          <w:color w:val="auto"/>
        </w:rPr>
      </w:pPr>
    </w:p>
    <w:p>
      <w:pPr>
        <w:jc w:val="both"/>
        <w:ind w:left="283" w:right="120"/>
        <w:spacing w:after="0" w:line="266" w:lineRule="auto"/>
        <w:rPr>
          <w:sz w:val="20"/>
          <w:szCs w:val="20"/>
          <w:color w:val="auto"/>
        </w:rPr>
      </w:pPr>
      <w:r>
        <w:rPr>
          <w:rFonts w:ascii="Arial" w:cs="Arial" w:eastAsia="Arial" w:hAnsi="Arial"/>
          <w:sz w:val="16"/>
          <w:szCs w:val="16"/>
          <w:color w:val="auto"/>
        </w:rPr>
        <w:t>Such collateral adheres to standard industry terms including, when appropriate, an ISDA Credit Support Annex. This means that securities received/given as collateral can be pledged or sold during the term of the transaction but have to be returned on maturity of the transaction. The terms also give each party the right to terminate the related transactions upon the counterparty’s failure to post collateral.</w:t>
      </w:r>
    </w:p>
    <w:p>
      <w:pPr>
        <w:spacing w:after="0" w:line="355"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- 128 -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8" w:right="239" w:bottom="1440" w:gutter="0" w:footer="0" w:header="0"/>
        </w:sectPr>
      </w:pPr>
    </w:p>
    <w:bookmarkStart w:id="133" w:name="page134"/>
    <w:bookmarkEnd w:id="133"/>
    <w:p>
      <w:pPr>
        <w:ind w:left="3"/>
        <w:spacing w:after="0"/>
        <w:rPr>
          <w:sz w:val="20"/>
          <w:szCs w:val="20"/>
          <w:color w:val="auto"/>
        </w:rPr>
      </w:pPr>
      <w:r>
        <w:rPr>
          <w:rFonts w:ascii="Arial" w:cs="Arial" w:eastAsia="Arial" w:hAnsi="Arial"/>
          <w:sz w:val="16"/>
          <w:szCs w:val="16"/>
          <w:color w:val="auto"/>
        </w:rPr>
        <w:t>Financial assets subject to offsetting, enforceable master netting arrangements and similar agreements:</w:t>
      </w:r>
    </w:p>
    <w:p>
      <w:pPr>
        <w:spacing w:after="0" w:line="207" w:lineRule="exact"/>
        <w:rPr>
          <w:sz w:val="20"/>
          <w:szCs w:val="20"/>
          <w:color w:val="auto"/>
        </w:rPr>
      </w:pPr>
    </w:p>
    <w:tbl>
      <w:tblPr>
        <w:tblLayout w:type="fixed"/>
        <w:tblInd w:w="3"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00" w:type="dxa"/>
            <w:vAlign w:val="bottom"/>
            <w:gridSpan w:val="5"/>
          </w:tcPr>
          <w:p>
            <w:pPr>
              <w:ind w:left="40"/>
              <w:spacing w:after="0"/>
              <w:rPr>
                <w:sz w:val="20"/>
                <w:szCs w:val="20"/>
                <w:color w:val="auto"/>
              </w:rPr>
            </w:pPr>
            <w:r>
              <w:rPr>
                <w:rFonts w:ascii="Arial" w:cs="Arial" w:eastAsia="Arial" w:hAnsi="Arial"/>
                <w:sz w:val="13"/>
                <w:szCs w:val="13"/>
                <w:b w:val="1"/>
                <w:bCs w:val="1"/>
                <w:color w:val="auto"/>
              </w:rPr>
              <w:t>As of December 31, 2016</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5"/>
          </w:tcPr>
          <w:p>
            <w:pPr>
              <w:ind w:left="40"/>
              <w:spacing w:after="0"/>
              <w:rPr>
                <w:sz w:val="20"/>
                <w:szCs w:val="20"/>
                <w:color w:val="auto"/>
              </w:rPr>
            </w:pPr>
            <w:r>
              <w:rPr>
                <w:rFonts w:ascii="Arial" w:cs="Arial" w:eastAsia="Arial" w:hAnsi="Arial"/>
                <w:sz w:val="13"/>
                <w:szCs w:val="13"/>
                <w:b w:val="1"/>
                <w:bCs w:val="1"/>
                <w:color w:val="auto"/>
              </w:rPr>
              <w:t>As of December 31, 2015</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spacing w:after="0" w:line="105" w:lineRule="exact"/>
              <w:rPr>
                <w:sz w:val="20"/>
                <w:szCs w:val="20"/>
                <w:color w:val="auto"/>
              </w:rPr>
            </w:pPr>
            <w:r>
              <w:rPr>
                <w:rFonts w:ascii="Arial" w:cs="Arial" w:eastAsia="Arial" w:hAnsi="Arial"/>
                <w:sz w:val="12"/>
                <w:szCs w:val="12"/>
                <w:b w:val="1"/>
                <w:bCs w:val="1"/>
                <w:color w:val="auto"/>
              </w:rPr>
              <w:t>Gross amounts</w:t>
            </w:r>
          </w:p>
        </w:tc>
        <w:tc>
          <w:tcPr>
            <w:tcW w:w="9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spacing w:after="0" w:line="105" w:lineRule="exact"/>
              <w:rPr>
                <w:sz w:val="20"/>
                <w:szCs w:val="20"/>
                <w:color w:val="auto"/>
              </w:rPr>
            </w:pPr>
            <w:r>
              <w:rPr>
                <w:rFonts w:ascii="Arial" w:cs="Arial" w:eastAsia="Arial" w:hAnsi="Arial"/>
                <w:sz w:val="12"/>
                <w:szCs w:val="12"/>
                <w:b w:val="1"/>
                <w:bCs w:val="1"/>
                <w:color w:val="auto"/>
              </w:rPr>
              <w:t>Gross amounts</w:t>
            </w:r>
          </w:p>
        </w:tc>
        <w:tc>
          <w:tcPr>
            <w:tcW w:w="9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of recognized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of recognized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financial</w:t>
            </w:r>
          </w:p>
        </w:tc>
        <w:tc>
          <w:tcPr>
            <w:tcW w:w="100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Net of financial</w:t>
            </w:r>
          </w:p>
        </w:tc>
        <w:tc>
          <w:tcPr>
            <w:tcW w:w="1640" w:type="dxa"/>
            <w:vAlign w:val="bottom"/>
            <w:gridSpan w:val="4"/>
          </w:tcPr>
          <w:p>
            <w:pPr>
              <w:spacing w:after="0" w:line="141" w:lineRule="exact"/>
              <w:rPr>
                <w:sz w:val="20"/>
                <w:szCs w:val="20"/>
                <w:color w:val="auto"/>
              </w:rPr>
            </w:pPr>
            <w:r>
              <w:rPr>
                <w:rFonts w:ascii="Arial" w:cs="Arial" w:eastAsia="Arial" w:hAnsi="Arial"/>
                <w:sz w:val="13"/>
                <w:szCs w:val="13"/>
                <w:b w:val="1"/>
                <w:bCs w:val="1"/>
                <w:color w:val="auto"/>
              </w:rPr>
              <w:t>Net amounts of financial</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financial</w:t>
            </w:r>
          </w:p>
        </w:tc>
        <w:tc>
          <w:tcPr>
            <w:tcW w:w="102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Net of financial</w:t>
            </w:r>
          </w:p>
        </w:tc>
        <w:tc>
          <w:tcPr>
            <w:tcW w:w="1680" w:type="dxa"/>
            <w:vAlign w:val="bottom"/>
            <w:gridSpan w:val="4"/>
          </w:tcPr>
          <w:p>
            <w:pPr>
              <w:spacing w:after="0" w:line="141" w:lineRule="exact"/>
              <w:rPr>
                <w:sz w:val="20"/>
                <w:szCs w:val="20"/>
                <w:color w:val="auto"/>
              </w:rPr>
            </w:pPr>
            <w:r>
              <w:rPr>
                <w:rFonts w:ascii="Arial" w:cs="Arial" w:eastAsia="Arial" w:hAnsi="Arial"/>
                <w:sz w:val="13"/>
                <w:szCs w:val="13"/>
                <w:b w:val="1"/>
                <w:bCs w:val="1"/>
                <w:color w:val="auto"/>
              </w:rPr>
              <w:t>Net amounts of financial</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liabilities and</w:t>
            </w:r>
          </w:p>
        </w:tc>
        <w:tc>
          <w:tcPr>
            <w:tcW w:w="100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assets</w:t>
            </w:r>
          </w:p>
        </w:tc>
        <w:tc>
          <w:tcPr>
            <w:tcW w:w="1640" w:type="dxa"/>
            <w:vAlign w:val="bottom"/>
            <w:gridSpan w:val="4"/>
          </w:tcPr>
          <w:p>
            <w:pPr>
              <w:spacing w:after="0" w:line="133" w:lineRule="exact"/>
              <w:rPr>
                <w:sz w:val="20"/>
                <w:szCs w:val="20"/>
                <w:color w:val="auto"/>
              </w:rPr>
            </w:pPr>
            <w:r>
              <w:rPr>
                <w:rFonts w:ascii="Arial" w:cs="Arial" w:eastAsia="Arial" w:hAnsi="Arial"/>
                <w:sz w:val="13"/>
                <w:szCs w:val="13"/>
                <w:b w:val="1"/>
                <w:bCs w:val="1"/>
                <w:color w:val="auto"/>
              </w:rPr>
              <w:t>assets presented in the</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Gross</w:t>
            </w:r>
          </w:p>
        </w:tc>
        <w:tc>
          <w:tcPr>
            <w:tcW w:w="9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liabilities and</w:t>
            </w:r>
          </w:p>
        </w:tc>
        <w:tc>
          <w:tcPr>
            <w:tcW w:w="10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assets</w:t>
            </w:r>
          </w:p>
        </w:tc>
        <w:tc>
          <w:tcPr>
            <w:tcW w:w="1680" w:type="dxa"/>
            <w:vAlign w:val="bottom"/>
            <w:gridSpan w:val="4"/>
          </w:tcPr>
          <w:p>
            <w:pPr>
              <w:spacing w:after="0" w:line="133" w:lineRule="exact"/>
              <w:rPr>
                <w:sz w:val="20"/>
                <w:szCs w:val="20"/>
                <w:color w:val="auto"/>
              </w:rPr>
            </w:pPr>
            <w:r>
              <w:rPr>
                <w:rFonts w:ascii="Arial" w:cs="Arial" w:eastAsia="Arial" w:hAnsi="Arial"/>
                <w:sz w:val="13"/>
                <w:szCs w:val="13"/>
                <w:b w:val="1"/>
                <w:bCs w:val="1"/>
                <w:color w:val="auto"/>
              </w:rPr>
              <w:t>assets presented in the</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4"/>
              </w:rPr>
              <w:t>Gross amounts</w:t>
            </w:r>
          </w:p>
        </w:tc>
        <w:tc>
          <w:tcPr>
            <w:tcW w:w="9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offset in the</w:t>
            </w:r>
          </w:p>
        </w:tc>
        <w:tc>
          <w:tcPr>
            <w:tcW w:w="100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w w:val="97"/>
              </w:rPr>
              <w:t>presented in the</w:t>
            </w:r>
          </w:p>
        </w:tc>
        <w:tc>
          <w:tcPr>
            <w:tcW w:w="1640" w:type="dxa"/>
            <w:vAlign w:val="bottom"/>
            <w:gridSpan w:val="4"/>
          </w:tcPr>
          <w:p>
            <w:pPr>
              <w:spacing w:after="0" w:line="133" w:lineRule="exact"/>
              <w:rPr>
                <w:sz w:val="20"/>
                <w:szCs w:val="20"/>
                <w:color w:val="auto"/>
              </w:rPr>
            </w:pPr>
            <w:r>
              <w:rPr>
                <w:rFonts w:ascii="Arial" w:cs="Arial" w:eastAsia="Arial" w:hAnsi="Arial"/>
                <w:sz w:val="13"/>
                <w:szCs w:val="13"/>
                <w:b w:val="1"/>
                <w:bCs w:val="1"/>
                <w:color w:val="auto"/>
                <w:w w:val="96"/>
              </w:rPr>
              <w:t>consolidated statements 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offset in the</w:t>
            </w:r>
          </w:p>
        </w:tc>
        <w:tc>
          <w:tcPr>
            <w:tcW w:w="10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w w:val="99"/>
              </w:rPr>
              <w:t>presented in the</w:t>
            </w:r>
          </w:p>
        </w:tc>
        <w:tc>
          <w:tcPr>
            <w:tcW w:w="1680" w:type="dxa"/>
            <w:vAlign w:val="bottom"/>
            <w:gridSpan w:val="4"/>
          </w:tcPr>
          <w:p>
            <w:pPr>
              <w:spacing w:after="0" w:line="133" w:lineRule="exact"/>
              <w:rPr>
                <w:sz w:val="20"/>
                <w:szCs w:val="20"/>
                <w:color w:val="auto"/>
              </w:rPr>
            </w:pPr>
            <w:r>
              <w:rPr>
                <w:rFonts w:ascii="Arial" w:cs="Arial" w:eastAsia="Arial" w:hAnsi="Arial"/>
                <w:sz w:val="13"/>
                <w:szCs w:val="13"/>
                <w:b w:val="1"/>
                <w:bCs w:val="1"/>
                <w:color w:val="auto"/>
                <w:w w:val="98"/>
              </w:rPr>
              <w:t>consolidated statements of</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consolidated</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consolidated</w:t>
            </w:r>
          </w:p>
        </w:tc>
        <w:tc>
          <w:tcPr>
            <w:tcW w:w="1640" w:type="dxa"/>
            <w:vAlign w:val="bottom"/>
            <w:gridSpan w:val="4"/>
          </w:tcPr>
          <w:p>
            <w:pPr>
              <w:spacing w:after="0"/>
              <w:rPr>
                <w:sz w:val="20"/>
                <w:szCs w:val="20"/>
                <w:color w:val="auto"/>
              </w:rPr>
            </w:pPr>
            <w:r>
              <w:rPr>
                <w:rFonts w:ascii="Arial" w:cs="Arial" w:eastAsia="Arial" w:hAnsi="Arial"/>
                <w:sz w:val="13"/>
                <w:szCs w:val="13"/>
                <w:b w:val="1"/>
                <w:bCs w:val="1"/>
                <w:color w:val="auto"/>
              </w:rPr>
              <w:t>financial position</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amounts</w:t>
            </w: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consolidated</w:t>
            </w:r>
          </w:p>
        </w:tc>
        <w:tc>
          <w:tcPr>
            <w:tcW w:w="1020" w:type="dxa"/>
            <w:vAlign w:val="bottom"/>
            <w:gridSpan w:val="2"/>
          </w:tcPr>
          <w:p>
            <w:pPr>
              <w:spacing w:after="0"/>
              <w:rPr>
                <w:sz w:val="20"/>
                <w:szCs w:val="20"/>
                <w:color w:val="auto"/>
              </w:rPr>
            </w:pPr>
            <w:r>
              <w:rPr>
                <w:rFonts w:ascii="Arial" w:cs="Arial" w:eastAsia="Arial" w:hAnsi="Arial"/>
                <w:sz w:val="13"/>
                <w:szCs w:val="13"/>
                <w:b w:val="1"/>
                <w:bCs w:val="1"/>
                <w:color w:val="auto"/>
              </w:rPr>
              <w:t>consolidated</w:t>
            </w:r>
          </w:p>
        </w:tc>
        <w:tc>
          <w:tcPr>
            <w:tcW w:w="1680" w:type="dxa"/>
            <w:vAlign w:val="bottom"/>
            <w:gridSpan w:val="4"/>
          </w:tcPr>
          <w:p>
            <w:pPr>
              <w:spacing w:after="0"/>
              <w:rPr>
                <w:sz w:val="20"/>
                <w:szCs w:val="20"/>
                <w:color w:val="auto"/>
              </w:rPr>
            </w:pPr>
            <w:r>
              <w:rPr>
                <w:rFonts w:ascii="Arial" w:cs="Arial" w:eastAsia="Arial" w:hAnsi="Arial"/>
                <w:sz w:val="13"/>
                <w:szCs w:val="13"/>
                <w:b w:val="1"/>
                <w:bCs w:val="1"/>
                <w:color w:val="auto"/>
              </w:rPr>
              <w:t>financial position</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gridSpan w:val="3"/>
          </w:tcPr>
          <w:p>
            <w:pPr>
              <w:ind w:left="40"/>
              <w:spacing w:after="0" w:line="105" w:lineRule="exact"/>
              <w:rPr>
                <w:sz w:val="20"/>
                <w:szCs w:val="20"/>
                <w:color w:val="auto"/>
              </w:rPr>
            </w:pPr>
            <w:r>
              <w:rPr>
                <w:rFonts w:ascii="Arial" w:cs="Arial" w:eastAsia="Arial" w:hAnsi="Arial"/>
                <w:sz w:val="12"/>
                <w:szCs w:val="12"/>
                <w:b w:val="1"/>
                <w:bCs w:val="1"/>
                <w:color w:val="auto"/>
              </w:rPr>
              <w:t>recognized</w:t>
            </w:r>
          </w:p>
        </w:tc>
        <w:tc>
          <w:tcPr>
            <w:tcW w:w="94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statement of</w:t>
            </w:r>
          </w:p>
        </w:tc>
        <w:tc>
          <w:tcPr>
            <w:tcW w:w="100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statements of</w:t>
            </w:r>
          </w:p>
        </w:tc>
        <w:tc>
          <w:tcPr>
            <w:tcW w:w="9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Financial</w:t>
            </w:r>
          </w:p>
        </w:tc>
        <w:tc>
          <w:tcPr>
            <w:tcW w:w="620" w:type="dxa"/>
            <w:vAlign w:val="bottom"/>
            <w:tcBorders>
              <w:top w:val="single" w:sz="8" w:color="auto"/>
            </w:tcBorders>
          </w:tcPr>
          <w:p>
            <w:pPr>
              <w:spacing w:after="0" w:line="105" w:lineRule="exact"/>
              <w:rPr>
                <w:sz w:val="20"/>
                <w:szCs w:val="20"/>
                <w:color w:val="auto"/>
              </w:rPr>
            </w:pPr>
            <w:r>
              <w:rPr>
                <w:rFonts w:ascii="Arial" w:cs="Arial" w:eastAsia="Arial" w:hAnsi="Arial"/>
                <w:sz w:val="12"/>
                <w:szCs w:val="12"/>
                <w:b w:val="1"/>
                <w:bCs w:val="1"/>
                <w:color w:val="auto"/>
              </w:rPr>
              <w:t>Cash</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3"/>
          </w:tcPr>
          <w:p>
            <w:pPr>
              <w:ind w:left="40"/>
              <w:spacing w:after="0" w:line="105" w:lineRule="exact"/>
              <w:rPr>
                <w:sz w:val="20"/>
                <w:szCs w:val="20"/>
                <w:color w:val="auto"/>
              </w:rPr>
            </w:pPr>
            <w:r>
              <w:rPr>
                <w:rFonts w:ascii="Arial" w:cs="Arial" w:eastAsia="Arial" w:hAnsi="Arial"/>
                <w:sz w:val="12"/>
                <w:szCs w:val="12"/>
                <w:b w:val="1"/>
                <w:bCs w:val="1"/>
                <w:color w:val="auto"/>
              </w:rPr>
              <w:t>recognized</w:t>
            </w:r>
          </w:p>
        </w:tc>
        <w:tc>
          <w:tcPr>
            <w:tcW w:w="98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statement of</w:t>
            </w:r>
          </w:p>
        </w:tc>
        <w:tc>
          <w:tcPr>
            <w:tcW w:w="102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statements of</w:t>
            </w:r>
          </w:p>
        </w:tc>
        <w:tc>
          <w:tcPr>
            <w:tcW w:w="9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Financial</w:t>
            </w:r>
          </w:p>
        </w:tc>
        <w:tc>
          <w:tcPr>
            <w:tcW w:w="620" w:type="dxa"/>
            <w:vAlign w:val="bottom"/>
            <w:tcBorders>
              <w:top w:val="single" w:sz="8" w:color="auto"/>
            </w:tcBorders>
          </w:tcPr>
          <w:p>
            <w:pPr>
              <w:spacing w:after="0" w:line="105" w:lineRule="exact"/>
              <w:rPr>
                <w:sz w:val="20"/>
                <w:szCs w:val="20"/>
                <w:color w:val="auto"/>
              </w:rPr>
            </w:pPr>
            <w:r>
              <w:rPr>
                <w:rFonts w:ascii="Arial" w:cs="Arial" w:eastAsia="Arial" w:hAnsi="Arial"/>
                <w:sz w:val="12"/>
                <w:szCs w:val="12"/>
                <w:b w:val="1"/>
                <w:bCs w:val="1"/>
                <w:color w:val="auto"/>
              </w:rPr>
              <w:t>Cash</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8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960" w:type="dxa"/>
            <w:vAlign w:val="bottom"/>
            <w:gridSpan w:val="3"/>
          </w:tcPr>
          <w:p>
            <w:pPr>
              <w:ind w:left="40"/>
              <w:spacing w:after="0" w:line="133" w:lineRule="exact"/>
              <w:rPr>
                <w:sz w:val="20"/>
                <w:szCs w:val="20"/>
                <w:color w:val="auto"/>
              </w:rPr>
            </w:pPr>
            <w:r>
              <w:rPr>
                <w:rFonts w:ascii="Arial" w:cs="Arial" w:eastAsia="Arial" w:hAnsi="Arial"/>
                <w:sz w:val="13"/>
                <w:szCs w:val="13"/>
                <w:b w:val="1"/>
                <w:bCs w:val="1"/>
                <w:color w:val="auto"/>
              </w:rPr>
              <w:t>financial</w:t>
            </w:r>
          </w:p>
        </w:tc>
        <w:tc>
          <w:tcPr>
            <w:tcW w:w="9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financial</w:t>
            </w:r>
          </w:p>
        </w:tc>
        <w:tc>
          <w:tcPr>
            <w:tcW w:w="100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financial</w:t>
            </w:r>
          </w:p>
        </w:tc>
        <w:tc>
          <w:tcPr>
            <w:tcW w:w="940" w:type="dxa"/>
            <w:vAlign w:val="bottom"/>
            <w:gridSpan w:val="2"/>
            <w:vMerge w:val="continue"/>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collateral</w:t>
            </w: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5"/>
              </w:rPr>
              <w:t>Net amount</w:t>
            </w:r>
          </w:p>
        </w:tc>
        <w:tc>
          <w:tcPr>
            <w:tcW w:w="860" w:type="dxa"/>
            <w:vAlign w:val="bottom"/>
            <w:gridSpan w:val="3"/>
          </w:tcPr>
          <w:p>
            <w:pPr>
              <w:ind w:left="40"/>
              <w:spacing w:after="0" w:line="133" w:lineRule="exact"/>
              <w:rPr>
                <w:sz w:val="20"/>
                <w:szCs w:val="20"/>
                <w:color w:val="auto"/>
              </w:rPr>
            </w:pPr>
            <w:r>
              <w:rPr>
                <w:rFonts w:ascii="Arial" w:cs="Arial" w:eastAsia="Arial" w:hAnsi="Arial"/>
                <w:sz w:val="13"/>
                <w:szCs w:val="13"/>
                <w:b w:val="1"/>
                <w:bCs w:val="1"/>
                <w:color w:val="auto"/>
              </w:rPr>
              <w:t>financial</w:t>
            </w:r>
          </w:p>
        </w:tc>
        <w:tc>
          <w:tcPr>
            <w:tcW w:w="9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financial</w:t>
            </w:r>
          </w:p>
        </w:tc>
        <w:tc>
          <w:tcPr>
            <w:tcW w:w="102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financial</w:t>
            </w:r>
          </w:p>
        </w:tc>
        <w:tc>
          <w:tcPr>
            <w:tcW w:w="940" w:type="dxa"/>
            <w:vAlign w:val="bottom"/>
            <w:gridSpan w:val="2"/>
            <w:vMerge w:val="continue"/>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collateral</w:t>
            </w:r>
          </w:p>
        </w:tc>
        <w:tc>
          <w:tcPr>
            <w:tcW w:w="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 amount</w:t>
            </w:r>
          </w:p>
        </w:tc>
        <w:tc>
          <w:tcPr>
            <w:tcW w:w="0" w:type="dxa"/>
            <w:vAlign w:val="bottom"/>
          </w:tcPr>
          <w:p>
            <w:pPr>
              <w:spacing w:after="0"/>
              <w:rPr>
                <w:sz w:val="1"/>
                <w:szCs w:val="1"/>
                <w:color w:val="auto"/>
              </w:rPr>
            </w:pPr>
          </w:p>
        </w:tc>
      </w:tr>
      <w:tr>
        <w:trPr>
          <w:trHeight w:val="153"/>
        </w:trPr>
        <w:tc>
          <w:tcPr>
            <w:tcW w:w="840" w:type="dxa"/>
            <w:vAlign w:val="bottom"/>
            <w:gridSpan w:val="2"/>
            <w:vMerge w:val="continue"/>
          </w:tcPr>
          <w:p>
            <w:pPr>
              <w:spacing w:after="0"/>
              <w:rPr>
                <w:sz w:val="13"/>
                <w:szCs w:val="13"/>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b w:val="1"/>
                <w:bCs w:val="1"/>
                <w:color w:val="auto"/>
              </w:rPr>
              <w:t>assets</w:t>
            </w: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positions</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instruments</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received</w:t>
            </w:r>
          </w:p>
        </w:tc>
        <w:tc>
          <w:tcPr>
            <w:tcW w:w="740" w:type="dxa"/>
            <w:vAlign w:val="bottom"/>
            <w:gridSpan w:val="3"/>
            <w:vMerge w:val="continue"/>
          </w:tcPr>
          <w:p>
            <w:pPr>
              <w:spacing w:after="0"/>
              <w:rPr>
                <w:sz w:val="13"/>
                <w:szCs w:val="13"/>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assets</w:t>
            </w: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positions</w:t>
            </w:r>
          </w:p>
        </w:tc>
        <w:tc>
          <w:tcPr>
            <w:tcW w:w="102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instruments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received</w:t>
            </w: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40" w:type="dxa"/>
            <w:vAlign w:val="bottom"/>
          </w:tcPr>
          <w:p>
            <w:pPr>
              <w:spacing w:after="0"/>
              <w:rPr>
                <w:sz w:val="13"/>
                <w:szCs w:val="13"/>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top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4"/>
              </w:rPr>
              <w:t>S/(000)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40" w:type="dxa"/>
            <w:vAlign w:val="bottom"/>
          </w:tcPr>
          <w:p>
            <w:pPr>
              <w:spacing w:after="0"/>
              <w:rPr>
                <w:sz w:val="13"/>
                <w:szCs w:val="13"/>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8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Derivates</w:t>
            </w:r>
          </w:p>
        </w:tc>
        <w:tc>
          <w:tcPr>
            <w:tcW w:w="960" w:type="dxa"/>
            <w:vAlign w:val="bottom"/>
            <w:gridSpan w:val="3"/>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942,602</w:t>
            </w:r>
          </w:p>
        </w:tc>
        <w:tc>
          <w:tcPr>
            <w:tcW w:w="840" w:type="dxa"/>
            <w:vAlign w:val="bottom"/>
            <w:shd w:val="clear" w:color="auto" w:fill="CCEEFF"/>
          </w:tcPr>
          <w:p>
            <w:pPr>
              <w:ind w:left="800"/>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480"/>
              <w:spacing w:after="0" w:line="133" w:lineRule="exact"/>
              <w:rPr>
                <w:sz w:val="20"/>
                <w:szCs w:val="20"/>
                <w:color w:val="auto"/>
              </w:rPr>
            </w:pPr>
            <w:r>
              <w:rPr>
                <w:rFonts w:ascii="Arial" w:cs="Arial" w:eastAsia="Arial" w:hAnsi="Arial"/>
                <w:sz w:val="13"/>
                <w:szCs w:val="13"/>
                <w:color w:val="auto"/>
              </w:rPr>
              <w:t>942,602</w:t>
            </w:r>
          </w:p>
        </w:tc>
        <w:tc>
          <w:tcPr>
            <w:tcW w:w="94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(416,084)</w:t>
            </w:r>
          </w:p>
        </w:tc>
        <w:tc>
          <w:tcPr>
            <w:tcW w:w="700" w:type="dxa"/>
            <w:vAlign w:val="bottom"/>
            <w:gridSpan w:val="2"/>
            <w:shd w:val="clear" w:color="auto" w:fill="CCEEFF"/>
          </w:tcPr>
          <w:p>
            <w:pPr>
              <w:jc w:val="right"/>
              <w:ind w:right="2"/>
              <w:spacing w:after="0" w:line="133" w:lineRule="exact"/>
              <w:rPr>
                <w:sz w:val="20"/>
                <w:szCs w:val="20"/>
                <w:color w:val="auto"/>
              </w:rPr>
            </w:pPr>
            <w:r>
              <w:rPr>
                <w:rFonts w:ascii="Arial" w:cs="Arial" w:eastAsia="Arial" w:hAnsi="Arial"/>
                <w:sz w:val="13"/>
                <w:szCs w:val="13"/>
                <w:color w:val="auto"/>
              </w:rPr>
              <w:t>(30,573)</w:t>
            </w:r>
          </w:p>
        </w:tc>
        <w:tc>
          <w:tcPr>
            <w:tcW w:w="74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495,945</w:t>
            </w:r>
          </w:p>
        </w:tc>
        <w:tc>
          <w:tcPr>
            <w:tcW w:w="86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1,475,516</w:t>
            </w:r>
          </w:p>
        </w:tc>
        <w:tc>
          <w:tcPr>
            <w:tcW w:w="980" w:type="dxa"/>
            <w:vAlign w:val="bottom"/>
            <w:gridSpan w:val="2"/>
            <w:shd w:val="clear" w:color="auto" w:fill="CCEEFF"/>
          </w:tcPr>
          <w:p>
            <w:pPr>
              <w:ind w:left="800"/>
              <w:spacing w:after="0" w:line="133"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1,475,516</w:t>
            </w:r>
          </w:p>
        </w:tc>
        <w:tc>
          <w:tcPr>
            <w:tcW w:w="94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(160,428)</w:t>
            </w:r>
          </w:p>
        </w:tc>
        <w:tc>
          <w:tcPr>
            <w:tcW w:w="740" w:type="dxa"/>
            <w:vAlign w:val="bottom"/>
            <w:gridSpan w:val="2"/>
            <w:shd w:val="clear" w:color="auto" w:fill="CCEEFF"/>
          </w:tcPr>
          <w:p>
            <w:pPr>
              <w:jc w:val="right"/>
              <w:ind w:right="42"/>
              <w:spacing w:after="0" w:line="133" w:lineRule="exact"/>
              <w:rPr>
                <w:sz w:val="20"/>
                <w:szCs w:val="20"/>
                <w:color w:val="auto"/>
              </w:rPr>
            </w:pPr>
            <w:r>
              <w:rPr>
                <w:rFonts w:ascii="Arial" w:cs="Arial" w:eastAsia="Arial" w:hAnsi="Arial"/>
                <w:sz w:val="13"/>
                <w:szCs w:val="13"/>
                <w:color w:val="auto"/>
              </w:rPr>
              <w:t>(80,687)</w:t>
            </w: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1,234,401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20" w:type="dxa"/>
            <w:vAlign w:val="bottom"/>
          </w:tcPr>
          <w:p>
            <w:pPr>
              <w:spacing w:after="0" w:line="117" w:lineRule="exact"/>
              <w:rPr>
                <w:sz w:val="20"/>
                <w:szCs w:val="20"/>
                <w:color w:val="auto"/>
              </w:rPr>
            </w:pPr>
            <w:r>
              <w:rPr>
                <w:rFonts w:ascii="Arial" w:cs="Arial" w:eastAsia="Arial" w:hAnsi="Arial"/>
                <w:sz w:val="13"/>
                <w:szCs w:val="13"/>
                <w:color w:val="auto"/>
                <w:w w:val="96"/>
              </w:rPr>
              <w:t>Payables from</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40" w:type="dxa"/>
            <w:vAlign w:val="bottom"/>
            <w:gridSpan w:val="2"/>
          </w:tcPr>
          <w:p>
            <w:pPr>
              <w:spacing w:after="0" w:line="133" w:lineRule="exact"/>
              <w:rPr>
                <w:sz w:val="20"/>
                <w:szCs w:val="20"/>
                <w:color w:val="auto"/>
              </w:rPr>
            </w:pPr>
            <w:r>
              <w:rPr>
                <w:rFonts w:ascii="Arial" w:cs="Arial" w:eastAsia="Arial" w:hAnsi="Arial"/>
                <w:sz w:val="13"/>
                <w:szCs w:val="13"/>
                <w:color w:val="auto"/>
              </w:rPr>
              <w:t>repurchase</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0" w:type="dxa"/>
            <w:vAlign w:val="bottom"/>
            <w:gridSpan w:val="2"/>
          </w:tcPr>
          <w:p>
            <w:pPr>
              <w:spacing w:after="0" w:line="133" w:lineRule="exact"/>
              <w:rPr>
                <w:sz w:val="20"/>
                <w:szCs w:val="20"/>
                <w:color w:val="auto"/>
              </w:rPr>
            </w:pPr>
            <w:r>
              <w:rPr>
                <w:rFonts w:ascii="Arial" w:cs="Arial" w:eastAsia="Arial" w:hAnsi="Arial"/>
                <w:sz w:val="13"/>
                <w:szCs w:val="13"/>
                <w:color w:val="auto"/>
                <w:w w:val="87"/>
              </w:rPr>
              <w:t>agreements and</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0" w:type="dxa"/>
            <w:vAlign w:val="bottom"/>
            <w:gridSpan w:val="2"/>
          </w:tcPr>
          <w:p>
            <w:pPr>
              <w:spacing w:after="0" w:line="133" w:lineRule="exact"/>
              <w:rPr>
                <w:sz w:val="20"/>
                <w:szCs w:val="20"/>
                <w:color w:val="auto"/>
              </w:rPr>
            </w:pPr>
            <w:r>
              <w:rPr>
                <w:rFonts w:ascii="Arial" w:cs="Arial" w:eastAsia="Arial" w:hAnsi="Arial"/>
                <w:sz w:val="13"/>
                <w:szCs w:val="13"/>
                <w:color w:val="auto"/>
              </w:rPr>
              <w:t>security</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 w:type="dxa"/>
            <w:vAlign w:val="bottom"/>
            <w:gridSpan w:val="2"/>
          </w:tcPr>
          <w:p>
            <w:pPr>
              <w:spacing w:after="0"/>
              <w:rPr>
                <w:sz w:val="20"/>
                <w:szCs w:val="20"/>
                <w:color w:val="auto"/>
              </w:rPr>
            </w:pPr>
            <w:r>
              <w:rPr>
                <w:rFonts w:ascii="Arial" w:cs="Arial" w:eastAsia="Arial" w:hAnsi="Arial"/>
                <w:sz w:val="13"/>
                <w:szCs w:val="13"/>
                <w:color w:val="auto"/>
              </w:rPr>
              <w:t>lendings</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10,919,624</w:t>
            </w:r>
          </w:p>
        </w:tc>
        <w:tc>
          <w:tcPr>
            <w:tcW w:w="100" w:type="dxa"/>
            <w:vAlign w:val="bottom"/>
          </w:tcPr>
          <w:p>
            <w:pPr>
              <w:spacing w:after="0"/>
              <w:rPr>
                <w:sz w:val="12"/>
                <w:szCs w:val="12"/>
                <w:color w:val="auto"/>
              </w:rPr>
            </w:pPr>
          </w:p>
        </w:tc>
        <w:tc>
          <w:tcPr>
            <w:tcW w:w="840" w:type="dxa"/>
            <w:vAlign w:val="bottom"/>
          </w:tcPr>
          <w:p>
            <w:pPr>
              <w:ind w:left="800"/>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10,919,624</w:t>
            </w:r>
          </w:p>
        </w:tc>
        <w:tc>
          <w:tcPr>
            <w:tcW w:w="100" w:type="dxa"/>
            <w:vAlign w:val="bottom"/>
          </w:tcPr>
          <w:p>
            <w:pPr>
              <w:spacing w:after="0"/>
              <w:rPr>
                <w:sz w:val="12"/>
                <w:szCs w:val="12"/>
                <w:color w:val="auto"/>
              </w:rPr>
            </w:pPr>
          </w:p>
        </w:tc>
        <w:tc>
          <w:tcPr>
            <w:tcW w:w="940" w:type="dxa"/>
            <w:vAlign w:val="bottom"/>
            <w:gridSpan w:val="2"/>
          </w:tcPr>
          <w:p>
            <w:pPr>
              <w:jc w:val="right"/>
              <w:ind w:right="162"/>
              <w:spacing w:after="0"/>
              <w:rPr>
                <w:sz w:val="20"/>
                <w:szCs w:val="20"/>
                <w:color w:val="auto"/>
              </w:rPr>
            </w:pPr>
            <w:r>
              <w:rPr>
                <w:rFonts w:ascii="Arial" w:cs="Arial" w:eastAsia="Arial" w:hAnsi="Arial"/>
                <w:sz w:val="13"/>
                <w:szCs w:val="13"/>
                <w:color w:val="auto"/>
              </w:rPr>
              <w:t>(2,022,625)</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8,896,999</w:t>
            </w:r>
          </w:p>
        </w:tc>
        <w:tc>
          <w:tcPr>
            <w:tcW w:w="60" w:type="dxa"/>
            <w:vAlign w:val="bottom"/>
          </w:tcPr>
          <w:p>
            <w:pPr>
              <w:spacing w:after="0"/>
              <w:rPr>
                <w:sz w:val="12"/>
                <w:szCs w:val="12"/>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11,026,698</w:t>
            </w:r>
          </w:p>
        </w:tc>
        <w:tc>
          <w:tcPr>
            <w:tcW w:w="9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11,026,698</w:t>
            </w:r>
          </w:p>
        </w:tc>
        <w:tc>
          <w:tcPr>
            <w:tcW w:w="940" w:type="dxa"/>
            <w:vAlign w:val="bottom"/>
            <w:gridSpan w:val="2"/>
          </w:tcPr>
          <w:p>
            <w:pPr>
              <w:jc w:val="right"/>
              <w:ind w:right="162"/>
              <w:spacing w:after="0"/>
              <w:rPr>
                <w:sz w:val="20"/>
                <w:szCs w:val="20"/>
                <w:color w:val="auto"/>
              </w:rPr>
            </w:pPr>
            <w:r>
              <w:rPr>
                <w:rFonts w:ascii="Arial" w:cs="Arial" w:eastAsia="Arial" w:hAnsi="Arial"/>
                <w:sz w:val="13"/>
                <w:szCs w:val="13"/>
                <w:color w:val="auto"/>
              </w:rPr>
              <w:t>(1,907,347)</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9,119,351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2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Available-for-</w:t>
            </w: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7"/>
              </w:rPr>
              <w:t>sale and held-</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to-maturity</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investments</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pledged as</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3"/>
                <w:szCs w:val="13"/>
                <w:color w:val="auto"/>
              </w:rPr>
              <w:t>collateral</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3,849,558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800"/>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3,849,558</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2"/>
              <w:spacing w:after="0"/>
              <w:rPr>
                <w:sz w:val="20"/>
                <w:szCs w:val="20"/>
                <w:color w:val="auto"/>
              </w:rPr>
            </w:pPr>
            <w:r>
              <w:rPr>
                <w:rFonts w:ascii="Arial" w:cs="Arial" w:eastAsia="Arial" w:hAnsi="Arial"/>
                <w:sz w:val="13"/>
                <w:szCs w:val="13"/>
                <w:color w:val="auto"/>
              </w:rPr>
              <w:t>(3,719,047)</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130,511</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3,456,780</w:t>
            </w: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3,456,780</w:t>
            </w:r>
          </w:p>
        </w:tc>
        <w:tc>
          <w:tcPr>
            <w:tcW w:w="940" w:type="dxa"/>
            <w:vAlign w:val="bottom"/>
            <w:gridSpan w:val="2"/>
            <w:shd w:val="clear" w:color="auto" w:fill="CCEEFF"/>
          </w:tcPr>
          <w:p>
            <w:pPr>
              <w:jc w:val="right"/>
              <w:ind w:right="162"/>
              <w:spacing w:after="0"/>
              <w:rPr>
                <w:sz w:val="20"/>
                <w:szCs w:val="20"/>
                <w:color w:val="auto"/>
              </w:rPr>
            </w:pPr>
            <w:r>
              <w:rPr>
                <w:rFonts w:ascii="Arial" w:cs="Arial" w:eastAsia="Arial" w:hAnsi="Arial"/>
                <w:sz w:val="13"/>
                <w:szCs w:val="13"/>
                <w:color w:val="auto"/>
              </w:rPr>
              <w:t>(3,402,315)</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54,465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tcPr>
          <w:p>
            <w:pPr>
              <w:spacing w:after="0" w:line="125"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15,711,784</w:t>
            </w:r>
          </w:p>
        </w:tc>
        <w:tc>
          <w:tcPr>
            <w:tcW w:w="100" w:type="dxa"/>
            <w:vAlign w:val="bottom"/>
          </w:tcPr>
          <w:p>
            <w:pPr>
              <w:spacing w:after="0"/>
              <w:rPr>
                <w:sz w:val="10"/>
                <w:szCs w:val="10"/>
                <w:color w:val="auto"/>
              </w:rPr>
            </w:pPr>
          </w:p>
        </w:tc>
        <w:tc>
          <w:tcPr>
            <w:tcW w:w="8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15,711,784</w:t>
            </w:r>
          </w:p>
        </w:tc>
        <w:tc>
          <w:tcPr>
            <w:tcW w:w="10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(6,157,756</w:t>
            </w:r>
          </w:p>
        </w:tc>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6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(30,573</w:t>
            </w:r>
          </w:p>
        </w:tc>
        <w:tc>
          <w:tcPr>
            <w:tcW w:w="80" w:type="dxa"/>
            <w:vAlign w:val="bottom"/>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9,523,455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15,958,994</w:t>
            </w:r>
          </w:p>
        </w:tc>
        <w:tc>
          <w:tcPr>
            <w:tcW w:w="120" w:type="dxa"/>
            <w:vAlign w:val="bottom"/>
          </w:tcPr>
          <w:p>
            <w:pPr>
              <w:spacing w:after="0"/>
              <w:rPr>
                <w:sz w:val="10"/>
                <w:szCs w:val="10"/>
                <w:color w:val="auto"/>
              </w:rPr>
            </w:pPr>
          </w:p>
        </w:tc>
        <w:tc>
          <w:tcPr>
            <w:tcW w:w="8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15,958,994</w:t>
            </w:r>
          </w:p>
        </w:tc>
        <w:tc>
          <w:tcPr>
            <w:tcW w:w="12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(5,470,090</w:t>
            </w:r>
          </w:p>
        </w:tc>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6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(80,687</w:t>
            </w:r>
          </w:p>
        </w:tc>
        <w:tc>
          <w:tcPr>
            <w:tcW w:w="120" w:type="dxa"/>
            <w:vAlign w:val="bottom"/>
          </w:tcPr>
          <w:p>
            <w:pPr>
              <w:jc w:val="right"/>
              <w:ind w:right="42"/>
              <w:spacing w:after="0"/>
              <w:rPr>
                <w:sz w:val="20"/>
                <w:szCs w:val="20"/>
                <w:color w:val="auto"/>
              </w:rPr>
            </w:pPr>
            <w:r>
              <w:rPr>
                <w:rFonts w:ascii="Arial" w:cs="Arial" w:eastAsia="Arial" w:hAnsi="Arial"/>
                <w:sz w:val="8"/>
                <w:szCs w:val="8"/>
                <w:color w:val="auto"/>
                <w:w w:val="73"/>
              </w:rPr>
              <w:t>)</w:t>
            </w: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10,408,217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
        <w:spacing w:after="0"/>
        <w:rPr>
          <w:sz w:val="20"/>
          <w:szCs w:val="20"/>
          <w:color w:val="auto"/>
        </w:rPr>
      </w:pPr>
      <w:r>
        <w:rPr>
          <w:rFonts w:ascii="Arial" w:cs="Arial" w:eastAsia="Arial" w:hAnsi="Arial"/>
          <w:sz w:val="16"/>
          <w:szCs w:val="16"/>
          <w:color w:val="auto"/>
        </w:rPr>
        <w:t>Financial liabilities subject to offsetting, enforceable master agreements for offsetting and similar agreements:</w:t>
      </w:r>
    </w:p>
    <w:p>
      <w:pPr>
        <w:spacing w:after="0" w:line="207" w:lineRule="exact"/>
        <w:rPr>
          <w:sz w:val="20"/>
          <w:szCs w:val="20"/>
          <w:color w:val="auto"/>
        </w:rPr>
      </w:pPr>
    </w:p>
    <w:tbl>
      <w:tblPr>
        <w:tblLayout w:type="fixed"/>
        <w:tblInd w:w="3" w:type="dxa"/>
        <w:tblCellMar>
          <w:top w:w="0" w:type="dxa"/>
          <w:left w:w="0" w:type="dxa"/>
          <w:bottom w:w="0" w:type="dxa"/>
          <w:right w:w="0" w:type="dxa"/>
        </w:tblCellMar>
      </w:tblPr>
      <w:tr>
        <w:trPr>
          <w:trHeight w:val="153"/>
        </w:trPr>
        <w:tc>
          <w:tcPr>
            <w:tcW w:w="640" w:type="dxa"/>
            <w:vAlign w:val="bottom"/>
          </w:tcPr>
          <w:p>
            <w:pPr>
              <w:spacing w:after="0"/>
              <w:rPr>
                <w:sz w:val="13"/>
                <w:szCs w:val="13"/>
                <w:color w:val="auto"/>
              </w:rPr>
            </w:pPr>
          </w:p>
        </w:tc>
        <w:tc>
          <w:tcPr>
            <w:tcW w:w="1940" w:type="dxa"/>
            <w:vAlign w:val="bottom"/>
            <w:gridSpan w:val="5"/>
          </w:tcPr>
          <w:p>
            <w:pPr>
              <w:ind w:left="40"/>
              <w:spacing w:after="0"/>
              <w:rPr>
                <w:sz w:val="20"/>
                <w:szCs w:val="20"/>
                <w:color w:val="auto"/>
              </w:rPr>
            </w:pPr>
            <w:r>
              <w:rPr>
                <w:rFonts w:ascii="Arial" w:cs="Arial" w:eastAsia="Arial" w:hAnsi="Arial"/>
                <w:sz w:val="13"/>
                <w:szCs w:val="13"/>
                <w:b w:val="1"/>
                <w:bCs w:val="1"/>
                <w:color w:val="auto"/>
              </w:rPr>
              <w:t>As of December 31, 2016</w:t>
            </w: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40" w:type="dxa"/>
            <w:vAlign w:val="bottom"/>
            <w:gridSpan w:val="5"/>
          </w:tcPr>
          <w:p>
            <w:pPr>
              <w:spacing w:after="0"/>
              <w:rPr>
                <w:sz w:val="20"/>
                <w:szCs w:val="20"/>
                <w:color w:val="auto"/>
              </w:rPr>
            </w:pPr>
            <w:r>
              <w:rPr>
                <w:rFonts w:ascii="Arial" w:cs="Arial" w:eastAsia="Arial" w:hAnsi="Arial"/>
                <w:sz w:val="13"/>
                <w:szCs w:val="13"/>
                <w:b w:val="1"/>
                <w:bCs w:val="1"/>
                <w:color w:val="auto"/>
              </w:rPr>
              <w:t>As of December 31, 2015</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spacing w:after="0" w:line="105" w:lineRule="exact"/>
              <w:rPr>
                <w:sz w:val="20"/>
                <w:szCs w:val="20"/>
                <w:color w:val="auto"/>
              </w:rPr>
            </w:pPr>
            <w:r>
              <w:rPr>
                <w:rFonts w:ascii="Arial" w:cs="Arial" w:eastAsia="Arial" w:hAnsi="Arial"/>
                <w:sz w:val="12"/>
                <w:szCs w:val="12"/>
                <w:b w:val="1"/>
                <w:bCs w:val="1"/>
                <w:color w:val="auto"/>
              </w:rPr>
              <w:t>Gross amounts</w:t>
            </w:r>
          </w:p>
        </w:tc>
        <w:tc>
          <w:tcPr>
            <w:tcW w:w="10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3"/>
                <w:szCs w:val="13"/>
                <w:b w:val="1"/>
                <w:bCs w:val="1"/>
                <w:color w:val="auto"/>
              </w:rPr>
              <w:t>Net amounts of</w:t>
            </w:r>
          </w:p>
        </w:tc>
        <w:tc>
          <w:tcPr>
            <w:tcW w:w="7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3"/>
          </w:tcPr>
          <w:p>
            <w:pPr>
              <w:ind w:left="40"/>
              <w:spacing w:after="0" w:line="105" w:lineRule="exact"/>
              <w:rPr>
                <w:sz w:val="20"/>
                <w:szCs w:val="20"/>
                <w:color w:val="auto"/>
              </w:rPr>
            </w:pPr>
            <w:r>
              <w:rPr>
                <w:rFonts w:ascii="Arial" w:cs="Arial" w:eastAsia="Arial" w:hAnsi="Arial"/>
                <w:sz w:val="12"/>
                <w:szCs w:val="12"/>
                <w:b w:val="1"/>
                <w:bCs w:val="1"/>
                <w:color w:val="auto"/>
              </w:rPr>
              <w:t>Gross amounts</w:t>
            </w:r>
          </w:p>
        </w:tc>
        <w:tc>
          <w:tcPr>
            <w:tcW w:w="9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w w:val="97"/>
              </w:rPr>
              <w:t>Net amounts of</w:t>
            </w:r>
          </w:p>
        </w:tc>
        <w:tc>
          <w:tcPr>
            <w:tcW w:w="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of recognized</w:t>
            </w:r>
          </w:p>
        </w:tc>
        <w:tc>
          <w:tcPr>
            <w:tcW w:w="102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3"/>
          </w:tcPr>
          <w:p>
            <w:pPr>
              <w:ind w:left="40"/>
              <w:spacing w:after="0" w:line="133" w:lineRule="exact"/>
              <w:rPr>
                <w:sz w:val="20"/>
                <w:szCs w:val="20"/>
                <w:color w:val="auto"/>
              </w:rPr>
            </w:pPr>
            <w:r>
              <w:rPr>
                <w:rFonts w:ascii="Arial" w:cs="Arial" w:eastAsia="Arial" w:hAnsi="Arial"/>
                <w:sz w:val="13"/>
                <w:szCs w:val="13"/>
                <w:b w:val="1"/>
                <w:bCs w:val="1"/>
                <w:color w:val="auto"/>
              </w:rPr>
              <w:t>of recognized</w:t>
            </w:r>
          </w:p>
        </w:tc>
        <w:tc>
          <w:tcPr>
            <w:tcW w:w="9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financial</w:t>
            </w:r>
          </w:p>
        </w:tc>
        <w:tc>
          <w:tcPr>
            <w:tcW w:w="1020" w:type="dxa"/>
            <w:vAlign w:val="bottom"/>
            <w:gridSpan w:val="3"/>
          </w:tcPr>
          <w:p>
            <w:pPr>
              <w:ind w:left="40"/>
              <w:spacing w:after="0" w:line="141" w:lineRule="exact"/>
              <w:rPr>
                <w:sz w:val="20"/>
                <w:szCs w:val="20"/>
                <w:color w:val="auto"/>
              </w:rPr>
            </w:pPr>
            <w:r>
              <w:rPr>
                <w:rFonts w:ascii="Arial" w:cs="Arial" w:eastAsia="Arial" w:hAnsi="Arial"/>
                <w:sz w:val="13"/>
                <w:szCs w:val="13"/>
                <w:b w:val="1"/>
                <w:bCs w:val="1"/>
                <w:color w:val="auto"/>
                <w:w w:val="99"/>
              </w:rPr>
              <w:t>financial assets</w:t>
            </w:r>
          </w:p>
        </w:tc>
        <w:tc>
          <w:tcPr>
            <w:tcW w:w="1800" w:type="dxa"/>
            <w:vAlign w:val="bottom"/>
            <w:gridSpan w:val="4"/>
          </w:tcPr>
          <w:p>
            <w:pPr>
              <w:spacing w:after="0" w:line="141" w:lineRule="exact"/>
              <w:rPr>
                <w:sz w:val="20"/>
                <w:szCs w:val="20"/>
                <w:color w:val="auto"/>
              </w:rPr>
            </w:pPr>
            <w:r>
              <w:rPr>
                <w:rFonts w:ascii="Arial" w:cs="Arial" w:eastAsia="Arial" w:hAnsi="Arial"/>
                <w:sz w:val="13"/>
                <w:szCs w:val="13"/>
                <w:b w:val="1"/>
                <w:bCs w:val="1"/>
                <w:color w:val="auto"/>
                <w:w w:val="97"/>
              </w:rPr>
              <w:t>Related amounts not offset in</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ind w:left="40"/>
              <w:spacing w:after="0" w:line="141" w:lineRule="exact"/>
              <w:rPr>
                <w:sz w:val="20"/>
                <w:szCs w:val="20"/>
                <w:color w:val="auto"/>
              </w:rPr>
            </w:pPr>
            <w:r>
              <w:rPr>
                <w:rFonts w:ascii="Arial" w:cs="Arial" w:eastAsia="Arial" w:hAnsi="Arial"/>
                <w:sz w:val="13"/>
                <w:szCs w:val="13"/>
                <w:b w:val="1"/>
                <w:bCs w:val="1"/>
                <w:color w:val="auto"/>
              </w:rPr>
              <w:t>financial</w:t>
            </w:r>
          </w:p>
        </w:tc>
        <w:tc>
          <w:tcPr>
            <w:tcW w:w="94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w w:val="94"/>
              </w:rPr>
              <w:t>financial assets</w:t>
            </w:r>
          </w:p>
        </w:tc>
        <w:tc>
          <w:tcPr>
            <w:tcW w:w="1860" w:type="dxa"/>
            <w:vAlign w:val="bottom"/>
            <w:gridSpan w:val="5"/>
          </w:tcPr>
          <w:p>
            <w:pPr>
              <w:ind w:left="40"/>
              <w:spacing w:after="0" w:line="141" w:lineRule="exact"/>
              <w:rPr>
                <w:sz w:val="20"/>
                <w:szCs w:val="20"/>
                <w:color w:val="auto"/>
              </w:rPr>
            </w:pPr>
            <w:r>
              <w:rPr>
                <w:rFonts w:ascii="Arial" w:cs="Arial" w:eastAsia="Arial" w:hAnsi="Arial"/>
                <w:sz w:val="13"/>
                <w:szCs w:val="13"/>
                <w:b w:val="1"/>
                <w:bCs w:val="1"/>
                <w:color w:val="auto"/>
                <w:w w:val="98"/>
              </w:rPr>
              <w:t>Related amounts not offset in</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liabilities and</w:t>
            </w:r>
          </w:p>
        </w:tc>
        <w:tc>
          <w:tcPr>
            <w:tcW w:w="1020" w:type="dxa"/>
            <w:vAlign w:val="bottom"/>
            <w:gridSpan w:val="3"/>
          </w:tcPr>
          <w:p>
            <w:pPr>
              <w:ind w:left="40"/>
              <w:spacing w:after="0" w:line="133" w:lineRule="exact"/>
              <w:rPr>
                <w:sz w:val="20"/>
                <w:szCs w:val="20"/>
                <w:color w:val="auto"/>
              </w:rPr>
            </w:pPr>
            <w:r>
              <w:rPr>
                <w:rFonts w:ascii="Arial" w:cs="Arial" w:eastAsia="Arial" w:hAnsi="Arial"/>
                <w:sz w:val="13"/>
                <w:szCs w:val="13"/>
                <w:b w:val="1"/>
                <w:bCs w:val="1"/>
                <w:color w:val="auto"/>
                <w:w w:val="95"/>
              </w:rPr>
              <w:t>presented in the</w:t>
            </w:r>
          </w:p>
        </w:tc>
        <w:tc>
          <w:tcPr>
            <w:tcW w:w="1800" w:type="dxa"/>
            <w:vAlign w:val="bottom"/>
            <w:gridSpan w:val="4"/>
          </w:tcPr>
          <w:p>
            <w:pPr>
              <w:spacing w:after="0" w:line="133" w:lineRule="exact"/>
              <w:rPr>
                <w:sz w:val="20"/>
                <w:szCs w:val="20"/>
                <w:color w:val="auto"/>
              </w:rPr>
            </w:pPr>
            <w:r>
              <w:rPr>
                <w:rFonts w:ascii="Arial" w:cs="Arial" w:eastAsia="Arial" w:hAnsi="Arial"/>
                <w:sz w:val="13"/>
                <w:szCs w:val="13"/>
                <w:b w:val="1"/>
                <w:bCs w:val="1"/>
                <w:color w:val="auto"/>
                <w:w w:val="96"/>
              </w:rPr>
              <w:t>the consolidated statement of</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3"/>
          </w:tcPr>
          <w:p>
            <w:pPr>
              <w:ind w:left="40"/>
              <w:spacing w:after="0" w:line="133" w:lineRule="exact"/>
              <w:rPr>
                <w:sz w:val="20"/>
                <w:szCs w:val="20"/>
                <w:color w:val="auto"/>
              </w:rPr>
            </w:pPr>
            <w:r>
              <w:rPr>
                <w:rFonts w:ascii="Arial" w:cs="Arial" w:eastAsia="Arial" w:hAnsi="Arial"/>
                <w:sz w:val="13"/>
                <w:szCs w:val="13"/>
                <w:b w:val="1"/>
                <w:bCs w:val="1"/>
                <w:color w:val="auto"/>
              </w:rPr>
              <w:t>liabilities and</w:t>
            </w:r>
          </w:p>
        </w:tc>
        <w:tc>
          <w:tcPr>
            <w:tcW w:w="9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w w:val="91"/>
              </w:rPr>
              <w:t>presented in the</w:t>
            </w:r>
          </w:p>
        </w:tc>
        <w:tc>
          <w:tcPr>
            <w:tcW w:w="1860" w:type="dxa"/>
            <w:vAlign w:val="bottom"/>
            <w:gridSpan w:val="5"/>
          </w:tcPr>
          <w:p>
            <w:pPr>
              <w:ind w:left="40"/>
              <w:spacing w:after="0" w:line="133" w:lineRule="exact"/>
              <w:rPr>
                <w:sz w:val="20"/>
                <w:szCs w:val="20"/>
                <w:color w:val="auto"/>
              </w:rPr>
            </w:pPr>
            <w:r>
              <w:rPr>
                <w:rFonts w:ascii="Arial" w:cs="Arial" w:eastAsia="Arial" w:hAnsi="Arial"/>
                <w:sz w:val="13"/>
                <w:szCs w:val="13"/>
                <w:b w:val="1"/>
                <w:bCs w:val="1"/>
                <w:color w:val="auto"/>
                <w:w w:val="97"/>
              </w:rPr>
              <w:t>the consolidated statement of</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offset in the</w:t>
            </w:r>
          </w:p>
        </w:tc>
        <w:tc>
          <w:tcPr>
            <w:tcW w:w="1020" w:type="dxa"/>
            <w:vAlign w:val="bottom"/>
            <w:gridSpan w:val="3"/>
          </w:tcPr>
          <w:p>
            <w:pPr>
              <w:ind w:left="40"/>
              <w:spacing w:after="0"/>
              <w:rPr>
                <w:sz w:val="20"/>
                <w:szCs w:val="20"/>
                <w:color w:val="auto"/>
              </w:rPr>
            </w:pPr>
            <w:r>
              <w:rPr>
                <w:rFonts w:ascii="Arial" w:cs="Arial" w:eastAsia="Arial" w:hAnsi="Arial"/>
                <w:sz w:val="13"/>
                <w:szCs w:val="13"/>
                <w:b w:val="1"/>
                <w:bCs w:val="1"/>
                <w:color w:val="auto"/>
              </w:rPr>
              <w:t>consolidated</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w w:val="87"/>
              </w:rPr>
              <w:t>financial position</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tcPr>
          <w:p>
            <w:pPr>
              <w:ind w:left="40"/>
              <w:spacing w:after="0"/>
              <w:rPr>
                <w:sz w:val="20"/>
                <w:szCs w:val="20"/>
                <w:color w:val="auto"/>
              </w:rPr>
            </w:pPr>
            <w:r>
              <w:rPr>
                <w:rFonts w:ascii="Arial" w:cs="Arial" w:eastAsia="Arial" w:hAnsi="Arial"/>
                <w:sz w:val="13"/>
                <w:szCs w:val="13"/>
                <w:b w:val="1"/>
                <w:bCs w:val="1"/>
                <w:color w:val="auto"/>
              </w:rPr>
              <w:t>offset in the</w:t>
            </w: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consolidated</w:t>
            </w:r>
          </w:p>
        </w:tc>
        <w:tc>
          <w:tcPr>
            <w:tcW w:w="1000" w:type="dxa"/>
            <w:vAlign w:val="bottom"/>
            <w:gridSpan w:val="3"/>
          </w:tcPr>
          <w:p>
            <w:pPr>
              <w:ind w:left="40"/>
              <w:spacing w:after="0"/>
              <w:rPr>
                <w:sz w:val="20"/>
                <w:szCs w:val="20"/>
                <w:color w:val="auto"/>
              </w:rPr>
            </w:pPr>
            <w:r>
              <w:rPr>
                <w:rFonts w:ascii="Arial" w:cs="Arial" w:eastAsia="Arial" w:hAnsi="Arial"/>
                <w:sz w:val="13"/>
                <w:szCs w:val="13"/>
                <w:b w:val="1"/>
                <w:bCs w:val="1"/>
                <w:color w:val="auto"/>
                <w:w w:val="87"/>
              </w:rPr>
              <w:t>financial position</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gridSpan w:val="3"/>
            <w:vMerge w:val="restart"/>
          </w:tcPr>
          <w:p>
            <w:pPr>
              <w:ind w:left="40"/>
              <w:spacing w:after="0" w:line="125" w:lineRule="exact"/>
              <w:rPr>
                <w:sz w:val="20"/>
                <w:szCs w:val="20"/>
                <w:color w:val="auto"/>
              </w:rPr>
            </w:pPr>
            <w:r>
              <w:rPr>
                <w:rFonts w:ascii="Arial" w:cs="Arial" w:eastAsia="Arial" w:hAnsi="Arial"/>
                <w:sz w:val="13"/>
                <w:szCs w:val="13"/>
                <w:b w:val="1"/>
                <w:bCs w:val="1"/>
                <w:color w:val="auto"/>
                <w:w w:val="94"/>
              </w:rPr>
              <w:t>Gross amounts</w:t>
            </w:r>
          </w:p>
        </w:tc>
        <w:tc>
          <w:tcPr>
            <w:tcW w:w="980" w:type="dxa"/>
            <w:vAlign w:val="bottom"/>
            <w:gridSpan w:val="2"/>
            <w:vMerge w:val="restart"/>
          </w:tcPr>
          <w:p>
            <w:pPr>
              <w:spacing w:after="0" w:line="125" w:lineRule="exact"/>
              <w:rPr>
                <w:sz w:val="20"/>
                <w:szCs w:val="20"/>
                <w:color w:val="auto"/>
              </w:rPr>
            </w:pPr>
            <w:r>
              <w:rPr>
                <w:rFonts w:ascii="Arial" w:cs="Arial" w:eastAsia="Arial" w:hAnsi="Arial"/>
                <w:sz w:val="13"/>
                <w:szCs w:val="13"/>
                <w:b w:val="1"/>
                <w:bCs w:val="1"/>
                <w:color w:val="auto"/>
              </w:rPr>
              <w:t>consolidated</w:t>
            </w:r>
          </w:p>
        </w:tc>
        <w:tc>
          <w:tcPr>
            <w:tcW w:w="1020" w:type="dxa"/>
            <w:vAlign w:val="bottom"/>
            <w:gridSpan w:val="3"/>
            <w:vMerge w:val="restart"/>
          </w:tcPr>
          <w:p>
            <w:pPr>
              <w:ind w:left="40"/>
              <w:spacing w:after="0" w:line="125" w:lineRule="exact"/>
              <w:rPr>
                <w:sz w:val="20"/>
                <w:szCs w:val="20"/>
                <w:color w:val="auto"/>
              </w:rPr>
            </w:pPr>
            <w:r>
              <w:rPr>
                <w:rFonts w:ascii="Arial" w:cs="Arial" w:eastAsia="Arial" w:hAnsi="Arial"/>
                <w:sz w:val="13"/>
                <w:szCs w:val="13"/>
                <w:b w:val="1"/>
                <w:bCs w:val="1"/>
                <w:color w:val="auto"/>
              </w:rPr>
              <w:t>statements of</w:t>
            </w: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vMerge w:val="restart"/>
          </w:tcPr>
          <w:p>
            <w:pPr>
              <w:spacing w:after="0" w:line="125" w:lineRule="exact"/>
              <w:rPr>
                <w:sz w:val="20"/>
                <w:szCs w:val="20"/>
                <w:color w:val="auto"/>
              </w:rPr>
            </w:pPr>
            <w:r>
              <w:rPr>
                <w:rFonts w:ascii="Arial" w:cs="Arial" w:eastAsia="Arial" w:hAnsi="Arial"/>
                <w:sz w:val="13"/>
                <w:szCs w:val="13"/>
                <w:b w:val="1"/>
                <w:bCs w:val="1"/>
                <w:color w:val="auto"/>
                <w:w w:val="90"/>
              </w:rPr>
              <w:t>Gross amounts</w:t>
            </w:r>
          </w:p>
        </w:tc>
        <w:tc>
          <w:tcPr>
            <w:tcW w:w="1060" w:type="dxa"/>
            <w:vAlign w:val="bottom"/>
            <w:gridSpan w:val="3"/>
            <w:vMerge w:val="restart"/>
          </w:tcPr>
          <w:p>
            <w:pPr>
              <w:ind w:left="40"/>
              <w:spacing w:after="0" w:line="125" w:lineRule="exact"/>
              <w:rPr>
                <w:sz w:val="20"/>
                <w:szCs w:val="20"/>
                <w:color w:val="auto"/>
              </w:rPr>
            </w:pPr>
            <w:r>
              <w:rPr>
                <w:rFonts w:ascii="Arial" w:cs="Arial" w:eastAsia="Arial" w:hAnsi="Arial"/>
                <w:sz w:val="13"/>
                <w:szCs w:val="13"/>
                <w:b w:val="1"/>
                <w:bCs w:val="1"/>
                <w:color w:val="auto"/>
              </w:rPr>
              <w:t>consolidated</w:t>
            </w:r>
          </w:p>
        </w:tc>
        <w:tc>
          <w:tcPr>
            <w:tcW w:w="940" w:type="dxa"/>
            <w:vAlign w:val="bottom"/>
            <w:gridSpan w:val="2"/>
            <w:vMerge w:val="restart"/>
          </w:tcPr>
          <w:p>
            <w:pPr>
              <w:spacing w:after="0" w:line="125" w:lineRule="exact"/>
              <w:rPr>
                <w:sz w:val="20"/>
                <w:szCs w:val="20"/>
                <w:color w:val="auto"/>
              </w:rPr>
            </w:pPr>
            <w:r>
              <w:rPr>
                <w:rFonts w:ascii="Arial" w:cs="Arial" w:eastAsia="Arial" w:hAnsi="Arial"/>
                <w:sz w:val="13"/>
                <w:szCs w:val="13"/>
                <w:b w:val="1"/>
                <w:bCs w:val="1"/>
                <w:color w:val="auto"/>
              </w:rPr>
              <w:t>statements of</w:t>
            </w: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4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Financial</w:t>
            </w:r>
          </w:p>
        </w:tc>
        <w:tc>
          <w:tcPr>
            <w:tcW w:w="760" w:type="dxa"/>
            <w:vAlign w:val="bottom"/>
          </w:tcPr>
          <w:p>
            <w:pPr>
              <w:spacing w:after="0" w:line="105" w:lineRule="exact"/>
              <w:rPr>
                <w:sz w:val="20"/>
                <w:szCs w:val="20"/>
                <w:color w:val="auto"/>
              </w:rPr>
            </w:pPr>
            <w:r>
              <w:rPr>
                <w:rFonts w:ascii="Arial" w:cs="Arial" w:eastAsia="Arial" w:hAnsi="Arial"/>
                <w:sz w:val="12"/>
                <w:szCs w:val="12"/>
                <w:b w:val="1"/>
                <w:bCs w:val="1"/>
                <w:color w:val="auto"/>
              </w:rPr>
              <w:t>Cash</w:t>
            </w:r>
          </w:p>
        </w:tc>
        <w:tc>
          <w:tcPr>
            <w:tcW w:w="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Financial</w:t>
            </w:r>
          </w:p>
        </w:tc>
        <w:tc>
          <w:tcPr>
            <w:tcW w:w="760" w:type="dxa"/>
            <w:vAlign w:val="bottom"/>
          </w:tcPr>
          <w:p>
            <w:pPr>
              <w:spacing w:after="0" w:line="105" w:lineRule="exact"/>
              <w:rPr>
                <w:sz w:val="20"/>
                <w:szCs w:val="20"/>
                <w:color w:val="auto"/>
              </w:rPr>
            </w:pPr>
            <w:r>
              <w:rPr>
                <w:rFonts w:ascii="Arial" w:cs="Arial" w:eastAsia="Arial" w:hAnsi="Arial"/>
                <w:sz w:val="12"/>
                <w:szCs w:val="12"/>
                <w:b w:val="1"/>
                <w:bCs w:val="1"/>
                <w:color w:val="auto"/>
              </w:rPr>
              <w:t>Cash</w:t>
            </w:r>
          </w:p>
        </w:tc>
        <w:tc>
          <w:tcPr>
            <w:tcW w:w="1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960" w:type="dxa"/>
            <w:vAlign w:val="bottom"/>
            <w:gridSpan w:val="3"/>
          </w:tcPr>
          <w:p>
            <w:pPr>
              <w:ind w:left="40"/>
              <w:spacing w:after="0" w:line="129" w:lineRule="exact"/>
              <w:rPr>
                <w:sz w:val="20"/>
                <w:szCs w:val="20"/>
                <w:color w:val="auto"/>
              </w:rPr>
            </w:pPr>
            <w:r>
              <w:rPr>
                <w:rFonts w:ascii="Arial" w:cs="Arial" w:eastAsia="Arial" w:hAnsi="Arial"/>
                <w:sz w:val="13"/>
                <w:szCs w:val="13"/>
                <w:b w:val="1"/>
                <w:bCs w:val="1"/>
                <w:color w:val="auto"/>
              </w:rPr>
              <w:t>recognized</w:t>
            </w:r>
          </w:p>
        </w:tc>
        <w:tc>
          <w:tcPr>
            <w:tcW w:w="9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statement of</w:t>
            </w:r>
          </w:p>
        </w:tc>
        <w:tc>
          <w:tcPr>
            <w:tcW w:w="1020" w:type="dxa"/>
            <w:vAlign w:val="bottom"/>
            <w:gridSpan w:val="3"/>
          </w:tcPr>
          <w:p>
            <w:pPr>
              <w:ind w:left="40"/>
              <w:spacing w:after="0" w:line="129" w:lineRule="exact"/>
              <w:rPr>
                <w:sz w:val="20"/>
                <w:szCs w:val="20"/>
                <w:color w:val="auto"/>
              </w:rPr>
            </w:pPr>
            <w:r>
              <w:rPr>
                <w:rFonts w:ascii="Arial" w:cs="Arial" w:eastAsia="Arial" w:hAnsi="Arial"/>
                <w:sz w:val="13"/>
                <w:szCs w:val="13"/>
                <w:b w:val="1"/>
                <w:bCs w:val="1"/>
                <w:color w:val="auto"/>
              </w:rPr>
              <w:t>financial</w:t>
            </w:r>
          </w:p>
        </w:tc>
        <w:tc>
          <w:tcPr>
            <w:tcW w:w="960" w:type="dxa"/>
            <w:vAlign w:val="bottom"/>
            <w:gridSpan w:val="2"/>
            <w:vMerge w:val="continue"/>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collateral</w:t>
            </w:r>
          </w:p>
        </w:tc>
        <w:tc>
          <w:tcPr>
            <w:tcW w:w="7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5"/>
              </w:rPr>
              <w:t>Net amount</w:t>
            </w:r>
          </w:p>
        </w:tc>
        <w:tc>
          <w:tcPr>
            <w:tcW w:w="8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recognized</w:t>
            </w:r>
          </w:p>
        </w:tc>
        <w:tc>
          <w:tcPr>
            <w:tcW w:w="1060" w:type="dxa"/>
            <w:vAlign w:val="bottom"/>
            <w:gridSpan w:val="3"/>
          </w:tcPr>
          <w:p>
            <w:pPr>
              <w:ind w:left="40"/>
              <w:spacing w:after="0" w:line="129" w:lineRule="exact"/>
              <w:rPr>
                <w:sz w:val="20"/>
                <w:szCs w:val="20"/>
                <w:color w:val="auto"/>
              </w:rPr>
            </w:pPr>
            <w:r>
              <w:rPr>
                <w:rFonts w:ascii="Arial" w:cs="Arial" w:eastAsia="Arial" w:hAnsi="Arial"/>
                <w:sz w:val="13"/>
                <w:szCs w:val="13"/>
                <w:b w:val="1"/>
                <w:bCs w:val="1"/>
                <w:color w:val="auto"/>
              </w:rPr>
              <w:t>statement of</w:t>
            </w:r>
          </w:p>
        </w:tc>
        <w:tc>
          <w:tcPr>
            <w:tcW w:w="9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financial</w:t>
            </w:r>
          </w:p>
        </w:tc>
        <w:tc>
          <w:tcPr>
            <w:tcW w:w="1000" w:type="dxa"/>
            <w:vAlign w:val="bottom"/>
            <w:gridSpan w:val="3"/>
            <w:vMerge w:val="continue"/>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collateral</w:t>
            </w:r>
          </w:p>
        </w:tc>
        <w:tc>
          <w:tcPr>
            <w:tcW w:w="66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9"/>
              </w:rPr>
              <w:t>Net amount</w:t>
            </w:r>
          </w:p>
        </w:tc>
        <w:tc>
          <w:tcPr>
            <w:tcW w:w="0" w:type="dxa"/>
            <w:vAlign w:val="bottom"/>
          </w:tcPr>
          <w:p>
            <w:pPr>
              <w:spacing w:after="0"/>
              <w:rPr>
                <w:sz w:val="1"/>
                <w:szCs w:val="1"/>
                <w:color w:val="auto"/>
              </w:rPr>
            </w:pPr>
          </w:p>
        </w:tc>
      </w:tr>
      <w:tr>
        <w:trPr>
          <w:trHeight w:val="157"/>
        </w:trPr>
        <w:tc>
          <w:tcPr>
            <w:tcW w:w="1600" w:type="dxa"/>
            <w:vAlign w:val="bottom"/>
            <w:gridSpan w:val="4"/>
          </w:tcPr>
          <w:p>
            <w:pPr>
              <w:spacing w:after="0"/>
              <w:rPr>
                <w:sz w:val="20"/>
                <w:szCs w:val="20"/>
                <w:color w:val="auto"/>
              </w:rPr>
            </w:pPr>
            <w:r>
              <w:rPr>
                <w:rFonts w:ascii="Arial" w:cs="Arial" w:eastAsia="Arial" w:hAnsi="Arial"/>
                <w:sz w:val="13"/>
                <w:szCs w:val="13"/>
                <w:b w:val="1"/>
                <w:bCs w:val="1"/>
                <w:color w:val="auto"/>
                <w:w w:val="90"/>
              </w:rPr>
              <w:t>Descripción financial assets</w:t>
            </w: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w w:val="89"/>
              </w:rPr>
              <w:t>financial position</w:t>
            </w:r>
          </w:p>
        </w:tc>
        <w:tc>
          <w:tcPr>
            <w:tcW w:w="1020" w:type="dxa"/>
            <w:vAlign w:val="bottom"/>
            <w:gridSpan w:val="3"/>
          </w:tcPr>
          <w:p>
            <w:pPr>
              <w:ind w:left="40"/>
              <w:spacing w:after="0"/>
              <w:rPr>
                <w:sz w:val="20"/>
                <w:szCs w:val="20"/>
                <w:color w:val="auto"/>
              </w:rPr>
            </w:pPr>
            <w:r>
              <w:rPr>
                <w:rFonts w:ascii="Arial" w:cs="Arial" w:eastAsia="Arial" w:hAnsi="Arial"/>
                <w:sz w:val="13"/>
                <w:szCs w:val="13"/>
                <w:b w:val="1"/>
                <w:bCs w:val="1"/>
                <w:color w:val="auto"/>
              </w:rPr>
              <w:t>position</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instruments</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received</w:t>
            </w:r>
          </w:p>
        </w:tc>
        <w:tc>
          <w:tcPr>
            <w:tcW w:w="720" w:type="dxa"/>
            <w:vAlign w:val="bottom"/>
            <w:gridSpan w:val="3"/>
            <w:vMerge w:val="continue"/>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w w:val="88"/>
              </w:rPr>
              <w:t>financial assets</w:t>
            </w:r>
          </w:p>
        </w:tc>
        <w:tc>
          <w:tcPr>
            <w:tcW w:w="1060" w:type="dxa"/>
            <w:vAlign w:val="bottom"/>
            <w:gridSpan w:val="3"/>
          </w:tcPr>
          <w:p>
            <w:pPr>
              <w:ind w:left="40"/>
              <w:spacing w:after="0"/>
              <w:rPr>
                <w:sz w:val="20"/>
                <w:szCs w:val="20"/>
                <w:color w:val="auto"/>
              </w:rPr>
            </w:pPr>
            <w:r>
              <w:rPr>
                <w:rFonts w:ascii="Arial" w:cs="Arial" w:eastAsia="Arial" w:hAnsi="Arial"/>
                <w:sz w:val="13"/>
                <w:szCs w:val="13"/>
                <w:b w:val="1"/>
                <w:bCs w:val="1"/>
                <w:color w:val="auto"/>
                <w:w w:val="93"/>
              </w:rPr>
              <w:t>financial position</w:t>
            </w: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1000" w:type="dxa"/>
            <w:vAlign w:val="bottom"/>
            <w:gridSpan w:val="3"/>
          </w:tcPr>
          <w:p>
            <w:pPr>
              <w:ind w:left="40"/>
              <w:spacing w:after="0"/>
              <w:rPr>
                <w:sz w:val="20"/>
                <w:szCs w:val="20"/>
                <w:color w:val="auto"/>
              </w:rPr>
            </w:pPr>
            <w:r>
              <w:rPr>
                <w:rFonts w:ascii="Arial" w:cs="Arial" w:eastAsia="Arial" w:hAnsi="Arial"/>
                <w:sz w:val="13"/>
                <w:szCs w:val="13"/>
                <w:b w:val="1"/>
                <w:bCs w:val="1"/>
                <w:color w:val="auto"/>
              </w:rPr>
              <w:t>instruments</w:t>
            </w: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received</w:t>
            </w: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0"/>
                <w:szCs w:val="10"/>
                <w:color w:val="auto"/>
              </w:rPr>
            </w:pPr>
          </w:p>
        </w:tc>
        <w:tc>
          <w:tcPr>
            <w:tcW w:w="94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260" w:type="dxa"/>
            <w:vAlign w:val="bottom"/>
          </w:tcPr>
          <w:p>
            <w:pPr>
              <w:spacing w:after="0"/>
              <w:rPr>
                <w:sz w:val="10"/>
                <w:szCs w:val="10"/>
                <w:color w:val="auto"/>
              </w:rPr>
            </w:pPr>
          </w:p>
        </w:tc>
        <w:tc>
          <w:tcPr>
            <w:tcW w:w="76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jc w:val="right"/>
              <w:ind w:right="196"/>
              <w:spacing w:after="0" w:line="125" w:lineRule="exact"/>
              <w:rPr>
                <w:sz w:val="20"/>
                <w:szCs w:val="20"/>
                <w:color w:val="auto"/>
              </w:rPr>
            </w:pPr>
            <w:r>
              <w:rPr>
                <w:rFonts w:ascii="Arial" w:cs="Arial" w:eastAsia="Arial" w:hAnsi="Arial"/>
                <w:sz w:val="13"/>
                <w:szCs w:val="13"/>
                <w:b w:val="1"/>
                <w:bCs w:val="1"/>
                <w:color w:val="auto"/>
                <w:w w:val="84"/>
              </w:rPr>
              <w:t>S/(000)</w:t>
            </w:r>
          </w:p>
        </w:tc>
        <w:tc>
          <w:tcPr>
            <w:tcW w:w="60" w:type="dxa"/>
            <w:vAlign w:val="bottom"/>
          </w:tcPr>
          <w:p>
            <w:pPr>
              <w:spacing w:after="0"/>
              <w:rPr>
                <w:sz w:val="10"/>
                <w:szCs w:val="10"/>
                <w:color w:val="auto"/>
              </w:rPr>
            </w:pPr>
          </w:p>
        </w:tc>
        <w:tc>
          <w:tcPr>
            <w:tcW w:w="86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0"/>
                <w:szCs w:val="10"/>
                <w:color w:val="auto"/>
              </w:rPr>
            </w:pPr>
          </w:p>
        </w:tc>
        <w:tc>
          <w:tcPr>
            <w:tcW w:w="90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260" w:type="dxa"/>
            <w:vAlign w:val="bottom"/>
          </w:tcPr>
          <w:p>
            <w:pPr>
              <w:spacing w:after="0"/>
              <w:rPr>
                <w:sz w:val="10"/>
                <w:szCs w:val="10"/>
                <w:color w:val="auto"/>
              </w:rPr>
            </w:pPr>
          </w:p>
        </w:tc>
        <w:tc>
          <w:tcPr>
            <w:tcW w:w="76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Derivates</w:t>
            </w:r>
          </w:p>
        </w:tc>
        <w:tc>
          <w:tcPr>
            <w:tcW w:w="96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673,015</w:t>
            </w:r>
          </w:p>
        </w:tc>
        <w:tc>
          <w:tcPr>
            <w:tcW w:w="980" w:type="dxa"/>
            <w:vAlign w:val="bottom"/>
            <w:gridSpan w:val="2"/>
            <w:shd w:val="clear" w:color="auto" w:fill="CCEEFF"/>
          </w:tcPr>
          <w:p>
            <w:pPr>
              <w:ind w:left="900"/>
              <w:spacing w:after="0" w:line="133"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673,015</w:t>
            </w:r>
          </w:p>
        </w:tc>
        <w:tc>
          <w:tcPr>
            <w:tcW w:w="960" w:type="dxa"/>
            <w:vAlign w:val="bottom"/>
            <w:gridSpan w:val="2"/>
            <w:shd w:val="clear" w:color="auto" w:fill="CCEEFF"/>
          </w:tcPr>
          <w:p>
            <w:pPr>
              <w:jc w:val="right"/>
              <w:ind w:right="222"/>
              <w:spacing w:after="0" w:line="133" w:lineRule="exact"/>
              <w:rPr>
                <w:sz w:val="20"/>
                <w:szCs w:val="20"/>
                <w:color w:val="auto"/>
              </w:rPr>
            </w:pPr>
            <w:r>
              <w:rPr>
                <w:rFonts w:ascii="Arial" w:cs="Arial" w:eastAsia="Arial" w:hAnsi="Arial"/>
                <w:sz w:val="13"/>
                <w:szCs w:val="13"/>
                <w:color w:val="auto"/>
              </w:rPr>
              <w:t>(416,084)</w:t>
            </w:r>
          </w:p>
        </w:tc>
        <w:tc>
          <w:tcPr>
            <w:tcW w:w="840" w:type="dxa"/>
            <w:vAlign w:val="bottom"/>
            <w:gridSpan w:val="2"/>
            <w:shd w:val="clear" w:color="auto" w:fill="CCEEFF"/>
          </w:tcPr>
          <w:p>
            <w:pPr>
              <w:jc w:val="right"/>
              <w:ind w:right="16"/>
              <w:spacing w:after="0" w:line="133" w:lineRule="exact"/>
              <w:rPr>
                <w:sz w:val="20"/>
                <w:szCs w:val="20"/>
                <w:color w:val="auto"/>
              </w:rPr>
            </w:pPr>
            <w:r>
              <w:rPr>
                <w:rFonts w:ascii="Arial" w:cs="Arial" w:eastAsia="Arial" w:hAnsi="Arial"/>
                <w:sz w:val="13"/>
                <w:szCs w:val="13"/>
                <w:color w:val="auto"/>
              </w:rPr>
              <w:t>(175,788)</w:t>
            </w:r>
          </w:p>
        </w:tc>
        <w:tc>
          <w:tcPr>
            <w:tcW w:w="72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81,143</w:t>
            </w:r>
          </w:p>
        </w:tc>
        <w:tc>
          <w:tcPr>
            <w:tcW w:w="88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942,521</w:t>
            </w:r>
          </w:p>
        </w:tc>
        <w:tc>
          <w:tcPr>
            <w:tcW w:w="9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942,521</w:t>
            </w:r>
          </w:p>
        </w:tc>
        <w:tc>
          <w:tcPr>
            <w:tcW w:w="1000" w:type="dxa"/>
            <w:vAlign w:val="bottom"/>
            <w:gridSpan w:val="3"/>
            <w:shd w:val="clear" w:color="auto" w:fill="CCEEFF"/>
          </w:tcPr>
          <w:p>
            <w:pPr>
              <w:jc w:val="right"/>
              <w:ind w:right="222"/>
              <w:spacing w:after="0" w:line="133" w:lineRule="exact"/>
              <w:rPr>
                <w:sz w:val="20"/>
                <w:szCs w:val="20"/>
                <w:color w:val="auto"/>
              </w:rPr>
            </w:pPr>
            <w:r>
              <w:rPr>
                <w:rFonts w:ascii="Arial" w:cs="Arial" w:eastAsia="Arial" w:hAnsi="Arial"/>
                <w:sz w:val="13"/>
                <w:szCs w:val="13"/>
                <w:color w:val="auto"/>
              </w:rPr>
              <w:t>(160,428)</w:t>
            </w:r>
          </w:p>
        </w:tc>
        <w:tc>
          <w:tcPr>
            <w:tcW w:w="860" w:type="dxa"/>
            <w:vAlign w:val="bottom"/>
            <w:gridSpan w:val="2"/>
            <w:shd w:val="clear" w:color="auto" w:fill="CCEEFF"/>
          </w:tcPr>
          <w:p>
            <w:pPr>
              <w:jc w:val="right"/>
              <w:ind w:right="62"/>
              <w:spacing w:after="0" w:line="133" w:lineRule="exact"/>
              <w:rPr>
                <w:sz w:val="20"/>
                <w:szCs w:val="20"/>
                <w:color w:val="auto"/>
              </w:rPr>
            </w:pPr>
            <w:r>
              <w:rPr>
                <w:rFonts w:ascii="Arial" w:cs="Arial" w:eastAsia="Arial" w:hAnsi="Arial"/>
                <w:sz w:val="13"/>
                <w:szCs w:val="13"/>
                <w:color w:val="auto"/>
              </w:rPr>
              <w:t>(211,482)</w:t>
            </w:r>
          </w:p>
        </w:tc>
        <w:tc>
          <w:tcPr>
            <w:tcW w:w="6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570,611</w:t>
            </w:r>
          </w:p>
        </w:tc>
        <w:tc>
          <w:tcPr>
            <w:tcW w:w="0" w:type="dxa"/>
            <w:vAlign w:val="bottom"/>
          </w:tcPr>
          <w:p>
            <w:pPr>
              <w:spacing w:after="0"/>
              <w:rPr>
                <w:sz w:val="1"/>
                <w:szCs w:val="1"/>
                <w:color w:val="auto"/>
              </w:rPr>
            </w:pPr>
          </w:p>
        </w:tc>
      </w:tr>
      <w:tr>
        <w:trPr>
          <w:trHeight w:val="117"/>
        </w:trPr>
        <w:tc>
          <w:tcPr>
            <w:tcW w:w="640" w:type="dxa"/>
            <w:vAlign w:val="bottom"/>
          </w:tcPr>
          <w:p>
            <w:pPr>
              <w:spacing w:after="0" w:line="117" w:lineRule="exact"/>
              <w:rPr>
                <w:sz w:val="20"/>
                <w:szCs w:val="20"/>
                <w:color w:val="auto"/>
              </w:rPr>
            </w:pPr>
            <w:r>
              <w:rPr>
                <w:rFonts w:ascii="Arial" w:cs="Arial" w:eastAsia="Arial" w:hAnsi="Arial"/>
                <w:sz w:val="13"/>
                <w:szCs w:val="13"/>
                <w:color w:val="auto"/>
              </w:rPr>
              <w:t>Cash</w:t>
            </w: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line="133" w:lineRule="exact"/>
              <w:rPr>
                <w:sz w:val="20"/>
                <w:szCs w:val="20"/>
                <w:color w:val="auto"/>
              </w:rPr>
            </w:pPr>
            <w:r>
              <w:rPr>
                <w:rFonts w:ascii="Arial" w:cs="Arial" w:eastAsia="Arial" w:hAnsi="Arial"/>
                <w:sz w:val="13"/>
                <w:szCs w:val="13"/>
                <w:color w:val="auto"/>
              </w:rPr>
              <w:t>collateral</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line="133" w:lineRule="exact"/>
              <w:rPr>
                <w:sz w:val="20"/>
                <w:szCs w:val="20"/>
                <w:color w:val="auto"/>
              </w:rPr>
            </w:pPr>
            <w:r>
              <w:rPr>
                <w:rFonts w:ascii="Arial" w:cs="Arial" w:eastAsia="Arial" w:hAnsi="Arial"/>
                <w:sz w:val="13"/>
                <w:szCs w:val="13"/>
                <w:color w:val="auto"/>
                <w:w w:val="90"/>
              </w:rPr>
              <w:t>and reverse</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line="133" w:lineRule="exact"/>
              <w:rPr>
                <w:sz w:val="20"/>
                <w:szCs w:val="20"/>
                <w:color w:val="auto"/>
              </w:rPr>
            </w:pPr>
            <w:r>
              <w:rPr>
                <w:rFonts w:ascii="Arial" w:cs="Arial" w:eastAsia="Arial" w:hAnsi="Arial"/>
                <w:sz w:val="13"/>
                <w:szCs w:val="13"/>
                <w:color w:val="auto"/>
                <w:w w:val="95"/>
              </w:rPr>
              <w:t>repurchase</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line="133" w:lineRule="exact"/>
              <w:rPr>
                <w:sz w:val="20"/>
                <w:szCs w:val="20"/>
                <w:color w:val="auto"/>
              </w:rPr>
            </w:pPr>
            <w:r>
              <w:rPr>
                <w:rFonts w:ascii="Arial" w:cs="Arial" w:eastAsia="Arial" w:hAnsi="Arial"/>
                <w:sz w:val="13"/>
                <w:szCs w:val="13"/>
                <w:color w:val="auto"/>
                <w:w w:val="90"/>
              </w:rPr>
              <w:t>agreements</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line="133" w:lineRule="exact"/>
              <w:rPr>
                <w:sz w:val="20"/>
                <w:szCs w:val="20"/>
                <w:color w:val="auto"/>
              </w:rPr>
            </w:pPr>
            <w:r>
              <w:rPr>
                <w:rFonts w:ascii="Arial" w:cs="Arial" w:eastAsia="Arial" w:hAnsi="Arial"/>
                <w:sz w:val="13"/>
                <w:szCs w:val="13"/>
                <w:color w:val="auto"/>
              </w:rPr>
              <w:t>and</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line="133" w:lineRule="exact"/>
              <w:rPr>
                <w:sz w:val="20"/>
                <w:szCs w:val="20"/>
                <w:color w:val="auto"/>
              </w:rPr>
            </w:pPr>
            <w:r>
              <w:rPr>
                <w:rFonts w:ascii="Arial" w:cs="Arial" w:eastAsia="Arial" w:hAnsi="Arial"/>
                <w:sz w:val="13"/>
                <w:szCs w:val="13"/>
                <w:color w:val="auto"/>
              </w:rPr>
              <w:t>securities</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0" w:type="dxa"/>
            <w:vAlign w:val="bottom"/>
          </w:tcPr>
          <w:p>
            <w:pPr>
              <w:spacing w:after="0"/>
              <w:rPr>
                <w:sz w:val="20"/>
                <w:szCs w:val="20"/>
                <w:color w:val="auto"/>
              </w:rPr>
            </w:pPr>
            <w:r>
              <w:rPr>
                <w:rFonts w:ascii="Arial" w:cs="Arial" w:eastAsia="Arial" w:hAnsi="Arial"/>
                <w:sz w:val="13"/>
                <w:szCs w:val="13"/>
                <w:color w:val="auto"/>
                <w:w w:val="97"/>
              </w:rPr>
              <w:t>borrowings</w:t>
            </w:r>
          </w:p>
        </w:tc>
        <w:tc>
          <w:tcPr>
            <w:tcW w:w="960" w:type="dxa"/>
            <w:vAlign w:val="bottom"/>
            <w:gridSpan w:val="3"/>
          </w:tcPr>
          <w:p>
            <w:pPr>
              <w:jc w:val="right"/>
              <w:ind w:right="60"/>
              <w:spacing w:after="0"/>
              <w:rPr>
                <w:sz w:val="20"/>
                <w:szCs w:val="20"/>
                <w:color w:val="auto"/>
              </w:rPr>
            </w:pPr>
            <w:r>
              <w:rPr>
                <w:rFonts w:ascii="Arial" w:cs="Arial" w:eastAsia="Arial" w:hAnsi="Arial"/>
                <w:sz w:val="13"/>
                <w:szCs w:val="13"/>
                <w:color w:val="auto"/>
              </w:rPr>
              <w:t>15,127,999</w:t>
            </w:r>
          </w:p>
        </w:tc>
        <w:tc>
          <w:tcPr>
            <w:tcW w:w="9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3"/>
                <w:szCs w:val="13"/>
                <w:color w:val="auto"/>
              </w:rPr>
              <w:t>15,127,999</w:t>
            </w:r>
          </w:p>
        </w:tc>
        <w:tc>
          <w:tcPr>
            <w:tcW w:w="960" w:type="dxa"/>
            <w:vAlign w:val="bottom"/>
            <w:gridSpan w:val="2"/>
          </w:tcPr>
          <w:p>
            <w:pPr>
              <w:jc w:val="right"/>
              <w:ind w:right="182"/>
              <w:spacing w:after="0"/>
              <w:rPr>
                <w:sz w:val="20"/>
                <w:szCs w:val="20"/>
                <w:color w:val="auto"/>
              </w:rPr>
            </w:pPr>
            <w:r>
              <w:rPr>
                <w:rFonts w:ascii="Arial" w:cs="Arial" w:eastAsia="Arial" w:hAnsi="Arial"/>
                <w:sz w:val="13"/>
                <w:szCs w:val="13"/>
                <w:color w:val="auto"/>
              </w:rPr>
              <w:t>(4,476,984)</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(10,621,045)</w:t>
            </w: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29,970</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14,599,750</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14,599,750</w:t>
            </w:r>
          </w:p>
        </w:tc>
        <w:tc>
          <w:tcPr>
            <w:tcW w:w="1000" w:type="dxa"/>
            <w:vAlign w:val="bottom"/>
            <w:gridSpan w:val="3"/>
          </w:tcPr>
          <w:p>
            <w:pPr>
              <w:jc w:val="right"/>
              <w:ind w:right="182"/>
              <w:spacing w:after="0"/>
              <w:rPr>
                <w:sz w:val="20"/>
                <w:szCs w:val="20"/>
                <w:color w:val="auto"/>
              </w:rPr>
            </w:pPr>
            <w:r>
              <w:rPr>
                <w:rFonts w:ascii="Arial" w:cs="Arial" w:eastAsia="Arial" w:hAnsi="Arial"/>
                <w:sz w:val="13"/>
                <w:szCs w:val="13"/>
                <w:color w:val="auto"/>
              </w:rPr>
              <w:t>(4,419,400)</w:t>
            </w:r>
          </w:p>
        </w:tc>
        <w:tc>
          <w:tcPr>
            <w:tcW w:w="860" w:type="dxa"/>
            <w:vAlign w:val="bottom"/>
            <w:gridSpan w:val="2"/>
          </w:tcPr>
          <w:p>
            <w:pPr>
              <w:jc w:val="right"/>
              <w:ind w:right="22"/>
              <w:spacing w:after="0"/>
              <w:rPr>
                <w:sz w:val="20"/>
                <w:szCs w:val="20"/>
                <w:color w:val="auto"/>
              </w:rPr>
            </w:pPr>
            <w:r>
              <w:rPr>
                <w:rFonts w:ascii="Arial" w:cs="Arial" w:eastAsia="Arial" w:hAnsi="Arial"/>
                <w:sz w:val="13"/>
                <w:szCs w:val="13"/>
                <w:color w:val="auto"/>
              </w:rPr>
              <w:t>(10,080,794)</w:t>
            </w: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99,556</w:t>
            </w:r>
          </w:p>
        </w:tc>
        <w:tc>
          <w:tcPr>
            <w:tcW w:w="0" w:type="dxa"/>
            <w:vAlign w:val="bottom"/>
          </w:tcPr>
          <w:p>
            <w:pPr>
              <w:spacing w:after="0"/>
              <w:rPr>
                <w:sz w:val="1"/>
                <w:szCs w:val="1"/>
                <w:color w:val="auto"/>
              </w:rPr>
            </w:pPr>
          </w:p>
        </w:tc>
      </w:tr>
      <w:tr>
        <w:trPr>
          <w:trHeight w:val="125"/>
        </w:trPr>
        <w:tc>
          <w:tcPr>
            <w:tcW w:w="64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3"/>
                <w:szCs w:val="13"/>
                <w:b w:val="1"/>
                <w:bCs w:val="1"/>
                <w:color w:val="auto"/>
              </w:rPr>
              <w:t>Total</w:t>
            </w:r>
          </w:p>
        </w:tc>
        <w:tc>
          <w:tcPr>
            <w:tcW w:w="4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15,801,014</w:t>
            </w:r>
          </w:p>
        </w:tc>
        <w:tc>
          <w:tcPr>
            <w:tcW w:w="6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8"/>
                <w:szCs w:val="8"/>
                <w:color w:val="auto"/>
                <w:w w:val="73"/>
              </w:rPr>
              <w:t>-</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15,801,014</w:t>
            </w: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(4,893,068</w:t>
            </w:r>
          </w:p>
        </w:tc>
        <w:tc>
          <w:tcPr>
            <w:tcW w:w="260" w:type="dxa"/>
            <w:vAlign w:val="bottom"/>
            <w:tcBorders>
              <w:top w:val="single" w:sz="8" w:color="CCEEFF"/>
            </w:tcBorders>
            <w:shd w:val="clear" w:color="auto" w:fill="CCEEFF"/>
          </w:tcPr>
          <w:p>
            <w:pPr>
              <w:jc w:val="right"/>
              <w:ind w:right="182"/>
              <w:spacing w:after="0"/>
              <w:rPr>
                <w:sz w:val="20"/>
                <w:szCs w:val="20"/>
                <w:color w:val="auto"/>
              </w:rPr>
            </w:pPr>
            <w:r>
              <w:rPr>
                <w:rFonts w:ascii="Arial" w:cs="Arial" w:eastAsia="Arial" w:hAnsi="Arial"/>
                <w:sz w:val="8"/>
                <w:szCs w:val="8"/>
                <w:color w:val="auto"/>
                <w:w w:val="73"/>
              </w:rPr>
              <w:t>)</w:t>
            </w:r>
          </w:p>
        </w:tc>
        <w:tc>
          <w:tcPr>
            <w:tcW w:w="760" w:type="dxa"/>
            <w:vAlign w:val="bottom"/>
            <w:tcBorders>
              <w:top w:val="single" w:sz="8" w:color="auto"/>
              <w:bottom w:val="single" w:sz="8" w:color="auto"/>
            </w:tcBorders>
            <w:shd w:val="clear" w:color="auto" w:fill="CCEEFF"/>
          </w:tcPr>
          <w:p>
            <w:pPr>
              <w:ind w:left="140"/>
              <w:spacing w:after="0" w:line="125" w:lineRule="exact"/>
              <w:rPr>
                <w:sz w:val="20"/>
                <w:szCs w:val="20"/>
                <w:color w:val="auto"/>
              </w:rPr>
            </w:pPr>
            <w:r>
              <w:rPr>
                <w:rFonts w:ascii="Arial" w:cs="Arial" w:eastAsia="Arial" w:hAnsi="Arial"/>
                <w:sz w:val="13"/>
                <w:szCs w:val="13"/>
                <w:color w:val="auto"/>
                <w:w w:val="86"/>
              </w:rPr>
              <w:t>(10,796,833</w:t>
            </w:r>
          </w:p>
        </w:tc>
        <w:tc>
          <w:tcPr>
            <w:tcW w:w="80" w:type="dxa"/>
            <w:vAlign w:val="bottom"/>
            <w:tcBorders>
              <w:top w:val="single" w:sz="8" w:color="CCEEFF"/>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1"/>
              </w:rPr>
              <w:t>)</w:t>
            </w: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111,113</w:t>
            </w:r>
          </w:p>
        </w:tc>
        <w:tc>
          <w:tcPr>
            <w:tcW w:w="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15,542,271</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15,542,271</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(4,579,828</w:t>
            </w:r>
          </w:p>
        </w:tc>
        <w:tc>
          <w:tcPr>
            <w:tcW w:w="260" w:type="dxa"/>
            <w:vAlign w:val="bottom"/>
            <w:tcBorders>
              <w:top w:val="single" w:sz="8" w:color="CCEEFF"/>
            </w:tcBorders>
            <w:shd w:val="clear" w:color="auto" w:fill="CCEEFF"/>
          </w:tcPr>
          <w:p>
            <w:pPr>
              <w:jc w:val="right"/>
              <w:ind w:right="182"/>
              <w:spacing w:after="0"/>
              <w:rPr>
                <w:sz w:val="20"/>
                <w:szCs w:val="20"/>
                <w:color w:val="auto"/>
              </w:rPr>
            </w:pPr>
            <w:r>
              <w:rPr>
                <w:rFonts w:ascii="Arial" w:cs="Arial" w:eastAsia="Arial" w:hAnsi="Arial"/>
                <w:sz w:val="8"/>
                <w:szCs w:val="8"/>
                <w:color w:val="auto"/>
                <w:w w:val="73"/>
              </w:rPr>
              <w:t>)</w:t>
            </w:r>
          </w:p>
        </w:tc>
        <w:tc>
          <w:tcPr>
            <w:tcW w:w="760" w:type="dxa"/>
            <w:vAlign w:val="bottom"/>
            <w:tcBorders>
              <w:top w:val="single" w:sz="8" w:color="auto"/>
              <w:bottom w:val="single" w:sz="8" w:color="auto"/>
            </w:tcBorders>
            <w:shd w:val="clear" w:color="auto" w:fill="CCEEFF"/>
          </w:tcPr>
          <w:p>
            <w:pPr>
              <w:ind w:left="140"/>
              <w:spacing w:after="0" w:line="125" w:lineRule="exact"/>
              <w:rPr>
                <w:sz w:val="20"/>
                <w:szCs w:val="20"/>
                <w:color w:val="auto"/>
              </w:rPr>
            </w:pPr>
            <w:r>
              <w:rPr>
                <w:rFonts w:ascii="Arial" w:cs="Arial" w:eastAsia="Arial" w:hAnsi="Arial"/>
                <w:sz w:val="13"/>
                <w:szCs w:val="13"/>
                <w:color w:val="auto"/>
                <w:w w:val="86"/>
              </w:rPr>
              <w:t>(10,292,276</w:t>
            </w:r>
          </w:p>
        </w:tc>
        <w:tc>
          <w:tcPr>
            <w:tcW w:w="100" w:type="dxa"/>
            <w:vAlign w:val="bottom"/>
            <w:tcBorders>
              <w:top w:val="single" w:sz="8" w:color="CCEEFF"/>
            </w:tcBorders>
            <w:shd w:val="clear" w:color="auto" w:fill="CCEEFF"/>
          </w:tcPr>
          <w:p>
            <w:pPr>
              <w:jc w:val="right"/>
              <w:ind w:right="22"/>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670,167</w:t>
            </w: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 w:right="700"/>
        <w:spacing w:after="0" w:line="280" w:lineRule="auto"/>
        <w:rPr>
          <w:sz w:val="20"/>
          <w:szCs w:val="20"/>
          <w:color w:val="auto"/>
        </w:rPr>
      </w:pPr>
      <w:r>
        <w:rPr>
          <w:rFonts w:ascii="Arial" w:cs="Arial" w:eastAsia="Arial" w:hAnsi="Arial"/>
          <w:sz w:val="16"/>
          <w:szCs w:val="16"/>
          <w:color w:val="auto"/>
        </w:rPr>
        <w:t>The gross amounts of financial assets and liabilities and their net amounts disclosed in the above tables have been measured in the statement of financial position on the following basis:</w:t>
      </w:r>
    </w:p>
    <w:p>
      <w:pPr>
        <w:spacing w:after="0" w:line="151" w:lineRule="exact"/>
        <w:rPr>
          <w:sz w:val="20"/>
          <w:szCs w:val="20"/>
          <w:color w:val="auto"/>
        </w:rPr>
      </w:pPr>
    </w:p>
    <w:p>
      <w:pPr>
        <w:ind w:left="283" w:hanging="283"/>
        <w:spacing w:after="0"/>
        <w:tabs>
          <w:tab w:leader="none" w:pos="28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Derivative assets and liabilities are measured at fair value.</w:t>
      </w:r>
    </w:p>
    <w:p>
      <w:pPr>
        <w:spacing w:after="0" w:line="21" w:lineRule="exact"/>
        <w:rPr>
          <w:rFonts w:ascii="Arial" w:cs="Arial" w:eastAsia="Arial" w:hAnsi="Arial"/>
          <w:sz w:val="16"/>
          <w:szCs w:val="16"/>
          <w:color w:val="auto"/>
        </w:rPr>
      </w:pPr>
    </w:p>
    <w:p>
      <w:pPr>
        <w:ind w:left="283" w:hanging="283"/>
        <w:spacing w:after="0"/>
        <w:tabs>
          <w:tab w:leader="none" w:pos="283" w:val="left"/>
        </w:tabs>
        <w:numPr>
          <w:ilvl w:val="0"/>
          <w:numId w:val="138"/>
        </w:numPr>
        <w:rPr>
          <w:rFonts w:ascii="Arial" w:cs="Arial" w:eastAsia="Arial" w:hAnsi="Arial"/>
          <w:sz w:val="14"/>
          <w:szCs w:val="14"/>
          <w:color w:val="auto"/>
        </w:rPr>
      </w:pPr>
      <w:r>
        <w:rPr>
          <w:rFonts w:ascii="Arial" w:cs="Arial" w:eastAsia="Arial" w:hAnsi="Arial"/>
          <w:sz w:val="14"/>
          <w:szCs w:val="14"/>
          <w:color w:val="auto"/>
        </w:rPr>
        <w:t>Cash collateral and reverse repurchase agreements and security borrowing and payables from repurchase agreements and security lendings are measured at amortized cost.</w:t>
      </w:r>
    </w:p>
    <w:p>
      <w:pPr>
        <w:spacing w:after="0" w:line="32" w:lineRule="exact"/>
        <w:rPr>
          <w:rFonts w:ascii="Arial" w:cs="Arial" w:eastAsia="Arial" w:hAnsi="Arial"/>
          <w:sz w:val="14"/>
          <w:szCs w:val="14"/>
          <w:color w:val="auto"/>
        </w:rPr>
      </w:pPr>
    </w:p>
    <w:p>
      <w:pPr>
        <w:ind w:left="283" w:hanging="283"/>
        <w:spacing w:after="0"/>
        <w:tabs>
          <w:tab w:leader="none" w:pos="28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Financial liabilities are measured at fair value.</w:t>
      </w:r>
    </w:p>
    <w:p>
      <w:pPr>
        <w:spacing w:after="0" w:line="191" w:lineRule="exact"/>
        <w:rPr>
          <w:sz w:val="20"/>
          <w:szCs w:val="20"/>
          <w:color w:val="auto"/>
        </w:rPr>
      </w:pPr>
    </w:p>
    <w:p>
      <w:pPr>
        <w:ind w:left="3" w:right="200"/>
        <w:spacing w:after="0" w:line="266" w:lineRule="auto"/>
        <w:rPr>
          <w:sz w:val="20"/>
          <w:szCs w:val="20"/>
          <w:color w:val="auto"/>
        </w:rPr>
      </w:pPr>
      <w:r>
        <w:rPr>
          <w:rFonts w:ascii="Arial" w:cs="Arial" w:eastAsia="Arial" w:hAnsi="Arial"/>
          <w:sz w:val="16"/>
          <w:szCs w:val="16"/>
          <w:color w:val="auto"/>
        </w:rPr>
        <w:t>The difference between the carrying amount in the consolidated statement of financial position and the amounts presented in the tables above for derivatives (presented in other assets note 12(b)), cash collateral and reverse repurchase agreement and security borrowing and payables from repurchase agreements and security; are financial instruments outside of the scope of offsetting disclosure.</w:t>
      </w:r>
    </w:p>
    <w:p>
      <w:pPr>
        <w:spacing w:after="0" w:line="355" w:lineRule="exact"/>
        <w:rPr>
          <w:sz w:val="20"/>
          <w:szCs w:val="20"/>
          <w:color w:val="auto"/>
        </w:rPr>
      </w:pPr>
    </w:p>
    <w:p>
      <w:pPr>
        <w:jc w:val="center"/>
        <w:ind w:right="77"/>
        <w:spacing w:after="0"/>
        <w:rPr>
          <w:sz w:val="20"/>
          <w:szCs w:val="20"/>
          <w:color w:val="auto"/>
        </w:rPr>
      </w:pPr>
      <w:r>
        <w:rPr>
          <w:rFonts w:ascii="Arial" w:cs="Arial" w:eastAsia="Arial" w:hAnsi="Arial"/>
          <w:sz w:val="16"/>
          <w:szCs w:val="16"/>
          <w:color w:val="auto"/>
        </w:rPr>
        <w:t>- 129 -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523"/>
          </w:cols>
          <w:pgMar w:left="237" w:top="828" w:right="139" w:bottom="1440" w:gutter="0" w:footer="0" w:header="0"/>
        </w:sectPr>
      </w:pPr>
    </w:p>
    <w:bookmarkStart w:id="134" w:name="page135"/>
    <w:bookmarkEnd w:id="134"/>
    <w:p>
      <w:pPr>
        <w:ind w:left="3"/>
        <w:spacing w:after="0"/>
        <w:tabs>
          <w:tab w:leader="none" w:pos="463" w:val="left"/>
        </w:tabs>
        <w:rPr>
          <w:sz w:val="20"/>
          <w:szCs w:val="20"/>
          <w:color w:val="auto"/>
        </w:rPr>
      </w:pPr>
      <w:r>
        <w:rPr>
          <w:rFonts w:ascii="Arial" w:cs="Arial" w:eastAsia="Arial" w:hAnsi="Arial"/>
          <w:sz w:val="16"/>
          <w:szCs w:val="16"/>
          <w:b w:val="1"/>
          <w:bCs w:val="1"/>
          <w:color w:val="auto"/>
        </w:rPr>
        <w:t>34.2.</w:t>
      </w:r>
      <w:r>
        <w:rPr>
          <w:sz w:val="20"/>
          <w:szCs w:val="20"/>
          <w:color w:val="auto"/>
        </w:rPr>
        <w:tab/>
      </w:r>
      <w:r>
        <w:rPr>
          <w:rFonts w:ascii="Arial" w:cs="Arial" w:eastAsia="Arial" w:hAnsi="Arial"/>
          <w:sz w:val="15"/>
          <w:szCs w:val="15"/>
          <w:b w:val="1"/>
          <w:bCs w:val="1"/>
          <w:color w:val="auto"/>
        </w:rPr>
        <w:t>Market risk -</w:t>
      </w:r>
    </w:p>
    <w:p>
      <w:pPr>
        <w:spacing w:after="0" w:line="207"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The Group takes on exposure to market risks,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nature of the Group’s current activities, commodity price risk is not applicable.</w:t>
      </w:r>
    </w:p>
    <w:p>
      <w:pPr>
        <w:spacing w:after="0" w:line="167" w:lineRule="exact"/>
        <w:rPr>
          <w:sz w:val="20"/>
          <w:szCs w:val="20"/>
          <w:color w:val="auto"/>
        </w:rPr>
      </w:pPr>
    </w:p>
    <w:p>
      <w:pPr>
        <w:ind w:left="3" w:right="260"/>
        <w:spacing w:after="0" w:line="266" w:lineRule="auto"/>
        <w:rPr>
          <w:sz w:val="20"/>
          <w:szCs w:val="20"/>
          <w:color w:val="auto"/>
        </w:rPr>
      </w:pPr>
      <w:r>
        <w:rPr>
          <w:rFonts w:ascii="Arial" w:cs="Arial" w:eastAsia="Arial" w:hAnsi="Arial"/>
          <w:sz w:val="16"/>
          <w:szCs w:val="16"/>
          <w:color w:val="auto"/>
        </w:rPr>
        <w:t>The Group separates exposures to market risk into two groups: (i) those that arise from value fluctuation of trading portfolios due to movements of market rates or prices (Trading Book) and (ii) those that arise from changes in the structural positions of non-trading portfolios due to movements of the interest rates, prices and foreign exchange ratios (ALM Book).</w:t>
      </w:r>
    </w:p>
    <w:p>
      <w:pPr>
        <w:spacing w:after="0" w:line="162" w:lineRule="exact"/>
        <w:rPr>
          <w:sz w:val="20"/>
          <w:szCs w:val="20"/>
          <w:color w:val="auto"/>
        </w:rPr>
      </w:pPr>
    </w:p>
    <w:p>
      <w:pPr>
        <w:ind w:left="3"/>
        <w:spacing w:after="0" w:line="280" w:lineRule="auto"/>
        <w:rPr>
          <w:sz w:val="20"/>
          <w:szCs w:val="20"/>
          <w:color w:val="auto"/>
        </w:rPr>
      </w:pPr>
      <w:r>
        <w:rPr>
          <w:rFonts w:ascii="Arial" w:cs="Arial" w:eastAsia="Arial" w:hAnsi="Arial"/>
          <w:sz w:val="16"/>
          <w:szCs w:val="16"/>
          <w:color w:val="auto"/>
        </w:rPr>
        <w:t>The risks that trading portfolios faces are managed through Value at Risk (VaR) historical simulation techniques; while non-trading portfolios (Trading book) are managed using Asset and Liability Management (ALM).</w:t>
      </w:r>
    </w:p>
    <w:p>
      <w:pPr>
        <w:spacing w:after="0" w:line="151" w:lineRule="exact"/>
        <w:rPr>
          <w:sz w:val="20"/>
          <w:szCs w:val="20"/>
          <w:color w:val="auto"/>
        </w:rPr>
      </w:pPr>
    </w:p>
    <w:p>
      <w:pPr>
        <w:ind w:left="283" w:hanging="283"/>
        <w:spacing w:after="0"/>
        <w:tabs>
          <w:tab w:leader="none" w:pos="28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Trading Book -</w:t>
      </w:r>
    </w:p>
    <w:p>
      <w:pPr>
        <w:spacing w:after="0" w:line="202" w:lineRule="exact"/>
        <w:rPr>
          <w:rFonts w:ascii="Arial" w:cs="Arial" w:eastAsia="Arial" w:hAnsi="Arial"/>
          <w:sz w:val="16"/>
          <w:szCs w:val="16"/>
          <w:color w:val="auto"/>
        </w:rPr>
      </w:pPr>
    </w:p>
    <w:p>
      <w:pPr>
        <w:ind w:left="283" w:right="380"/>
        <w:spacing w:after="0" w:line="315" w:lineRule="auto"/>
        <w:rPr>
          <w:rFonts w:ascii="Arial" w:cs="Arial" w:eastAsia="Arial" w:hAnsi="Arial"/>
          <w:sz w:val="16"/>
          <w:szCs w:val="16"/>
          <w:color w:val="auto"/>
        </w:rPr>
      </w:pPr>
      <w:r>
        <w:rPr>
          <w:rFonts w:ascii="Arial" w:cs="Arial" w:eastAsia="Arial" w:hAnsi="Arial"/>
          <w:sz w:val="15"/>
          <w:szCs w:val="15"/>
          <w:color w:val="auto"/>
        </w:rPr>
        <w:t>The trading book is characterized for having liquid positions in equities, bonds, foreign currencies and derivatives, arising from market-making transactions where the Group acts as a principal with the clients or with the market. This portfolio includes investments and derivatives classified by Management as held for trading.</w:t>
      </w:r>
    </w:p>
    <w:p>
      <w:pPr>
        <w:spacing w:after="0" w:line="127" w:lineRule="exact"/>
        <w:rPr>
          <w:rFonts w:ascii="Arial" w:cs="Arial" w:eastAsia="Arial" w:hAnsi="Arial"/>
          <w:sz w:val="16"/>
          <w:szCs w:val="16"/>
          <w:color w:val="auto"/>
        </w:rPr>
      </w:pPr>
    </w:p>
    <w:p>
      <w:pPr>
        <w:ind w:left="583" w:hanging="293"/>
        <w:spacing w:after="0"/>
        <w:tabs>
          <w:tab w:leader="none" w:pos="58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Value at Risk (VaR) -</w:t>
      </w:r>
    </w:p>
    <w:p>
      <w:pPr>
        <w:spacing w:after="0" w:line="202" w:lineRule="exact"/>
        <w:rPr>
          <w:rFonts w:ascii="Arial" w:cs="Arial" w:eastAsia="Arial" w:hAnsi="Arial"/>
          <w:sz w:val="16"/>
          <w:szCs w:val="16"/>
          <w:color w:val="auto"/>
        </w:rPr>
      </w:pPr>
    </w:p>
    <w:p>
      <w:pPr>
        <w:ind w:left="583" w:right="420"/>
        <w:spacing w:after="0" w:line="280" w:lineRule="auto"/>
        <w:rPr>
          <w:rFonts w:ascii="Arial" w:cs="Arial" w:eastAsia="Arial" w:hAnsi="Arial"/>
          <w:sz w:val="16"/>
          <w:szCs w:val="16"/>
          <w:color w:val="auto"/>
        </w:rPr>
      </w:pPr>
      <w:r>
        <w:rPr>
          <w:rFonts w:ascii="Arial" w:cs="Arial" w:eastAsia="Arial" w:hAnsi="Arial"/>
          <w:sz w:val="16"/>
          <w:szCs w:val="16"/>
          <w:color w:val="auto"/>
        </w:rPr>
        <w:t>The Group applies the VaR approach to its trading portfolio to estimate the market risk of positions held and the maximum losses that are expected, based upon a number of assumptions for various changes in market conditions.</w:t>
      </w:r>
    </w:p>
    <w:p>
      <w:pPr>
        <w:spacing w:after="0" w:line="150"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6"/>
          <w:szCs w:val="16"/>
          <w:color w:val="auto"/>
        </w:rPr>
        <w:t>Daily calculation of VaR is a statistically-based estimate of the potential loss on the current portfolio from adverse market movements.</w:t>
      </w:r>
    </w:p>
    <w:p>
      <w:pPr>
        <w:spacing w:after="0" w:line="202" w:lineRule="exact"/>
        <w:rPr>
          <w:rFonts w:ascii="Arial" w:cs="Arial" w:eastAsia="Arial" w:hAnsi="Arial"/>
          <w:sz w:val="16"/>
          <w:szCs w:val="16"/>
          <w:color w:val="auto"/>
        </w:rPr>
      </w:pPr>
    </w:p>
    <w:p>
      <w:pPr>
        <w:ind w:left="583" w:right="100"/>
        <w:spacing w:after="0" w:line="266" w:lineRule="auto"/>
        <w:rPr>
          <w:rFonts w:ascii="Arial" w:cs="Arial" w:eastAsia="Arial" w:hAnsi="Arial"/>
          <w:sz w:val="16"/>
          <w:szCs w:val="16"/>
          <w:color w:val="auto"/>
        </w:rPr>
      </w:pPr>
      <w:r>
        <w:rPr>
          <w:rFonts w:ascii="Arial" w:cs="Arial" w:eastAsia="Arial" w:hAnsi="Arial"/>
          <w:sz w:val="16"/>
          <w:szCs w:val="16"/>
          <w:color w:val="auto"/>
        </w:rPr>
        <w:t>The VaR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(1 - 10 days).</w:t>
      </w:r>
    </w:p>
    <w:p>
      <w:pPr>
        <w:spacing w:after="0" w:line="161" w:lineRule="exact"/>
        <w:rPr>
          <w:rFonts w:ascii="Arial" w:cs="Arial" w:eastAsia="Arial" w:hAnsi="Arial"/>
          <w:sz w:val="16"/>
          <w:szCs w:val="16"/>
          <w:color w:val="auto"/>
        </w:rPr>
      </w:pPr>
    </w:p>
    <w:p>
      <w:pPr>
        <w:ind w:left="583" w:right="120"/>
        <w:spacing w:after="0" w:line="266" w:lineRule="auto"/>
        <w:rPr>
          <w:rFonts w:ascii="Arial" w:cs="Arial" w:eastAsia="Arial" w:hAnsi="Arial"/>
          <w:sz w:val="16"/>
          <w:szCs w:val="16"/>
          <w:color w:val="auto"/>
        </w:rPr>
      </w:pPr>
      <w:r>
        <w:rPr>
          <w:rFonts w:ascii="Arial" w:cs="Arial" w:eastAsia="Arial" w:hAnsi="Arial"/>
          <w:sz w:val="16"/>
          <w:szCs w:val="16"/>
          <w:color w:val="auto"/>
        </w:rPr>
        <w:t>The time horizon used to calculate VaR is one day; however, the one-day VAR is amplified to a 10-day time frame and calculated multiplying the one-day VaR by the square root of 10. This adjustment will be accurate only if the changes in the portfolio in the following days have a normal distribution identical and independent; otherwise, the VAR to 10 days will be an approximation).</w:t>
      </w:r>
    </w:p>
    <w:p>
      <w:pPr>
        <w:spacing w:after="0" w:line="161" w:lineRule="exact"/>
        <w:rPr>
          <w:rFonts w:ascii="Arial" w:cs="Arial" w:eastAsia="Arial" w:hAnsi="Arial"/>
          <w:sz w:val="16"/>
          <w:szCs w:val="16"/>
          <w:color w:val="auto"/>
        </w:rPr>
      </w:pPr>
    </w:p>
    <w:p>
      <w:pPr>
        <w:ind w:left="583" w:right="60"/>
        <w:spacing w:after="0" w:line="310" w:lineRule="auto"/>
        <w:rPr>
          <w:rFonts w:ascii="Arial" w:cs="Arial" w:eastAsia="Arial" w:hAnsi="Arial"/>
          <w:sz w:val="16"/>
          <w:szCs w:val="16"/>
          <w:color w:val="auto"/>
        </w:rPr>
      </w:pPr>
      <w:r>
        <w:rPr>
          <w:rFonts w:ascii="Arial" w:cs="Arial" w:eastAsia="Arial" w:hAnsi="Arial"/>
          <w:sz w:val="14"/>
          <w:szCs w:val="14"/>
          <w:color w:val="auto"/>
        </w:rPr>
        <w:t>VaR limits and consumptions are set on the basis of risk appetite and trading strategy of each subsidiary. The assessment of past movements has been based on historical one-year data and 127 market risk factors, which are composed as follows: 21 market curves, 91 stock prices, 9 mutual funds values, 2 volatility series and 4 survival probability curves. The Group applies these historical changes in rates directly to its current positions (a method known as historical simulation). The Management believes the market risk factors incorporated into its VaR model are adequate to measure the market risk to which the Group’s trading book is exposed.</w:t>
      </w:r>
    </w:p>
    <w:p>
      <w:pPr>
        <w:spacing w:after="0" w:line="328" w:lineRule="exact"/>
        <w:rPr>
          <w:rFonts w:ascii="Arial" w:cs="Arial" w:eastAsia="Arial" w:hAnsi="Arial"/>
          <w:sz w:val="16"/>
          <w:szCs w:val="16"/>
          <w:color w:val="auto"/>
        </w:rPr>
      </w:pPr>
    </w:p>
    <w:p>
      <w:pPr>
        <w:ind w:left="5603" w:hanging="95"/>
        <w:spacing w:after="0"/>
        <w:tabs>
          <w:tab w:leader="none" w:pos="5603" w:val="left"/>
        </w:tabs>
        <w:numPr>
          <w:ilvl w:val="2"/>
          <w:numId w:val="139"/>
        </w:numPr>
        <w:rPr>
          <w:rFonts w:ascii="Arial" w:cs="Arial" w:eastAsia="Arial" w:hAnsi="Arial"/>
          <w:sz w:val="16"/>
          <w:szCs w:val="16"/>
          <w:color w:val="auto"/>
        </w:rPr>
      </w:pPr>
      <w:r>
        <w:rPr>
          <w:rFonts w:ascii="Arial" w:cs="Arial" w:eastAsia="Arial" w:hAnsi="Arial"/>
          <w:sz w:val="16"/>
          <w:szCs w:val="16"/>
          <w:color w:val="auto"/>
        </w:rPr>
        <w:t>130 -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83"/>
          </w:cols>
          <w:pgMar w:left="237" w:top="824" w:right="279" w:bottom="1440" w:gutter="0" w:footer="0" w:header="0"/>
        </w:sectPr>
      </w:pPr>
    </w:p>
    <w:bookmarkStart w:id="135" w:name="page136"/>
    <w:bookmarkEnd w:id="135"/>
    <w:p>
      <w:pPr>
        <w:ind w:left="583" w:right="240"/>
        <w:spacing w:after="0" w:line="260" w:lineRule="auto"/>
        <w:rPr>
          <w:sz w:val="20"/>
          <w:szCs w:val="20"/>
          <w:color w:val="auto"/>
        </w:rPr>
      </w:pPr>
      <w:r>
        <w:rPr>
          <w:rFonts w:ascii="Arial" w:cs="Arial" w:eastAsia="Arial" w:hAnsi="Arial"/>
          <w:sz w:val="16"/>
          <w:szCs w:val="16"/>
          <w:color w:val="auto"/>
        </w:rPr>
        <w:t>The use of this approach does not prevent losses outside of these limits in the event of more significant market movements. Losses exceeding the VaR figure should occur, on average under normal market conditions, not more than once every hundred days.</w:t>
      </w:r>
    </w:p>
    <w:p>
      <w:pPr>
        <w:ind w:left="583" w:right="140"/>
        <w:spacing w:after="0" w:line="258" w:lineRule="auto"/>
        <w:rPr>
          <w:sz w:val="20"/>
          <w:szCs w:val="20"/>
          <w:color w:val="auto"/>
        </w:rPr>
      </w:pPr>
      <w:r>
        <w:rPr>
          <w:rFonts w:ascii="Arial" w:cs="Arial" w:eastAsia="Arial" w:hAnsi="Arial"/>
          <w:sz w:val="16"/>
          <w:szCs w:val="16"/>
          <w:color w:val="auto"/>
        </w:rPr>
        <w:t>VaR limits have been established to control and keep track of all the risks taken. These risks arise from the size of the positions and/or the volatility of the risk factors embedded in each financial instrument. Regular reports are prepared for the Treasury and ALM Risk Committee, the Risk Management Committee and Senior Management.</w:t>
      </w:r>
    </w:p>
    <w:p>
      <w:pPr>
        <w:spacing w:after="0" w:line="168" w:lineRule="exact"/>
        <w:rPr>
          <w:sz w:val="20"/>
          <w:szCs w:val="20"/>
          <w:color w:val="auto"/>
        </w:rPr>
      </w:pPr>
    </w:p>
    <w:p>
      <w:pPr>
        <w:ind w:left="583"/>
        <w:spacing w:after="0"/>
        <w:rPr>
          <w:sz w:val="20"/>
          <w:szCs w:val="20"/>
          <w:color w:val="auto"/>
        </w:rPr>
      </w:pPr>
      <w:r>
        <w:rPr>
          <w:rFonts w:ascii="Arial" w:cs="Arial" w:eastAsia="Arial" w:hAnsi="Arial"/>
          <w:sz w:val="14"/>
          <w:szCs w:val="14"/>
          <w:color w:val="auto"/>
        </w:rPr>
        <w:t>VaR results are used to generate economic capital estimates by market risk, which are periodically monitored and are part of the overall risk appetite of each subsidiary.</w:t>
      </w:r>
    </w:p>
    <w:p>
      <w:pPr>
        <w:spacing w:after="0" w:line="226" w:lineRule="exact"/>
        <w:rPr>
          <w:sz w:val="20"/>
          <w:szCs w:val="20"/>
          <w:color w:val="auto"/>
        </w:rPr>
      </w:pPr>
    </w:p>
    <w:p>
      <w:pPr>
        <w:ind w:left="583"/>
        <w:spacing w:after="0"/>
        <w:rPr>
          <w:sz w:val="20"/>
          <w:szCs w:val="20"/>
          <w:color w:val="auto"/>
        </w:rPr>
      </w:pPr>
      <w:r>
        <w:rPr>
          <w:rFonts w:ascii="Arial" w:cs="Arial" w:eastAsia="Arial" w:hAnsi="Arial"/>
          <w:sz w:val="16"/>
          <w:szCs w:val="16"/>
          <w:color w:val="auto"/>
        </w:rPr>
        <w:t>In VaR calculation, the foreign exchange effect is not included because its measured in the net monetary position, see note 34.2 (b)(ii).</w:t>
      </w:r>
    </w:p>
    <w:p>
      <w:pPr>
        <w:spacing w:after="0" w:line="203" w:lineRule="exact"/>
        <w:rPr>
          <w:sz w:val="20"/>
          <w:szCs w:val="20"/>
          <w:color w:val="auto"/>
        </w:rPr>
      </w:pPr>
    </w:p>
    <w:p>
      <w:pPr>
        <w:ind w:left="583"/>
        <w:spacing w:after="0" w:line="266" w:lineRule="auto"/>
        <w:rPr>
          <w:sz w:val="20"/>
          <w:szCs w:val="20"/>
          <w:color w:val="auto"/>
        </w:rPr>
      </w:pPr>
      <w:r>
        <w:rPr>
          <w:rFonts w:ascii="Arial" w:cs="Arial" w:eastAsia="Arial" w:hAnsi="Arial"/>
          <w:sz w:val="16"/>
          <w:szCs w:val="16"/>
          <w:color w:val="auto"/>
        </w:rPr>
        <w:t>The consolidated VaR showed a reduction during the year 2016, due mainly to a greater volatility in the differential of rates in soles with regard to the U.S Dollar in the derivative market and to a reduction in the positions subject to this differential. As a result, the VaR remained within the risk appetite limits established by the Riisk Management of the Bank.</w:t>
      </w:r>
    </w:p>
    <w:p>
      <w:pPr>
        <w:spacing w:after="0" w:line="162" w:lineRule="exact"/>
        <w:rPr>
          <w:sz w:val="20"/>
          <w:szCs w:val="20"/>
          <w:color w:val="auto"/>
        </w:rPr>
      </w:pPr>
    </w:p>
    <w:tbl>
      <w:tblPr>
        <w:tblLayout w:type="fixed"/>
        <w:tblInd w:w="583" w:type="dxa"/>
        <w:tblCellMar>
          <w:top w:w="0" w:type="dxa"/>
          <w:left w:w="0" w:type="dxa"/>
          <w:bottom w:w="0" w:type="dxa"/>
          <w:right w:w="0" w:type="dxa"/>
        </w:tblCellMar>
      </w:tblPr>
      <w:tr>
        <w:trPr>
          <w:trHeight w:val="206"/>
        </w:trPr>
        <w:tc>
          <w:tcPr>
            <w:tcW w:w="8240" w:type="dxa"/>
            <w:vAlign w:val="bottom"/>
            <w:gridSpan w:val="3"/>
          </w:tcPr>
          <w:p>
            <w:pPr>
              <w:spacing w:after="0"/>
              <w:rPr>
                <w:sz w:val="20"/>
                <w:szCs w:val="20"/>
                <w:color w:val="auto"/>
              </w:rPr>
            </w:pPr>
            <w:r>
              <w:rPr>
                <w:rFonts w:ascii="Arial" w:cs="Arial" w:eastAsia="Arial" w:hAnsi="Arial"/>
                <w:sz w:val="16"/>
                <w:szCs w:val="16"/>
                <w:color w:val="auto"/>
              </w:rPr>
              <w:t>As of December 31, 2016 and 2015 the Group’s VaR by type of asset is as follows:</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8240" w:type="dxa"/>
            <w:vAlign w:val="bottom"/>
            <w:gridSpan w:val="3"/>
          </w:tcPr>
          <w:p>
            <w:pPr>
              <w:ind w:left="7560"/>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7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investments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9,624</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12,282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20" w:type="dxa"/>
            <w:vAlign w:val="bottom"/>
            <w:gridSpan w:val="2"/>
          </w:tcPr>
          <w:p>
            <w:pPr>
              <w:spacing w:after="0"/>
              <w:rPr>
                <w:sz w:val="20"/>
                <w:szCs w:val="20"/>
                <w:color w:val="auto"/>
              </w:rPr>
            </w:pPr>
            <w:r>
              <w:rPr>
                <w:rFonts w:ascii="Arial" w:cs="Arial" w:eastAsia="Arial" w:hAnsi="Arial"/>
                <w:sz w:val="16"/>
                <w:szCs w:val="16"/>
                <w:color w:val="auto"/>
              </w:rPr>
              <w:t>Debt investments</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19,371</w:t>
            </w:r>
          </w:p>
        </w:tc>
        <w:tc>
          <w:tcPr>
            <w:tcW w:w="1460" w:type="dxa"/>
            <w:vAlign w:val="bottom"/>
            <w:gridSpan w:val="3"/>
          </w:tcPr>
          <w:p>
            <w:pPr>
              <w:jc w:val="right"/>
              <w:ind w:right="100"/>
              <w:spacing w:after="0"/>
              <w:rPr>
                <w:sz w:val="20"/>
                <w:szCs w:val="20"/>
                <w:color w:val="auto"/>
              </w:rPr>
            </w:pPr>
            <w:r>
              <w:rPr>
                <w:rFonts w:ascii="Arial" w:cs="Arial" w:eastAsia="Arial" w:hAnsi="Arial"/>
                <w:sz w:val="16"/>
                <w:szCs w:val="16"/>
                <w:color w:val="auto"/>
              </w:rPr>
              <w:t>7,088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Swaps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13,045</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13,769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20" w:type="dxa"/>
            <w:vAlign w:val="bottom"/>
            <w:gridSpan w:val="2"/>
          </w:tcPr>
          <w:p>
            <w:pPr>
              <w:spacing w:after="0"/>
              <w:rPr>
                <w:sz w:val="20"/>
                <w:szCs w:val="20"/>
                <w:color w:val="auto"/>
              </w:rPr>
            </w:pPr>
            <w:r>
              <w:rPr>
                <w:rFonts w:ascii="Arial" w:cs="Arial" w:eastAsia="Arial" w:hAnsi="Arial"/>
                <w:sz w:val="16"/>
                <w:szCs w:val="16"/>
                <w:color w:val="auto"/>
              </w:rPr>
              <w:t>Forwards</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2,470</w:t>
            </w:r>
          </w:p>
        </w:tc>
        <w:tc>
          <w:tcPr>
            <w:tcW w:w="1460" w:type="dxa"/>
            <w:vAlign w:val="bottom"/>
            <w:gridSpan w:val="3"/>
          </w:tcPr>
          <w:p>
            <w:pPr>
              <w:jc w:val="right"/>
              <w:ind w:right="100"/>
              <w:spacing w:after="0"/>
              <w:rPr>
                <w:sz w:val="20"/>
                <w:szCs w:val="20"/>
                <w:color w:val="auto"/>
              </w:rPr>
            </w:pPr>
            <w:r>
              <w:rPr>
                <w:rFonts w:ascii="Arial" w:cs="Arial" w:eastAsia="Arial" w:hAnsi="Arial"/>
                <w:sz w:val="16"/>
                <w:szCs w:val="16"/>
                <w:color w:val="auto"/>
              </w:rPr>
              <w:t>102,967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Options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1,160</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12,708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20" w:type="dxa"/>
            <w:vAlign w:val="bottom"/>
            <w:gridSpan w:val="2"/>
          </w:tcPr>
          <w:p>
            <w:pPr>
              <w:spacing w:after="0"/>
              <w:rPr>
                <w:sz w:val="20"/>
                <w:szCs w:val="20"/>
                <w:color w:val="auto"/>
              </w:rPr>
            </w:pPr>
            <w:r>
              <w:rPr>
                <w:rFonts w:ascii="Arial" w:cs="Arial" w:eastAsia="Arial" w:hAnsi="Arial"/>
                <w:sz w:val="16"/>
                <w:szCs w:val="16"/>
                <w:color w:val="auto"/>
              </w:rPr>
              <w:t>Diversification effect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(19,748)</w:t>
            </w:r>
          </w:p>
        </w:tc>
        <w:tc>
          <w:tcPr>
            <w:tcW w:w="1460" w:type="dxa"/>
            <w:vAlign w:val="bottom"/>
            <w:gridSpan w:val="3"/>
          </w:tcPr>
          <w:p>
            <w:pPr>
              <w:jc w:val="right"/>
              <w:ind w:right="40"/>
              <w:spacing w:after="0"/>
              <w:rPr>
                <w:sz w:val="20"/>
                <w:szCs w:val="20"/>
                <w:color w:val="auto"/>
              </w:rPr>
            </w:pPr>
            <w:r>
              <w:rPr>
                <w:rFonts w:ascii="Arial" w:cs="Arial" w:eastAsia="Arial" w:hAnsi="Arial"/>
                <w:sz w:val="16"/>
                <w:szCs w:val="16"/>
                <w:color w:val="auto"/>
              </w:rPr>
              <w:t>(27,997)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Consolidated VaR type of asset</w:t>
            </w:r>
          </w:p>
        </w:tc>
        <w:tc>
          <w:tcPr>
            <w:tcW w:w="6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25,922</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120,817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8240" w:type="dxa"/>
            <w:vAlign w:val="bottom"/>
            <w:gridSpan w:val="3"/>
          </w:tcPr>
          <w:p>
            <w:pPr>
              <w:spacing w:after="0"/>
              <w:rPr>
                <w:sz w:val="20"/>
                <w:szCs w:val="20"/>
                <w:color w:val="auto"/>
              </w:rPr>
            </w:pPr>
            <w:r>
              <w:rPr>
                <w:rFonts w:ascii="Arial" w:cs="Arial" w:eastAsia="Arial" w:hAnsi="Arial"/>
                <w:sz w:val="16"/>
                <w:szCs w:val="16"/>
                <w:color w:val="auto"/>
              </w:rPr>
              <w:t>As of December 31, 2016 and 2015, the Group’s VaR by risk type is as follows: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40" w:type="dxa"/>
            <w:vAlign w:val="bottom"/>
            <w:gridSpan w:val="3"/>
          </w:tcPr>
          <w:p>
            <w:pPr>
              <w:ind w:left="7560"/>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8220" w:type="dxa"/>
            <w:vAlign w:val="bottom"/>
            <w:gridSpan w:val="2"/>
          </w:tcPr>
          <w:p>
            <w:pPr>
              <w:spacing w:after="0"/>
              <w:rPr>
                <w:sz w:val="15"/>
                <w:szCs w:val="15"/>
                <w:color w:val="auto"/>
              </w:rPr>
            </w:pPr>
          </w:p>
        </w:tc>
        <w:tc>
          <w:tcPr>
            <w:tcW w:w="920" w:type="dxa"/>
            <w:vAlign w:val="bottom"/>
            <w:gridSpan w:val="2"/>
          </w:tcPr>
          <w:p>
            <w:pPr>
              <w:spacing w:after="0"/>
              <w:rPr>
                <w:sz w:val="15"/>
                <w:szCs w:val="15"/>
                <w:color w:val="auto"/>
              </w:rPr>
            </w:pPr>
          </w:p>
        </w:tc>
        <w:tc>
          <w:tcPr>
            <w:tcW w:w="14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rate risk</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22,553</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111,941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20" w:type="dxa"/>
            <w:vAlign w:val="bottom"/>
            <w:gridSpan w:val="2"/>
          </w:tcPr>
          <w:p>
            <w:pPr>
              <w:spacing w:after="0"/>
              <w:rPr>
                <w:sz w:val="20"/>
                <w:szCs w:val="20"/>
                <w:color w:val="auto"/>
              </w:rPr>
            </w:pPr>
            <w:r>
              <w:rPr>
                <w:rFonts w:ascii="Arial" w:cs="Arial" w:eastAsia="Arial" w:hAnsi="Arial"/>
                <w:sz w:val="16"/>
                <w:szCs w:val="16"/>
                <w:color w:val="auto"/>
              </w:rPr>
              <w:t>Price risk</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9,623</w:t>
            </w:r>
          </w:p>
        </w:tc>
        <w:tc>
          <w:tcPr>
            <w:tcW w:w="1460" w:type="dxa"/>
            <w:vAlign w:val="bottom"/>
            <w:gridSpan w:val="3"/>
          </w:tcPr>
          <w:p>
            <w:pPr>
              <w:jc w:val="right"/>
              <w:ind w:right="100"/>
              <w:spacing w:after="0"/>
              <w:rPr>
                <w:sz w:val="20"/>
                <w:szCs w:val="20"/>
                <w:color w:val="auto"/>
              </w:rPr>
            </w:pPr>
            <w:r>
              <w:rPr>
                <w:rFonts w:ascii="Arial" w:cs="Arial" w:eastAsia="Arial" w:hAnsi="Arial"/>
                <w:sz w:val="16"/>
                <w:szCs w:val="16"/>
                <w:color w:val="auto"/>
              </w:rPr>
              <w:t>12,288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Volatility risk</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319</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20" w:type="dxa"/>
            <w:vAlign w:val="bottom"/>
            <w:gridSpan w:val="2"/>
          </w:tcPr>
          <w:p>
            <w:pPr>
              <w:spacing w:after="0"/>
              <w:rPr>
                <w:sz w:val="20"/>
                <w:szCs w:val="20"/>
                <w:color w:val="auto"/>
              </w:rPr>
            </w:pPr>
            <w:r>
              <w:rPr>
                <w:rFonts w:ascii="Arial" w:cs="Arial" w:eastAsia="Arial" w:hAnsi="Arial"/>
                <w:sz w:val="16"/>
                <w:szCs w:val="16"/>
                <w:color w:val="auto"/>
              </w:rPr>
              <w:t>Diversification effect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(6,573)</w:t>
            </w:r>
          </w:p>
        </w:tc>
        <w:tc>
          <w:tcPr>
            <w:tcW w:w="1460" w:type="dxa"/>
            <w:vAlign w:val="bottom"/>
            <w:gridSpan w:val="3"/>
          </w:tcPr>
          <w:p>
            <w:pPr>
              <w:jc w:val="right"/>
              <w:ind w:right="40"/>
              <w:spacing w:after="0"/>
              <w:rPr>
                <w:sz w:val="20"/>
                <w:szCs w:val="20"/>
                <w:color w:val="auto"/>
              </w:rPr>
            </w:pPr>
            <w:r>
              <w:rPr>
                <w:rFonts w:ascii="Arial" w:cs="Arial" w:eastAsia="Arial" w:hAnsi="Arial"/>
                <w:sz w:val="16"/>
                <w:szCs w:val="16"/>
                <w:color w:val="auto"/>
              </w:rPr>
              <w:t>(3,701)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Consolidated VaR by risk type</w:t>
            </w:r>
          </w:p>
        </w:tc>
        <w:tc>
          <w:tcPr>
            <w:tcW w:w="6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25,922</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120,815</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283" w:hanging="283"/>
        <w:spacing w:after="0"/>
        <w:tabs>
          <w:tab w:leader="none" w:pos="28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ALM Book -</w:t>
      </w:r>
    </w:p>
    <w:p>
      <w:pPr>
        <w:spacing w:after="0" w:line="202" w:lineRule="exact"/>
        <w:rPr>
          <w:rFonts w:ascii="Arial" w:cs="Arial" w:eastAsia="Arial" w:hAnsi="Arial"/>
          <w:sz w:val="16"/>
          <w:szCs w:val="16"/>
          <w:color w:val="auto"/>
        </w:rPr>
      </w:pPr>
    </w:p>
    <w:p>
      <w:pPr>
        <w:ind w:left="283" w:right="20"/>
        <w:spacing w:after="0" w:line="280" w:lineRule="auto"/>
        <w:rPr>
          <w:rFonts w:ascii="Arial" w:cs="Arial" w:eastAsia="Arial" w:hAnsi="Arial"/>
          <w:sz w:val="16"/>
          <w:szCs w:val="16"/>
          <w:color w:val="auto"/>
        </w:rPr>
      </w:pPr>
      <w:r>
        <w:rPr>
          <w:rFonts w:ascii="Arial" w:cs="Arial" w:eastAsia="Arial" w:hAnsi="Arial"/>
          <w:sz w:val="16"/>
          <w:szCs w:val="16"/>
          <w:color w:val="auto"/>
        </w:rPr>
        <w:t>Non-trading portfolios which comprise the ALM Book are exposed to different sensitivities that can bring about a deterioration in the value of assets compared to liabilities and hence to a reduction of its net worth.</w:t>
      </w:r>
    </w:p>
    <w:p>
      <w:pPr>
        <w:spacing w:after="0" w:line="150" w:lineRule="exact"/>
        <w:rPr>
          <w:rFonts w:ascii="Arial" w:cs="Arial" w:eastAsia="Arial" w:hAnsi="Arial"/>
          <w:sz w:val="16"/>
          <w:szCs w:val="16"/>
          <w:color w:val="auto"/>
        </w:rPr>
      </w:pPr>
    </w:p>
    <w:p>
      <w:pPr>
        <w:ind w:left="583" w:hanging="293"/>
        <w:spacing w:after="0"/>
        <w:tabs>
          <w:tab w:leader="none" w:pos="583" w:val="left"/>
        </w:tabs>
        <w:numPr>
          <w:ilvl w:val="1"/>
          <w:numId w:val="140"/>
        </w:numPr>
        <w:rPr>
          <w:rFonts w:ascii="Arial" w:cs="Arial" w:eastAsia="Arial" w:hAnsi="Arial"/>
          <w:sz w:val="16"/>
          <w:szCs w:val="16"/>
          <w:color w:val="auto"/>
        </w:rPr>
      </w:pPr>
      <w:r>
        <w:rPr>
          <w:rFonts w:ascii="Arial" w:cs="Arial" w:eastAsia="Arial" w:hAnsi="Arial"/>
          <w:sz w:val="16"/>
          <w:szCs w:val="16"/>
          <w:color w:val="auto"/>
        </w:rPr>
        <w:t>Interest rate risk -</w:t>
      </w:r>
    </w:p>
    <w:p>
      <w:pPr>
        <w:spacing w:after="0" w:line="202" w:lineRule="exact"/>
        <w:rPr>
          <w:rFonts w:ascii="Arial" w:cs="Arial" w:eastAsia="Arial" w:hAnsi="Arial"/>
          <w:sz w:val="16"/>
          <w:szCs w:val="16"/>
          <w:color w:val="auto"/>
        </w:rPr>
      </w:pPr>
    </w:p>
    <w:p>
      <w:pPr>
        <w:ind w:left="583" w:right="40"/>
        <w:spacing w:after="0" w:line="266" w:lineRule="auto"/>
        <w:rPr>
          <w:rFonts w:ascii="Arial" w:cs="Arial" w:eastAsia="Arial" w:hAnsi="Arial"/>
          <w:sz w:val="16"/>
          <w:szCs w:val="16"/>
          <w:color w:val="auto"/>
        </w:rPr>
      </w:pPr>
      <w:r>
        <w:rPr>
          <w:rFonts w:ascii="Arial" w:cs="Arial" w:eastAsia="Arial" w:hAnsi="Arial"/>
          <w:sz w:val="16"/>
          <w:szCs w:val="16"/>
          <w:color w:val="auto"/>
        </w:rPr>
        <w:t>The ALM-related interest rate risk arises from eventual changes in interest rates that may adversely affect the expected gains (risk gains) or market value of financial assets and liabilities reported on the balance sheet (Net economic value). The Group accepts the exposure to the interest rate risk that may affect their fair value as well as the cash flow risk of future assets and liabilities.</w:t>
      </w:r>
    </w:p>
    <w:p>
      <w:pPr>
        <w:spacing w:after="0" w:line="355" w:lineRule="exact"/>
        <w:rPr>
          <w:rFonts w:ascii="Arial" w:cs="Arial" w:eastAsia="Arial" w:hAnsi="Arial"/>
          <w:sz w:val="16"/>
          <w:szCs w:val="16"/>
          <w:color w:val="auto"/>
        </w:rPr>
      </w:pPr>
    </w:p>
    <w:p>
      <w:pPr>
        <w:ind w:left="5603" w:hanging="95"/>
        <w:spacing w:after="0"/>
        <w:tabs>
          <w:tab w:leader="none" w:pos="5603" w:val="left"/>
        </w:tabs>
        <w:numPr>
          <w:ilvl w:val="2"/>
          <w:numId w:val="140"/>
        </w:numPr>
        <w:rPr>
          <w:rFonts w:ascii="Arial" w:cs="Arial" w:eastAsia="Arial" w:hAnsi="Arial"/>
          <w:sz w:val="16"/>
          <w:szCs w:val="16"/>
          <w:color w:val="auto"/>
        </w:rPr>
      </w:pPr>
      <w:r>
        <w:rPr>
          <w:rFonts w:ascii="Arial" w:cs="Arial" w:eastAsia="Arial" w:hAnsi="Arial"/>
          <w:sz w:val="16"/>
          <w:szCs w:val="16"/>
          <w:color w:val="auto"/>
        </w:rPr>
        <w:t>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83"/>
          </w:cols>
          <w:pgMar w:left="237" w:top="828" w:right="27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color w:val="auto"/>
        </w:rPr>
        <w:t>The risk committee sets the guidelines regarding the level of unmatched repricing of interest rates that can be tolerated, which is periodically monitored through ALM.</w:t>
      </w:r>
    </w:p>
    <w:p>
      <w:pPr>
        <w:spacing w:after="0" w:line="226"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Corporate policies include guidelines for the management of the Group’s exposure to the interest rate risk. These guidelines are implemented considering the features of each segment of business in which the Group entities operate.</w:t>
      </w:r>
    </w:p>
    <w:p>
      <w:pPr>
        <w:spacing w:after="0" w:line="15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this regard, Group companies that are exposed to the interest rate risk are those that have yields based on interest, such as credits, investments and technical reserves. Interest rate risk management in BCP Peru, BCP Bolivia, MiBanco, Atlantic Security Bank and Pacífico Grupo Asegurador is carried out performing a repricing gap analysis, sensitivity analysis of the profit margin (GER) and sensitivity analysis of the net economic value (VEN). These calculations consider different rate shocks in stress scenarios.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Analysis of repricing gap -</w:t>
      </w:r>
    </w:p>
    <w:p>
      <w:pPr>
        <w:spacing w:after="0" w:line="203"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The repricing gap analysis is intended to measure the interest rate risk exposure when the bank's interest-sensitive liabilities exceed its interest-sensitive assets. By this analysis, management can identify the tranches in which the interest rate variations may have a potential impact.</w:t>
      </w:r>
    </w:p>
    <w:p>
      <w:pPr>
        <w:spacing w:after="0" w:line="344"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- 132 -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13970</wp:posOffset>
            </wp:positionV>
            <wp:extent cx="7261225" cy="762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840"/>
          </w:cols>
          <w:pgMar w:left="820" w:top="828" w:right="239" w:bottom="1440" w:gutter="0" w:footer="0" w:header="0"/>
        </w:sectPr>
      </w:pPr>
    </w:p>
    <w:bookmarkStart w:id="137" w:name="page138"/>
    <w:bookmarkEnd w:id="137"/>
    <w:p>
      <w:pPr>
        <w:spacing w:after="0" w:line="280" w:lineRule="auto"/>
        <w:rPr>
          <w:sz w:val="20"/>
          <w:szCs w:val="20"/>
          <w:color w:val="auto"/>
        </w:rPr>
      </w:pPr>
      <w:r>
        <w:rPr>
          <w:rFonts w:ascii="Arial" w:cs="Arial" w:eastAsia="Arial" w:hAnsi="Arial"/>
          <w:sz w:val="16"/>
          <w:szCs w:val="16"/>
          <w:color w:val="auto"/>
        </w:rPr>
        <w:t>The table below summarizes the Group’s exposure to interest rate risks. It includes the Group’s financial instruments at carrying amounts, categorized by the earlier of contractual re-pricing or maturity dates:</w:t>
      </w:r>
    </w:p>
    <w:p>
      <w:pPr>
        <w:spacing w:after="0" w:line="155" w:lineRule="exact"/>
        <w:rPr>
          <w:sz w:val="20"/>
          <w:szCs w:val="20"/>
          <w:color w:val="auto"/>
        </w:rPr>
      </w:pPr>
    </w:p>
    <w:tbl>
      <w:tblPr>
        <w:tblLayout w:type="fixed"/>
        <w:tblInd w:w="4460" w:type="dxa"/>
        <w:tblCellMar>
          <w:top w:w="0" w:type="dxa"/>
          <w:left w:w="0" w:type="dxa"/>
          <w:bottom w:w="0" w:type="dxa"/>
          <w:right w:w="0" w:type="dxa"/>
        </w:tblCellMar>
      </w:tblPr>
      <w:tr>
        <w:trPr>
          <w:trHeight w:val="153"/>
        </w:trPr>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6"/>
          </w:tcPr>
          <w:p>
            <w:pPr>
              <w:ind w:left="120"/>
              <w:spacing w:after="0"/>
              <w:rPr>
                <w:sz w:val="20"/>
                <w:szCs w:val="20"/>
                <w:color w:val="auto"/>
              </w:rPr>
            </w:pPr>
            <w:r>
              <w:rPr>
                <w:rFonts w:ascii="Arial" w:cs="Arial" w:eastAsia="Arial" w:hAnsi="Arial"/>
                <w:sz w:val="13"/>
                <w:szCs w:val="13"/>
                <w:b w:val="1"/>
                <w:bCs w:val="1"/>
                <w:color w:val="auto"/>
              </w:rPr>
              <w:t>Al 31 de diciembre 2016</w:t>
            </w: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86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Up to 1</w:t>
            </w:r>
          </w:p>
        </w:tc>
        <w:tc>
          <w:tcPr>
            <w:tcW w:w="680" w:type="dxa"/>
            <w:vAlign w:val="bottom"/>
          </w:tcPr>
          <w:p>
            <w:pPr>
              <w:spacing w:after="0" w:line="105" w:lineRule="exact"/>
              <w:rPr>
                <w:sz w:val="20"/>
                <w:szCs w:val="20"/>
                <w:color w:val="auto"/>
              </w:rPr>
            </w:pPr>
            <w:r>
              <w:rPr>
                <w:rFonts w:ascii="Arial" w:cs="Arial" w:eastAsia="Arial" w:hAnsi="Arial"/>
                <w:sz w:val="12"/>
                <w:szCs w:val="12"/>
                <w:b w:val="1"/>
                <w:bCs w:val="1"/>
                <w:color w:val="auto"/>
              </w:rPr>
              <w:t>1 to 3</w:t>
            </w:r>
          </w:p>
        </w:tc>
        <w:tc>
          <w:tcPr>
            <w:tcW w:w="720" w:type="dxa"/>
            <w:vAlign w:val="bottom"/>
            <w:gridSpan w:val="2"/>
          </w:tcPr>
          <w:p>
            <w:pPr>
              <w:ind w:left="200"/>
              <w:spacing w:after="0" w:line="105" w:lineRule="exact"/>
              <w:rPr>
                <w:sz w:val="20"/>
                <w:szCs w:val="20"/>
                <w:color w:val="auto"/>
              </w:rPr>
            </w:pPr>
            <w:r>
              <w:rPr>
                <w:rFonts w:ascii="Arial" w:cs="Arial" w:eastAsia="Arial" w:hAnsi="Arial"/>
                <w:sz w:val="12"/>
                <w:szCs w:val="12"/>
                <w:b w:val="1"/>
                <w:bCs w:val="1"/>
                <w:color w:val="auto"/>
              </w:rPr>
              <w:t>3 to 12</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line="105" w:lineRule="exact"/>
              <w:rPr>
                <w:sz w:val="20"/>
                <w:szCs w:val="20"/>
                <w:color w:val="auto"/>
              </w:rPr>
            </w:pPr>
            <w:r>
              <w:rPr>
                <w:rFonts w:ascii="Arial" w:cs="Arial" w:eastAsia="Arial" w:hAnsi="Arial"/>
                <w:sz w:val="12"/>
                <w:szCs w:val="12"/>
                <w:b w:val="1"/>
                <w:bCs w:val="1"/>
                <w:color w:val="auto"/>
              </w:rPr>
              <w:t>1 to 5</w:t>
            </w:r>
          </w:p>
        </w:tc>
        <w:tc>
          <w:tcPr>
            <w:tcW w:w="1100" w:type="dxa"/>
            <w:vAlign w:val="bottom"/>
            <w:gridSpan w:val="3"/>
          </w:tcPr>
          <w:p>
            <w:pPr>
              <w:ind w:left="200"/>
              <w:spacing w:after="0" w:line="105" w:lineRule="exact"/>
              <w:rPr>
                <w:sz w:val="20"/>
                <w:szCs w:val="20"/>
                <w:color w:val="auto"/>
              </w:rPr>
            </w:pPr>
            <w:r>
              <w:rPr>
                <w:rFonts w:ascii="Arial" w:cs="Arial" w:eastAsia="Arial" w:hAnsi="Arial"/>
                <w:sz w:val="12"/>
                <w:szCs w:val="12"/>
                <w:b w:val="1"/>
                <w:bCs w:val="1"/>
                <w:color w:val="auto"/>
              </w:rPr>
              <w:t>More than 5</w:t>
            </w:r>
          </w:p>
        </w:tc>
        <w:tc>
          <w:tcPr>
            <w:tcW w:w="94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Non-interest</w:t>
            </w:r>
          </w:p>
        </w:tc>
        <w:tc>
          <w:tcPr>
            <w:tcW w:w="740" w:type="dxa"/>
            <w:vAlign w:val="bottom"/>
            <w:vMerge w:val="restart"/>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month</w:t>
            </w:r>
          </w:p>
        </w:tc>
        <w:tc>
          <w:tcPr>
            <w:tcW w:w="680" w:type="dxa"/>
            <w:vAlign w:val="bottom"/>
          </w:tcPr>
          <w:p>
            <w:pPr>
              <w:spacing w:after="0"/>
              <w:rPr>
                <w:sz w:val="20"/>
                <w:szCs w:val="20"/>
                <w:color w:val="auto"/>
              </w:rPr>
            </w:pPr>
            <w:r>
              <w:rPr>
                <w:rFonts w:ascii="Arial" w:cs="Arial" w:eastAsia="Arial" w:hAnsi="Arial"/>
                <w:sz w:val="13"/>
                <w:szCs w:val="13"/>
                <w:b w:val="1"/>
                <w:bCs w:val="1"/>
                <w:color w:val="auto"/>
              </w:rPr>
              <w:t>months</w:t>
            </w:r>
          </w:p>
        </w:tc>
        <w:tc>
          <w:tcPr>
            <w:tcW w:w="720" w:type="dxa"/>
            <w:vAlign w:val="bottom"/>
            <w:gridSpan w:val="2"/>
          </w:tcPr>
          <w:p>
            <w:pPr>
              <w:ind w:left="200"/>
              <w:spacing w:after="0"/>
              <w:rPr>
                <w:sz w:val="20"/>
                <w:szCs w:val="20"/>
                <w:color w:val="auto"/>
              </w:rPr>
            </w:pPr>
            <w:r>
              <w:rPr>
                <w:rFonts w:ascii="Arial" w:cs="Arial" w:eastAsia="Arial" w:hAnsi="Arial"/>
                <w:sz w:val="13"/>
                <w:szCs w:val="13"/>
                <w:b w:val="1"/>
                <w:bCs w:val="1"/>
                <w:color w:val="auto"/>
              </w:rPr>
              <w:t>months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3"/>
                <w:szCs w:val="13"/>
                <w:b w:val="1"/>
                <w:bCs w:val="1"/>
                <w:color w:val="auto"/>
              </w:rPr>
              <w:t>months</w:t>
            </w:r>
          </w:p>
        </w:tc>
        <w:tc>
          <w:tcPr>
            <w:tcW w:w="1100" w:type="dxa"/>
            <w:vAlign w:val="bottom"/>
            <w:gridSpan w:val="3"/>
          </w:tcPr>
          <w:p>
            <w:pPr>
              <w:ind w:left="200"/>
              <w:spacing w:after="0"/>
              <w:rPr>
                <w:sz w:val="20"/>
                <w:szCs w:val="20"/>
                <w:color w:val="auto"/>
              </w:rPr>
            </w:pPr>
            <w:r>
              <w:rPr>
                <w:rFonts w:ascii="Arial" w:cs="Arial" w:eastAsia="Arial" w:hAnsi="Arial"/>
                <w:sz w:val="13"/>
                <w:szCs w:val="13"/>
                <w:b w:val="1"/>
                <w:bCs w:val="1"/>
                <w:color w:val="auto"/>
              </w:rPr>
              <w:t>years</w:t>
            </w: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bearing</w:t>
            </w: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5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1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44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Assets</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40" w:type="dxa"/>
            <w:vAlign w:val="bottom"/>
          </w:tcPr>
          <w:p>
            <w:pPr>
              <w:spacing w:after="0" w:line="117" w:lineRule="exact"/>
              <w:rPr>
                <w:sz w:val="20"/>
                <w:szCs w:val="20"/>
                <w:color w:val="auto"/>
              </w:rPr>
            </w:pPr>
            <w:r>
              <w:rPr>
                <w:rFonts w:ascii="Arial" w:cs="Arial" w:eastAsia="Arial" w:hAnsi="Arial"/>
                <w:sz w:val="13"/>
                <w:szCs w:val="13"/>
                <w:color w:val="auto"/>
                <w:w w:val="96"/>
              </w:rPr>
              <w:t>Cash and due from banks, Cash collateral, reverse repurchase agreements and</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rPr>
                <w:sz w:val="20"/>
                <w:szCs w:val="20"/>
                <w:color w:val="auto"/>
              </w:rPr>
            </w:pPr>
            <w:r>
              <w:rPr>
                <w:rFonts w:ascii="Arial" w:cs="Arial" w:eastAsia="Arial" w:hAnsi="Arial"/>
                <w:sz w:val="13"/>
                <w:szCs w:val="13"/>
                <w:color w:val="auto"/>
              </w:rPr>
              <w:t>securities borrowings</w:t>
            </w:r>
          </w:p>
        </w:tc>
        <w:tc>
          <w:tcPr>
            <w:tcW w:w="860" w:type="dxa"/>
            <w:vAlign w:val="bottom"/>
            <w:gridSpan w:val="2"/>
          </w:tcPr>
          <w:p>
            <w:pPr>
              <w:jc w:val="right"/>
              <w:ind w:right="142"/>
              <w:spacing w:after="0"/>
              <w:rPr>
                <w:sz w:val="20"/>
                <w:szCs w:val="20"/>
                <w:color w:val="auto"/>
              </w:rPr>
            </w:pPr>
            <w:r>
              <w:rPr>
                <w:rFonts w:ascii="Arial" w:cs="Arial" w:eastAsia="Arial" w:hAnsi="Arial"/>
                <w:sz w:val="13"/>
                <w:szCs w:val="13"/>
                <w:color w:val="auto"/>
              </w:rPr>
              <w:t>7,467,818</w:t>
            </w:r>
          </w:p>
        </w:tc>
        <w:tc>
          <w:tcPr>
            <w:tcW w:w="880" w:type="dxa"/>
            <w:vAlign w:val="bottom"/>
            <w:gridSpan w:val="2"/>
          </w:tcPr>
          <w:p>
            <w:pPr>
              <w:jc w:val="right"/>
              <w:ind w:right="162"/>
              <w:spacing w:after="0"/>
              <w:rPr>
                <w:sz w:val="20"/>
                <w:szCs w:val="20"/>
                <w:color w:val="auto"/>
              </w:rPr>
            </w:pPr>
            <w:r>
              <w:rPr>
                <w:rFonts w:ascii="Arial" w:cs="Arial" w:eastAsia="Arial" w:hAnsi="Arial"/>
                <w:sz w:val="13"/>
                <w:szCs w:val="13"/>
                <w:color w:val="auto"/>
              </w:rPr>
              <w:t>1,845,264</w:t>
            </w:r>
          </w:p>
        </w:tc>
        <w:tc>
          <w:tcPr>
            <w:tcW w:w="860" w:type="dxa"/>
            <w:vAlign w:val="bottom"/>
            <w:gridSpan w:val="2"/>
          </w:tcPr>
          <w:p>
            <w:pPr>
              <w:jc w:val="right"/>
              <w:ind w:right="142"/>
              <w:spacing w:after="0"/>
              <w:rPr>
                <w:sz w:val="20"/>
                <w:szCs w:val="20"/>
                <w:color w:val="auto"/>
              </w:rPr>
            </w:pPr>
            <w:r>
              <w:rPr>
                <w:rFonts w:ascii="Arial" w:cs="Arial" w:eastAsia="Arial" w:hAnsi="Arial"/>
                <w:sz w:val="13"/>
                <w:szCs w:val="13"/>
                <w:color w:val="auto"/>
              </w:rPr>
              <w:t>3,709,882</w:t>
            </w:r>
          </w:p>
        </w:tc>
        <w:tc>
          <w:tcPr>
            <w:tcW w:w="680" w:type="dxa"/>
            <w:vAlign w:val="bottom"/>
          </w:tcPr>
          <w:p>
            <w:pPr>
              <w:jc w:val="right"/>
              <w:spacing w:after="0"/>
              <w:rPr>
                <w:sz w:val="20"/>
                <w:szCs w:val="20"/>
                <w:color w:val="auto"/>
              </w:rPr>
            </w:pPr>
            <w:r>
              <w:rPr>
                <w:rFonts w:ascii="Arial" w:cs="Arial" w:eastAsia="Arial" w:hAnsi="Arial"/>
                <w:sz w:val="13"/>
                <w:szCs w:val="13"/>
                <w:color w:val="auto"/>
              </w:rPr>
              <w:t>9,890,459</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109,340</w:t>
            </w:r>
          </w:p>
        </w:tc>
        <w:tc>
          <w:tcPr>
            <w:tcW w:w="940" w:type="dxa"/>
            <w:vAlign w:val="bottom"/>
            <w:gridSpan w:val="2"/>
          </w:tcPr>
          <w:p>
            <w:pPr>
              <w:jc w:val="right"/>
              <w:ind w:right="162"/>
              <w:spacing w:after="0"/>
              <w:rPr>
                <w:sz w:val="20"/>
                <w:szCs w:val="20"/>
                <w:color w:val="auto"/>
              </w:rPr>
            </w:pPr>
            <w:r>
              <w:rPr>
                <w:rFonts w:ascii="Arial" w:cs="Arial" w:eastAsia="Arial" w:hAnsi="Arial"/>
                <w:sz w:val="13"/>
                <w:szCs w:val="13"/>
                <w:color w:val="auto"/>
              </w:rPr>
              <w:t>4,542,630</w:t>
            </w:r>
          </w:p>
        </w:tc>
        <w:tc>
          <w:tcPr>
            <w:tcW w:w="840" w:type="dxa"/>
            <w:vAlign w:val="bottom"/>
            <w:gridSpan w:val="2"/>
          </w:tcPr>
          <w:p>
            <w:pPr>
              <w:jc w:val="right"/>
              <w:ind w:right="62"/>
              <w:spacing w:after="0"/>
              <w:rPr>
                <w:sz w:val="20"/>
                <w:szCs w:val="20"/>
                <w:color w:val="auto"/>
              </w:rPr>
            </w:pPr>
            <w:r>
              <w:rPr>
                <w:rFonts w:ascii="Arial" w:cs="Arial" w:eastAsia="Arial" w:hAnsi="Arial"/>
                <w:sz w:val="13"/>
                <w:szCs w:val="13"/>
                <w:color w:val="auto"/>
              </w:rPr>
              <w:t>27,565,393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Investments</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1,574,831</w:t>
            </w:r>
          </w:p>
        </w:tc>
        <w:tc>
          <w:tcPr>
            <w:tcW w:w="88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465,421</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3,913,328</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6,261,652</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8,908,298</w:t>
            </w:r>
          </w:p>
        </w:tc>
        <w:tc>
          <w:tcPr>
            <w:tcW w:w="94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2,680,557</w:t>
            </w:r>
          </w:p>
        </w:tc>
        <w:tc>
          <w:tcPr>
            <w:tcW w:w="840" w:type="dxa"/>
            <w:vAlign w:val="bottom"/>
            <w:gridSpan w:val="2"/>
            <w:shd w:val="clear" w:color="auto" w:fill="CCEEFF"/>
          </w:tcPr>
          <w:p>
            <w:pPr>
              <w:jc w:val="right"/>
              <w:ind w:right="62"/>
              <w:spacing w:after="0" w:line="133" w:lineRule="exact"/>
              <w:rPr>
                <w:sz w:val="20"/>
                <w:szCs w:val="20"/>
                <w:color w:val="auto"/>
              </w:rPr>
            </w:pPr>
            <w:r>
              <w:rPr>
                <w:rFonts w:ascii="Arial" w:cs="Arial" w:eastAsia="Arial" w:hAnsi="Arial"/>
                <w:sz w:val="13"/>
                <w:szCs w:val="13"/>
                <w:color w:val="auto"/>
              </w:rPr>
              <w:t>23,804,087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Arial" w:cs="Arial" w:eastAsia="Arial" w:hAnsi="Arial"/>
                <w:sz w:val="13"/>
                <w:szCs w:val="13"/>
                <w:color w:val="auto"/>
              </w:rPr>
              <w:t>Loans, net</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10,525,263</w:t>
            </w:r>
          </w:p>
        </w:tc>
        <w:tc>
          <w:tcPr>
            <w:tcW w:w="88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16,135,337</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22,739,878</w:t>
            </w:r>
          </w:p>
        </w:tc>
        <w:tc>
          <w:tcPr>
            <w:tcW w:w="680" w:type="dxa"/>
            <w:vAlign w:val="bottom"/>
          </w:tcPr>
          <w:p>
            <w:pPr>
              <w:jc w:val="right"/>
              <w:spacing w:after="0" w:line="133" w:lineRule="exact"/>
              <w:rPr>
                <w:sz w:val="20"/>
                <w:szCs w:val="20"/>
                <w:color w:val="auto"/>
              </w:rPr>
            </w:pPr>
            <w:r>
              <w:rPr>
                <w:rFonts w:ascii="Arial" w:cs="Arial" w:eastAsia="Arial" w:hAnsi="Arial"/>
                <w:sz w:val="13"/>
                <w:szCs w:val="13"/>
                <w:color w:val="auto"/>
              </w:rPr>
              <w:t>30,353,995</w:t>
            </w:r>
          </w:p>
        </w:tc>
        <w:tc>
          <w:tcPr>
            <w:tcW w:w="20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11,170,586</w:t>
            </w:r>
          </w:p>
        </w:tc>
        <w:tc>
          <w:tcPr>
            <w:tcW w:w="940" w:type="dxa"/>
            <w:vAlign w:val="bottom"/>
            <w:gridSpan w:val="2"/>
          </w:tcPr>
          <w:p>
            <w:pPr>
              <w:jc w:val="right"/>
              <w:ind w:right="122"/>
              <w:spacing w:after="0" w:line="133" w:lineRule="exact"/>
              <w:rPr>
                <w:sz w:val="20"/>
                <w:szCs w:val="20"/>
                <w:color w:val="auto"/>
              </w:rPr>
            </w:pPr>
            <w:r>
              <w:rPr>
                <w:rFonts w:ascii="Arial" w:cs="Arial" w:eastAsia="Arial" w:hAnsi="Arial"/>
                <w:sz w:val="13"/>
                <w:szCs w:val="13"/>
                <w:color w:val="auto"/>
              </w:rPr>
              <w:t>(363,291)</w:t>
            </w:r>
          </w:p>
        </w:tc>
        <w:tc>
          <w:tcPr>
            <w:tcW w:w="840" w:type="dxa"/>
            <w:vAlign w:val="bottom"/>
            <w:gridSpan w:val="2"/>
          </w:tcPr>
          <w:p>
            <w:pPr>
              <w:jc w:val="right"/>
              <w:ind w:right="62"/>
              <w:spacing w:after="0" w:line="133" w:lineRule="exact"/>
              <w:rPr>
                <w:sz w:val="20"/>
                <w:szCs w:val="20"/>
                <w:color w:val="auto"/>
              </w:rPr>
            </w:pPr>
            <w:r>
              <w:rPr>
                <w:rFonts w:ascii="Arial" w:cs="Arial" w:eastAsia="Arial" w:hAnsi="Arial"/>
                <w:sz w:val="13"/>
                <w:szCs w:val="13"/>
                <w:color w:val="auto"/>
              </w:rPr>
              <w:t>90,561,768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Financial assets designated at fair value through profit or loss</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459,099</w:t>
            </w:r>
          </w:p>
        </w:tc>
        <w:tc>
          <w:tcPr>
            <w:tcW w:w="840" w:type="dxa"/>
            <w:vAlign w:val="bottom"/>
            <w:gridSpan w:val="2"/>
            <w:shd w:val="clear" w:color="auto" w:fill="CCEEFF"/>
          </w:tcPr>
          <w:p>
            <w:pPr>
              <w:jc w:val="right"/>
              <w:ind w:right="62"/>
              <w:spacing w:after="0" w:line="133" w:lineRule="exact"/>
              <w:rPr>
                <w:sz w:val="20"/>
                <w:szCs w:val="20"/>
                <w:color w:val="auto"/>
              </w:rPr>
            </w:pPr>
            <w:r>
              <w:rPr>
                <w:rFonts w:ascii="Arial" w:cs="Arial" w:eastAsia="Arial" w:hAnsi="Arial"/>
                <w:sz w:val="13"/>
                <w:szCs w:val="13"/>
                <w:color w:val="auto"/>
              </w:rPr>
              <w:t>459,099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Arial" w:cs="Arial" w:eastAsia="Arial" w:hAnsi="Arial"/>
                <w:sz w:val="13"/>
                <w:szCs w:val="13"/>
                <w:color w:val="auto"/>
              </w:rPr>
              <w:t>Premiums and other policies Accounts receivable</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623,005</w:t>
            </w:r>
          </w:p>
        </w:tc>
        <w:tc>
          <w:tcPr>
            <w:tcW w:w="88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16,533</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2,898</w:t>
            </w:r>
          </w:p>
        </w:tc>
        <w:tc>
          <w:tcPr>
            <w:tcW w:w="680" w:type="dxa"/>
            <w:vAlign w:val="bottom"/>
          </w:tcPr>
          <w:p>
            <w:pPr>
              <w:jc w:val="right"/>
              <w:spacing w:after="0" w:line="133" w:lineRule="exact"/>
              <w:rPr>
                <w:sz w:val="20"/>
                <w:szCs w:val="20"/>
                <w:color w:val="auto"/>
              </w:rPr>
            </w:pPr>
            <w:r>
              <w:rPr>
                <w:rFonts w:ascii="Arial" w:cs="Arial" w:eastAsia="Arial" w:hAnsi="Arial"/>
                <w:sz w:val="13"/>
                <w:szCs w:val="13"/>
                <w:color w:val="auto"/>
              </w:rPr>
              <w:t>788</w:t>
            </w:r>
          </w:p>
        </w:tc>
        <w:tc>
          <w:tcPr>
            <w:tcW w:w="20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2"/>
              <w:spacing w:after="0" w:line="133" w:lineRule="exact"/>
              <w:rPr>
                <w:sz w:val="20"/>
                <w:szCs w:val="20"/>
                <w:color w:val="auto"/>
              </w:rPr>
            </w:pPr>
            <w:r>
              <w:rPr>
                <w:rFonts w:ascii="Arial" w:cs="Arial" w:eastAsia="Arial" w:hAnsi="Arial"/>
                <w:sz w:val="13"/>
                <w:szCs w:val="13"/>
                <w:color w:val="auto"/>
              </w:rPr>
              <w:t>643,224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Accounts receivable from reinsurers and coinsurers</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110,263</w:t>
            </w:r>
          </w:p>
        </w:tc>
        <w:tc>
          <w:tcPr>
            <w:tcW w:w="88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202,610</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120,159</w:t>
            </w:r>
          </w:p>
        </w:tc>
        <w:tc>
          <w:tcPr>
            <w:tcW w:w="88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21,155</w:t>
            </w:r>
          </w:p>
        </w:tc>
        <w:tc>
          <w:tcPr>
            <w:tcW w:w="9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62"/>
              <w:spacing w:after="0" w:line="133" w:lineRule="exact"/>
              <w:rPr>
                <w:sz w:val="20"/>
                <w:szCs w:val="20"/>
                <w:color w:val="auto"/>
              </w:rPr>
            </w:pPr>
            <w:r>
              <w:rPr>
                <w:rFonts w:ascii="Arial" w:cs="Arial" w:eastAsia="Arial" w:hAnsi="Arial"/>
                <w:sz w:val="13"/>
                <w:szCs w:val="13"/>
                <w:color w:val="auto"/>
              </w:rPr>
              <w:t>454,187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40" w:type="dxa"/>
            <w:vAlign w:val="bottom"/>
          </w:tcPr>
          <w:p>
            <w:pPr>
              <w:spacing w:after="0" w:line="145" w:lineRule="exact"/>
              <w:rPr>
                <w:sz w:val="20"/>
                <w:szCs w:val="20"/>
                <w:color w:val="auto"/>
              </w:rPr>
            </w:pPr>
            <w:r>
              <w:rPr>
                <w:rFonts w:ascii="Arial" w:cs="Arial" w:eastAsia="Arial" w:hAnsi="Arial"/>
                <w:sz w:val="13"/>
                <w:szCs w:val="13"/>
                <w:color w:val="auto"/>
              </w:rPr>
              <w:t>Other assets</w:t>
            </w:r>
          </w:p>
        </w:tc>
        <w:tc>
          <w:tcPr>
            <w:tcW w:w="86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373,946</w:t>
            </w:r>
          </w:p>
        </w:tc>
        <w:tc>
          <w:tcPr>
            <w:tcW w:w="880" w:type="dxa"/>
            <w:vAlign w:val="bottom"/>
            <w:gridSpan w:val="2"/>
          </w:tcPr>
          <w:p>
            <w:pPr>
              <w:jc w:val="right"/>
              <w:ind w:right="162"/>
              <w:spacing w:after="0" w:line="145" w:lineRule="exact"/>
              <w:rPr>
                <w:sz w:val="20"/>
                <w:szCs w:val="20"/>
                <w:color w:val="auto"/>
              </w:rPr>
            </w:pPr>
            <w:r>
              <w:rPr>
                <w:rFonts w:ascii="Arial" w:cs="Arial" w:eastAsia="Arial" w:hAnsi="Arial"/>
                <w:sz w:val="13"/>
                <w:szCs w:val="13"/>
                <w:color w:val="auto"/>
              </w:rPr>
              <w:t>5,590</w:t>
            </w:r>
          </w:p>
        </w:tc>
        <w:tc>
          <w:tcPr>
            <w:tcW w:w="86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12,537</w:t>
            </w:r>
          </w:p>
        </w:tc>
        <w:tc>
          <w:tcPr>
            <w:tcW w:w="880" w:type="dxa"/>
            <w:vAlign w:val="bottom"/>
            <w:gridSpan w:val="2"/>
          </w:tcPr>
          <w:p>
            <w:pPr>
              <w:jc w:val="right"/>
              <w:ind w:right="162"/>
              <w:spacing w:after="0" w:line="145" w:lineRule="exact"/>
              <w:rPr>
                <w:sz w:val="20"/>
                <w:szCs w:val="20"/>
                <w:color w:val="auto"/>
              </w:rPr>
            </w:pPr>
            <w:r>
              <w:rPr>
                <w:rFonts w:ascii="Arial" w:cs="Arial" w:eastAsia="Arial" w:hAnsi="Arial"/>
                <w:sz w:val="13"/>
                <w:szCs w:val="13"/>
                <w:color w:val="auto"/>
              </w:rPr>
              <w:t>7,024</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2"/>
              <w:spacing w:after="0" w:line="145" w:lineRule="exact"/>
              <w:rPr>
                <w:sz w:val="20"/>
                <w:szCs w:val="20"/>
                <w:color w:val="auto"/>
              </w:rPr>
            </w:pPr>
            <w:r>
              <w:rPr>
                <w:rFonts w:ascii="Arial" w:cs="Arial" w:eastAsia="Arial" w:hAnsi="Arial"/>
                <w:sz w:val="13"/>
                <w:szCs w:val="13"/>
                <w:color w:val="auto"/>
              </w:rPr>
              <w:t>8,533,348</w:t>
            </w:r>
          </w:p>
        </w:tc>
        <w:tc>
          <w:tcPr>
            <w:tcW w:w="840" w:type="dxa"/>
            <w:vAlign w:val="bottom"/>
            <w:gridSpan w:val="2"/>
          </w:tcPr>
          <w:p>
            <w:pPr>
              <w:jc w:val="right"/>
              <w:ind w:right="62"/>
              <w:spacing w:after="0" w:line="145" w:lineRule="exact"/>
              <w:rPr>
                <w:sz w:val="20"/>
                <w:szCs w:val="20"/>
                <w:color w:val="auto"/>
              </w:rPr>
            </w:pPr>
            <w:r>
              <w:rPr>
                <w:rFonts w:ascii="Arial" w:cs="Arial" w:eastAsia="Arial" w:hAnsi="Arial"/>
                <w:sz w:val="13"/>
                <w:szCs w:val="13"/>
                <w:color w:val="auto"/>
              </w:rPr>
              <w:t>8,932,445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3"/>
                <w:szCs w:val="13"/>
                <w:b w:val="1"/>
                <w:bCs w:val="1"/>
                <w:color w:val="auto"/>
              </w:rPr>
              <w:t>Total assets</w:t>
            </w: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20,675,126</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18,670,755</w:t>
            </w: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30,498,682</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46,535,073</w:t>
            </w: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20,188,224</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15,852,343</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9"/>
              </w:rPr>
              <w:t>152,420,203</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4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Liabilities</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Arial" w:cs="Arial" w:eastAsia="Arial" w:hAnsi="Arial"/>
                <w:sz w:val="13"/>
                <w:szCs w:val="13"/>
                <w:color w:val="auto"/>
              </w:rPr>
              <w:t>Deposits and obligations</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22,908,852</w:t>
            </w:r>
          </w:p>
        </w:tc>
        <w:tc>
          <w:tcPr>
            <w:tcW w:w="88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8,273,520</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15,162,216</w:t>
            </w:r>
          </w:p>
        </w:tc>
        <w:tc>
          <w:tcPr>
            <w:tcW w:w="680" w:type="dxa"/>
            <w:vAlign w:val="bottom"/>
          </w:tcPr>
          <w:p>
            <w:pPr>
              <w:jc w:val="right"/>
              <w:spacing w:after="0" w:line="133" w:lineRule="exact"/>
              <w:rPr>
                <w:sz w:val="20"/>
                <w:szCs w:val="20"/>
                <w:color w:val="auto"/>
              </w:rPr>
            </w:pPr>
            <w:r>
              <w:rPr>
                <w:rFonts w:ascii="Arial" w:cs="Arial" w:eastAsia="Arial" w:hAnsi="Arial"/>
                <w:sz w:val="13"/>
                <w:szCs w:val="13"/>
                <w:color w:val="auto"/>
              </w:rPr>
              <w:t>32,654,763</w:t>
            </w:r>
          </w:p>
        </w:tc>
        <w:tc>
          <w:tcPr>
            <w:tcW w:w="20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4,970,689</w:t>
            </w:r>
          </w:p>
        </w:tc>
        <w:tc>
          <w:tcPr>
            <w:tcW w:w="94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1,946,347</w:t>
            </w:r>
          </w:p>
        </w:tc>
        <w:tc>
          <w:tcPr>
            <w:tcW w:w="840" w:type="dxa"/>
            <w:vAlign w:val="bottom"/>
            <w:gridSpan w:val="2"/>
          </w:tcPr>
          <w:p>
            <w:pPr>
              <w:jc w:val="right"/>
              <w:ind w:right="62"/>
              <w:spacing w:after="0" w:line="133" w:lineRule="exact"/>
              <w:rPr>
                <w:sz w:val="20"/>
                <w:szCs w:val="20"/>
                <w:color w:val="auto"/>
              </w:rPr>
            </w:pPr>
            <w:r>
              <w:rPr>
                <w:rFonts w:ascii="Arial" w:cs="Arial" w:eastAsia="Arial" w:hAnsi="Arial"/>
                <w:sz w:val="13"/>
                <w:szCs w:val="13"/>
                <w:color w:val="auto"/>
              </w:rPr>
              <w:t>85,916,387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4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8"/>
              </w:rPr>
              <w:t>Payables from repurchase agreements, security lending and due to banks and</w:t>
            </w: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rPr>
              <w:t>correspondents</w:t>
            </w:r>
          </w:p>
        </w:tc>
        <w:tc>
          <w:tcPr>
            <w:tcW w:w="86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2,765,720</w:t>
            </w:r>
          </w:p>
        </w:tc>
        <w:tc>
          <w:tcPr>
            <w:tcW w:w="880" w:type="dxa"/>
            <w:vAlign w:val="bottom"/>
            <w:gridSpan w:val="2"/>
            <w:shd w:val="clear" w:color="auto" w:fill="CCEEFF"/>
          </w:tcPr>
          <w:p>
            <w:pPr>
              <w:jc w:val="right"/>
              <w:ind w:right="162"/>
              <w:spacing w:after="0"/>
              <w:rPr>
                <w:sz w:val="20"/>
                <w:szCs w:val="20"/>
                <w:color w:val="auto"/>
              </w:rPr>
            </w:pPr>
            <w:r>
              <w:rPr>
                <w:rFonts w:ascii="Arial" w:cs="Arial" w:eastAsia="Arial" w:hAnsi="Arial"/>
                <w:sz w:val="13"/>
                <w:szCs w:val="13"/>
                <w:color w:val="auto"/>
              </w:rPr>
              <w:t>2,031,097</w:t>
            </w:r>
          </w:p>
        </w:tc>
        <w:tc>
          <w:tcPr>
            <w:tcW w:w="86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5,747,611</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10,146,210</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1,825,048</w:t>
            </w:r>
          </w:p>
        </w:tc>
        <w:tc>
          <w:tcPr>
            <w:tcW w:w="940" w:type="dxa"/>
            <w:vAlign w:val="bottom"/>
            <w:gridSpan w:val="2"/>
            <w:shd w:val="clear" w:color="auto" w:fill="CCEEFF"/>
          </w:tcPr>
          <w:p>
            <w:pPr>
              <w:jc w:val="right"/>
              <w:ind w:right="162"/>
              <w:spacing w:after="0"/>
              <w:rPr>
                <w:sz w:val="20"/>
                <w:szCs w:val="20"/>
                <w:color w:val="auto"/>
              </w:rPr>
            </w:pPr>
            <w:r>
              <w:rPr>
                <w:rFonts w:ascii="Arial" w:cs="Arial" w:eastAsia="Arial" w:hAnsi="Arial"/>
                <w:sz w:val="13"/>
                <w:szCs w:val="13"/>
                <w:color w:val="auto"/>
              </w:rPr>
              <w:t>106,229</w:t>
            </w:r>
          </w:p>
        </w:tc>
        <w:tc>
          <w:tcPr>
            <w:tcW w:w="840" w:type="dxa"/>
            <w:vAlign w:val="bottom"/>
            <w:gridSpan w:val="2"/>
            <w:shd w:val="clear" w:color="auto" w:fill="CCEEFF"/>
          </w:tcPr>
          <w:p>
            <w:pPr>
              <w:jc w:val="right"/>
              <w:ind w:right="62"/>
              <w:spacing w:after="0"/>
              <w:rPr>
                <w:sz w:val="20"/>
                <w:szCs w:val="20"/>
                <w:color w:val="auto"/>
              </w:rPr>
            </w:pPr>
            <w:r>
              <w:rPr>
                <w:rFonts w:ascii="Arial" w:cs="Arial" w:eastAsia="Arial" w:hAnsi="Arial"/>
                <w:sz w:val="13"/>
                <w:szCs w:val="13"/>
                <w:color w:val="auto"/>
              </w:rPr>
              <w:t>22,621,915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Arial" w:cs="Arial" w:eastAsia="Arial" w:hAnsi="Arial"/>
                <w:sz w:val="13"/>
                <w:szCs w:val="13"/>
                <w:color w:val="auto"/>
              </w:rPr>
              <w:t>Accounts payable to reinsurers</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32,963</w:t>
            </w:r>
          </w:p>
        </w:tc>
        <w:tc>
          <w:tcPr>
            <w:tcW w:w="88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158,957</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36,633</w:t>
            </w:r>
          </w:p>
        </w:tc>
        <w:tc>
          <w:tcPr>
            <w:tcW w:w="88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5,339</w:t>
            </w:r>
          </w:p>
        </w:tc>
        <w:tc>
          <w:tcPr>
            <w:tcW w:w="90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2"/>
              <w:spacing w:after="0" w:line="133" w:lineRule="exact"/>
              <w:rPr>
                <w:sz w:val="20"/>
                <w:szCs w:val="20"/>
                <w:color w:val="auto"/>
              </w:rPr>
            </w:pPr>
            <w:r>
              <w:rPr>
                <w:rFonts w:ascii="Arial" w:cs="Arial" w:eastAsia="Arial" w:hAnsi="Arial"/>
                <w:sz w:val="13"/>
                <w:szCs w:val="13"/>
                <w:color w:val="auto"/>
              </w:rPr>
              <w:t>233,892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Technical, insurance claims reserves and reserves for unearned premiums</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185,671</w:t>
            </w:r>
          </w:p>
        </w:tc>
        <w:tc>
          <w:tcPr>
            <w:tcW w:w="88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104,065</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396,609</w:t>
            </w:r>
          </w:p>
        </w:tc>
        <w:tc>
          <w:tcPr>
            <w:tcW w:w="88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1,730,011</w:t>
            </w:r>
          </w:p>
        </w:tc>
        <w:tc>
          <w:tcPr>
            <w:tcW w:w="9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3,637,198</w:t>
            </w:r>
          </w:p>
        </w:tc>
        <w:tc>
          <w:tcPr>
            <w:tcW w:w="94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732,635</w:t>
            </w:r>
          </w:p>
        </w:tc>
        <w:tc>
          <w:tcPr>
            <w:tcW w:w="840" w:type="dxa"/>
            <w:vAlign w:val="bottom"/>
            <w:gridSpan w:val="2"/>
            <w:shd w:val="clear" w:color="auto" w:fill="CCEEFF"/>
          </w:tcPr>
          <w:p>
            <w:pPr>
              <w:jc w:val="right"/>
              <w:ind w:right="62"/>
              <w:spacing w:after="0" w:line="133" w:lineRule="exact"/>
              <w:rPr>
                <w:sz w:val="20"/>
                <w:szCs w:val="20"/>
                <w:color w:val="auto"/>
              </w:rPr>
            </w:pPr>
            <w:r>
              <w:rPr>
                <w:rFonts w:ascii="Arial" w:cs="Arial" w:eastAsia="Arial" w:hAnsi="Arial"/>
                <w:sz w:val="13"/>
                <w:szCs w:val="13"/>
                <w:color w:val="auto"/>
              </w:rPr>
              <w:t>6,786,189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Arial" w:cs="Arial" w:eastAsia="Arial" w:hAnsi="Arial"/>
                <w:sz w:val="13"/>
                <w:szCs w:val="13"/>
                <w:color w:val="auto"/>
              </w:rPr>
              <w:t>Financial liabilities at fair value through profit or loss</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209,520</w:t>
            </w:r>
          </w:p>
        </w:tc>
        <w:tc>
          <w:tcPr>
            <w:tcW w:w="840" w:type="dxa"/>
            <w:vAlign w:val="bottom"/>
            <w:gridSpan w:val="2"/>
          </w:tcPr>
          <w:p>
            <w:pPr>
              <w:jc w:val="right"/>
              <w:ind w:right="62"/>
              <w:spacing w:after="0" w:line="133" w:lineRule="exact"/>
              <w:rPr>
                <w:sz w:val="20"/>
                <w:szCs w:val="20"/>
                <w:color w:val="auto"/>
              </w:rPr>
            </w:pPr>
            <w:r>
              <w:rPr>
                <w:rFonts w:ascii="Arial" w:cs="Arial" w:eastAsia="Arial" w:hAnsi="Arial"/>
                <w:sz w:val="13"/>
                <w:szCs w:val="13"/>
                <w:color w:val="auto"/>
              </w:rPr>
              <w:t>209,520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Bonds and notes issued</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52,366</w:t>
            </w:r>
          </w:p>
        </w:tc>
        <w:tc>
          <w:tcPr>
            <w:tcW w:w="88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40,792</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639,238</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8,492,272</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6,226,773</w:t>
            </w:r>
          </w:p>
        </w:tc>
        <w:tc>
          <w:tcPr>
            <w:tcW w:w="94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488,162</w:t>
            </w:r>
          </w:p>
        </w:tc>
        <w:tc>
          <w:tcPr>
            <w:tcW w:w="840" w:type="dxa"/>
            <w:vAlign w:val="bottom"/>
            <w:gridSpan w:val="2"/>
            <w:shd w:val="clear" w:color="auto" w:fill="CCEEFF"/>
          </w:tcPr>
          <w:p>
            <w:pPr>
              <w:jc w:val="right"/>
              <w:ind w:right="62"/>
              <w:spacing w:after="0" w:line="133" w:lineRule="exact"/>
              <w:rPr>
                <w:sz w:val="20"/>
                <w:szCs w:val="20"/>
                <w:color w:val="auto"/>
              </w:rPr>
            </w:pPr>
            <w:r>
              <w:rPr>
                <w:rFonts w:ascii="Arial" w:cs="Arial" w:eastAsia="Arial" w:hAnsi="Arial"/>
                <w:sz w:val="13"/>
                <w:szCs w:val="13"/>
                <w:color w:val="auto"/>
              </w:rPr>
              <w:t>15,939,603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Arial" w:cs="Arial" w:eastAsia="Arial" w:hAnsi="Arial"/>
                <w:sz w:val="13"/>
                <w:szCs w:val="13"/>
                <w:color w:val="auto"/>
              </w:rPr>
              <w:t>Other liabilities</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446,131</w:t>
            </w:r>
          </w:p>
        </w:tc>
        <w:tc>
          <w:tcPr>
            <w:tcW w:w="88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1,577</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218,539</w:t>
            </w:r>
          </w:p>
        </w:tc>
        <w:tc>
          <w:tcPr>
            <w:tcW w:w="88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190,300</w:t>
            </w:r>
          </w:p>
        </w:tc>
        <w:tc>
          <w:tcPr>
            <w:tcW w:w="90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3,754,658</w:t>
            </w:r>
          </w:p>
        </w:tc>
        <w:tc>
          <w:tcPr>
            <w:tcW w:w="840" w:type="dxa"/>
            <w:vAlign w:val="bottom"/>
            <w:gridSpan w:val="2"/>
          </w:tcPr>
          <w:p>
            <w:pPr>
              <w:jc w:val="right"/>
              <w:ind w:right="62"/>
              <w:spacing w:after="0" w:line="133" w:lineRule="exact"/>
              <w:rPr>
                <w:sz w:val="20"/>
                <w:szCs w:val="20"/>
                <w:color w:val="auto"/>
              </w:rPr>
            </w:pPr>
            <w:r>
              <w:rPr>
                <w:rFonts w:ascii="Arial" w:cs="Arial" w:eastAsia="Arial" w:hAnsi="Arial"/>
                <w:sz w:val="13"/>
                <w:szCs w:val="13"/>
                <w:color w:val="auto"/>
              </w:rPr>
              <w:t>4,611,205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Equity</w:t>
            </w:r>
          </w:p>
        </w:tc>
        <w:tc>
          <w:tcPr>
            <w:tcW w:w="860" w:type="dxa"/>
            <w:vAlign w:val="bottom"/>
            <w:gridSpan w:val="2"/>
            <w:shd w:val="clear" w:color="auto" w:fill="CCEEFF"/>
          </w:tcPr>
          <w:p>
            <w:pPr>
              <w:jc w:val="right"/>
              <w:ind w:right="142"/>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2"/>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2"/>
              <w:spacing w:after="0" w:line="14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2"/>
              <w:spacing w:after="0" w:line="145" w:lineRule="exact"/>
              <w:rPr>
                <w:sz w:val="20"/>
                <w:szCs w:val="20"/>
                <w:color w:val="auto"/>
              </w:rPr>
            </w:pPr>
            <w:r>
              <w:rPr>
                <w:rFonts w:ascii="Arial" w:cs="Arial" w:eastAsia="Arial" w:hAnsi="Arial"/>
                <w:sz w:val="13"/>
                <w:szCs w:val="13"/>
                <w:color w:val="auto"/>
              </w:rPr>
              <w:t>20,116,511</w:t>
            </w:r>
          </w:p>
        </w:tc>
        <w:tc>
          <w:tcPr>
            <w:tcW w:w="840" w:type="dxa"/>
            <w:vAlign w:val="bottom"/>
            <w:gridSpan w:val="2"/>
            <w:shd w:val="clear" w:color="auto" w:fill="CCEEFF"/>
          </w:tcPr>
          <w:p>
            <w:pPr>
              <w:jc w:val="right"/>
              <w:ind w:right="62"/>
              <w:spacing w:after="0" w:line="145" w:lineRule="exact"/>
              <w:rPr>
                <w:sz w:val="20"/>
                <w:szCs w:val="20"/>
                <w:color w:val="auto"/>
              </w:rPr>
            </w:pPr>
            <w:r>
              <w:rPr>
                <w:rFonts w:ascii="Arial" w:cs="Arial" w:eastAsia="Arial" w:hAnsi="Arial"/>
                <w:sz w:val="13"/>
                <w:szCs w:val="13"/>
                <w:color w:val="auto"/>
              </w:rPr>
              <w:t>20,116,511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tcBorders>
              <w:bottom w:val="single" w:sz="8" w:color="CCEEFF"/>
            </w:tcBorders>
          </w:tcPr>
          <w:p>
            <w:pPr>
              <w:spacing w:after="0" w:line="125" w:lineRule="exact"/>
              <w:rPr>
                <w:sz w:val="20"/>
                <w:szCs w:val="20"/>
                <w:color w:val="auto"/>
              </w:rPr>
            </w:pPr>
            <w:r>
              <w:rPr>
                <w:rFonts w:ascii="Arial" w:cs="Arial" w:eastAsia="Arial" w:hAnsi="Arial"/>
                <w:sz w:val="13"/>
                <w:szCs w:val="13"/>
                <w:b w:val="1"/>
                <w:bCs w:val="1"/>
                <w:color w:val="auto"/>
              </w:rPr>
              <w:t>Total liabilities and equity</w:t>
            </w: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26,391,703</w:t>
            </w:r>
          </w:p>
        </w:tc>
        <w:tc>
          <w:tcPr>
            <w:tcW w:w="18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10,610,008</w:t>
            </w:r>
          </w:p>
        </w:tc>
        <w:tc>
          <w:tcPr>
            <w:tcW w:w="20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22,200,846</w:t>
            </w:r>
          </w:p>
        </w:tc>
        <w:tc>
          <w:tcPr>
            <w:tcW w:w="18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53,218,895</w:t>
            </w:r>
          </w:p>
        </w:tc>
        <w:tc>
          <w:tcPr>
            <w:tcW w:w="20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16,659,708</w:t>
            </w:r>
          </w:p>
        </w:tc>
        <w:tc>
          <w:tcPr>
            <w:tcW w:w="20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27,354,062</w:t>
            </w:r>
          </w:p>
        </w:tc>
        <w:tc>
          <w:tcPr>
            <w:tcW w:w="20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w w:val="99"/>
              </w:rPr>
              <w:t>156,435,222</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4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4440" w:type="dxa"/>
            <w:vAlign w:val="bottom"/>
          </w:tcPr>
          <w:p>
            <w:pPr>
              <w:spacing w:after="0" w:line="133" w:lineRule="exact"/>
              <w:rPr>
                <w:sz w:val="20"/>
                <w:szCs w:val="20"/>
                <w:color w:val="auto"/>
              </w:rPr>
            </w:pPr>
            <w:r>
              <w:rPr>
                <w:rFonts w:ascii="Arial" w:cs="Arial" w:eastAsia="Arial" w:hAnsi="Arial"/>
                <w:sz w:val="13"/>
                <w:szCs w:val="13"/>
                <w:b w:val="1"/>
                <w:bCs w:val="1"/>
                <w:color w:val="auto"/>
              </w:rPr>
              <w:t>Off-balance-sheet accounts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Derivative financial assets</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461,724</w:t>
            </w:r>
          </w:p>
        </w:tc>
        <w:tc>
          <w:tcPr>
            <w:tcW w:w="88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2,118,173</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498,864</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5,738,651</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3,961,574</w:t>
            </w:r>
          </w:p>
        </w:tc>
        <w:tc>
          <w:tcPr>
            <w:tcW w:w="94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62"/>
              <w:spacing w:after="0" w:line="133" w:lineRule="exact"/>
              <w:rPr>
                <w:sz w:val="20"/>
                <w:szCs w:val="20"/>
                <w:color w:val="auto"/>
              </w:rPr>
            </w:pPr>
            <w:r>
              <w:rPr>
                <w:rFonts w:ascii="Arial" w:cs="Arial" w:eastAsia="Arial" w:hAnsi="Arial"/>
                <w:sz w:val="13"/>
                <w:szCs w:val="13"/>
                <w:color w:val="auto"/>
              </w:rPr>
              <w:t>12,778,986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40" w:type="dxa"/>
            <w:vAlign w:val="bottom"/>
          </w:tcPr>
          <w:p>
            <w:pPr>
              <w:spacing w:after="0" w:line="145" w:lineRule="exact"/>
              <w:rPr>
                <w:sz w:val="20"/>
                <w:szCs w:val="20"/>
                <w:color w:val="auto"/>
              </w:rPr>
            </w:pPr>
            <w:r>
              <w:rPr>
                <w:rFonts w:ascii="Arial" w:cs="Arial" w:eastAsia="Arial" w:hAnsi="Arial"/>
                <w:sz w:val="13"/>
                <w:szCs w:val="13"/>
                <w:color w:val="auto"/>
              </w:rPr>
              <w:t>Derivative financial liabilities</w:t>
            </w:r>
          </w:p>
        </w:tc>
        <w:tc>
          <w:tcPr>
            <w:tcW w:w="86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1,682,988</w:t>
            </w:r>
          </w:p>
        </w:tc>
        <w:tc>
          <w:tcPr>
            <w:tcW w:w="880" w:type="dxa"/>
            <w:vAlign w:val="bottom"/>
            <w:gridSpan w:val="2"/>
          </w:tcPr>
          <w:p>
            <w:pPr>
              <w:jc w:val="right"/>
              <w:ind w:right="162"/>
              <w:spacing w:after="0" w:line="145" w:lineRule="exact"/>
              <w:rPr>
                <w:sz w:val="20"/>
                <w:szCs w:val="20"/>
                <w:color w:val="auto"/>
              </w:rPr>
            </w:pPr>
            <w:r>
              <w:rPr>
                <w:rFonts w:ascii="Arial" w:cs="Arial" w:eastAsia="Arial" w:hAnsi="Arial"/>
                <w:sz w:val="13"/>
                <w:szCs w:val="13"/>
                <w:color w:val="auto"/>
              </w:rPr>
              <w:t>4,308,673</w:t>
            </w:r>
          </w:p>
        </w:tc>
        <w:tc>
          <w:tcPr>
            <w:tcW w:w="86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2,609,747</w:t>
            </w:r>
          </w:p>
        </w:tc>
        <w:tc>
          <w:tcPr>
            <w:tcW w:w="680" w:type="dxa"/>
            <w:vAlign w:val="bottom"/>
          </w:tcPr>
          <w:p>
            <w:pPr>
              <w:jc w:val="right"/>
              <w:spacing w:after="0" w:line="145" w:lineRule="exact"/>
              <w:rPr>
                <w:sz w:val="20"/>
                <w:szCs w:val="20"/>
                <w:color w:val="auto"/>
              </w:rPr>
            </w:pPr>
            <w:r>
              <w:rPr>
                <w:rFonts w:ascii="Arial" w:cs="Arial" w:eastAsia="Arial" w:hAnsi="Arial"/>
                <w:sz w:val="13"/>
                <w:szCs w:val="13"/>
                <w:color w:val="auto"/>
              </w:rPr>
              <w:t>3,461,322</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716,256</w:t>
            </w:r>
          </w:p>
        </w:tc>
        <w:tc>
          <w:tcPr>
            <w:tcW w:w="940" w:type="dxa"/>
            <w:vAlign w:val="bottom"/>
            <w:gridSpan w:val="2"/>
          </w:tcPr>
          <w:p>
            <w:pPr>
              <w:jc w:val="right"/>
              <w:ind w:right="162"/>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2"/>
              <w:spacing w:after="0" w:line="145" w:lineRule="exact"/>
              <w:rPr>
                <w:sz w:val="20"/>
                <w:szCs w:val="20"/>
                <w:color w:val="auto"/>
              </w:rPr>
            </w:pPr>
            <w:r>
              <w:rPr>
                <w:rFonts w:ascii="Arial" w:cs="Arial" w:eastAsia="Arial" w:hAnsi="Arial"/>
                <w:sz w:val="13"/>
                <w:szCs w:val="13"/>
                <w:color w:val="auto"/>
              </w:rPr>
              <w:t>12,778,986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(1,221,264</w:t>
            </w:r>
          </w:p>
        </w:tc>
        <w:tc>
          <w:tcPr>
            <w:tcW w:w="180" w:type="dxa"/>
            <w:vAlign w:val="bottom"/>
            <w:tcBorders>
              <w:top w:val="single" w:sz="8" w:color="CCEEFF"/>
            </w:tcBorders>
            <w:shd w:val="clear" w:color="auto" w:fill="CCEEFF"/>
          </w:tcPr>
          <w:p>
            <w:pPr>
              <w:jc w:val="right"/>
              <w:ind w:right="102"/>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(2,190,500</w:t>
            </w:r>
          </w:p>
        </w:tc>
        <w:tc>
          <w:tcPr>
            <w:tcW w:w="20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(2,110,883</w:t>
            </w:r>
          </w:p>
        </w:tc>
        <w:tc>
          <w:tcPr>
            <w:tcW w:w="180" w:type="dxa"/>
            <w:vAlign w:val="bottom"/>
            <w:tcBorders>
              <w:top w:val="single" w:sz="8" w:color="CCEEFF"/>
            </w:tcBorders>
            <w:shd w:val="clear" w:color="auto" w:fill="CCEEFF"/>
          </w:tcPr>
          <w:p>
            <w:pPr>
              <w:jc w:val="right"/>
              <w:ind w:right="102"/>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2,277,329</w:t>
            </w: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3,245,318</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tcBorders>
              <w:bottom w:val="single" w:sz="8" w:color="CCEEFF"/>
            </w:tcBorders>
          </w:tcPr>
          <w:p>
            <w:pPr>
              <w:spacing w:after="0" w:line="125" w:lineRule="exact"/>
              <w:rPr>
                <w:sz w:val="20"/>
                <w:szCs w:val="20"/>
                <w:color w:val="auto"/>
              </w:rPr>
            </w:pPr>
            <w:r>
              <w:rPr>
                <w:rFonts w:ascii="Arial" w:cs="Arial" w:eastAsia="Arial" w:hAnsi="Arial"/>
                <w:sz w:val="13"/>
                <w:szCs w:val="13"/>
                <w:b w:val="1"/>
                <w:bCs w:val="1"/>
                <w:color w:val="auto"/>
              </w:rPr>
              <w:t>Marginal gap</w:t>
            </w:r>
          </w:p>
        </w:tc>
        <w:tc>
          <w:tcPr>
            <w:tcW w:w="6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(6,937,841</w:t>
            </w:r>
          </w:p>
        </w:tc>
        <w:tc>
          <w:tcPr>
            <w:tcW w:w="180" w:type="dxa"/>
            <w:vAlign w:val="bottom"/>
            <w:tcBorders>
              <w:bottom w:val="single" w:sz="8" w:color="CCEEFF"/>
            </w:tcBorders>
          </w:tcPr>
          <w:p>
            <w:pPr>
              <w:jc w:val="right"/>
              <w:ind w:right="102"/>
              <w:spacing w:after="0"/>
              <w:rPr>
                <w:sz w:val="20"/>
                <w:szCs w:val="20"/>
                <w:color w:val="auto"/>
              </w:rPr>
            </w:pPr>
            <w:r>
              <w:rPr>
                <w:rFonts w:ascii="Arial" w:cs="Arial" w:eastAsia="Arial" w:hAnsi="Arial"/>
                <w:sz w:val="8"/>
                <w:szCs w:val="8"/>
                <w:color w:val="auto"/>
                <w:w w:val="73"/>
              </w:rPr>
              <w:t>)</w:t>
            </w:r>
          </w:p>
        </w:tc>
        <w:tc>
          <w:tcPr>
            <w:tcW w:w="6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5,870,247</w:t>
            </w:r>
          </w:p>
        </w:tc>
        <w:tc>
          <w:tcPr>
            <w:tcW w:w="2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6,186,953</w:t>
            </w:r>
          </w:p>
        </w:tc>
        <w:tc>
          <w:tcPr>
            <w:tcW w:w="18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(4,406,493</w:t>
            </w:r>
          </w:p>
        </w:tc>
        <w:tc>
          <w:tcPr>
            <w:tcW w:w="200" w:type="dxa"/>
            <w:vAlign w:val="bottom"/>
            <w:tcBorders>
              <w:bottom w:val="single" w:sz="8" w:color="CCEEFF"/>
            </w:tcBorders>
          </w:tcPr>
          <w:p>
            <w:pPr>
              <w:jc w:val="right"/>
              <w:ind w:right="122"/>
              <w:spacing w:after="0"/>
              <w:rPr>
                <w:sz w:val="20"/>
                <w:szCs w:val="20"/>
                <w:color w:val="auto"/>
              </w:rPr>
            </w:pPr>
            <w:r>
              <w:rPr>
                <w:rFonts w:ascii="Arial" w:cs="Arial" w:eastAsia="Arial" w:hAnsi="Arial"/>
                <w:sz w:val="8"/>
                <w:szCs w:val="8"/>
                <w:color w:val="auto"/>
                <w:w w:val="73"/>
              </w:rPr>
              <w:t>)</w:t>
            </w:r>
          </w:p>
        </w:tc>
        <w:tc>
          <w:tcPr>
            <w:tcW w:w="7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6,773,834</w:t>
            </w:r>
          </w:p>
        </w:tc>
        <w:tc>
          <w:tcPr>
            <w:tcW w:w="20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(11,501,719</w:t>
            </w:r>
          </w:p>
        </w:tc>
        <w:tc>
          <w:tcPr>
            <w:tcW w:w="200" w:type="dxa"/>
            <w:vAlign w:val="bottom"/>
            <w:tcBorders>
              <w:bottom w:val="single" w:sz="8" w:color="CCEEFF"/>
            </w:tcBorders>
          </w:tcPr>
          <w:p>
            <w:pPr>
              <w:jc w:val="right"/>
              <w:ind w:right="122"/>
              <w:spacing w:after="0"/>
              <w:rPr>
                <w:sz w:val="20"/>
                <w:szCs w:val="20"/>
                <w:color w:val="auto"/>
              </w:rPr>
            </w:pPr>
            <w:r>
              <w:rPr>
                <w:rFonts w:ascii="Arial" w:cs="Arial" w:eastAsia="Arial" w:hAnsi="Arial"/>
                <w:sz w:val="8"/>
                <w:szCs w:val="8"/>
                <w:color w:val="auto"/>
                <w:w w:val="73"/>
              </w:rPr>
              <w:t>)</w:t>
            </w:r>
          </w:p>
        </w:tc>
        <w:tc>
          <w:tcPr>
            <w:tcW w:w="74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(4,015,019</w:t>
            </w:r>
          </w:p>
        </w:tc>
        <w:tc>
          <w:tcPr>
            <w:tcW w:w="100" w:type="dxa"/>
            <w:vAlign w:val="bottom"/>
            <w:tcBorders>
              <w:bottom w:val="single" w:sz="8" w:color="CCEEFF"/>
            </w:tcBorders>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shd w:val="clear" w:color="auto" w:fill="CCEEFF"/>
          </w:tcPr>
          <w:p>
            <w:pPr>
              <w:spacing w:after="0" w:line="125" w:lineRule="exact"/>
              <w:rPr>
                <w:sz w:val="20"/>
                <w:szCs w:val="20"/>
                <w:color w:val="auto"/>
              </w:rPr>
            </w:pPr>
            <w:r>
              <w:rPr>
                <w:rFonts w:ascii="Arial" w:cs="Arial" w:eastAsia="Arial" w:hAnsi="Arial"/>
                <w:sz w:val="13"/>
                <w:szCs w:val="13"/>
                <w:color w:val="auto"/>
              </w:rPr>
              <w:t>Accumulated gap</w:t>
            </w: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(6,937,841</w:t>
            </w:r>
          </w:p>
        </w:tc>
        <w:tc>
          <w:tcPr>
            <w:tcW w:w="180" w:type="dxa"/>
            <w:vAlign w:val="bottom"/>
            <w:shd w:val="clear" w:color="auto" w:fill="CCEEFF"/>
          </w:tcPr>
          <w:p>
            <w:pPr>
              <w:jc w:val="right"/>
              <w:ind w:right="102"/>
              <w:spacing w:after="0"/>
              <w:rPr>
                <w:sz w:val="20"/>
                <w:szCs w:val="20"/>
                <w:color w:val="auto"/>
              </w:rPr>
            </w:pPr>
            <w:r>
              <w:rPr>
                <w:rFonts w:ascii="Arial" w:cs="Arial" w:eastAsia="Arial" w:hAnsi="Arial"/>
                <w:sz w:val="8"/>
                <w:szCs w:val="8"/>
                <w:color w:val="auto"/>
                <w:w w:val="73"/>
              </w:rPr>
              <w:t>)</w:t>
            </w: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(1,067,594</w:t>
            </w:r>
          </w:p>
        </w:tc>
        <w:tc>
          <w:tcPr>
            <w:tcW w:w="200" w:type="dxa"/>
            <w:vAlign w:val="bottom"/>
            <w:shd w:val="clear" w:color="auto" w:fill="CCEEFF"/>
          </w:tcPr>
          <w:p>
            <w:pPr>
              <w:jc w:val="right"/>
              <w:ind w:right="122"/>
              <w:spacing w:after="0"/>
              <w:rPr>
                <w:sz w:val="20"/>
                <w:szCs w:val="20"/>
                <w:color w:val="auto"/>
              </w:rPr>
            </w:pPr>
            <w:r>
              <w:rPr>
                <w:rFonts w:ascii="Arial" w:cs="Arial" w:eastAsia="Arial" w:hAnsi="Arial"/>
                <w:sz w:val="8"/>
                <w:szCs w:val="8"/>
                <w:color w:val="auto"/>
                <w:w w:val="73"/>
              </w:rPr>
              <w:t>)</w:t>
            </w: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5,119,359</w:t>
            </w:r>
          </w:p>
        </w:tc>
        <w:tc>
          <w:tcPr>
            <w:tcW w:w="18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712,866</w:t>
            </w:r>
          </w:p>
        </w:tc>
        <w:tc>
          <w:tcPr>
            <w:tcW w:w="20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7,486,700</w:t>
            </w:r>
          </w:p>
        </w:tc>
        <w:tc>
          <w:tcPr>
            <w:tcW w:w="20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(4,015,019</w:t>
            </w:r>
          </w:p>
        </w:tc>
        <w:tc>
          <w:tcPr>
            <w:tcW w:w="200" w:type="dxa"/>
            <w:vAlign w:val="bottom"/>
            <w:shd w:val="clear" w:color="auto" w:fill="CCEEFF"/>
          </w:tcPr>
          <w:p>
            <w:pPr>
              <w:jc w:val="right"/>
              <w:ind w:right="122"/>
              <w:spacing w:after="0"/>
              <w:rPr>
                <w:sz w:val="20"/>
                <w:szCs w:val="20"/>
                <w:color w:val="auto"/>
              </w:rPr>
            </w:pPr>
            <w:r>
              <w:rPr>
                <w:rFonts w:ascii="Arial" w:cs="Arial" w:eastAsia="Arial" w:hAnsi="Arial"/>
                <w:sz w:val="8"/>
                <w:szCs w:val="8"/>
                <w:color w:val="auto"/>
                <w:w w:val="73"/>
              </w:rPr>
              <w:t>)</w:t>
            </w:r>
          </w:p>
        </w:tc>
        <w:tc>
          <w:tcPr>
            <w:tcW w:w="74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60"/>
        <w:spacing w:after="0" w:line="280" w:lineRule="auto"/>
        <w:rPr>
          <w:sz w:val="20"/>
          <w:szCs w:val="20"/>
          <w:color w:val="auto"/>
        </w:rPr>
      </w:pPr>
      <w:r>
        <w:rPr>
          <w:rFonts w:ascii="Arial" w:cs="Arial" w:eastAsia="Arial" w:hAnsi="Arial"/>
          <w:sz w:val="16"/>
          <w:szCs w:val="16"/>
          <w:color w:val="auto"/>
        </w:rPr>
        <w:t>Investments accounted for at fair value through profit or loss and trading derivatives are not taken into account, due to the fact that these instrument are part of the trading book and the Value at Risk methodology is used to measure their market risks.</w:t>
      </w:r>
    </w:p>
    <w:p>
      <w:pPr>
        <w:spacing w:after="0" w:line="344"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- 133 -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13970</wp:posOffset>
            </wp:positionV>
            <wp:extent cx="7261225" cy="762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720"/>
          </w:cols>
          <w:pgMar w:left="820" w:top="828" w:right="359" w:bottom="1440" w:gutter="0" w:footer="0" w:header="0"/>
        </w:sectPr>
      </w:pPr>
    </w:p>
    <w:bookmarkStart w:id="138" w:name="page139"/>
    <w:bookmarkEnd w:id="138"/>
    <w:tbl>
      <w:tblPr>
        <w:tblLayout w:type="fixed"/>
        <w:tblInd w:w="4460" w:type="dxa"/>
        <w:tblCellMar>
          <w:top w:w="0" w:type="dxa"/>
          <w:left w:w="0" w:type="dxa"/>
          <w:bottom w:w="0" w:type="dxa"/>
          <w:right w:w="0" w:type="dxa"/>
        </w:tblCellMar>
      </w:tblPr>
      <w:tr>
        <w:trPr>
          <w:trHeight w:val="153"/>
        </w:trPr>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At December 31, 2015</w:t>
            </w: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86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Up to 1</w:t>
            </w:r>
          </w:p>
        </w:tc>
        <w:tc>
          <w:tcPr>
            <w:tcW w:w="680" w:type="dxa"/>
            <w:vAlign w:val="bottom"/>
          </w:tcPr>
          <w:p>
            <w:pPr>
              <w:spacing w:after="0" w:line="105" w:lineRule="exact"/>
              <w:rPr>
                <w:sz w:val="20"/>
                <w:szCs w:val="20"/>
                <w:color w:val="auto"/>
              </w:rPr>
            </w:pPr>
            <w:r>
              <w:rPr>
                <w:rFonts w:ascii="Arial" w:cs="Arial" w:eastAsia="Arial" w:hAnsi="Arial"/>
                <w:sz w:val="12"/>
                <w:szCs w:val="12"/>
                <w:b w:val="1"/>
                <w:bCs w:val="1"/>
                <w:color w:val="auto"/>
              </w:rPr>
              <w:t>1 to 3</w:t>
            </w:r>
          </w:p>
        </w:tc>
        <w:tc>
          <w:tcPr>
            <w:tcW w:w="880" w:type="dxa"/>
            <w:vAlign w:val="bottom"/>
            <w:gridSpan w:val="2"/>
          </w:tcPr>
          <w:p>
            <w:pPr>
              <w:ind w:left="200"/>
              <w:spacing w:after="0" w:line="105" w:lineRule="exact"/>
              <w:rPr>
                <w:sz w:val="20"/>
                <w:szCs w:val="20"/>
                <w:color w:val="auto"/>
              </w:rPr>
            </w:pPr>
            <w:r>
              <w:rPr>
                <w:rFonts w:ascii="Arial" w:cs="Arial" w:eastAsia="Arial" w:hAnsi="Arial"/>
                <w:sz w:val="12"/>
                <w:szCs w:val="12"/>
                <w:b w:val="1"/>
                <w:bCs w:val="1"/>
                <w:color w:val="auto"/>
              </w:rPr>
              <w:t>3 to 12</w:t>
            </w:r>
          </w:p>
        </w:tc>
        <w:tc>
          <w:tcPr>
            <w:tcW w:w="180" w:type="dxa"/>
            <w:vAlign w:val="bottom"/>
          </w:tcPr>
          <w:p>
            <w:pPr>
              <w:spacing w:after="0"/>
              <w:rPr>
                <w:sz w:val="9"/>
                <w:szCs w:val="9"/>
                <w:color w:val="auto"/>
              </w:rPr>
            </w:pPr>
          </w:p>
        </w:tc>
        <w:tc>
          <w:tcPr>
            <w:tcW w:w="680" w:type="dxa"/>
            <w:vAlign w:val="bottom"/>
          </w:tcPr>
          <w:p>
            <w:pPr>
              <w:spacing w:after="0" w:line="105" w:lineRule="exact"/>
              <w:rPr>
                <w:sz w:val="20"/>
                <w:szCs w:val="20"/>
                <w:color w:val="auto"/>
              </w:rPr>
            </w:pPr>
            <w:r>
              <w:rPr>
                <w:rFonts w:ascii="Arial" w:cs="Arial" w:eastAsia="Arial" w:hAnsi="Arial"/>
                <w:sz w:val="12"/>
                <w:szCs w:val="12"/>
                <w:b w:val="1"/>
                <w:bCs w:val="1"/>
                <w:color w:val="auto"/>
              </w:rPr>
              <w:t>1 to 5</w:t>
            </w:r>
          </w:p>
        </w:tc>
        <w:tc>
          <w:tcPr>
            <w:tcW w:w="1100" w:type="dxa"/>
            <w:vAlign w:val="bottom"/>
            <w:gridSpan w:val="3"/>
          </w:tcPr>
          <w:p>
            <w:pPr>
              <w:ind w:left="200"/>
              <w:spacing w:after="0" w:line="105" w:lineRule="exact"/>
              <w:rPr>
                <w:sz w:val="20"/>
                <w:szCs w:val="20"/>
                <w:color w:val="auto"/>
              </w:rPr>
            </w:pPr>
            <w:r>
              <w:rPr>
                <w:rFonts w:ascii="Arial" w:cs="Arial" w:eastAsia="Arial" w:hAnsi="Arial"/>
                <w:sz w:val="12"/>
                <w:szCs w:val="12"/>
                <w:b w:val="1"/>
                <w:bCs w:val="1"/>
                <w:color w:val="auto"/>
              </w:rPr>
              <w:t>More than 5</w:t>
            </w:r>
          </w:p>
        </w:tc>
        <w:tc>
          <w:tcPr>
            <w:tcW w:w="94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Non-interest</w:t>
            </w:r>
          </w:p>
        </w:tc>
        <w:tc>
          <w:tcPr>
            <w:tcW w:w="740" w:type="dxa"/>
            <w:vAlign w:val="bottom"/>
            <w:vMerge w:val="restart"/>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month</w:t>
            </w:r>
          </w:p>
        </w:tc>
        <w:tc>
          <w:tcPr>
            <w:tcW w:w="680" w:type="dxa"/>
            <w:vAlign w:val="bottom"/>
          </w:tcPr>
          <w:p>
            <w:pPr>
              <w:spacing w:after="0"/>
              <w:rPr>
                <w:sz w:val="20"/>
                <w:szCs w:val="20"/>
                <w:color w:val="auto"/>
              </w:rPr>
            </w:pPr>
            <w:r>
              <w:rPr>
                <w:rFonts w:ascii="Arial" w:cs="Arial" w:eastAsia="Arial" w:hAnsi="Arial"/>
                <w:sz w:val="13"/>
                <w:szCs w:val="13"/>
                <w:b w:val="1"/>
                <w:bCs w:val="1"/>
                <w:color w:val="auto"/>
              </w:rPr>
              <w:t>months</w:t>
            </w:r>
          </w:p>
        </w:tc>
        <w:tc>
          <w:tcPr>
            <w:tcW w:w="880" w:type="dxa"/>
            <w:vAlign w:val="bottom"/>
            <w:gridSpan w:val="2"/>
          </w:tcPr>
          <w:p>
            <w:pPr>
              <w:ind w:left="200"/>
              <w:spacing w:after="0"/>
              <w:rPr>
                <w:sz w:val="20"/>
                <w:szCs w:val="20"/>
                <w:color w:val="auto"/>
              </w:rPr>
            </w:pPr>
            <w:r>
              <w:rPr>
                <w:rFonts w:ascii="Arial" w:cs="Arial" w:eastAsia="Arial" w:hAnsi="Arial"/>
                <w:sz w:val="13"/>
                <w:szCs w:val="13"/>
                <w:b w:val="1"/>
                <w:bCs w:val="1"/>
                <w:color w:val="auto"/>
              </w:rPr>
              <w:t>months</w:t>
            </w:r>
          </w:p>
        </w:tc>
        <w:tc>
          <w:tcPr>
            <w:tcW w:w="18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3"/>
                <w:szCs w:val="13"/>
                <w:b w:val="1"/>
                <w:bCs w:val="1"/>
                <w:color w:val="auto"/>
              </w:rPr>
              <w:t>months</w:t>
            </w:r>
          </w:p>
        </w:tc>
        <w:tc>
          <w:tcPr>
            <w:tcW w:w="1100" w:type="dxa"/>
            <w:vAlign w:val="bottom"/>
            <w:gridSpan w:val="3"/>
          </w:tcPr>
          <w:p>
            <w:pPr>
              <w:ind w:left="200"/>
              <w:spacing w:after="0"/>
              <w:rPr>
                <w:sz w:val="20"/>
                <w:szCs w:val="20"/>
                <w:color w:val="auto"/>
              </w:rPr>
            </w:pPr>
            <w:r>
              <w:rPr>
                <w:rFonts w:ascii="Arial" w:cs="Arial" w:eastAsia="Arial" w:hAnsi="Arial"/>
                <w:sz w:val="13"/>
                <w:szCs w:val="13"/>
                <w:b w:val="1"/>
                <w:bCs w:val="1"/>
                <w:color w:val="auto"/>
              </w:rPr>
              <w:t>years</w:t>
            </w: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bearing</w:t>
            </w: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44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Assets</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40" w:type="dxa"/>
            <w:vAlign w:val="bottom"/>
          </w:tcPr>
          <w:p>
            <w:pPr>
              <w:spacing w:after="0" w:line="117" w:lineRule="exact"/>
              <w:rPr>
                <w:sz w:val="20"/>
                <w:szCs w:val="20"/>
                <w:color w:val="auto"/>
              </w:rPr>
            </w:pPr>
            <w:r>
              <w:rPr>
                <w:rFonts w:ascii="Arial" w:cs="Arial" w:eastAsia="Arial" w:hAnsi="Arial"/>
                <w:sz w:val="13"/>
                <w:szCs w:val="13"/>
                <w:color w:val="auto"/>
                <w:w w:val="96"/>
              </w:rPr>
              <w:t>Cash and due from banks, Cash collateral, reverse repurchase agreements and</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rPr>
                <w:sz w:val="20"/>
                <w:szCs w:val="20"/>
                <w:color w:val="auto"/>
              </w:rPr>
            </w:pPr>
            <w:r>
              <w:rPr>
                <w:rFonts w:ascii="Arial" w:cs="Arial" w:eastAsia="Arial" w:hAnsi="Arial"/>
                <w:sz w:val="13"/>
                <w:szCs w:val="13"/>
                <w:color w:val="auto"/>
              </w:rPr>
              <w:t>securities borrowings</w:t>
            </w:r>
          </w:p>
        </w:tc>
        <w:tc>
          <w:tcPr>
            <w:tcW w:w="860" w:type="dxa"/>
            <w:vAlign w:val="bottom"/>
            <w:gridSpan w:val="2"/>
          </w:tcPr>
          <w:p>
            <w:pPr>
              <w:jc w:val="right"/>
              <w:ind w:right="142"/>
              <w:spacing w:after="0"/>
              <w:rPr>
                <w:sz w:val="20"/>
                <w:szCs w:val="20"/>
                <w:color w:val="auto"/>
              </w:rPr>
            </w:pPr>
            <w:r>
              <w:rPr>
                <w:rFonts w:ascii="Arial" w:cs="Arial" w:eastAsia="Arial" w:hAnsi="Arial"/>
                <w:sz w:val="13"/>
                <w:szCs w:val="13"/>
                <w:color w:val="auto"/>
              </w:rPr>
              <w:t>10,799,728</w:t>
            </w:r>
          </w:p>
        </w:tc>
        <w:tc>
          <w:tcPr>
            <w:tcW w:w="880" w:type="dxa"/>
            <w:vAlign w:val="bottom"/>
            <w:gridSpan w:val="2"/>
          </w:tcPr>
          <w:p>
            <w:pPr>
              <w:jc w:val="right"/>
              <w:ind w:right="162"/>
              <w:spacing w:after="0"/>
              <w:rPr>
                <w:sz w:val="20"/>
                <w:szCs w:val="20"/>
                <w:color w:val="auto"/>
              </w:rPr>
            </w:pPr>
            <w:r>
              <w:rPr>
                <w:rFonts w:ascii="Arial" w:cs="Arial" w:eastAsia="Arial" w:hAnsi="Arial"/>
                <w:sz w:val="13"/>
                <w:szCs w:val="13"/>
                <w:color w:val="auto"/>
              </w:rPr>
              <w:t>1,730,819</w:t>
            </w:r>
          </w:p>
        </w:tc>
        <w:tc>
          <w:tcPr>
            <w:tcW w:w="860" w:type="dxa"/>
            <w:vAlign w:val="bottom"/>
            <w:gridSpan w:val="2"/>
          </w:tcPr>
          <w:p>
            <w:pPr>
              <w:jc w:val="right"/>
              <w:ind w:right="142"/>
              <w:spacing w:after="0"/>
              <w:rPr>
                <w:sz w:val="20"/>
                <w:szCs w:val="20"/>
                <w:color w:val="auto"/>
              </w:rPr>
            </w:pPr>
            <w:r>
              <w:rPr>
                <w:rFonts w:ascii="Arial" w:cs="Arial" w:eastAsia="Arial" w:hAnsi="Arial"/>
                <w:sz w:val="13"/>
                <w:szCs w:val="13"/>
                <w:color w:val="auto"/>
              </w:rPr>
              <w:t>2,448,242</w:t>
            </w:r>
          </w:p>
        </w:tc>
        <w:tc>
          <w:tcPr>
            <w:tcW w:w="680" w:type="dxa"/>
            <w:vAlign w:val="bottom"/>
          </w:tcPr>
          <w:p>
            <w:pPr>
              <w:jc w:val="right"/>
              <w:spacing w:after="0"/>
              <w:rPr>
                <w:sz w:val="20"/>
                <w:szCs w:val="20"/>
                <w:color w:val="auto"/>
              </w:rPr>
            </w:pPr>
            <w:r>
              <w:rPr>
                <w:rFonts w:ascii="Arial" w:cs="Arial" w:eastAsia="Arial" w:hAnsi="Arial"/>
                <w:sz w:val="13"/>
                <w:szCs w:val="13"/>
                <w:color w:val="auto"/>
              </w:rPr>
              <w:t>14,175,954</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85,441</w:t>
            </w:r>
          </w:p>
        </w:tc>
        <w:tc>
          <w:tcPr>
            <w:tcW w:w="940" w:type="dxa"/>
            <w:vAlign w:val="bottom"/>
            <w:gridSpan w:val="2"/>
          </w:tcPr>
          <w:p>
            <w:pPr>
              <w:jc w:val="right"/>
              <w:ind w:right="162"/>
              <w:spacing w:after="0"/>
              <w:rPr>
                <w:sz w:val="20"/>
                <w:szCs w:val="20"/>
                <w:color w:val="auto"/>
              </w:rPr>
            </w:pPr>
            <w:r>
              <w:rPr>
                <w:rFonts w:ascii="Arial" w:cs="Arial" w:eastAsia="Arial" w:hAnsi="Arial"/>
                <w:sz w:val="13"/>
                <w:szCs w:val="13"/>
                <w:color w:val="auto"/>
              </w:rPr>
              <w:t>4,178,258</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33,418,442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Investments</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995,468</w:t>
            </w:r>
          </w:p>
        </w:tc>
        <w:tc>
          <w:tcPr>
            <w:tcW w:w="88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1,808,027</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2,618,982</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7,004,151</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7,018,588</w:t>
            </w:r>
          </w:p>
        </w:tc>
        <w:tc>
          <w:tcPr>
            <w:tcW w:w="94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2,905,834</w:t>
            </w:r>
          </w:p>
        </w:tc>
        <w:tc>
          <w:tcPr>
            <w:tcW w:w="8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22,351,050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Arial" w:cs="Arial" w:eastAsia="Arial" w:hAnsi="Arial"/>
                <w:sz w:val="13"/>
                <w:szCs w:val="13"/>
                <w:color w:val="auto"/>
              </w:rPr>
              <w:t>Loans, net</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9,926,677</w:t>
            </w:r>
          </w:p>
        </w:tc>
        <w:tc>
          <w:tcPr>
            <w:tcW w:w="88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15,596,640</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21,901,169</w:t>
            </w:r>
          </w:p>
        </w:tc>
        <w:tc>
          <w:tcPr>
            <w:tcW w:w="680" w:type="dxa"/>
            <w:vAlign w:val="bottom"/>
          </w:tcPr>
          <w:p>
            <w:pPr>
              <w:jc w:val="right"/>
              <w:spacing w:after="0" w:line="133" w:lineRule="exact"/>
              <w:rPr>
                <w:sz w:val="20"/>
                <w:szCs w:val="20"/>
                <w:color w:val="auto"/>
              </w:rPr>
            </w:pPr>
            <w:r>
              <w:rPr>
                <w:rFonts w:ascii="Arial" w:cs="Arial" w:eastAsia="Arial" w:hAnsi="Arial"/>
                <w:sz w:val="13"/>
                <w:szCs w:val="13"/>
                <w:color w:val="auto"/>
              </w:rPr>
              <w:t>29,102,306</w:t>
            </w:r>
          </w:p>
        </w:tc>
        <w:tc>
          <w:tcPr>
            <w:tcW w:w="20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9,961,370</w:t>
            </w:r>
          </w:p>
        </w:tc>
        <w:tc>
          <w:tcPr>
            <w:tcW w:w="94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86,488,162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Financial assets designated at fair value through profit or loss</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350,328</w:t>
            </w:r>
          </w:p>
        </w:tc>
        <w:tc>
          <w:tcPr>
            <w:tcW w:w="8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350,328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Arial" w:cs="Arial" w:eastAsia="Arial" w:hAnsi="Arial"/>
                <w:sz w:val="13"/>
                <w:szCs w:val="13"/>
                <w:color w:val="auto"/>
              </w:rPr>
              <w:t>Premiums and other policies Accounts receivable</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552,802</w:t>
            </w:r>
          </w:p>
        </w:tc>
        <w:tc>
          <w:tcPr>
            <w:tcW w:w="88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72,447</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22,768</w:t>
            </w:r>
          </w:p>
        </w:tc>
        <w:tc>
          <w:tcPr>
            <w:tcW w:w="6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648,017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Accounts receivable from reinsurers and coinsurers</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81,384</w:t>
            </w:r>
          </w:p>
        </w:tc>
        <w:tc>
          <w:tcPr>
            <w:tcW w:w="88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210,658</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142,317</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22,830</w:t>
            </w:r>
          </w:p>
        </w:tc>
        <w:tc>
          <w:tcPr>
            <w:tcW w:w="9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457,189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40" w:type="dxa"/>
            <w:vAlign w:val="bottom"/>
          </w:tcPr>
          <w:p>
            <w:pPr>
              <w:spacing w:after="0" w:line="145" w:lineRule="exact"/>
              <w:rPr>
                <w:sz w:val="20"/>
                <w:szCs w:val="20"/>
                <w:color w:val="auto"/>
              </w:rPr>
            </w:pPr>
            <w:r>
              <w:rPr>
                <w:rFonts w:ascii="Arial" w:cs="Arial" w:eastAsia="Arial" w:hAnsi="Arial"/>
                <w:sz w:val="13"/>
                <w:szCs w:val="13"/>
                <w:color w:val="auto"/>
              </w:rPr>
              <w:t>Other assets</w:t>
            </w:r>
          </w:p>
        </w:tc>
        <w:tc>
          <w:tcPr>
            <w:tcW w:w="86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2"/>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2"/>
              <w:spacing w:after="0" w:line="145" w:lineRule="exact"/>
              <w:rPr>
                <w:sz w:val="20"/>
                <w:szCs w:val="20"/>
                <w:color w:val="auto"/>
              </w:rPr>
            </w:pPr>
            <w:r>
              <w:rPr>
                <w:rFonts w:ascii="Arial" w:cs="Arial" w:eastAsia="Arial" w:hAnsi="Arial"/>
                <w:sz w:val="13"/>
                <w:szCs w:val="13"/>
                <w:color w:val="auto"/>
              </w:rPr>
              <w:t>9,443,933</w:t>
            </w:r>
          </w:p>
        </w:tc>
        <w:tc>
          <w:tcPr>
            <w:tcW w:w="84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9,443,933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3"/>
                <w:szCs w:val="13"/>
                <w:b w:val="1"/>
                <w:bCs w:val="1"/>
                <w:color w:val="auto"/>
              </w:rPr>
              <w:t>Total assets</w:t>
            </w: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22,356,059</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19,418,591</w:t>
            </w: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27,133,478</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50,305,241</w:t>
            </w: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17,065,399</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16,878,353</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9"/>
              </w:rPr>
              <w:t>153,157,121</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4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Liabilities</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Arial" w:cs="Arial" w:eastAsia="Arial" w:hAnsi="Arial"/>
                <w:sz w:val="13"/>
                <w:szCs w:val="13"/>
                <w:color w:val="auto"/>
              </w:rPr>
              <w:t>Deposits and obligations</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26,822,026</w:t>
            </w:r>
          </w:p>
        </w:tc>
        <w:tc>
          <w:tcPr>
            <w:tcW w:w="88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6,712,587</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11,968,763</w:t>
            </w:r>
          </w:p>
        </w:tc>
        <w:tc>
          <w:tcPr>
            <w:tcW w:w="680" w:type="dxa"/>
            <w:vAlign w:val="bottom"/>
          </w:tcPr>
          <w:p>
            <w:pPr>
              <w:jc w:val="right"/>
              <w:spacing w:after="0" w:line="133" w:lineRule="exact"/>
              <w:rPr>
                <w:sz w:val="20"/>
                <w:szCs w:val="20"/>
                <w:color w:val="auto"/>
              </w:rPr>
            </w:pPr>
            <w:r>
              <w:rPr>
                <w:rFonts w:ascii="Arial" w:cs="Arial" w:eastAsia="Arial" w:hAnsi="Arial"/>
                <w:sz w:val="13"/>
                <w:szCs w:val="13"/>
                <w:color w:val="auto"/>
              </w:rPr>
              <w:t>36,154,007</w:t>
            </w:r>
          </w:p>
        </w:tc>
        <w:tc>
          <w:tcPr>
            <w:tcW w:w="20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3,811,820</w:t>
            </w:r>
          </w:p>
        </w:tc>
        <w:tc>
          <w:tcPr>
            <w:tcW w:w="94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3,137,430</w:t>
            </w:r>
          </w:p>
        </w:tc>
        <w:tc>
          <w:tcPr>
            <w:tcW w:w="84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88,606,633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4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8"/>
              </w:rPr>
              <w:t>Payables from repurchase agreements, security lending and due to banks and</w:t>
            </w: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rPr>
              <w:t>correspondents to banks and correspondents</w:t>
            </w:r>
          </w:p>
        </w:tc>
        <w:tc>
          <w:tcPr>
            <w:tcW w:w="86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388,118</w:t>
            </w:r>
          </w:p>
        </w:tc>
        <w:tc>
          <w:tcPr>
            <w:tcW w:w="880" w:type="dxa"/>
            <w:vAlign w:val="bottom"/>
            <w:gridSpan w:val="2"/>
            <w:shd w:val="clear" w:color="auto" w:fill="CCEEFF"/>
          </w:tcPr>
          <w:p>
            <w:pPr>
              <w:jc w:val="right"/>
              <w:ind w:right="162"/>
              <w:spacing w:after="0"/>
              <w:rPr>
                <w:sz w:val="20"/>
                <w:szCs w:val="20"/>
                <w:color w:val="auto"/>
              </w:rPr>
            </w:pPr>
            <w:r>
              <w:rPr>
                <w:rFonts w:ascii="Arial" w:cs="Arial" w:eastAsia="Arial" w:hAnsi="Arial"/>
                <w:sz w:val="13"/>
                <w:szCs w:val="13"/>
                <w:color w:val="auto"/>
              </w:rPr>
              <w:t>733,836</w:t>
            </w:r>
          </w:p>
        </w:tc>
        <w:tc>
          <w:tcPr>
            <w:tcW w:w="86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1,234,728</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4,583,834</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721,701</w:t>
            </w:r>
          </w:p>
        </w:tc>
        <w:tc>
          <w:tcPr>
            <w:tcW w:w="940" w:type="dxa"/>
            <w:vAlign w:val="bottom"/>
            <w:gridSpan w:val="2"/>
            <w:shd w:val="clear" w:color="auto" w:fill="CCEEFF"/>
          </w:tcPr>
          <w:p>
            <w:pPr>
              <w:jc w:val="right"/>
              <w:ind w:right="162"/>
              <w:spacing w:after="0"/>
              <w:rPr>
                <w:sz w:val="20"/>
                <w:szCs w:val="20"/>
                <w:color w:val="auto"/>
              </w:rPr>
            </w:pPr>
            <w:r>
              <w:rPr>
                <w:rFonts w:ascii="Arial" w:cs="Arial" w:eastAsia="Arial" w:hAnsi="Arial"/>
                <w:sz w:val="13"/>
                <w:szCs w:val="13"/>
                <w:color w:val="auto"/>
              </w:rPr>
              <w:t>14,922,526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22,584,743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Arial" w:cs="Arial" w:eastAsia="Arial" w:hAnsi="Arial"/>
                <w:sz w:val="13"/>
                <w:szCs w:val="13"/>
                <w:color w:val="auto"/>
              </w:rPr>
              <w:t>Accounts payable to reinsurers</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53,175</w:t>
            </w:r>
          </w:p>
        </w:tc>
        <w:tc>
          <w:tcPr>
            <w:tcW w:w="88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159,216</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26,083</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3,373</w:t>
            </w:r>
          </w:p>
        </w:tc>
        <w:tc>
          <w:tcPr>
            <w:tcW w:w="90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241,847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Technical, insurance claims reserves and reserves for unearned premiums</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61,112</w:t>
            </w:r>
          </w:p>
        </w:tc>
        <w:tc>
          <w:tcPr>
            <w:tcW w:w="88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359,162</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5,187,653</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753,700</w:t>
            </w:r>
          </w:p>
        </w:tc>
        <w:tc>
          <w:tcPr>
            <w:tcW w:w="9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6,361,627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Arial" w:cs="Arial" w:eastAsia="Arial" w:hAnsi="Arial"/>
                <w:sz w:val="13"/>
                <w:szCs w:val="13"/>
                <w:color w:val="auto"/>
              </w:rPr>
              <w:t>Financial liabilities at fair value through profit or Loss</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47,737</w:t>
            </w:r>
          </w:p>
        </w:tc>
        <w:tc>
          <w:tcPr>
            <w:tcW w:w="84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47,737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Bonds and notes issued</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40,572</w:t>
            </w:r>
          </w:p>
        </w:tc>
        <w:tc>
          <w:tcPr>
            <w:tcW w:w="88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838,309</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376,105</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6,050,486</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8,433,804</w:t>
            </w:r>
          </w:p>
        </w:tc>
        <w:tc>
          <w:tcPr>
            <w:tcW w:w="94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548,686</w:t>
            </w:r>
          </w:p>
        </w:tc>
        <w:tc>
          <w:tcPr>
            <w:tcW w:w="8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16,287,962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Arial" w:cs="Arial" w:eastAsia="Arial" w:hAnsi="Arial"/>
                <w:sz w:val="13"/>
                <w:szCs w:val="13"/>
                <w:color w:val="auto"/>
              </w:rPr>
              <w:t>Other liabilities</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29,328</w:t>
            </w:r>
          </w:p>
        </w:tc>
        <w:tc>
          <w:tcPr>
            <w:tcW w:w="88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15,328</w:t>
            </w:r>
          </w:p>
        </w:tc>
        <w:tc>
          <w:tcPr>
            <w:tcW w:w="86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10,327</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78,423</w:t>
            </w:r>
          </w:p>
        </w:tc>
        <w:tc>
          <w:tcPr>
            <w:tcW w:w="90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314,331</w:t>
            </w:r>
          </w:p>
        </w:tc>
        <w:tc>
          <w:tcPr>
            <w:tcW w:w="94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4,174,361</w:t>
            </w:r>
          </w:p>
        </w:tc>
        <w:tc>
          <w:tcPr>
            <w:tcW w:w="84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4,622,098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Equity</w:t>
            </w:r>
          </w:p>
        </w:tc>
        <w:tc>
          <w:tcPr>
            <w:tcW w:w="860" w:type="dxa"/>
            <w:vAlign w:val="bottom"/>
            <w:gridSpan w:val="2"/>
            <w:shd w:val="clear" w:color="auto" w:fill="CCEEFF"/>
          </w:tcPr>
          <w:p>
            <w:pPr>
              <w:jc w:val="right"/>
              <w:ind w:right="142"/>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2"/>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2"/>
              <w:spacing w:after="0" w:line="14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2"/>
              <w:spacing w:after="0" w:line="145" w:lineRule="exact"/>
              <w:rPr>
                <w:sz w:val="20"/>
                <w:szCs w:val="20"/>
                <w:color w:val="auto"/>
              </w:rPr>
            </w:pPr>
            <w:r>
              <w:rPr>
                <w:rFonts w:ascii="Arial" w:cs="Arial" w:eastAsia="Arial" w:hAnsi="Arial"/>
                <w:sz w:val="13"/>
                <w:szCs w:val="13"/>
                <w:color w:val="auto"/>
              </w:rPr>
              <w:t>16,727,570</w:t>
            </w:r>
          </w:p>
        </w:tc>
        <w:tc>
          <w:tcPr>
            <w:tcW w:w="84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16,727,570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tcBorders>
              <w:bottom w:val="single" w:sz="8" w:color="CCEEFF"/>
            </w:tcBorders>
          </w:tcPr>
          <w:p>
            <w:pPr>
              <w:spacing w:after="0" w:line="125" w:lineRule="exact"/>
              <w:rPr>
                <w:sz w:val="20"/>
                <w:szCs w:val="20"/>
                <w:color w:val="auto"/>
              </w:rPr>
            </w:pPr>
            <w:r>
              <w:rPr>
                <w:rFonts w:ascii="Arial" w:cs="Arial" w:eastAsia="Arial" w:hAnsi="Arial"/>
                <w:sz w:val="13"/>
                <w:szCs w:val="13"/>
                <w:b w:val="1"/>
                <w:bCs w:val="1"/>
                <w:color w:val="auto"/>
              </w:rPr>
              <w:t>Total liabilities and equity</w:t>
            </w: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27,394,331</w:t>
            </w:r>
          </w:p>
        </w:tc>
        <w:tc>
          <w:tcPr>
            <w:tcW w:w="18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8,818,438</w:t>
            </w:r>
          </w:p>
        </w:tc>
        <w:tc>
          <w:tcPr>
            <w:tcW w:w="20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18,803,659</w:t>
            </w:r>
          </w:p>
        </w:tc>
        <w:tc>
          <w:tcPr>
            <w:tcW w:w="18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47,623,823</w:t>
            </w:r>
          </w:p>
        </w:tc>
        <w:tc>
          <w:tcPr>
            <w:tcW w:w="20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13,281,656</w:t>
            </w:r>
          </w:p>
        </w:tc>
        <w:tc>
          <w:tcPr>
            <w:tcW w:w="20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39,558,310</w:t>
            </w:r>
          </w:p>
        </w:tc>
        <w:tc>
          <w:tcPr>
            <w:tcW w:w="20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w w:val="99"/>
              </w:rPr>
              <w:t>155,480,217</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4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4440" w:type="dxa"/>
            <w:vAlign w:val="bottom"/>
          </w:tcPr>
          <w:p>
            <w:pPr>
              <w:spacing w:after="0" w:line="133" w:lineRule="exact"/>
              <w:rPr>
                <w:sz w:val="20"/>
                <w:szCs w:val="20"/>
                <w:color w:val="auto"/>
              </w:rPr>
            </w:pPr>
            <w:r>
              <w:rPr>
                <w:rFonts w:ascii="Arial" w:cs="Arial" w:eastAsia="Arial" w:hAnsi="Arial"/>
                <w:sz w:val="13"/>
                <w:szCs w:val="13"/>
                <w:b w:val="1"/>
                <w:bCs w:val="1"/>
                <w:color w:val="auto"/>
              </w:rPr>
              <w:t>Off-balance-sheet accounts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Derivative financial assets</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230,741</w:t>
            </w:r>
          </w:p>
        </w:tc>
        <w:tc>
          <w:tcPr>
            <w:tcW w:w="88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2,077,128</w:t>
            </w:r>
          </w:p>
        </w:tc>
        <w:tc>
          <w:tcPr>
            <w:tcW w:w="86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390,901</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3,247,496</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5,753,166</w:t>
            </w:r>
          </w:p>
        </w:tc>
        <w:tc>
          <w:tcPr>
            <w:tcW w:w="94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11,699,432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40" w:type="dxa"/>
            <w:vAlign w:val="bottom"/>
          </w:tcPr>
          <w:p>
            <w:pPr>
              <w:spacing w:after="0" w:line="145" w:lineRule="exact"/>
              <w:rPr>
                <w:sz w:val="20"/>
                <w:szCs w:val="20"/>
                <w:color w:val="auto"/>
              </w:rPr>
            </w:pPr>
            <w:r>
              <w:rPr>
                <w:rFonts w:ascii="Arial" w:cs="Arial" w:eastAsia="Arial" w:hAnsi="Arial"/>
                <w:sz w:val="13"/>
                <w:szCs w:val="13"/>
                <w:color w:val="auto"/>
              </w:rPr>
              <w:t>Derivative financial liabilities</w:t>
            </w:r>
          </w:p>
        </w:tc>
        <w:tc>
          <w:tcPr>
            <w:tcW w:w="86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1,541,590</w:t>
            </w:r>
          </w:p>
        </w:tc>
        <w:tc>
          <w:tcPr>
            <w:tcW w:w="880" w:type="dxa"/>
            <w:vAlign w:val="bottom"/>
            <w:gridSpan w:val="2"/>
          </w:tcPr>
          <w:p>
            <w:pPr>
              <w:jc w:val="right"/>
              <w:ind w:right="162"/>
              <w:spacing w:after="0" w:line="145" w:lineRule="exact"/>
              <w:rPr>
                <w:sz w:val="20"/>
                <w:szCs w:val="20"/>
                <w:color w:val="auto"/>
              </w:rPr>
            </w:pPr>
            <w:r>
              <w:rPr>
                <w:rFonts w:ascii="Arial" w:cs="Arial" w:eastAsia="Arial" w:hAnsi="Arial"/>
                <w:sz w:val="13"/>
                <w:szCs w:val="13"/>
                <w:color w:val="auto"/>
              </w:rPr>
              <w:t>4,366,304</w:t>
            </w:r>
          </w:p>
        </w:tc>
        <w:tc>
          <w:tcPr>
            <w:tcW w:w="86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2,928,785</w:t>
            </w:r>
          </w:p>
        </w:tc>
        <w:tc>
          <w:tcPr>
            <w:tcW w:w="680" w:type="dxa"/>
            <w:vAlign w:val="bottom"/>
          </w:tcPr>
          <w:p>
            <w:pPr>
              <w:jc w:val="right"/>
              <w:spacing w:after="0" w:line="145" w:lineRule="exact"/>
              <w:rPr>
                <w:sz w:val="20"/>
                <w:szCs w:val="20"/>
                <w:color w:val="auto"/>
              </w:rPr>
            </w:pPr>
            <w:r>
              <w:rPr>
                <w:rFonts w:ascii="Arial" w:cs="Arial" w:eastAsia="Arial" w:hAnsi="Arial"/>
                <w:sz w:val="13"/>
                <w:szCs w:val="13"/>
                <w:color w:val="auto"/>
              </w:rPr>
              <w:t>2,132,295</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730,458</w:t>
            </w:r>
          </w:p>
        </w:tc>
        <w:tc>
          <w:tcPr>
            <w:tcW w:w="940" w:type="dxa"/>
            <w:vAlign w:val="bottom"/>
            <w:gridSpan w:val="2"/>
          </w:tcPr>
          <w:p>
            <w:pPr>
              <w:jc w:val="right"/>
              <w:ind w:right="162"/>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11,699,432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(1,310,849</w:t>
            </w:r>
          </w:p>
        </w:tc>
        <w:tc>
          <w:tcPr>
            <w:tcW w:w="180" w:type="dxa"/>
            <w:vAlign w:val="bottom"/>
            <w:tcBorders>
              <w:top w:val="single" w:sz="8" w:color="CCEEFF"/>
            </w:tcBorders>
            <w:shd w:val="clear" w:color="auto" w:fill="CCEEFF"/>
          </w:tcPr>
          <w:p>
            <w:pPr>
              <w:jc w:val="right"/>
              <w:ind w:right="102"/>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(2,289,176</w:t>
            </w:r>
          </w:p>
        </w:tc>
        <w:tc>
          <w:tcPr>
            <w:tcW w:w="20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(2,537,884</w:t>
            </w:r>
          </w:p>
        </w:tc>
        <w:tc>
          <w:tcPr>
            <w:tcW w:w="180" w:type="dxa"/>
            <w:vAlign w:val="bottom"/>
            <w:tcBorders>
              <w:top w:val="single" w:sz="8" w:color="CCEEFF"/>
            </w:tcBorders>
            <w:shd w:val="clear" w:color="auto" w:fill="CCEEFF"/>
          </w:tcPr>
          <w:p>
            <w:pPr>
              <w:jc w:val="right"/>
              <w:ind w:right="102"/>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1,115,201</w:t>
            </w: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5,022,708</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tcBorders>
              <w:bottom w:val="single" w:sz="8" w:color="CCEEFF"/>
            </w:tcBorders>
          </w:tcPr>
          <w:p>
            <w:pPr>
              <w:spacing w:after="0" w:line="125" w:lineRule="exact"/>
              <w:rPr>
                <w:sz w:val="20"/>
                <w:szCs w:val="20"/>
                <w:color w:val="auto"/>
              </w:rPr>
            </w:pPr>
            <w:r>
              <w:rPr>
                <w:rFonts w:ascii="Arial" w:cs="Arial" w:eastAsia="Arial" w:hAnsi="Arial"/>
                <w:sz w:val="13"/>
                <w:szCs w:val="13"/>
                <w:b w:val="1"/>
                <w:bCs w:val="1"/>
                <w:color w:val="auto"/>
              </w:rPr>
              <w:t>Marginal gap</w:t>
            </w:r>
          </w:p>
        </w:tc>
        <w:tc>
          <w:tcPr>
            <w:tcW w:w="6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(6,349,121</w:t>
            </w:r>
          </w:p>
        </w:tc>
        <w:tc>
          <w:tcPr>
            <w:tcW w:w="180" w:type="dxa"/>
            <w:vAlign w:val="bottom"/>
            <w:tcBorders>
              <w:bottom w:val="single" w:sz="8" w:color="CCEEFF"/>
            </w:tcBorders>
          </w:tcPr>
          <w:p>
            <w:pPr>
              <w:jc w:val="right"/>
              <w:ind w:right="102"/>
              <w:spacing w:after="0"/>
              <w:rPr>
                <w:sz w:val="20"/>
                <w:szCs w:val="20"/>
                <w:color w:val="auto"/>
              </w:rPr>
            </w:pPr>
            <w:r>
              <w:rPr>
                <w:rFonts w:ascii="Arial" w:cs="Arial" w:eastAsia="Arial" w:hAnsi="Arial"/>
                <w:sz w:val="8"/>
                <w:szCs w:val="8"/>
                <w:color w:val="auto"/>
                <w:w w:val="73"/>
              </w:rPr>
              <w:t>)</w:t>
            </w:r>
          </w:p>
        </w:tc>
        <w:tc>
          <w:tcPr>
            <w:tcW w:w="6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8,310,977</w:t>
            </w:r>
          </w:p>
        </w:tc>
        <w:tc>
          <w:tcPr>
            <w:tcW w:w="2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5,791,935</w:t>
            </w:r>
          </w:p>
        </w:tc>
        <w:tc>
          <w:tcPr>
            <w:tcW w:w="18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3,796,619</w:t>
            </w:r>
          </w:p>
        </w:tc>
        <w:tc>
          <w:tcPr>
            <w:tcW w:w="20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8,806,451</w:t>
            </w:r>
          </w:p>
        </w:tc>
        <w:tc>
          <w:tcPr>
            <w:tcW w:w="20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(22,679,957</w:t>
            </w:r>
          </w:p>
        </w:tc>
        <w:tc>
          <w:tcPr>
            <w:tcW w:w="200" w:type="dxa"/>
            <w:vAlign w:val="bottom"/>
            <w:tcBorders>
              <w:bottom w:val="single" w:sz="8" w:color="CCEEFF"/>
            </w:tcBorders>
          </w:tcPr>
          <w:p>
            <w:pPr>
              <w:jc w:val="right"/>
              <w:ind w:right="122"/>
              <w:spacing w:after="0"/>
              <w:rPr>
                <w:sz w:val="20"/>
                <w:szCs w:val="20"/>
                <w:color w:val="auto"/>
              </w:rPr>
            </w:pPr>
            <w:r>
              <w:rPr>
                <w:rFonts w:ascii="Arial" w:cs="Arial" w:eastAsia="Arial" w:hAnsi="Arial"/>
                <w:sz w:val="8"/>
                <w:szCs w:val="8"/>
                <w:color w:val="auto"/>
                <w:w w:val="73"/>
              </w:rPr>
              <w:t>)</w:t>
            </w:r>
          </w:p>
        </w:tc>
        <w:tc>
          <w:tcPr>
            <w:tcW w:w="74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40" w:type="dxa"/>
            <w:vAlign w:val="bottom"/>
            <w:shd w:val="clear" w:color="auto" w:fill="CCEEFF"/>
          </w:tcPr>
          <w:p>
            <w:pPr>
              <w:spacing w:after="0" w:line="125" w:lineRule="exact"/>
              <w:rPr>
                <w:sz w:val="20"/>
                <w:szCs w:val="20"/>
                <w:color w:val="auto"/>
              </w:rPr>
            </w:pPr>
            <w:r>
              <w:rPr>
                <w:rFonts w:ascii="Arial" w:cs="Arial" w:eastAsia="Arial" w:hAnsi="Arial"/>
                <w:sz w:val="13"/>
                <w:szCs w:val="13"/>
                <w:color w:val="auto"/>
              </w:rPr>
              <w:t>Accumulated gap</w:t>
            </w: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(6,349,121</w:t>
            </w:r>
          </w:p>
        </w:tc>
        <w:tc>
          <w:tcPr>
            <w:tcW w:w="180" w:type="dxa"/>
            <w:vAlign w:val="bottom"/>
            <w:shd w:val="clear" w:color="auto" w:fill="CCEEFF"/>
          </w:tcPr>
          <w:p>
            <w:pPr>
              <w:jc w:val="right"/>
              <w:ind w:right="102"/>
              <w:spacing w:after="0"/>
              <w:rPr>
                <w:sz w:val="20"/>
                <w:szCs w:val="20"/>
                <w:color w:val="auto"/>
              </w:rPr>
            </w:pPr>
            <w:r>
              <w:rPr>
                <w:rFonts w:ascii="Arial" w:cs="Arial" w:eastAsia="Arial" w:hAnsi="Arial"/>
                <w:sz w:val="8"/>
                <w:szCs w:val="8"/>
                <w:color w:val="auto"/>
                <w:w w:val="73"/>
              </w:rPr>
              <w:t>)</w:t>
            </w: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1,961,856</w:t>
            </w:r>
          </w:p>
        </w:tc>
        <w:tc>
          <w:tcPr>
            <w:tcW w:w="20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7,753,791</w:t>
            </w:r>
          </w:p>
        </w:tc>
        <w:tc>
          <w:tcPr>
            <w:tcW w:w="18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11,550,410</w:t>
            </w:r>
          </w:p>
        </w:tc>
        <w:tc>
          <w:tcPr>
            <w:tcW w:w="20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20,356,861</w:t>
            </w:r>
          </w:p>
        </w:tc>
        <w:tc>
          <w:tcPr>
            <w:tcW w:w="20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(2,323,096</w:t>
            </w:r>
          </w:p>
        </w:tc>
        <w:tc>
          <w:tcPr>
            <w:tcW w:w="200" w:type="dxa"/>
            <w:vAlign w:val="bottom"/>
            <w:shd w:val="clear" w:color="auto" w:fill="CCEEFF"/>
          </w:tcPr>
          <w:p>
            <w:pPr>
              <w:jc w:val="right"/>
              <w:ind w:right="122"/>
              <w:spacing w:after="0"/>
              <w:rPr>
                <w:sz w:val="20"/>
                <w:szCs w:val="20"/>
                <w:color w:val="auto"/>
              </w:rPr>
            </w:pPr>
            <w:r>
              <w:rPr>
                <w:rFonts w:ascii="Arial" w:cs="Arial" w:eastAsia="Arial" w:hAnsi="Arial"/>
                <w:sz w:val="8"/>
                <w:szCs w:val="8"/>
                <w:color w:val="auto"/>
                <w:w w:val="73"/>
              </w:rPr>
              <w:t>)</w:t>
            </w:r>
          </w:p>
        </w:tc>
        <w:tc>
          <w:tcPr>
            <w:tcW w:w="74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right="100"/>
        <w:spacing w:after="0" w:line="280" w:lineRule="auto"/>
        <w:rPr>
          <w:sz w:val="20"/>
          <w:szCs w:val="20"/>
          <w:color w:val="auto"/>
        </w:rPr>
      </w:pPr>
      <w:r>
        <w:rPr>
          <w:rFonts w:ascii="Arial" w:cs="Arial" w:eastAsia="Arial" w:hAnsi="Arial"/>
          <w:sz w:val="16"/>
          <w:szCs w:val="16"/>
          <w:color w:val="auto"/>
        </w:rPr>
        <w:t>Investments accounted for at fair value through profit or loss and trading derivatives are not taken into account, due to the fact that these instruments are part of the trading book and the Value at Risk methodology is used to measure their market risks.</w:t>
      </w:r>
    </w:p>
    <w:p>
      <w:pPr>
        <w:spacing w:after="0" w:line="344"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- 134 -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13970</wp:posOffset>
            </wp:positionV>
            <wp:extent cx="7261225" cy="762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0620"/>
          </w:cols>
          <w:pgMar w:left="820" w:top="833" w:right="459" w:bottom="1440" w:gutter="0" w:footer="0" w:header="0"/>
        </w:sectPr>
      </w:pPr>
    </w:p>
    <w:bookmarkStart w:id="139" w:name="page140"/>
    <w:bookmarkEnd w:id="139"/>
    <w:p>
      <w:pPr>
        <w:ind w:left="280"/>
        <w:spacing w:after="0"/>
        <w:rPr>
          <w:sz w:val="20"/>
          <w:szCs w:val="20"/>
          <w:color w:val="auto"/>
        </w:rPr>
      </w:pPr>
      <w:r>
        <w:rPr>
          <w:rFonts w:ascii="Arial" w:cs="Arial" w:eastAsia="Arial" w:hAnsi="Arial"/>
          <w:sz w:val="16"/>
          <w:szCs w:val="16"/>
          <w:color w:val="auto"/>
        </w:rPr>
        <w:t>Sensitivity to changes in interest rates -</w:t>
      </w:r>
    </w:p>
    <w:p>
      <w:pPr>
        <w:spacing w:after="0" w:line="203" w:lineRule="exact"/>
        <w:rPr>
          <w:sz w:val="20"/>
          <w:szCs w:val="20"/>
          <w:color w:val="auto"/>
        </w:rPr>
      </w:pPr>
    </w:p>
    <w:p>
      <w:pPr>
        <w:ind w:left="280" w:right="180"/>
        <w:spacing w:after="0" w:line="261" w:lineRule="auto"/>
        <w:rPr>
          <w:sz w:val="20"/>
          <w:szCs w:val="20"/>
          <w:color w:val="auto"/>
        </w:rPr>
      </w:pPr>
      <w:r>
        <w:rPr>
          <w:rFonts w:ascii="Arial" w:cs="Arial" w:eastAsia="Arial" w:hAnsi="Arial"/>
          <w:sz w:val="16"/>
          <w:szCs w:val="16"/>
          <w:color w:val="auto"/>
        </w:rPr>
        <w:t>The sensitivity analysis of a reasonable possible change in interest rates on the ALM book comprises an assessment of the sensibility of the financial margins that seeks to measure the potential changes in the interest accruals over a period of time and the expected movement of the interest rate curves as well as the sensibility of the net economic value, which is a long-term metric measured as the difference arising between the Net book value of net assets and liabilities before and after a variation in interest rates.</w:t>
      </w:r>
    </w:p>
    <w:p>
      <w:pPr>
        <w:spacing w:after="0" w:line="167" w:lineRule="exact"/>
        <w:rPr>
          <w:sz w:val="20"/>
          <w:szCs w:val="20"/>
          <w:color w:val="auto"/>
        </w:rPr>
      </w:pPr>
    </w:p>
    <w:p>
      <w:pPr>
        <w:ind w:left="280" w:right="120"/>
        <w:spacing w:after="0" w:line="257" w:lineRule="auto"/>
        <w:rPr>
          <w:sz w:val="20"/>
          <w:szCs w:val="20"/>
          <w:color w:val="auto"/>
        </w:rPr>
      </w:pPr>
      <w:r>
        <w:rPr>
          <w:rFonts w:ascii="Arial" w:cs="Arial" w:eastAsia="Arial" w:hAnsi="Arial"/>
          <w:sz w:val="16"/>
          <w:szCs w:val="16"/>
          <w:color w:val="auto"/>
        </w:rPr>
        <w:t>The sensitivity of the consolidated statement of income is the effect of the assumed changes in interest rates on the net interest income before income tax and non-controlling interest for one year, based on the floating rate of non-trading financial assets and financial liabilities held at December 31, 2016 and 2015, including the effect of derivative instruments. The sensitivity of Net Economic Value is calculated by revaluing interest rate from available-for-sale fixed income and held to maturity financial assets, before income tax and non-controlling interest, including the effect of any associated hedges, and derivative instruments designated as cash flow hedges. In managing the interest rate risk, no distinction is made by accounting category of the investments comprising the ALM Book, including instruments classified as available for sales and held to maturity investments.</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results of the sensitivity analysis regarding changes in interest rates at December 31, 2016 and 2015 are shown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At December 31, 2016</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69"/>
        </w:trPr>
        <w:tc>
          <w:tcPr>
            <w:tcW w:w="2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20" w:type="dxa"/>
            <w:vAlign w:val="bottom"/>
          </w:tcPr>
          <w:p>
            <w:pPr>
              <w:spacing w:after="0" w:line="169" w:lineRule="exact"/>
              <w:rPr>
                <w:sz w:val="20"/>
                <w:szCs w:val="20"/>
                <w:color w:val="auto"/>
              </w:rPr>
            </w:pPr>
            <w:r>
              <w:rPr>
                <w:rFonts w:ascii="Arial" w:cs="Arial" w:eastAsia="Arial" w:hAnsi="Arial"/>
                <w:sz w:val="16"/>
                <w:szCs w:val="16"/>
                <w:b w:val="1"/>
                <w:bCs w:val="1"/>
                <w:color w:val="auto"/>
              </w:rPr>
              <w:t>Changes in</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line="169" w:lineRule="exact"/>
              <w:rPr>
                <w:sz w:val="20"/>
                <w:szCs w:val="20"/>
                <w:color w:val="auto"/>
              </w:rPr>
            </w:pPr>
            <w:r>
              <w:rPr>
                <w:rFonts w:ascii="Arial" w:cs="Arial" w:eastAsia="Arial" w:hAnsi="Arial"/>
                <w:sz w:val="16"/>
                <w:szCs w:val="16"/>
                <w:b w:val="1"/>
                <w:bCs w:val="1"/>
                <w:color w:val="auto"/>
                <w:w w:val="98"/>
              </w:rPr>
              <w:t>Sensitivity of net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line="169" w:lineRule="exact"/>
              <w:rPr>
                <w:sz w:val="20"/>
                <w:szCs w:val="20"/>
                <w:color w:val="auto"/>
              </w:rPr>
            </w:pPr>
            <w:r>
              <w:rPr>
                <w:rFonts w:ascii="Arial" w:cs="Arial" w:eastAsia="Arial" w:hAnsi="Arial"/>
                <w:sz w:val="16"/>
                <w:szCs w:val="16"/>
                <w:b w:val="1"/>
                <w:bCs w:val="1"/>
                <w:color w:val="auto"/>
              </w:rPr>
              <w:t>Sensitivity of</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5180" w:type="dxa"/>
            <w:vAlign w:val="bottom"/>
          </w:tcPr>
          <w:p>
            <w:pPr>
              <w:ind w:left="2200"/>
              <w:spacing w:after="0"/>
              <w:rPr>
                <w:sz w:val="20"/>
                <w:szCs w:val="20"/>
                <w:color w:val="auto"/>
              </w:rPr>
            </w:pPr>
            <w:r>
              <w:rPr>
                <w:rFonts w:ascii="Arial" w:cs="Arial" w:eastAsia="Arial" w:hAnsi="Arial"/>
                <w:sz w:val="16"/>
                <w:szCs w:val="16"/>
                <w:b w:val="1"/>
                <w:bCs w:val="1"/>
                <w:color w:val="auto"/>
              </w:rPr>
              <w:t>Currency</w:t>
            </w:r>
          </w:p>
        </w:tc>
        <w:tc>
          <w:tcPr>
            <w:tcW w:w="1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basis points</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profit</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8"/>
              </w:rPr>
              <w:t>economic value</w:t>
            </w:r>
          </w:p>
        </w:tc>
        <w:tc>
          <w:tcPr>
            <w:tcW w:w="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86"/>
        </w:trPr>
        <w:tc>
          <w:tcPr>
            <w:tcW w:w="2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At December 31, 2016</w:t>
            </w:r>
          </w:p>
        </w:tc>
        <w:tc>
          <w:tcPr>
            <w:tcW w:w="1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Soles</w:t>
            </w:r>
          </w:p>
        </w:tc>
        <w:tc>
          <w:tcPr>
            <w:tcW w:w="122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8,851</w:t>
            </w:r>
          </w:p>
        </w:tc>
        <w:tc>
          <w:tcPr>
            <w:tcW w:w="120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285,263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Soles</w:t>
            </w:r>
          </w:p>
        </w:tc>
        <w:tc>
          <w:tcPr>
            <w:tcW w:w="1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13,276</w:t>
            </w: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427,895</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Soles</w:t>
            </w:r>
          </w:p>
        </w:tc>
        <w:tc>
          <w:tcPr>
            <w:tcW w:w="12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12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17,701</w:t>
            </w:r>
          </w:p>
        </w:tc>
        <w:tc>
          <w:tcPr>
            <w:tcW w:w="120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570,526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Soles</w:t>
            </w:r>
          </w:p>
        </w:tc>
        <w:tc>
          <w:tcPr>
            <w:tcW w:w="1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w:t>
            </w:r>
          </w:p>
        </w:tc>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26,552</w:t>
            </w: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855,790</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U.S. Dollar</w:t>
            </w:r>
          </w:p>
        </w:tc>
        <w:tc>
          <w:tcPr>
            <w:tcW w:w="122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12,613</w:t>
            </w:r>
          </w:p>
        </w:tc>
        <w:tc>
          <w:tcPr>
            <w:tcW w:w="120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89,476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U.S. Dollar</w:t>
            </w:r>
          </w:p>
        </w:tc>
        <w:tc>
          <w:tcPr>
            <w:tcW w:w="1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18,919</w:t>
            </w: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134,214</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U.S. Dollar</w:t>
            </w:r>
          </w:p>
        </w:tc>
        <w:tc>
          <w:tcPr>
            <w:tcW w:w="12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12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25,226</w:t>
            </w:r>
          </w:p>
        </w:tc>
        <w:tc>
          <w:tcPr>
            <w:tcW w:w="120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178,952</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U.S. Dollar</w:t>
            </w:r>
          </w:p>
        </w:tc>
        <w:tc>
          <w:tcPr>
            <w:tcW w:w="1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w:t>
            </w:r>
          </w:p>
        </w:tc>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37,838</w:t>
            </w: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268,428</w:t>
            </w:r>
          </w:p>
        </w:tc>
        <w:tc>
          <w:tcPr>
            <w:tcW w:w="180" w:type="dxa"/>
            <w:vAlign w:val="bottom"/>
          </w:tcPr>
          <w:p>
            <w:pPr>
              <w:spacing w:after="0"/>
              <w:rPr>
                <w:sz w:val="16"/>
                <w:szCs w:val="16"/>
                <w:color w:val="auto"/>
              </w:rPr>
            </w:pPr>
          </w:p>
        </w:tc>
      </w:tr>
      <w:tr>
        <w:trPr>
          <w:trHeight w:val="387"/>
        </w:trPr>
        <w:tc>
          <w:tcPr>
            <w:tcW w:w="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At December 31, 2015</w:t>
            </w:r>
          </w:p>
        </w:tc>
        <w:tc>
          <w:tcPr>
            <w:tcW w:w="1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69"/>
        </w:trPr>
        <w:tc>
          <w:tcPr>
            <w:tcW w:w="2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20" w:type="dxa"/>
            <w:vAlign w:val="bottom"/>
          </w:tcPr>
          <w:p>
            <w:pPr>
              <w:spacing w:after="0" w:line="169" w:lineRule="exact"/>
              <w:rPr>
                <w:sz w:val="20"/>
                <w:szCs w:val="20"/>
                <w:color w:val="auto"/>
              </w:rPr>
            </w:pPr>
            <w:r>
              <w:rPr>
                <w:rFonts w:ascii="Arial" w:cs="Arial" w:eastAsia="Arial" w:hAnsi="Arial"/>
                <w:sz w:val="16"/>
                <w:szCs w:val="16"/>
                <w:b w:val="1"/>
                <w:bCs w:val="1"/>
                <w:color w:val="auto"/>
              </w:rPr>
              <w:t>Changes in</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line="169" w:lineRule="exact"/>
              <w:rPr>
                <w:sz w:val="20"/>
                <w:szCs w:val="20"/>
                <w:color w:val="auto"/>
              </w:rPr>
            </w:pPr>
            <w:r>
              <w:rPr>
                <w:rFonts w:ascii="Arial" w:cs="Arial" w:eastAsia="Arial" w:hAnsi="Arial"/>
                <w:sz w:val="16"/>
                <w:szCs w:val="16"/>
                <w:b w:val="1"/>
                <w:bCs w:val="1"/>
                <w:color w:val="auto"/>
                <w:w w:val="98"/>
              </w:rPr>
              <w:t>Sensitivity of net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line="169" w:lineRule="exact"/>
              <w:rPr>
                <w:sz w:val="20"/>
                <w:szCs w:val="20"/>
                <w:color w:val="auto"/>
              </w:rPr>
            </w:pPr>
            <w:r>
              <w:rPr>
                <w:rFonts w:ascii="Arial" w:cs="Arial" w:eastAsia="Arial" w:hAnsi="Arial"/>
                <w:sz w:val="16"/>
                <w:szCs w:val="16"/>
                <w:b w:val="1"/>
                <w:bCs w:val="1"/>
                <w:color w:val="auto"/>
              </w:rPr>
              <w:t>Sensitivity of</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5180" w:type="dxa"/>
            <w:vAlign w:val="bottom"/>
          </w:tcPr>
          <w:p>
            <w:pPr>
              <w:ind w:left="2200"/>
              <w:spacing w:after="0"/>
              <w:rPr>
                <w:sz w:val="20"/>
                <w:szCs w:val="20"/>
                <w:color w:val="auto"/>
              </w:rPr>
            </w:pPr>
            <w:r>
              <w:rPr>
                <w:rFonts w:ascii="Arial" w:cs="Arial" w:eastAsia="Arial" w:hAnsi="Arial"/>
                <w:sz w:val="16"/>
                <w:szCs w:val="16"/>
                <w:b w:val="1"/>
                <w:bCs w:val="1"/>
                <w:color w:val="auto"/>
              </w:rPr>
              <w:t>Currency</w:t>
            </w:r>
          </w:p>
        </w:tc>
        <w:tc>
          <w:tcPr>
            <w:tcW w:w="1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basis points</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profit</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8"/>
              </w:rPr>
              <w:t>economic value</w:t>
            </w:r>
          </w:p>
        </w:tc>
        <w:tc>
          <w:tcPr>
            <w:tcW w:w="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86"/>
        </w:trPr>
        <w:tc>
          <w:tcPr>
            <w:tcW w:w="2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At December 31, 2015</w:t>
            </w:r>
          </w:p>
        </w:tc>
        <w:tc>
          <w:tcPr>
            <w:tcW w:w="1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Soles</w:t>
            </w:r>
          </w:p>
        </w:tc>
        <w:tc>
          <w:tcPr>
            <w:tcW w:w="122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32,781</w:t>
            </w:r>
          </w:p>
        </w:tc>
        <w:tc>
          <w:tcPr>
            <w:tcW w:w="120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238,943</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Soles</w:t>
            </w:r>
          </w:p>
        </w:tc>
        <w:tc>
          <w:tcPr>
            <w:tcW w:w="1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49,172</w:t>
            </w: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358,415</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Soles</w:t>
            </w:r>
          </w:p>
        </w:tc>
        <w:tc>
          <w:tcPr>
            <w:tcW w:w="12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12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65,563</w:t>
            </w:r>
          </w:p>
        </w:tc>
        <w:tc>
          <w:tcPr>
            <w:tcW w:w="120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477,886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Soles</w:t>
            </w:r>
          </w:p>
        </w:tc>
        <w:tc>
          <w:tcPr>
            <w:tcW w:w="1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w:t>
            </w:r>
          </w:p>
        </w:tc>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98,344</w:t>
            </w: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716,829</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U.S. Dollar</w:t>
            </w:r>
          </w:p>
        </w:tc>
        <w:tc>
          <w:tcPr>
            <w:tcW w:w="122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4,978</w:t>
            </w:r>
          </w:p>
        </w:tc>
        <w:tc>
          <w:tcPr>
            <w:tcW w:w="120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50,217</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U.S. Dollar</w:t>
            </w:r>
          </w:p>
        </w:tc>
        <w:tc>
          <w:tcPr>
            <w:tcW w:w="1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7,467</w:t>
            </w: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75,326</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U.S. Dollar</w:t>
            </w:r>
          </w:p>
        </w:tc>
        <w:tc>
          <w:tcPr>
            <w:tcW w:w="12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12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9,956</w:t>
            </w:r>
          </w:p>
        </w:tc>
        <w:tc>
          <w:tcPr>
            <w:tcW w:w="120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100,435</w:t>
            </w:r>
          </w:p>
        </w:tc>
        <w:tc>
          <w:tcPr>
            <w:tcW w:w="180" w:type="dxa"/>
            <w:vAlign w:val="bottom"/>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U.S. Dollar</w:t>
            </w:r>
          </w:p>
        </w:tc>
        <w:tc>
          <w:tcPr>
            <w:tcW w:w="1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w:t>
            </w:r>
          </w:p>
        </w:tc>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14,934</w:t>
            </w: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150,652</w:t>
            </w:r>
          </w:p>
        </w:tc>
        <w:tc>
          <w:tcPr>
            <w:tcW w:w="180" w:type="dxa"/>
            <w:vAlign w:val="bottom"/>
          </w:tcPr>
          <w:p>
            <w:pPr>
              <w:spacing w:after="0"/>
              <w:rPr>
                <w:sz w:val="16"/>
                <w:szCs w:val="16"/>
                <w:color w:val="auto"/>
              </w:rPr>
            </w:pPr>
          </w:p>
        </w:tc>
      </w:tr>
      <w:tr>
        <w:trPr>
          <w:trHeight w:val="580"/>
        </w:trPr>
        <w:tc>
          <w:tcPr>
            <w:tcW w:w="2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- 135 -</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8" w:right="219" w:bottom="1440" w:gutter="0" w:footer="0" w:header="0"/>
        </w:sectPr>
      </w:pPr>
    </w:p>
    <w:bookmarkStart w:id="140" w:name="page141"/>
    <w:bookmarkEnd w:id="140"/>
    <w:p>
      <w:pPr>
        <w:ind w:left="283" w:right="60"/>
        <w:spacing w:after="0" w:line="257" w:lineRule="auto"/>
        <w:rPr>
          <w:sz w:val="20"/>
          <w:szCs w:val="20"/>
          <w:color w:val="auto"/>
        </w:rPr>
      </w:pPr>
      <w:r>
        <w:rPr>
          <w:rFonts w:ascii="Arial" w:cs="Arial" w:eastAsia="Arial" w:hAnsi="Arial"/>
          <w:sz w:val="16"/>
          <w:szCs w:val="16"/>
          <w:color w:val="auto"/>
        </w:rPr>
        <w:t>The interest rate sensitivities set out in the table above are only illustrative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 In addition, the Group seeks proactively to change the interest rate risk profile to minimize losses and optimize net revenues. The projections above also assume that the interest rate of all maturities moves by the same amount and, therefore, do not reflect the potential impact on net interest income of some rates changing while others remain unchanged. The projections make other simplifying assumptions too, including that all positions run to maturity.</w:t>
      </w:r>
    </w:p>
    <w:p>
      <w:pPr>
        <w:spacing w:after="0" w:line="172" w:lineRule="exact"/>
        <w:rPr>
          <w:sz w:val="20"/>
          <w:szCs w:val="20"/>
          <w:color w:val="auto"/>
        </w:rPr>
      </w:pPr>
    </w:p>
    <w:p>
      <w:pPr>
        <w:jc w:val="both"/>
        <w:ind w:left="283" w:right="100"/>
        <w:spacing w:after="0" w:line="266" w:lineRule="auto"/>
        <w:rPr>
          <w:sz w:val="20"/>
          <w:szCs w:val="20"/>
          <w:color w:val="auto"/>
        </w:rPr>
      </w:pPr>
      <w:r>
        <w:rPr>
          <w:rFonts w:ascii="Arial" w:cs="Arial" w:eastAsia="Arial" w:hAnsi="Arial"/>
          <w:sz w:val="16"/>
          <w:szCs w:val="16"/>
          <w:color w:val="auto"/>
        </w:rPr>
        <w:t>Equity securities, mutual funds and hedge funds are not considered as part of the investment securities for interest rate sensitivity calculation purposes; however, a 10, 25 and 30 percent of changes in market prices is conducted to these price-sensitivity securities and the effect on expected unrealized gain or loss in comprehensive income, before income tax, as of December 31, 2015 and 2014 is presented below.</w:t>
      </w:r>
    </w:p>
    <w:p>
      <w:pPr>
        <w:spacing w:after="0" w:line="158" w:lineRule="exact"/>
        <w:rPr>
          <w:sz w:val="20"/>
          <w:szCs w:val="20"/>
          <w:color w:val="auto"/>
        </w:rPr>
      </w:pPr>
    </w:p>
    <w:tbl>
      <w:tblPr>
        <w:tblLayout w:type="fixed"/>
        <w:tblInd w:w="283" w:type="dxa"/>
        <w:tblCellMar>
          <w:top w:w="0" w:type="dxa"/>
          <w:left w:w="0" w:type="dxa"/>
          <w:bottom w:w="0" w:type="dxa"/>
          <w:right w:w="0" w:type="dxa"/>
        </w:tblCellMar>
      </w:tblPr>
      <w:tr>
        <w:trPr>
          <w:trHeight w:val="193"/>
        </w:trPr>
        <w:tc>
          <w:tcPr>
            <w:tcW w:w="5180" w:type="dxa"/>
            <w:vAlign w:val="bottom"/>
            <w:vMerge w:val="restart"/>
          </w:tcPr>
          <w:p>
            <w:pPr>
              <w:spacing w:after="0"/>
              <w:rPr>
                <w:sz w:val="20"/>
                <w:szCs w:val="20"/>
                <w:color w:val="auto"/>
              </w:rPr>
            </w:pPr>
            <w:r>
              <w:rPr>
                <w:rFonts w:ascii="Arial" w:cs="Arial" w:eastAsia="Arial" w:hAnsi="Arial"/>
                <w:sz w:val="16"/>
                <w:szCs w:val="16"/>
                <w:b w:val="1"/>
                <w:bCs w:val="1"/>
                <w:color w:val="auto"/>
              </w:rPr>
              <w:t>Market price sensitivity</w:t>
            </w:r>
          </w:p>
        </w:tc>
        <w:tc>
          <w:tcPr>
            <w:tcW w:w="1980" w:type="dxa"/>
            <w:vAlign w:val="bottom"/>
            <w:gridSpan w:val="2"/>
          </w:tcPr>
          <w:p>
            <w:pPr>
              <w:spacing w:after="0"/>
              <w:rPr>
                <w:sz w:val="20"/>
                <w:szCs w:val="20"/>
                <w:color w:val="auto"/>
              </w:rPr>
            </w:pPr>
            <w:r>
              <w:rPr>
                <w:rFonts w:ascii="Arial" w:cs="Arial" w:eastAsia="Arial" w:hAnsi="Arial"/>
                <w:sz w:val="16"/>
                <w:szCs w:val="16"/>
                <w:b w:val="1"/>
                <w:bCs w:val="1"/>
                <w:color w:val="auto"/>
              </w:rPr>
              <w:t>Change in market</w:t>
            </w: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6"/>
                <w:szCs w:val="16"/>
                <w:b w:val="1"/>
                <w:bCs w:val="1"/>
                <w:color w:val="auto"/>
              </w:rPr>
              <w:t>prices</w:t>
            </w:r>
          </w:p>
        </w:tc>
        <w:tc>
          <w:tcPr>
            <w:tcW w:w="1740" w:type="dxa"/>
            <w:vAlign w:val="bottom"/>
          </w:tcPr>
          <w:p>
            <w:pPr>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02"/>
        </w:trPr>
        <w:tc>
          <w:tcPr>
            <w:tcW w:w="5180" w:type="dxa"/>
            <w:vAlign w:val="bottom"/>
          </w:tcPr>
          <w:p>
            <w:pPr>
              <w:spacing w:after="0"/>
              <w:rPr>
                <w:sz w:val="17"/>
                <w:szCs w:val="17"/>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0" w:type="dxa"/>
            <w:vAlign w:val="bottom"/>
          </w:tcPr>
          <w:p>
            <w:pPr>
              <w:spacing w:after="0"/>
              <w:rPr>
                <w:sz w:val="1"/>
                <w:szCs w:val="1"/>
                <w:color w:val="auto"/>
              </w:rPr>
            </w:pPr>
          </w:p>
        </w:tc>
      </w:tr>
    </w:tbl>
    <w:p>
      <w:pPr>
        <w:spacing w:after="0" w:line="177" w:lineRule="exact"/>
        <w:rPr>
          <w:sz w:val="20"/>
          <w:szCs w:val="20"/>
          <w:color w:val="auto"/>
        </w:rPr>
      </w:pPr>
    </w:p>
    <w:tbl>
      <w:tblPr>
        <w:tblLayout w:type="fixed"/>
        <w:tblInd w:w="283" w:type="dxa"/>
        <w:tblCellMar>
          <w:top w:w="0" w:type="dxa"/>
          <w:left w:w="0" w:type="dxa"/>
          <w:bottom w:w="0" w:type="dxa"/>
          <w:right w:w="0" w:type="dxa"/>
        </w:tblCellMar>
      </w:tblPr>
      <w:tr>
        <w:trPr>
          <w:trHeight w:val="193"/>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3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+/-10</w:t>
            </w:r>
          </w:p>
        </w:tc>
        <w:tc>
          <w:tcPr>
            <w:tcW w:w="19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130,750</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149,449</w:t>
            </w:r>
          </w:p>
        </w:tc>
      </w:tr>
      <w:tr>
        <w:trPr>
          <w:trHeight w:val="193"/>
        </w:trPr>
        <w:tc>
          <w:tcPr>
            <w:tcW w:w="3840" w:type="dxa"/>
            <w:vAlign w:val="bottom"/>
          </w:tcPr>
          <w:p>
            <w:pPr>
              <w:spacing w:after="0"/>
              <w:rPr>
                <w:sz w:val="20"/>
                <w:szCs w:val="20"/>
                <w:color w:val="auto"/>
              </w:rPr>
            </w:pPr>
            <w:r>
              <w:rPr>
                <w:rFonts w:ascii="Arial" w:cs="Arial" w:eastAsia="Arial" w:hAnsi="Arial"/>
                <w:sz w:val="16"/>
                <w:szCs w:val="16"/>
                <w:color w:val="auto"/>
              </w:rPr>
              <w:t>Equity securities</w:t>
            </w:r>
          </w:p>
        </w:tc>
        <w:tc>
          <w:tcPr>
            <w:tcW w:w="3820" w:type="dxa"/>
            <w:vAlign w:val="bottom"/>
          </w:tcPr>
          <w:p>
            <w:pPr>
              <w:jc w:val="right"/>
              <w:ind w:right="639"/>
              <w:spacing w:after="0"/>
              <w:rPr>
                <w:sz w:val="20"/>
                <w:szCs w:val="20"/>
                <w:color w:val="auto"/>
              </w:rPr>
            </w:pPr>
            <w:r>
              <w:rPr>
                <w:rFonts w:ascii="Arial" w:cs="Arial" w:eastAsia="Arial" w:hAnsi="Arial"/>
                <w:sz w:val="16"/>
                <w:szCs w:val="16"/>
                <w:color w:val="auto"/>
              </w:rPr>
              <w:t>+/-25</w:t>
            </w:r>
          </w:p>
        </w:tc>
        <w:tc>
          <w:tcPr>
            <w:tcW w:w="1960" w:type="dxa"/>
            <w:vAlign w:val="bottom"/>
          </w:tcPr>
          <w:p>
            <w:pPr>
              <w:jc w:val="right"/>
              <w:ind w:right="639"/>
              <w:spacing w:after="0"/>
              <w:rPr>
                <w:sz w:val="20"/>
                <w:szCs w:val="20"/>
                <w:color w:val="auto"/>
              </w:rPr>
            </w:pPr>
            <w:r>
              <w:rPr>
                <w:rFonts w:ascii="Arial" w:cs="Arial" w:eastAsia="Arial" w:hAnsi="Arial"/>
                <w:sz w:val="16"/>
                <w:szCs w:val="16"/>
                <w:color w:val="auto"/>
              </w:rPr>
              <w:t>326,875</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363,023</w:t>
            </w:r>
          </w:p>
        </w:tc>
      </w:tr>
      <w:tr>
        <w:trPr>
          <w:trHeight w:val="193"/>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3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+/-30</w:t>
            </w:r>
          </w:p>
        </w:tc>
        <w:tc>
          <w:tcPr>
            <w:tcW w:w="19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392,250</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436,348</w:t>
            </w:r>
          </w:p>
        </w:tc>
      </w:tr>
      <w:tr>
        <w:trPr>
          <w:trHeight w:val="193"/>
        </w:trPr>
        <w:tc>
          <w:tcPr>
            <w:tcW w:w="3840" w:type="dxa"/>
            <w:vAlign w:val="bottom"/>
          </w:tcPr>
          <w:p>
            <w:pPr>
              <w:spacing w:after="0"/>
              <w:rPr>
                <w:sz w:val="20"/>
                <w:szCs w:val="20"/>
                <w:color w:val="auto"/>
              </w:rPr>
            </w:pPr>
            <w:r>
              <w:rPr>
                <w:rFonts w:ascii="Arial" w:cs="Arial" w:eastAsia="Arial" w:hAnsi="Arial"/>
                <w:sz w:val="16"/>
                <w:szCs w:val="16"/>
                <w:color w:val="auto"/>
              </w:rPr>
              <w:t>Mutual funds</w:t>
            </w:r>
          </w:p>
        </w:tc>
        <w:tc>
          <w:tcPr>
            <w:tcW w:w="3820" w:type="dxa"/>
            <w:vAlign w:val="bottom"/>
          </w:tcPr>
          <w:p>
            <w:pPr>
              <w:jc w:val="right"/>
              <w:ind w:right="639"/>
              <w:spacing w:after="0"/>
              <w:rPr>
                <w:sz w:val="20"/>
                <w:szCs w:val="20"/>
                <w:color w:val="auto"/>
              </w:rPr>
            </w:pPr>
            <w:r>
              <w:rPr>
                <w:rFonts w:ascii="Arial" w:cs="Arial" w:eastAsia="Arial" w:hAnsi="Arial"/>
                <w:sz w:val="16"/>
                <w:szCs w:val="16"/>
                <w:color w:val="auto"/>
              </w:rPr>
              <w:t>+/-10</w:t>
            </w:r>
          </w:p>
        </w:tc>
        <w:tc>
          <w:tcPr>
            <w:tcW w:w="1960" w:type="dxa"/>
            <w:vAlign w:val="bottom"/>
          </w:tcPr>
          <w:p>
            <w:pPr>
              <w:jc w:val="right"/>
              <w:ind w:right="639"/>
              <w:spacing w:after="0"/>
              <w:rPr>
                <w:sz w:val="20"/>
                <w:szCs w:val="20"/>
                <w:color w:val="auto"/>
              </w:rPr>
            </w:pPr>
            <w:r>
              <w:rPr>
                <w:rFonts w:ascii="Arial" w:cs="Arial" w:eastAsia="Arial" w:hAnsi="Arial"/>
                <w:sz w:val="16"/>
                <w:szCs w:val="16"/>
                <w:color w:val="auto"/>
              </w:rPr>
              <w:t>29,234</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16,085</w:t>
            </w:r>
          </w:p>
        </w:tc>
      </w:tr>
      <w:tr>
        <w:trPr>
          <w:trHeight w:val="193"/>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Mutual funds</w:t>
            </w:r>
          </w:p>
        </w:tc>
        <w:tc>
          <w:tcPr>
            <w:tcW w:w="3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+/-25</w:t>
            </w:r>
          </w:p>
        </w:tc>
        <w:tc>
          <w:tcPr>
            <w:tcW w:w="19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73,085</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40,212</w:t>
            </w:r>
          </w:p>
        </w:tc>
      </w:tr>
      <w:tr>
        <w:trPr>
          <w:trHeight w:val="193"/>
        </w:trPr>
        <w:tc>
          <w:tcPr>
            <w:tcW w:w="3840" w:type="dxa"/>
            <w:vAlign w:val="bottom"/>
          </w:tcPr>
          <w:p>
            <w:pPr>
              <w:spacing w:after="0"/>
              <w:rPr>
                <w:sz w:val="20"/>
                <w:szCs w:val="20"/>
                <w:color w:val="auto"/>
              </w:rPr>
            </w:pPr>
            <w:r>
              <w:rPr>
                <w:rFonts w:ascii="Arial" w:cs="Arial" w:eastAsia="Arial" w:hAnsi="Arial"/>
                <w:sz w:val="16"/>
                <w:szCs w:val="16"/>
                <w:color w:val="auto"/>
              </w:rPr>
              <w:t>Mutual funds</w:t>
            </w:r>
          </w:p>
        </w:tc>
        <w:tc>
          <w:tcPr>
            <w:tcW w:w="3820" w:type="dxa"/>
            <w:vAlign w:val="bottom"/>
          </w:tcPr>
          <w:p>
            <w:pPr>
              <w:jc w:val="right"/>
              <w:ind w:right="639"/>
              <w:spacing w:after="0"/>
              <w:rPr>
                <w:sz w:val="20"/>
                <w:szCs w:val="20"/>
                <w:color w:val="auto"/>
              </w:rPr>
            </w:pPr>
            <w:r>
              <w:rPr>
                <w:rFonts w:ascii="Arial" w:cs="Arial" w:eastAsia="Arial" w:hAnsi="Arial"/>
                <w:sz w:val="16"/>
                <w:szCs w:val="16"/>
                <w:color w:val="auto"/>
              </w:rPr>
              <w:t>+/-30</w:t>
            </w:r>
          </w:p>
        </w:tc>
        <w:tc>
          <w:tcPr>
            <w:tcW w:w="1960" w:type="dxa"/>
            <w:vAlign w:val="bottom"/>
          </w:tcPr>
          <w:p>
            <w:pPr>
              <w:jc w:val="right"/>
              <w:ind w:right="639"/>
              <w:spacing w:after="0"/>
              <w:rPr>
                <w:sz w:val="20"/>
                <w:szCs w:val="20"/>
                <w:color w:val="auto"/>
              </w:rPr>
            </w:pPr>
            <w:r>
              <w:rPr>
                <w:rFonts w:ascii="Arial" w:cs="Arial" w:eastAsia="Arial" w:hAnsi="Arial"/>
                <w:sz w:val="16"/>
                <w:szCs w:val="16"/>
                <w:color w:val="auto"/>
              </w:rPr>
              <w:t>87,701</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48,254</w:t>
            </w:r>
          </w:p>
        </w:tc>
      </w:tr>
      <w:tr>
        <w:trPr>
          <w:trHeight w:val="193"/>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Hedge funds</w:t>
            </w:r>
          </w:p>
        </w:tc>
        <w:tc>
          <w:tcPr>
            <w:tcW w:w="3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+/-10</w:t>
            </w:r>
          </w:p>
        </w:tc>
        <w:tc>
          <w:tcPr>
            <w:tcW w:w="19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110</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13,319</w:t>
            </w:r>
          </w:p>
        </w:tc>
      </w:tr>
      <w:tr>
        <w:trPr>
          <w:trHeight w:val="193"/>
        </w:trPr>
        <w:tc>
          <w:tcPr>
            <w:tcW w:w="3840" w:type="dxa"/>
            <w:vAlign w:val="bottom"/>
          </w:tcPr>
          <w:p>
            <w:pPr>
              <w:spacing w:after="0"/>
              <w:rPr>
                <w:sz w:val="20"/>
                <w:szCs w:val="20"/>
                <w:color w:val="auto"/>
              </w:rPr>
            </w:pPr>
            <w:r>
              <w:rPr>
                <w:rFonts w:ascii="Arial" w:cs="Arial" w:eastAsia="Arial" w:hAnsi="Arial"/>
                <w:sz w:val="16"/>
                <w:szCs w:val="16"/>
                <w:color w:val="auto"/>
              </w:rPr>
              <w:t>Hedge funds</w:t>
            </w:r>
          </w:p>
        </w:tc>
        <w:tc>
          <w:tcPr>
            <w:tcW w:w="3820" w:type="dxa"/>
            <w:vAlign w:val="bottom"/>
          </w:tcPr>
          <w:p>
            <w:pPr>
              <w:jc w:val="right"/>
              <w:ind w:right="639"/>
              <w:spacing w:after="0"/>
              <w:rPr>
                <w:sz w:val="20"/>
                <w:szCs w:val="20"/>
                <w:color w:val="auto"/>
              </w:rPr>
            </w:pPr>
            <w:r>
              <w:rPr>
                <w:rFonts w:ascii="Arial" w:cs="Arial" w:eastAsia="Arial" w:hAnsi="Arial"/>
                <w:sz w:val="16"/>
                <w:szCs w:val="16"/>
                <w:color w:val="auto"/>
              </w:rPr>
              <w:t>+/-25</w:t>
            </w:r>
          </w:p>
        </w:tc>
        <w:tc>
          <w:tcPr>
            <w:tcW w:w="1960" w:type="dxa"/>
            <w:vAlign w:val="bottom"/>
          </w:tcPr>
          <w:p>
            <w:pPr>
              <w:jc w:val="right"/>
              <w:ind w:right="639"/>
              <w:spacing w:after="0"/>
              <w:rPr>
                <w:sz w:val="20"/>
                <w:szCs w:val="20"/>
                <w:color w:val="auto"/>
              </w:rPr>
            </w:pPr>
            <w:r>
              <w:rPr>
                <w:rFonts w:ascii="Arial" w:cs="Arial" w:eastAsia="Arial" w:hAnsi="Arial"/>
                <w:sz w:val="16"/>
                <w:szCs w:val="16"/>
                <w:color w:val="auto"/>
              </w:rPr>
              <w:t>274</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33,299</w:t>
            </w:r>
          </w:p>
        </w:tc>
      </w:tr>
      <w:tr>
        <w:trPr>
          <w:trHeight w:val="193"/>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Hedge funds</w:t>
            </w:r>
          </w:p>
        </w:tc>
        <w:tc>
          <w:tcPr>
            <w:tcW w:w="3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+/-30</w:t>
            </w:r>
          </w:p>
        </w:tc>
        <w:tc>
          <w:tcPr>
            <w:tcW w:w="19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329</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39,958</w:t>
            </w:r>
          </w:p>
        </w:tc>
      </w:tr>
    </w:tbl>
    <w:p>
      <w:pPr>
        <w:spacing w:after="0" w:line="181" w:lineRule="exact"/>
        <w:rPr>
          <w:sz w:val="20"/>
          <w:szCs w:val="20"/>
          <w:color w:val="auto"/>
        </w:rPr>
      </w:pPr>
    </w:p>
    <w:p>
      <w:pPr>
        <w:jc w:val="both"/>
        <w:ind w:left="283" w:right="140"/>
        <w:spacing w:after="0" w:line="280" w:lineRule="auto"/>
        <w:rPr>
          <w:sz w:val="20"/>
          <w:szCs w:val="20"/>
          <w:color w:val="auto"/>
        </w:rPr>
      </w:pPr>
      <w:r>
        <w:rPr>
          <w:rFonts w:ascii="Arial" w:cs="Arial" w:eastAsia="Arial" w:hAnsi="Arial"/>
          <w:sz w:val="16"/>
          <w:szCs w:val="16"/>
          <w:color w:val="auto"/>
        </w:rPr>
        <w:t>Commitments in liabilities at fair value (short sales) are related to fixed income and equity financial instruments, and have maturities of one month or less, therefore, the Group expects minimal price fluctuations. As a result, the Group is not subject to significant price risk on these financial liabilities.</w:t>
      </w:r>
    </w:p>
    <w:p>
      <w:pPr>
        <w:spacing w:after="0" w:line="151" w:lineRule="exact"/>
        <w:rPr>
          <w:sz w:val="20"/>
          <w:szCs w:val="20"/>
          <w:color w:val="auto"/>
        </w:rPr>
      </w:pPr>
    </w:p>
    <w:p>
      <w:pPr>
        <w:ind w:left="283" w:hanging="283"/>
        <w:spacing w:after="0"/>
        <w:tabs>
          <w:tab w:leader="none" w:pos="28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Foreign exchange risk -</w:t>
      </w:r>
    </w:p>
    <w:p>
      <w:pPr>
        <w:spacing w:after="0" w:line="202" w:lineRule="exact"/>
        <w:rPr>
          <w:rFonts w:ascii="Arial" w:cs="Arial" w:eastAsia="Arial" w:hAnsi="Arial"/>
          <w:sz w:val="16"/>
          <w:szCs w:val="16"/>
          <w:color w:val="auto"/>
        </w:rPr>
      </w:pPr>
    </w:p>
    <w:p>
      <w:pPr>
        <w:ind w:left="283"/>
        <w:spacing w:after="0" w:line="280" w:lineRule="auto"/>
        <w:rPr>
          <w:rFonts w:ascii="Arial" w:cs="Arial" w:eastAsia="Arial" w:hAnsi="Arial"/>
          <w:sz w:val="16"/>
          <w:szCs w:val="16"/>
          <w:color w:val="auto"/>
        </w:rPr>
      </w:pPr>
      <w:r>
        <w:rPr>
          <w:rFonts w:ascii="Arial" w:cs="Arial" w:eastAsia="Arial" w:hAnsi="Arial"/>
          <w:sz w:val="16"/>
          <w:szCs w:val="16"/>
          <w:color w:val="auto"/>
        </w:rPr>
        <w:t>The Group is exposed to foreign currency exchange rates on its financial position and cash flows. Management sets limits on the level of exposure by currency and in total for both overnight and intra-day positions, which are monitored daily.</w:t>
      </w:r>
    </w:p>
    <w:p>
      <w:pPr>
        <w:spacing w:after="0" w:line="344" w:lineRule="exact"/>
        <w:rPr>
          <w:rFonts w:ascii="Arial" w:cs="Arial" w:eastAsia="Arial" w:hAnsi="Arial"/>
          <w:sz w:val="16"/>
          <w:szCs w:val="16"/>
          <w:color w:val="auto"/>
        </w:rPr>
      </w:pPr>
    </w:p>
    <w:p>
      <w:pPr>
        <w:ind w:left="5603" w:hanging="95"/>
        <w:spacing w:after="0"/>
        <w:tabs>
          <w:tab w:leader="none" w:pos="560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136 -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03"/>
          </w:cols>
          <w:pgMar w:left="237" w:top="828" w:right="359" w:bottom="1440" w:gutter="0" w:footer="0" w:header="0"/>
        </w:sectPr>
      </w:pPr>
    </w:p>
    <w:bookmarkStart w:id="141" w:name="page142"/>
    <w:bookmarkEnd w:id="141"/>
    <w:p>
      <w:pPr>
        <w:ind w:right="240"/>
        <w:spacing w:after="0" w:line="280" w:lineRule="auto"/>
        <w:rPr>
          <w:sz w:val="20"/>
          <w:szCs w:val="20"/>
          <w:color w:val="auto"/>
        </w:rPr>
      </w:pPr>
      <w:r>
        <w:rPr>
          <w:rFonts w:ascii="Arial" w:cs="Arial" w:eastAsia="Arial" w:hAnsi="Arial"/>
          <w:sz w:val="16"/>
          <w:szCs w:val="16"/>
          <w:color w:val="auto"/>
        </w:rPr>
        <w:t>Foreign currency transactions are made at the free market exchange rates of the countries where Credicorp’s Subsidiaries are established. As of December 31, 2016 and 2015, the Group’s assets and liabilities by currencies were as follows:</w:t>
      </w:r>
    </w:p>
    <w:p>
      <w:pPr>
        <w:spacing w:after="0" w:line="155" w:lineRule="exact"/>
        <w:rPr>
          <w:sz w:val="20"/>
          <w:szCs w:val="20"/>
          <w:color w:val="auto"/>
        </w:rPr>
      </w:pPr>
    </w:p>
    <w:tbl>
      <w:tblPr>
        <w:tblLayout w:type="fixed"/>
        <w:tblInd w:w="3320" w:type="dxa"/>
        <w:tblCellMar>
          <w:top w:w="0" w:type="dxa"/>
          <w:left w:w="0" w:type="dxa"/>
          <w:bottom w:w="0" w:type="dxa"/>
          <w:right w:w="0" w:type="dxa"/>
        </w:tblCellMar>
      </w:tblPr>
      <w:tr>
        <w:trPr>
          <w:trHeight w:val="153"/>
        </w:trPr>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ind w:left="320"/>
              <w:spacing w:after="0"/>
              <w:rPr>
                <w:sz w:val="20"/>
                <w:szCs w:val="20"/>
                <w:color w:val="auto"/>
              </w:rPr>
            </w:pPr>
            <w:r>
              <w:rPr>
                <w:rFonts w:ascii="Arial" w:cs="Arial" w:eastAsia="Arial" w:hAnsi="Arial"/>
                <w:sz w:val="13"/>
                <w:szCs w:val="13"/>
                <w:b w:val="1"/>
                <w:bCs w:val="1"/>
                <w:color w:val="auto"/>
              </w:rPr>
              <w:t>At December 31, 2016</w:t>
            </w:r>
          </w:p>
        </w:tc>
        <w:tc>
          <w:tcPr>
            <w:tcW w:w="8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ind w:left="300"/>
              <w:spacing w:after="0"/>
              <w:rPr>
                <w:sz w:val="20"/>
                <w:szCs w:val="20"/>
                <w:color w:val="auto"/>
              </w:rPr>
            </w:pPr>
            <w:r>
              <w:rPr>
                <w:rFonts w:ascii="Arial" w:cs="Arial" w:eastAsia="Arial" w:hAnsi="Arial"/>
                <w:sz w:val="13"/>
                <w:szCs w:val="13"/>
                <w:b w:val="1"/>
                <w:bCs w:val="1"/>
                <w:color w:val="auto"/>
              </w:rPr>
              <w:t>At December 31, 2015</w:t>
            </w: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0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Soles</w:t>
            </w:r>
          </w:p>
        </w:tc>
        <w:tc>
          <w:tcPr>
            <w:tcW w:w="1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U.S. Dollar</w:t>
            </w:r>
          </w:p>
        </w:tc>
        <w:tc>
          <w:tcPr>
            <w:tcW w:w="106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Other</w:t>
            </w:r>
          </w:p>
        </w:tc>
        <w:tc>
          <w:tcPr>
            <w:tcW w:w="820" w:type="dxa"/>
            <w:vAlign w:val="bottom"/>
            <w:vMerge w:val="restart"/>
          </w:tcPr>
          <w:p>
            <w:pPr>
              <w:spacing w:after="0"/>
              <w:rPr>
                <w:sz w:val="20"/>
                <w:szCs w:val="20"/>
                <w:color w:val="auto"/>
              </w:rPr>
            </w:pPr>
            <w:r>
              <w:rPr>
                <w:rFonts w:ascii="Arial" w:cs="Arial" w:eastAsia="Arial" w:hAnsi="Arial"/>
                <w:sz w:val="13"/>
                <w:szCs w:val="13"/>
                <w:b w:val="1"/>
                <w:bCs w:val="1"/>
                <w:color w:val="auto"/>
              </w:rPr>
              <w:t>Total</w:t>
            </w:r>
          </w:p>
        </w:tc>
        <w:tc>
          <w:tcPr>
            <w:tcW w:w="100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Soles</w:t>
            </w:r>
          </w:p>
        </w:tc>
        <w:tc>
          <w:tcPr>
            <w:tcW w:w="122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U.S. Dollar</w:t>
            </w:r>
          </w:p>
        </w:tc>
        <w:tc>
          <w:tcPr>
            <w:tcW w:w="100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Other</w:t>
            </w:r>
          </w:p>
        </w:tc>
        <w:tc>
          <w:tcPr>
            <w:tcW w:w="800" w:type="dxa"/>
            <w:vAlign w:val="bottom"/>
            <w:vMerge w:val="restart"/>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106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60" w:type="dxa"/>
            <w:vAlign w:val="bottom"/>
            <w:gridSpan w:val="2"/>
          </w:tcPr>
          <w:p>
            <w:pPr>
              <w:spacing w:after="0"/>
              <w:rPr>
                <w:sz w:val="20"/>
                <w:szCs w:val="20"/>
                <w:color w:val="auto"/>
              </w:rPr>
            </w:pPr>
            <w:r>
              <w:rPr>
                <w:rFonts w:ascii="Arial" w:cs="Arial" w:eastAsia="Arial" w:hAnsi="Arial"/>
                <w:sz w:val="13"/>
                <w:szCs w:val="13"/>
                <w:b w:val="1"/>
                <w:bCs w:val="1"/>
                <w:color w:val="auto"/>
              </w:rPr>
              <w:t>currencies</w:t>
            </w:r>
          </w:p>
        </w:tc>
        <w:tc>
          <w:tcPr>
            <w:tcW w:w="82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currencies</w:t>
            </w: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40" w:type="dxa"/>
            <w:vAlign w:val="bottom"/>
          </w:tcPr>
          <w:p>
            <w:pPr>
              <w:spacing w:after="0"/>
              <w:rPr>
                <w:sz w:val="10"/>
                <w:szCs w:val="10"/>
                <w:color w:val="auto"/>
              </w:rPr>
            </w:pPr>
          </w:p>
        </w:tc>
        <w:tc>
          <w:tcPr>
            <w:tcW w:w="8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40" w:type="dxa"/>
            <w:vAlign w:val="bottom"/>
          </w:tcPr>
          <w:p>
            <w:pPr>
              <w:spacing w:after="0"/>
              <w:rPr>
                <w:sz w:val="10"/>
                <w:szCs w:val="10"/>
                <w:color w:val="auto"/>
              </w:rPr>
            </w:pPr>
          </w:p>
        </w:tc>
        <w:tc>
          <w:tcPr>
            <w:tcW w:w="8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40" w:type="dxa"/>
            <w:vAlign w:val="bottom"/>
          </w:tcPr>
          <w:p>
            <w:pPr>
              <w:spacing w:after="0"/>
              <w:rPr>
                <w:sz w:val="10"/>
                <w:szCs w:val="10"/>
                <w:color w:val="auto"/>
              </w:rPr>
            </w:pPr>
          </w:p>
        </w:tc>
        <w:tc>
          <w:tcPr>
            <w:tcW w:w="8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7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7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7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8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30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Monetary assets</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Pr>
          <w:p>
            <w:pPr>
              <w:spacing w:after="0" w:line="133" w:lineRule="exact"/>
              <w:rPr>
                <w:sz w:val="20"/>
                <w:szCs w:val="20"/>
                <w:color w:val="auto"/>
              </w:rPr>
            </w:pPr>
            <w:r>
              <w:rPr>
                <w:rFonts w:ascii="Arial" w:cs="Arial" w:eastAsia="Arial" w:hAnsi="Arial"/>
                <w:sz w:val="13"/>
                <w:szCs w:val="13"/>
                <w:color w:val="auto"/>
              </w:rPr>
              <w:t>Cash and due from banks</w:t>
            </w:r>
          </w:p>
        </w:tc>
        <w:tc>
          <w:tcPr>
            <w:tcW w:w="1060" w:type="dxa"/>
            <w:vAlign w:val="bottom"/>
            <w:gridSpan w:val="2"/>
          </w:tcPr>
          <w:p>
            <w:pPr>
              <w:jc w:val="right"/>
              <w:ind w:right="202"/>
              <w:spacing w:after="0" w:line="133" w:lineRule="exact"/>
              <w:rPr>
                <w:sz w:val="20"/>
                <w:szCs w:val="20"/>
                <w:color w:val="auto"/>
              </w:rPr>
            </w:pPr>
            <w:r>
              <w:rPr>
                <w:rFonts w:ascii="Arial" w:cs="Arial" w:eastAsia="Arial" w:hAnsi="Arial"/>
                <w:sz w:val="13"/>
                <w:szCs w:val="13"/>
                <w:color w:val="auto"/>
              </w:rPr>
              <w:t>2,675,238</w:t>
            </w:r>
          </w:p>
        </w:tc>
        <w:tc>
          <w:tcPr>
            <w:tcW w:w="1040" w:type="dxa"/>
            <w:vAlign w:val="bottom"/>
            <w:gridSpan w:val="2"/>
          </w:tcPr>
          <w:p>
            <w:pPr>
              <w:jc w:val="right"/>
              <w:ind w:right="202"/>
              <w:spacing w:after="0" w:line="133" w:lineRule="exact"/>
              <w:rPr>
                <w:sz w:val="20"/>
                <w:szCs w:val="20"/>
                <w:color w:val="auto"/>
              </w:rPr>
            </w:pPr>
            <w:r>
              <w:rPr>
                <w:rFonts w:ascii="Arial" w:cs="Arial" w:eastAsia="Arial" w:hAnsi="Arial"/>
                <w:sz w:val="13"/>
                <w:szCs w:val="13"/>
                <w:color w:val="auto"/>
              </w:rPr>
              <w:t>12,131,203</w:t>
            </w:r>
          </w:p>
        </w:tc>
        <w:tc>
          <w:tcPr>
            <w:tcW w:w="1060" w:type="dxa"/>
            <w:vAlign w:val="bottom"/>
            <w:gridSpan w:val="2"/>
          </w:tcPr>
          <w:p>
            <w:pPr>
              <w:jc w:val="right"/>
              <w:ind w:right="202"/>
              <w:spacing w:after="0" w:line="133" w:lineRule="exact"/>
              <w:rPr>
                <w:sz w:val="20"/>
                <w:szCs w:val="20"/>
                <w:color w:val="auto"/>
              </w:rPr>
            </w:pPr>
            <w:r>
              <w:rPr>
                <w:rFonts w:ascii="Arial" w:cs="Arial" w:eastAsia="Arial" w:hAnsi="Arial"/>
                <w:sz w:val="13"/>
                <w:szCs w:val="13"/>
                <w:color w:val="auto"/>
              </w:rPr>
              <w:t>1,839,328</w:t>
            </w:r>
          </w:p>
        </w:tc>
        <w:tc>
          <w:tcPr>
            <w:tcW w:w="820" w:type="dxa"/>
            <w:vAlign w:val="bottom"/>
          </w:tcPr>
          <w:p>
            <w:pPr>
              <w:jc w:val="right"/>
              <w:spacing w:after="0" w:line="133" w:lineRule="exact"/>
              <w:rPr>
                <w:sz w:val="20"/>
                <w:szCs w:val="20"/>
                <w:color w:val="auto"/>
              </w:rPr>
            </w:pPr>
            <w:r>
              <w:rPr>
                <w:rFonts w:ascii="Arial" w:cs="Arial" w:eastAsia="Arial" w:hAnsi="Arial"/>
                <w:sz w:val="13"/>
                <w:szCs w:val="13"/>
                <w:color w:val="auto"/>
              </w:rPr>
              <w:t>16,645,769</w:t>
            </w:r>
          </w:p>
        </w:tc>
        <w:tc>
          <w:tcPr>
            <w:tcW w:w="220" w:type="dxa"/>
            <w:vAlign w:val="bottom"/>
          </w:tcPr>
          <w:p>
            <w:pPr>
              <w:spacing w:after="0"/>
              <w:rPr>
                <w:sz w:val="11"/>
                <w:szCs w:val="11"/>
                <w:color w:val="auto"/>
              </w:rPr>
            </w:pPr>
          </w:p>
        </w:tc>
        <w:tc>
          <w:tcPr>
            <w:tcW w:w="1000" w:type="dxa"/>
            <w:vAlign w:val="bottom"/>
            <w:gridSpan w:val="2"/>
          </w:tcPr>
          <w:p>
            <w:pPr>
              <w:jc w:val="right"/>
              <w:ind w:right="182"/>
              <w:spacing w:after="0" w:line="133" w:lineRule="exact"/>
              <w:rPr>
                <w:sz w:val="20"/>
                <w:szCs w:val="20"/>
                <w:color w:val="auto"/>
              </w:rPr>
            </w:pPr>
            <w:r>
              <w:rPr>
                <w:rFonts w:ascii="Arial" w:cs="Arial" w:eastAsia="Arial" w:hAnsi="Arial"/>
                <w:sz w:val="13"/>
                <w:szCs w:val="13"/>
                <w:color w:val="auto"/>
              </w:rPr>
              <w:t>2,629,447</w:t>
            </w:r>
          </w:p>
        </w:tc>
        <w:tc>
          <w:tcPr>
            <w:tcW w:w="1000" w:type="dxa"/>
            <w:vAlign w:val="bottom"/>
            <w:gridSpan w:val="2"/>
          </w:tcPr>
          <w:p>
            <w:pPr>
              <w:jc w:val="right"/>
              <w:ind w:right="182"/>
              <w:spacing w:after="0" w:line="133" w:lineRule="exact"/>
              <w:rPr>
                <w:sz w:val="20"/>
                <w:szCs w:val="20"/>
                <w:color w:val="auto"/>
              </w:rPr>
            </w:pPr>
            <w:r>
              <w:rPr>
                <w:rFonts w:ascii="Arial" w:cs="Arial" w:eastAsia="Arial" w:hAnsi="Arial"/>
                <w:sz w:val="13"/>
                <w:szCs w:val="13"/>
                <w:color w:val="auto"/>
              </w:rPr>
              <w:t>18,133,335</w:t>
            </w:r>
          </w:p>
        </w:tc>
        <w:tc>
          <w:tcPr>
            <w:tcW w:w="1000" w:type="dxa"/>
            <w:vAlign w:val="bottom"/>
            <w:gridSpan w:val="2"/>
          </w:tcPr>
          <w:p>
            <w:pPr>
              <w:jc w:val="right"/>
              <w:ind w:right="156"/>
              <w:spacing w:after="0" w:line="133" w:lineRule="exact"/>
              <w:rPr>
                <w:sz w:val="20"/>
                <w:szCs w:val="20"/>
                <w:color w:val="auto"/>
              </w:rPr>
            </w:pPr>
            <w:r>
              <w:rPr>
                <w:rFonts w:ascii="Arial" w:cs="Arial" w:eastAsia="Arial" w:hAnsi="Arial"/>
                <w:sz w:val="13"/>
                <w:szCs w:val="13"/>
                <w:color w:val="auto"/>
              </w:rPr>
              <w:t>1,628,962</w:t>
            </w:r>
          </w:p>
        </w:tc>
        <w:tc>
          <w:tcPr>
            <w:tcW w:w="920" w:type="dxa"/>
            <w:vAlign w:val="bottom"/>
            <w:gridSpan w:val="2"/>
          </w:tcPr>
          <w:p>
            <w:pPr>
              <w:jc w:val="right"/>
              <w:ind w:right="82"/>
              <w:spacing w:after="0" w:line="133" w:lineRule="exact"/>
              <w:rPr>
                <w:sz w:val="20"/>
                <w:szCs w:val="20"/>
                <w:color w:val="auto"/>
              </w:rPr>
            </w:pPr>
            <w:r>
              <w:rPr>
                <w:rFonts w:ascii="Arial" w:cs="Arial" w:eastAsia="Arial" w:hAnsi="Arial"/>
                <w:sz w:val="13"/>
                <w:szCs w:val="13"/>
                <w:color w:val="auto"/>
              </w:rPr>
              <w:t>22,391,744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0"/>
              </w:rPr>
              <w:t>Cash collateral, reverse repurchase agreements and securities</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borrowings Borrowings</w:t>
            </w:r>
          </w:p>
        </w:tc>
        <w:tc>
          <w:tcPr>
            <w:tcW w:w="1060" w:type="dxa"/>
            <w:vAlign w:val="bottom"/>
            <w:gridSpan w:val="2"/>
            <w:shd w:val="clear" w:color="auto" w:fill="CCEEFF"/>
          </w:tcPr>
          <w:p>
            <w:pPr>
              <w:jc w:val="right"/>
              <w:ind w:right="202"/>
              <w:spacing w:after="0"/>
              <w:rPr>
                <w:sz w:val="20"/>
                <w:szCs w:val="20"/>
                <w:color w:val="auto"/>
              </w:rPr>
            </w:pPr>
            <w:r>
              <w:rPr>
                <w:rFonts w:ascii="Arial" w:cs="Arial" w:eastAsia="Arial" w:hAnsi="Arial"/>
                <w:sz w:val="13"/>
                <w:szCs w:val="13"/>
                <w:color w:val="auto"/>
              </w:rPr>
              <w:t>4,021</w:t>
            </w:r>
          </w:p>
        </w:tc>
        <w:tc>
          <w:tcPr>
            <w:tcW w:w="1040" w:type="dxa"/>
            <w:vAlign w:val="bottom"/>
            <w:gridSpan w:val="2"/>
            <w:shd w:val="clear" w:color="auto" w:fill="CCEEFF"/>
          </w:tcPr>
          <w:p>
            <w:pPr>
              <w:jc w:val="right"/>
              <w:ind w:right="202"/>
              <w:spacing w:after="0"/>
              <w:rPr>
                <w:sz w:val="20"/>
                <w:szCs w:val="20"/>
                <w:color w:val="auto"/>
              </w:rPr>
            </w:pPr>
            <w:r>
              <w:rPr>
                <w:rFonts w:ascii="Arial" w:cs="Arial" w:eastAsia="Arial" w:hAnsi="Arial"/>
                <w:sz w:val="13"/>
                <w:szCs w:val="13"/>
                <w:color w:val="auto"/>
              </w:rPr>
              <w:t>10,621,045</w:t>
            </w:r>
          </w:p>
        </w:tc>
        <w:tc>
          <w:tcPr>
            <w:tcW w:w="1060" w:type="dxa"/>
            <w:vAlign w:val="bottom"/>
            <w:gridSpan w:val="2"/>
            <w:shd w:val="clear" w:color="auto" w:fill="CCEEFF"/>
          </w:tcPr>
          <w:p>
            <w:pPr>
              <w:jc w:val="right"/>
              <w:ind w:right="202"/>
              <w:spacing w:after="0"/>
              <w:rPr>
                <w:sz w:val="20"/>
                <w:szCs w:val="20"/>
                <w:color w:val="auto"/>
              </w:rPr>
            </w:pPr>
            <w:r>
              <w:rPr>
                <w:rFonts w:ascii="Arial" w:cs="Arial" w:eastAsia="Arial" w:hAnsi="Arial"/>
                <w:sz w:val="13"/>
                <w:szCs w:val="13"/>
                <w:color w:val="auto"/>
              </w:rPr>
              <w:t>294,558</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10,919,624</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2"/>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82"/>
              <w:spacing w:after="0"/>
              <w:rPr>
                <w:sz w:val="20"/>
                <w:szCs w:val="20"/>
                <w:color w:val="auto"/>
              </w:rPr>
            </w:pPr>
            <w:r>
              <w:rPr>
                <w:rFonts w:ascii="Arial" w:cs="Arial" w:eastAsia="Arial" w:hAnsi="Arial"/>
                <w:sz w:val="13"/>
                <w:szCs w:val="13"/>
                <w:color w:val="auto"/>
              </w:rPr>
              <w:t>10,080,794</w:t>
            </w:r>
          </w:p>
        </w:tc>
        <w:tc>
          <w:tcPr>
            <w:tcW w:w="1000" w:type="dxa"/>
            <w:vAlign w:val="bottom"/>
            <w:gridSpan w:val="2"/>
            <w:shd w:val="clear" w:color="auto" w:fill="CCEEFF"/>
          </w:tcPr>
          <w:p>
            <w:pPr>
              <w:jc w:val="right"/>
              <w:ind w:right="156"/>
              <w:spacing w:after="0"/>
              <w:rPr>
                <w:sz w:val="20"/>
                <w:szCs w:val="20"/>
                <w:color w:val="auto"/>
              </w:rPr>
            </w:pPr>
            <w:r>
              <w:rPr>
                <w:rFonts w:ascii="Arial" w:cs="Arial" w:eastAsia="Arial" w:hAnsi="Arial"/>
                <w:sz w:val="13"/>
                <w:szCs w:val="13"/>
                <w:color w:val="auto"/>
              </w:rPr>
              <w:t>945,904</w:t>
            </w:r>
          </w:p>
        </w:tc>
        <w:tc>
          <w:tcPr>
            <w:tcW w:w="920" w:type="dxa"/>
            <w:vAlign w:val="bottom"/>
            <w:gridSpan w:val="2"/>
            <w:shd w:val="clear" w:color="auto" w:fill="CCEEFF"/>
          </w:tcPr>
          <w:p>
            <w:pPr>
              <w:jc w:val="right"/>
              <w:ind w:right="82"/>
              <w:spacing w:after="0"/>
              <w:rPr>
                <w:sz w:val="20"/>
                <w:szCs w:val="20"/>
                <w:color w:val="auto"/>
              </w:rPr>
            </w:pPr>
            <w:r>
              <w:rPr>
                <w:rFonts w:ascii="Arial" w:cs="Arial" w:eastAsia="Arial" w:hAnsi="Arial"/>
                <w:sz w:val="13"/>
                <w:szCs w:val="13"/>
                <w:color w:val="auto"/>
              </w:rPr>
              <w:t>11,026,698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Pr>
          <w:p>
            <w:pPr>
              <w:spacing w:after="0" w:line="133" w:lineRule="exact"/>
              <w:rPr>
                <w:sz w:val="20"/>
                <w:szCs w:val="20"/>
                <w:color w:val="auto"/>
              </w:rPr>
            </w:pPr>
            <w:r>
              <w:rPr>
                <w:rFonts w:ascii="Arial" w:cs="Arial" w:eastAsia="Arial" w:hAnsi="Arial"/>
                <w:sz w:val="13"/>
                <w:szCs w:val="13"/>
                <w:color w:val="auto"/>
              </w:rPr>
              <w:t>Trading securities</w:t>
            </w:r>
          </w:p>
        </w:tc>
        <w:tc>
          <w:tcPr>
            <w:tcW w:w="1060" w:type="dxa"/>
            <w:vAlign w:val="bottom"/>
            <w:gridSpan w:val="2"/>
          </w:tcPr>
          <w:p>
            <w:pPr>
              <w:jc w:val="right"/>
              <w:ind w:right="202"/>
              <w:spacing w:after="0" w:line="133" w:lineRule="exact"/>
              <w:rPr>
                <w:sz w:val="20"/>
                <w:szCs w:val="20"/>
                <w:color w:val="auto"/>
              </w:rPr>
            </w:pPr>
            <w:r>
              <w:rPr>
                <w:rFonts w:ascii="Arial" w:cs="Arial" w:eastAsia="Arial" w:hAnsi="Arial"/>
                <w:sz w:val="13"/>
                <w:szCs w:val="13"/>
                <w:color w:val="auto"/>
              </w:rPr>
              <w:t>2,433,444</w:t>
            </w:r>
          </w:p>
        </w:tc>
        <w:tc>
          <w:tcPr>
            <w:tcW w:w="1040" w:type="dxa"/>
            <w:vAlign w:val="bottom"/>
            <w:gridSpan w:val="2"/>
          </w:tcPr>
          <w:p>
            <w:pPr>
              <w:jc w:val="right"/>
              <w:ind w:right="202"/>
              <w:spacing w:after="0" w:line="133" w:lineRule="exact"/>
              <w:rPr>
                <w:sz w:val="20"/>
                <w:szCs w:val="20"/>
                <w:color w:val="auto"/>
              </w:rPr>
            </w:pPr>
            <w:r>
              <w:rPr>
                <w:rFonts w:ascii="Arial" w:cs="Arial" w:eastAsia="Arial" w:hAnsi="Arial"/>
                <w:sz w:val="13"/>
                <w:szCs w:val="13"/>
                <w:color w:val="auto"/>
              </w:rPr>
              <w:t>172,999</w:t>
            </w:r>
          </w:p>
        </w:tc>
        <w:tc>
          <w:tcPr>
            <w:tcW w:w="1060" w:type="dxa"/>
            <w:vAlign w:val="bottom"/>
            <w:gridSpan w:val="2"/>
          </w:tcPr>
          <w:p>
            <w:pPr>
              <w:jc w:val="right"/>
              <w:ind w:right="202"/>
              <w:spacing w:after="0" w:line="133" w:lineRule="exact"/>
              <w:rPr>
                <w:sz w:val="20"/>
                <w:szCs w:val="20"/>
                <w:color w:val="auto"/>
              </w:rPr>
            </w:pPr>
            <w:r>
              <w:rPr>
                <w:rFonts w:ascii="Arial" w:cs="Arial" w:eastAsia="Arial" w:hAnsi="Arial"/>
                <w:sz w:val="13"/>
                <w:szCs w:val="13"/>
                <w:color w:val="auto"/>
              </w:rPr>
              <w:t>1,408,576</w:t>
            </w:r>
          </w:p>
        </w:tc>
        <w:tc>
          <w:tcPr>
            <w:tcW w:w="820" w:type="dxa"/>
            <w:vAlign w:val="bottom"/>
          </w:tcPr>
          <w:p>
            <w:pPr>
              <w:jc w:val="right"/>
              <w:spacing w:after="0" w:line="133" w:lineRule="exact"/>
              <w:rPr>
                <w:sz w:val="20"/>
                <w:szCs w:val="20"/>
                <w:color w:val="auto"/>
              </w:rPr>
            </w:pPr>
            <w:r>
              <w:rPr>
                <w:rFonts w:ascii="Arial" w:cs="Arial" w:eastAsia="Arial" w:hAnsi="Arial"/>
                <w:sz w:val="13"/>
                <w:szCs w:val="13"/>
                <w:color w:val="auto"/>
              </w:rPr>
              <w:t>4,015,019</w:t>
            </w:r>
          </w:p>
        </w:tc>
        <w:tc>
          <w:tcPr>
            <w:tcW w:w="220" w:type="dxa"/>
            <w:vAlign w:val="bottom"/>
          </w:tcPr>
          <w:p>
            <w:pPr>
              <w:spacing w:after="0"/>
              <w:rPr>
                <w:sz w:val="11"/>
                <w:szCs w:val="11"/>
                <w:color w:val="auto"/>
              </w:rPr>
            </w:pPr>
          </w:p>
        </w:tc>
        <w:tc>
          <w:tcPr>
            <w:tcW w:w="1000" w:type="dxa"/>
            <w:vAlign w:val="bottom"/>
            <w:gridSpan w:val="2"/>
          </w:tcPr>
          <w:p>
            <w:pPr>
              <w:jc w:val="right"/>
              <w:ind w:right="182"/>
              <w:spacing w:after="0" w:line="133" w:lineRule="exact"/>
              <w:rPr>
                <w:sz w:val="20"/>
                <w:szCs w:val="20"/>
                <w:color w:val="auto"/>
              </w:rPr>
            </w:pPr>
            <w:r>
              <w:rPr>
                <w:rFonts w:ascii="Arial" w:cs="Arial" w:eastAsia="Arial" w:hAnsi="Arial"/>
                <w:sz w:val="13"/>
                <w:szCs w:val="13"/>
                <w:color w:val="auto"/>
              </w:rPr>
              <w:t>1,437,617</w:t>
            </w:r>
          </w:p>
        </w:tc>
        <w:tc>
          <w:tcPr>
            <w:tcW w:w="1000" w:type="dxa"/>
            <w:vAlign w:val="bottom"/>
            <w:gridSpan w:val="2"/>
          </w:tcPr>
          <w:p>
            <w:pPr>
              <w:jc w:val="right"/>
              <w:ind w:right="182"/>
              <w:spacing w:after="0" w:line="133" w:lineRule="exact"/>
              <w:rPr>
                <w:sz w:val="20"/>
                <w:szCs w:val="20"/>
                <w:color w:val="auto"/>
              </w:rPr>
            </w:pPr>
            <w:r>
              <w:rPr>
                <w:rFonts w:ascii="Arial" w:cs="Arial" w:eastAsia="Arial" w:hAnsi="Arial"/>
                <w:sz w:val="13"/>
                <w:szCs w:val="13"/>
                <w:color w:val="auto"/>
              </w:rPr>
              <w:t>199,438</w:t>
            </w:r>
          </w:p>
        </w:tc>
        <w:tc>
          <w:tcPr>
            <w:tcW w:w="1000" w:type="dxa"/>
            <w:vAlign w:val="bottom"/>
            <w:gridSpan w:val="2"/>
          </w:tcPr>
          <w:p>
            <w:pPr>
              <w:jc w:val="right"/>
              <w:ind w:right="156"/>
              <w:spacing w:after="0" w:line="133" w:lineRule="exact"/>
              <w:rPr>
                <w:sz w:val="20"/>
                <w:szCs w:val="20"/>
                <w:color w:val="auto"/>
              </w:rPr>
            </w:pPr>
            <w:r>
              <w:rPr>
                <w:rFonts w:ascii="Arial" w:cs="Arial" w:eastAsia="Arial" w:hAnsi="Arial"/>
                <w:sz w:val="13"/>
                <w:szCs w:val="13"/>
                <w:color w:val="auto"/>
              </w:rPr>
              <w:t>686,042</w:t>
            </w:r>
          </w:p>
        </w:tc>
        <w:tc>
          <w:tcPr>
            <w:tcW w:w="920" w:type="dxa"/>
            <w:vAlign w:val="bottom"/>
            <w:gridSpan w:val="2"/>
          </w:tcPr>
          <w:p>
            <w:pPr>
              <w:jc w:val="right"/>
              <w:ind w:right="82"/>
              <w:spacing w:after="0" w:line="133" w:lineRule="exact"/>
              <w:rPr>
                <w:sz w:val="20"/>
                <w:szCs w:val="20"/>
                <w:color w:val="auto"/>
              </w:rPr>
            </w:pPr>
            <w:r>
              <w:rPr>
                <w:rFonts w:ascii="Arial" w:cs="Arial" w:eastAsia="Arial" w:hAnsi="Arial"/>
                <w:sz w:val="13"/>
                <w:szCs w:val="13"/>
                <w:color w:val="auto"/>
              </w:rPr>
              <w:t>2,323,097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Available-for-sale investments</w:t>
            </w:r>
          </w:p>
        </w:tc>
        <w:tc>
          <w:tcPr>
            <w:tcW w:w="1060" w:type="dxa"/>
            <w:vAlign w:val="bottom"/>
            <w:gridSpan w:val="2"/>
            <w:shd w:val="clear" w:color="auto" w:fill="CCEEFF"/>
          </w:tcPr>
          <w:p>
            <w:pPr>
              <w:jc w:val="right"/>
              <w:ind w:right="202"/>
              <w:spacing w:after="0" w:line="133" w:lineRule="exact"/>
              <w:rPr>
                <w:sz w:val="20"/>
                <w:szCs w:val="20"/>
                <w:color w:val="auto"/>
              </w:rPr>
            </w:pPr>
            <w:r>
              <w:rPr>
                <w:rFonts w:ascii="Arial" w:cs="Arial" w:eastAsia="Arial" w:hAnsi="Arial"/>
                <w:sz w:val="13"/>
                <w:szCs w:val="13"/>
                <w:color w:val="auto"/>
              </w:rPr>
              <w:t>8,326,735</w:t>
            </w:r>
          </w:p>
        </w:tc>
        <w:tc>
          <w:tcPr>
            <w:tcW w:w="1040" w:type="dxa"/>
            <w:vAlign w:val="bottom"/>
            <w:gridSpan w:val="2"/>
            <w:shd w:val="clear" w:color="auto" w:fill="CCEEFF"/>
          </w:tcPr>
          <w:p>
            <w:pPr>
              <w:jc w:val="right"/>
              <w:ind w:right="202"/>
              <w:spacing w:after="0" w:line="133" w:lineRule="exact"/>
              <w:rPr>
                <w:sz w:val="20"/>
                <w:szCs w:val="20"/>
                <w:color w:val="auto"/>
              </w:rPr>
            </w:pPr>
            <w:r>
              <w:rPr>
                <w:rFonts w:ascii="Arial" w:cs="Arial" w:eastAsia="Arial" w:hAnsi="Arial"/>
                <w:sz w:val="13"/>
                <w:szCs w:val="13"/>
                <w:color w:val="auto"/>
              </w:rPr>
              <w:t>7,301,306</w:t>
            </w:r>
          </w:p>
        </w:tc>
        <w:tc>
          <w:tcPr>
            <w:tcW w:w="1060" w:type="dxa"/>
            <w:vAlign w:val="bottom"/>
            <w:gridSpan w:val="2"/>
            <w:shd w:val="clear" w:color="auto" w:fill="CCEEFF"/>
          </w:tcPr>
          <w:p>
            <w:pPr>
              <w:jc w:val="right"/>
              <w:ind w:right="202"/>
              <w:spacing w:after="0" w:line="133" w:lineRule="exact"/>
              <w:rPr>
                <w:sz w:val="20"/>
                <w:szCs w:val="20"/>
                <w:color w:val="auto"/>
              </w:rPr>
            </w:pPr>
            <w:r>
              <w:rPr>
                <w:rFonts w:ascii="Arial" w:cs="Arial" w:eastAsia="Arial" w:hAnsi="Arial"/>
                <w:sz w:val="13"/>
                <w:szCs w:val="13"/>
                <w:color w:val="auto"/>
              </w:rPr>
              <w:t>367,248</w:t>
            </w:r>
          </w:p>
        </w:tc>
        <w:tc>
          <w:tcPr>
            <w:tcW w:w="8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15,995,289</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2"/>
              <w:spacing w:after="0" w:line="133" w:lineRule="exact"/>
              <w:rPr>
                <w:sz w:val="20"/>
                <w:szCs w:val="20"/>
                <w:color w:val="auto"/>
              </w:rPr>
            </w:pPr>
            <w:r>
              <w:rPr>
                <w:rFonts w:ascii="Arial" w:cs="Arial" w:eastAsia="Arial" w:hAnsi="Arial"/>
                <w:sz w:val="13"/>
                <w:szCs w:val="13"/>
                <w:color w:val="auto"/>
              </w:rPr>
              <w:t>7,835,615</w:t>
            </w:r>
          </w:p>
        </w:tc>
        <w:tc>
          <w:tcPr>
            <w:tcW w:w="1000" w:type="dxa"/>
            <w:vAlign w:val="bottom"/>
            <w:gridSpan w:val="2"/>
            <w:shd w:val="clear" w:color="auto" w:fill="CCEEFF"/>
          </w:tcPr>
          <w:p>
            <w:pPr>
              <w:jc w:val="right"/>
              <w:ind w:right="182"/>
              <w:spacing w:after="0" w:line="133" w:lineRule="exact"/>
              <w:rPr>
                <w:sz w:val="20"/>
                <w:szCs w:val="20"/>
                <w:color w:val="auto"/>
              </w:rPr>
            </w:pPr>
            <w:r>
              <w:rPr>
                <w:rFonts w:ascii="Arial" w:cs="Arial" w:eastAsia="Arial" w:hAnsi="Arial"/>
                <w:sz w:val="13"/>
                <w:szCs w:val="13"/>
                <w:color w:val="auto"/>
              </w:rPr>
              <w:t>8,924,280</w:t>
            </w:r>
          </w:p>
        </w:tc>
        <w:tc>
          <w:tcPr>
            <w:tcW w:w="1000" w:type="dxa"/>
            <w:vAlign w:val="bottom"/>
            <w:gridSpan w:val="2"/>
            <w:shd w:val="clear" w:color="auto" w:fill="CCEEFF"/>
          </w:tcPr>
          <w:p>
            <w:pPr>
              <w:jc w:val="right"/>
              <w:ind w:right="156"/>
              <w:spacing w:after="0" w:line="133" w:lineRule="exact"/>
              <w:rPr>
                <w:sz w:val="20"/>
                <w:szCs w:val="20"/>
                <w:color w:val="auto"/>
              </w:rPr>
            </w:pPr>
            <w:r>
              <w:rPr>
                <w:rFonts w:ascii="Arial" w:cs="Arial" w:eastAsia="Arial" w:hAnsi="Arial"/>
                <w:sz w:val="13"/>
                <w:szCs w:val="13"/>
                <w:color w:val="auto"/>
              </w:rPr>
              <w:t>629,409</w:t>
            </w:r>
          </w:p>
        </w:tc>
        <w:tc>
          <w:tcPr>
            <w:tcW w:w="920" w:type="dxa"/>
            <w:vAlign w:val="bottom"/>
            <w:gridSpan w:val="2"/>
            <w:shd w:val="clear" w:color="auto" w:fill="CCEEFF"/>
          </w:tcPr>
          <w:p>
            <w:pPr>
              <w:jc w:val="right"/>
              <w:ind w:right="82"/>
              <w:spacing w:after="0" w:line="133" w:lineRule="exact"/>
              <w:rPr>
                <w:sz w:val="20"/>
                <w:szCs w:val="20"/>
                <w:color w:val="auto"/>
              </w:rPr>
            </w:pPr>
            <w:r>
              <w:rPr>
                <w:rFonts w:ascii="Arial" w:cs="Arial" w:eastAsia="Arial" w:hAnsi="Arial"/>
                <w:sz w:val="13"/>
                <w:szCs w:val="13"/>
                <w:color w:val="auto"/>
              </w:rPr>
              <w:t>17,389,304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Pr>
          <w:p>
            <w:pPr>
              <w:spacing w:after="0" w:line="133" w:lineRule="exact"/>
              <w:rPr>
                <w:sz w:val="20"/>
                <w:szCs w:val="20"/>
                <w:color w:val="auto"/>
              </w:rPr>
            </w:pPr>
            <w:r>
              <w:rPr>
                <w:rFonts w:ascii="Arial" w:cs="Arial" w:eastAsia="Arial" w:hAnsi="Arial"/>
                <w:sz w:val="13"/>
                <w:szCs w:val="13"/>
                <w:color w:val="auto"/>
              </w:rPr>
              <w:t>Held-to-maturity investments</w:t>
            </w:r>
          </w:p>
        </w:tc>
        <w:tc>
          <w:tcPr>
            <w:tcW w:w="1060" w:type="dxa"/>
            <w:vAlign w:val="bottom"/>
            <w:gridSpan w:val="2"/>
          </w:tcPr>
          <w:p>
            <w:pPr>
              <w:jc w:val="right"/>
              <w:ind w:right="202"/>
              <w:spacing w:after="0" w:line="133" w:lineRule="exact"/>
              <w:rPr>
                <w:sz w:val="20"/>
                <w:szCs w:val="20"/>
                <w:color w:val="auto"/>
              </w:rPr>
            </w:pPr>
            <w:r>
              <w:rPr>
                <w:rFonts w:ascii="Arial" w:cs="Arial" w:eastAsia="Arial" w:hAnsi="Arial"/>
                <w:sz w:val="13"/>
                <w:szCs w:val="13"/>
                <w:color w:val="auto"/>
              </w:rPr>
              <w:t>4,102,739</w:t>
            </w:r>
          </w:p>
        </w:tc>
        <w:tc>
          <w:tcPr>
            <w:tcW w:w="1040" w:type="dxa"/>
            <w:vAlign w:val="bottom"/>
            <w:gridSpan w:val="2"/>
          </w:tcPr>
          <w:p>
            <w:pPr>
              <w:jc w:val="right"/>
              <w:ind w:right="202"/>
              <w:spacing w:after="0" w:line="133" w:lineRule="exact"/>
              <w:rPr>
                <w:sz w:val="20"/>
                <w:szCs w:val="20"/>
                <w:color w:val="auto"/>
              </w:rPr>
            </w:pPr>
            <w:r>
              <w:rPr>
                <w:rFonts w:ascii="Arial" w:cs="Arial" w:eastAsia="Arial" w:hAnsi="Arial"/>
                <w:sz w:val="13"/>
                <w:szCs w:val="13"/>
                <w:color w:val="auto"/>
              </w:rPr>
              <w:t>1,015,681</w:t>
            </w:r>
          </w:p>
        </w:tc>
        <w:tc>
          <w:tcPr>
            <w:tcW w:w="1060" w:type="dxa"/>
            <w:vAlign w:val="bottom"/>
            <w:gridSpan w:val="2"/>
          </w:tcPr>
          <w:p>
            <w:pPr>
              <w:jc w:val="right"/>
              <w:ind w:right="202"/>
              <w:spacing w:after="0" w:line="133"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2"/>
              <w:spacing w:after="0" w:line="133" w:lineRule="exact"/>
              <w:rPr>
                <w:sz w:val="20"/>
                <w:szCs w:val="20"/>
                <w:color w:val="auto"/>
              </w:rPr>
            </w:pPr>
            <w:r>
              <w:rPr>
                <w:rFonts w:ascii="Arial" w:cs="Arial" w:eastAsia="Arial" w:hAnsi="Arial"/>
                <w:sz w:val="13"/>
                <w:szCs w:val="13"/>
                <w:color w:val="auto"/>
              </w:rPr>
              <w:t>5,118,420</w:t>
            </w:r>
          </w:p>
        </w:tc>
        <w:tc>
          <w:tcPr>
            <w:tcW w:w="1000" w:type="dxa"/>
            <w:vAlign w:val="bottom"/>
            <w:gridSpan w:val="2"/>
          </w:tcPr>
          <w:p>
            <w:pPr>
              <w:jc w:val="right"/>
              <w:ind w:right="182"/>
              <w:spacing w:after="0" w:line="133" w:lineRule="exact"/>
              <w:rPr>
                <w:sz w:val="20"/>
                <w:szCs w:val="20"/>
                <w:color w:val="auto"/>
              </w:rPr>
            </w:pPr>
            <w:r>
              <w:rPr>
                <w:rFonts w:ascii="Arial" w:cs="Arial" w:eastAsia="Arial" w:hAnsi="Arial"/>
                <w:sz w:val="13"/>
                <w:szCs w:val="13"/>
                <w:color w:val="auto"/>
              </w:rPr>
              <w:t>2,872,865</w:t>
            </w:r>
          </w:p>
        </w:tc>
        <w:tc>
          <w:tcPr>
            <w:tcW w:w="1000" w:type="dxa"/>
            <w:vAlign w:val="bottom"/>
            <w:gridSpan w:val="2"/>
          </w:tcPr>
          <w:p>
            <w:pPr>
              <w:jc w:val="right"/>
              <w:ind w:right="182"/>
              <w:spacing w:after="0" w:line="133" w:lineRule="exact"/>
              <w:rPr>
                <w:sz w:val="20"/>
                <w:szCs w:val="20"/>
                <w:color w:val="auto"/>
              </w:rPr>
            </w:pPr>
            <w:r>
              <w:rPr>
                <w:rFonts w:ascii="Arial" w:cs="Arial" w:eastAsia="Arial" w:hAnsi="Arial"/>
                <w:sz w:val="13"/>
                <w:szCs w:val="13"/>
                <w:color w:val="auto"/>
              </w:rPr>
              <w:t>709,264</w:t>
            </w:r>
          </w:p>
        </w:tc>
        <w:tc>
          <w:tcPr>
            <w:tcW w:w="1000" w:type="dxa"/>
            <w:vAlign w:val="bottom"/>
            <w:gridSpan w:val="2"/>
          </w:tcPr>
          <w:p>
            <w:pPr>
              <w:jc w:val="right"/>
              <w:ind w:right="156"/>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82"/>
              <w:spacing w:after="0" w:line="133" w:lineRule="exact"/>
              <w:rPr>
                <w:sz w:val="20"/>
                <w:szCs w:val="20"/>
                <w:color w:val="auto"/>
              </w:rPr>
            </w:pPr>
            <w:r>
              <w:rPr>
                <w:rFonts w:ascii="Arial" w:cs="Arial" w:eastAsia="Arial" w:hAnsi="Arial"/>
                <w:sz w:val="13"/>
                <w:szCs w:val="13"/>
                <w:color w:val="auto"/>
              </w:rPr>
              <w:t>3,582,129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Loans, net</w:t>
            </w:r>
          </w:p>
        </w:tc>
        <w:tc>
          <w:tcPr>
            <w:tcW w:w="1060" w:type="dxa"/>
            <w:vAlign w:val="bottom"/>
            <w:gridSpan w:val="2"/>
            <w:shd w:val="clear" w:color="auto" w:fill="CCEEFF"/>
          </w:tcPr>
          <w:p>
            <w:pPr>
              <w:jc w:val="right"/>
              <w:ind w:right="202"/>
              <w:spacing w:after="0" w:line="133" w:lineRule="exact"/>
              <w:rPr>
                <w:sz w:val="20"/>
                <w:szCs w:val="20"/>
                <w:color w:val="auto"/>
              </w:rPr>
            </w:pPr>
            <w:r>
              <w:rPr>
                <w:rFonts w:ascii="Arial" w:cs="Arial" w:eastAsia="Arial" w:hAnsi="Arial"/>
                <w:sz w:val="13"/>
                <w:szCs w:val="13"/>
                <w:color w:val="auto"/>
              </w:rPr>
              <w:t>53,118,275</w:t>
            </w:r>
          </w:p>
        </w:tc>
        <w:tc>
          <w:tcPr>
            <w:tcW w:w="1040" w:type="dxa"/>
            <w:vAlign w:val="bottom"/>
            <w:gridSpan w:val="2"/>
            <w:shd w:val="clear" w:color="auto" w:fill="CCEEFF"/>
          </w:tcPr>
          <w:p>
            <w:pPr>
              <w:jc w:val="right"/>
              <w:ind w:right="202"/>
              <w:spacing w:after="0" w:line="133" w:lineRule="exact"/>
              <w:rPr>
                <w:sz w:val="20"/>
                <w:szCs w:val="20"/>
                <w:color w:val="auto"/>
              </w:rPr>
            </w:pPr>
            <w:r>
              <w:rPr>
                <w:rFonts w:ascii="Arial" w:cs="Arial" w:eastAsia="Arial" w:hAnsi="Arial"/>
                <w:sz w:val="13"/>
                <w:szCs w:val="13"/>
                <w:color w:val="auto"/>
              </w:rPr>
              <w:t>32,215,401</w:t>
            </w:r>
          </w:p>
        </w:tc>
        <w:tc>
          <w:tcPr>
            <w:tcW w:w="1060" w:type="dxa"/>
            <w:vAlign w:val="bottom"/>
            <w:gridSpan w:val="2"/>
            <w:shd w:val="clear" w:color="auto" w:fill="CCEEFF"/>
          </w:tcPr>
          <w:p>
            <w:pPr>
              <w:jc w:val="right"/>
              <w:ind w:right="202"/>
              <w:spacing w:after="0" w:line="133" w:lineRule="exact"/>
              <w:rPr>
                <w:sz w:val="20"/>
                <w:szCs w:val="20"/>
                <w:color w:val="auto"/>
              </w:rPr>
            </w:pPr>
            <w:r>
              <w:rPr>
                <w:rFonts w:ascii="Arial" w:cs="Arial" w:eastAsia="Arial" w:hAnsi="Arial"/>
                <w:sz w:val="13"/>
                <w:szCs w:val="13"/>
                <w:color w:val="auto"/>
              </w:rPr>
              <w:t>5,228,092</w:t>
            </w:r>
          </w:p>
        </w:tc>
        <w:tc>
          <w:tcPr>
            <w:tcW w:w="8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90,561,768</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2"/>
              <w:spacing w:after="0" w:line="133" w:lineRule="exact"/>
              <w:rPr>
                <w:sz w:val="20"/>
                <w:szCs w:val="20"/>
                <w:color w:val="auto"/>
              </w:rPr>
            </w:pPr>
            <w:r>
              <w:rPr>
                <w:rFonts w:ascii="Arial" w:cs="Arial" w:eastAsia="Arial" w:hAnsi="Arial"/>
                <w:sz w:val="13"/>
                <w:szCs w:val="13"/>
                <w:color w:val="auto"/>
              </w:rPr>
              <w:t>51,525,096</w:t>
            </w:r>
          </w:p>
        </w:tc>
        <w:tc>
          <w:tcPr>
            <w:tcW w:w="1000" w:type="dxa"/>
            <w:vAlign w:val="bottom"/>
            <w:gridSpan w:val="2"/>
            <w:shd w:val="clear" w:color="auto" w:fill="CCEEFF"/>
          </w:tcPr>
          <w:p>
            <w:pPr>
              <w:jc w:val="right"/>
              <w:ind w:right="182"/>
              <w:spacing w:after="0" w:line="133" w:lineRule="exact"/>
              <w:rPr>
                <w:sz w:val="20"/>
                <w:szCs w:val="20"/>
                <w:color w:val="auto"/>
              </w:rPr>
            </w:pPr>
            <w:r>
              <w:rPr>
                <w:rFonts w:ascii="Arial" w:cs="Arial" w:eastAsia="Arial" w:hAnsi="Arial"/>
                <w:sz w:val="13"/>
                <w:szCs w:val="13"/>
                <w:color w:val="auto"/>
              </w:rPr>
              <w:t>30,358,072</w:t>
            </w:r>
          </w:p>
        </w:tc>
        <w:tc>
          <w:tcPr>
            <w:tcW w:w="1000" w:type="dxa"/>
            <w:vAlign w:val="bottom"/>
            <w:gridSpan w:val="2"/>
            <w:shd w:val="clear" w:color="auto" w:fill="CCEEFF"/>
          </w:tcPr>
          <w:p>
            <w:pPr>
              <w:jc w:val="right"/>
              <w:ind w:right="156"/>
              <w:spacing w:after="0" w:line="133" w:lineRule="exact"/>
              <w:rPr>
                <w:sz w:val="20"/>
                <w:szCs w:val="20"/>
                <w:color w:val="auto"/>
              </w:rPr>
            </w:pPr>
            <w:r>
              <w:rPr>
                <w:rFonts w:ascii="Arial" w:cs="Arial" w:eastAsia="Arial" w:hAnsi="Arial"/>
                <w:sz w:val="13"/>
                <w:szCs w:val="13"/>
                <w:color w:val="auto"/>
              </w:rPr>
              <w:t>4,604,993</w:t>
            </w:r>
          </w:p>
        </w:tc>
        <w:tc>
          <w:tcPr>
            <w:tcW w:w="920" w:type="dxa"/>
            <w:vAlign w:val="bottom"/>
            <w:gridSpan w:val="2"/>
            <w:shd w:val="clear" w:color="auto" w:fill="CCEEFF"/>
          </w:tcPr>
          <w:p>
            <w:pPr>
              <w:jc w:val="right"/>
              <w:ind w:right="82"/>
              <w:spacing w:after="0" w:line="133" w:lineRule="exact"/>
              <w:rPr>
                <w:sz w:val="20"/>
                <w:szCs w:val="20"/>
                <w:color w:val="auto"/>
              </w:rPr>
            </w:pPr>
            <w:r>
              <w:rPr>
                <w:rFonts w:ascii="Arial" w:cs="Arial" w:eastAsia="Arial" w:hAnsi="Arial"/>
                <w:sz w:val="13"/>
                <w:szCs w:val="13"/>
                <w:color w:val="auto"/>
              </w:rPr>
              <w:t>86,488,161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Pr>
          <w:p>
            <w:pPr>
              <w:spacing w:after="0" w:line="133" w:lineRule="exact"/>
              <w:rPr>
                <w:sz w:val="20"/>
                <w:szCs w:val="20"/>
                <w:color w:val="auto"/>
              </w:rPr>
            </w:pPr>
            <w:r>
              <w:rPr>
                <w:rFonts w:ascii="Arial" w:cs="Arial" w:eastAsia="Arial" w:hAnsi="Arial"/>
                <w:sz w:val="13"/>
                <w:szCs w:val="13"/>
                <w:color w:val="auto"/>
              </w:rPr>
              <w:t>Financial assets at fair value through profit or loss</w:t>
            </w:r>
          </w:p>
        </w:tc>
        <w:tc>
          <w:tcPr>
            <w:tcW w:w="1060" w:type="dxa"/>
            <w:vAlign w:val="bottom"/>
            <w:gridSpan w:val="2"/>
          </w:tcPr>
          <w:p>
            <w:pPr>
              <w:jc w:val="right"/>
              <w:ind w:right="202"/>
              <w:spacing w:after="0" w:line="133" w:lineRule="exact"/>
              <w:rPr>
                <w:sz w:val="20"/>
                <w:szCs w:val="20"/>
                <w:color w:val="auto"/>
              </w:rPr>
            </w:pPr>
            <w:r>
              <w:rPr>
                <w:rFonts w:ascii="Arial" w:cs="Arial" w:eastAsia="Arial" w:hAnsi="Arial"/>
                <w:sz w:val="13"/>
                <w:szCs w:val="13"/>
                <w:color w:val="auto"/>
              </w:rPr>
              <w:t>85,333</w:t>
            </w:r>
          </w:p>
        </w:tc>
        <w:tc>
          <w:tcPr>
            <w:tcW w:w="1040" w:type="dxa"/>
            <w:vAlign w:val="bottom"/>
            <w:gridSpan w:val="2"/>
          </w:tcPr>
          <w:p>
            <w:pPr>
              <w:jc w:val="right"/>
              <w:ind w:right="202"/>
              <w:spacing w:after="0" w:line="133" w:lineRule="exact"/>
              <w:rPr>
                <w:sz w:val="20"/>
                <w:szCs w:val="20"/>
                <w:color w:val="auto"/>
              </w:rPr>
            </w:pPr>
            <w:r>
              <w:rPr>
                <w:rFonts w:ascii="Arial" w:cs="Arial" w:eastAsia="Arial" w:hAnsi="Arial"/>
                <w:sz w:val="13"/>
                <w:szCs w:val="13"/>
                <w:color w:val="auto"/>
              </w:rPr>
              <w:t>373,766</w:t>
            </w:r>
          </w:p>
        </w:tc>
        <w:tc>
          <w:tcPr>
            <w:tcW w:w="1060" w:type="dxa"/>
            <w:vAlign w:val="bottom"/>
            <w:gridSpan w:val="2"/>
          </w:tcPr>
          <w:p>
            <w:pPr>
              <w:jc w:val="right"/>
              <w:ind w:right="202"/>
              <w:spacing w:after="0" w:line="133"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2"/>
              <w:spacing w:after="0" w:line="133" w:lineRule="exact"/>
              <w:rPr>
                <w:sz w:val="20"/>
                <w:szCs w:val="20"/>
                <w:color w:val="auto"/>
              </w:rPr>
            </w:pPr>
            <w:r>
              <w:rPr>
                <w:rFonts w:ascii="Arial" w:cs="Arial" w:eastAsia="Arial" w:hAnsi="Arial"/>
                <w:sz w:val="13"/>
                <w:szCs w:val="13"/>
                <w:color w:val="auto"/>
              </w:rPr>
              <w:t>459,099</w:t>
            </w:r>
          </w:p>
        </w:tc>
        <w:tc>
          <w:tcPr>
            <w:tcW w:w="1000" w:type="dxa"/>
            <w:vAlign w:val="bottom"/>
            <w:gridSpan w:val="2"/>
          </w:tcPr>
          <w:p>
            <w:pPr>
              <w:jc w:val="right"/>
              <w:ind w:right="182"/>
              <w:spacing w:after="0" w:line="133" w:lineRule="exact"/>
              <w:rPr>
                <w:sz w:val="20"/>
                <w:szCs w:val="20"/>
                <w:color w:val="auto"/>
              </w:rPr>
            </w:pPr>
            <w:r>
              <w:rPr>
                <w:rFonts w:ascii="Arial" w:cs="Arial" w:eastAsia="Arial" w:hAnsi="Arial"/>
                <w:sz w:val="13"/>
                <w:szCs w:val="13"/>
                <w:color w:val="auto"/>
              </w:rPr>
              <w:t>52,369</w:t>
            </w:r>
          </w:p>
        </w:tc>
        <w:tc>
          <w:tcPr>
            <w:tcW w:w="1000" w:type="dxa"/>
            <w:vAlign w:val="bottom"/>
            <w:gridSpan w:val="2"/>
          </w:tcPr>
          <w:p>
            <w:pPr>
              <w:jc w:val="right"/>
              <w:ind w:right="182"/>
              <w:spacing w:after="0" w:line="133" w:lineRule="exact"/>
              <w:rPr>
                <w:sz w:val="20"/>
                <w:szCs w:val="20"/>
                <w:color w:val="auto"/>
              </w:rPr>
            </w:pPr>
            <w:r>
              <w:rPr>
                <w:rFonts w:ascii="Arial" w:cs="Arial" w:eastAsia="Arial" w:hAnsi="Arial"/>
                <w:sz w:val="13"/>
                <w:szCs w:val="13"/>
                <w:color w:val="auto"/>
              </w:rPr>
              <w:t>297,959</w:t>
            </w:r>
          </w:p>
        </w:tc>
        <w:tc>
          <w:tcPr>
            <w:tcW w:w="1000" w:type="dxa"/>
            <w:vAlign w:val="bottom"/>
            <w:gridSpan w:val="2"/>
          </w:tcPr>
          <w:p>
            <w:pPr>
              <w:jc w:val="right"/>
              <w:ind w:right="156"/>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82"/>
              <w:spacing w:after="0" w:line="133" w:lineRule="exact"/>
              <w:rPr>
                <w:sz w:val="20"/>
                <w:szCs w:val="20"/>
                <w:color w:val="auto"/>
              </w:rPr>
            </w:pPr>
            <w:r>
              <w:rPr>
                <w:rFonts w:ascii="Arial" w:cs="Arial" w:eastAsia="Arial" w:hAnsi="Arial"/>
                <w:sz w:val="13"/>
                <w:szCs w:val="13"/>
                <w:color w:val="auto"/>
              </w:rPr>
              <w:t>350,328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0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Other assets</w:t>
            </w:r>
          </w:p>
        </w:tc>
        <w:tc>
          <w:tcPr>
            <w:tcW w:w="1060" w:type="dxa"/>
            <w:vAlign w:val="bottom"/>
            <w:gridSpan w:val="2"/>
            <w:shd w:val="clear" w:color="auto" w:fill="CCEEFF"/>
          </w:tcPr>
          <w:p>
            <w:pPr>
              <w:jc w:val="right"/>
              <w:ind w:right="202"/>
              <w:spacing w:after="0" w:line="145" w:lineRule="exact"/>
              <w:rPr>
                <w:sz w:val="20"/>
                <w:szCs w:val="20"/>
                <w:color w:val="auto"/>
              </w:rPr>
            </w:pPr>
            <w:r>
              <w:rPr>
                <w:rFonts w:ascii="Arial" w:cs="Arial" w:eastAsia="Arial" w:hAnsi="Arial"/>
                <w:sz w:val="13"/>
                <w:szCs w:val="13"/>
                <w:color w:val="auto"/>
              </w:rPr>
              <w:t>1,456,407</w:t>
            </w:r>
          </w:p>
        </w:tc>
        <w:tc>
          <w:tcPr>
            <w:tcW w:w="1040" w:type="dxa"/>
            <w:vAlign w:val="bottom"/>
            <w:gridSpan w:val="2"/>
            <w:shd w:val="clear" w:color="auto" w:fill="CCEEFF"/>
          </w:tcPr>
          <w:p>
            <w:pPr>
              <w:jc w:val="right"/>
              <w:ind w:right="202"/>
              <w:spacing w:after="0" w:line="145" w:lineRule="exact"/>
              <w:rPr>
                <w:sz w:val="20"/>
                <w:szCs w:val="20"/>
                <w:color w:val="auto"/>
              </w:rPr>
            </w:pPr>
            <w:r>
              <w:rPr>
                <w:rFonts w:ascii="Arial" w:cs="Arial" w:eastAsia="Arial" w:hAnsi="Arial"/>
                <w:sz w:val="13"/>
                <w:szCs w:val="13"/>
                <w:color w:val="auto"/>
              </w:rPr>
              <w:t>1,993,385</w:t>
            </w:r>
          </w:p>
        </w:tc>
        <w:tc>
          <w:tcPr>
            <w:tcW w:w="1060" w:type="dxa"/>
            <w:vAlign w:val="bottom"/>
            <w:gridSpan w:val="2"/>
            <w:shd w:val="clear" w:color="auto" w:fill="CCEEFF"/>
          </w:tcPr>
          <w:p>
            <w:pPr>
              <w:jc w:val="right"/>
              <w:ind w:right="202"/>
              <w:spacing w:after="0" w:line="145" w:lineRule="exact"/>
              <w:rPr>
                <w:sz w:val="20"/>
                <w:szCs w:val="20"/>
                <w:color w:val="auto"/>
              </w:rPr>
            </w:pPr>
            <w:r>
              <w:rPr>
                <w:rFonts w:ascii="Arial" w:cs="Arial" w:eastAsia="Arial" w:hAnsi="Arial"/>
                <w:sz w:val="13"/>
                <w:szCs w:val="13"/>
                <w:color w:val="auto"/>
              </w:rPr>
              <w:t>538,039</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3,987,831</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2"/>
              <w:spacing w:after="0" w:line="145" w:lineRule="exact"/>
              <w:rPr>
                <w:sz w:val="20"/>
                <w:szCs w:val="20"/>
                <w:color w:val="auto"/>
              </w:rPr>
            </w:pPr>
            <w:r>
              <w:rPr>
                <w:rFonts w:ascii="Arial" w:cs="Arial" w:eastAsia="Arial" w:hAnsi="Arial"/>
                <w:sz w:val="13"/>
                <w:szCs w:val="13"/>
                <w:color w:val="auto"/>
              </w:rPr>
              <w:t>1,626,686</w:t>
            </w:r>
          </w:p>
        </w:tc>
        <w:tc>
          <w:tcPr>
            <w:tcW w:w="1000" w:type="dxa"/>
            <w:vAlign w:val="bottom"/>
            <w:gridSpan w:val="2"/>
            <w:shd w:val="clear" w:color="auto" w:fill="CCEEFF"/>
          </w:tcPr>
          <w:p>
            <w:pPr>
              <w:jc w:val="right"/>
              <w:ind w:right="182"/>
              <w:spacing w:after="0" w:line="145" w:lineRule="exact"/>
              <w:rPr>
                <w:sz w:val="20"/>
                <w:szCs w:val="20"/>
                <w:color w:val="auto"/>
              </w:rPr>
            </w:pPr>
            <w:r>
              <w:rPr>
                <w:rFonts w:ascii="Arial" w:cs="Arial" w:eastAsia="Arial" w:hAnsi="Arial"/>
                <w:sz w:val="13"/>
                <w:szCs w:val="13"/>
                <w:color w:val="auto"/>
              </w:rPr>
              <w:t>2,059,415</w:t>
            </w:r>
          </w:p>
        </w:tc>
        <w:tc>
          <w:tcPr>
            <w:tcW w:w="1000" w:type="dxa"/>
            <w:vAlign w:val="bottom"/>
            <w:gridSpan w:val="2"/>
            <w:shd w:val="clear" w:color="auto" w:fill="CCEEFF"/>
          </w:tcPr>
          <w:p>
            <w:pPr>
              <w:jc w:val="right"/>
              <w:ind w:right="156"/>
              <w:spacing w:after="0" w:line="145" w:lineRule="exact"/>
              <w:rPr>
                <w:sz w:val="20"/>
                <w:szCs w:val="20"/>
                <w:color w:val="auto"/>
              </w:rPr>
            </w:pPr>
            <w:r>
              <w:rPr>
                <w:rFonts w:ascii="Arial" w:cs="Arial" w:eastAsia="Arial" w:hAnsi="Arial"/>
                <w:sz w:val="13"/>
                <w:szCs w:val="13"/>
                <w:color w:val="auto"/>
              </w:rPr>
              <w:t>509,557</w:t>
            </w:r>
          </w:p>
        </w:tc>
        <w:tc>
          <w:tcPr>
            <w:tcW w:w="920" w:type="dxa"/>
            <w:vAlign w:val="bottom"/>
            <w:gridSpan w:val="2"/>
            <w:shd w:val="clear" w:color="auto" w:fill="CCEEFF"/>
          </w:tcPr>
          <w:p>
            <w:pPr>
              <w:jc w:val="right"/>
              <w:ind w:right="82"/>
              <w:spacing w:after="0" w:line="145" w:lineRule="exact"/>
              <w:rPr>
                <w:sz w:val="20"/>
                <w:szCs w:val="20"/>
                <w:color w:val="auto"/>
              </w:rPr>
            </w:pPr>
            <w:r>
              <w:rPr>
                <w:rFonts w:ascii="Arial" w:cs="Arial" w:eastAsia="Arial" w:hAnsi="Arial"/>
                <w:sz w:val="13"/>
                <w:szCs w:val="13"/>
                <w:color w:val="auto"/>
              </w:rPr>
              <w:t>4,195,658</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tcBorders>
              <w:bottom w:val="single" w:sz="8" w:color="CCEEFF"/>
            </w:tcBorders>
          </w:tcPr>
          <w:p>
            <w:pPr>
              <w:spacing w:after="0" w:line="125" w:lineRule="exact"/>
              <w:rPr>
                <w:sz w:val="20"/>
                <w:szCs w:val="20"/>
                <w:color w:val="auto"/>
              </w:rPr>
            </w:pPr>
            <w:r>
              <w:rPr>
                <w:rFonts w:ascii="Arial" w:cs="Arial" w:eastAsia="Arial" w:hAnsi="Arial"/>
                <w:sz w:val="13"/>
                <w:szCs w:val="13"/>
                <w:b w:val="1"/>
                <w:bCs w:val="1"/>
                <w:color w:val="auto"/>
              </w:rPr>
              <w:t>Total</w:t>
            </w:r>
          </w:p>
        </w:tc>
        <w:tc>
          <w:tcPr>
            <w:tcW w:w="8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72,202,192</w:t>
            </w:r>
          </w:p>
        </w:tc>
        <w:tc>
          <w:tcPr>
            <w:tcW w:w="24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65,824,786</w:t>
            </w:r>
          </w:p>
        </w:tc>
        <w:tc>
          <w:tcPr>
            <w:tcW w:w="240" w:type="dxa"/>
            <w:vAlign w:val="bottom"/>
            <w:tcBorders>
              <w:bottom w:val="single" w:sz="8" w:color="CCEEFF"/>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9,675,841</w:t>
            </w:r>
          </w:p>
        </w:tc>
        <w:tc>
          <w:tcPr>
            <w:tcW w:w="240" w:type="dxa"/>
            <w:vAlign w:val="bottom"/>
            <w:tcBorders>
              <w:bottom w:val="single" w:sz="8" w:color="CCEEFF"/>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147,702,819</w:t>
            </w:r>
          </w:p>
        </w:tc>
        <w:tc>
          <w:tcPr>
            <w:tcW w:w="22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67,979,695</w:t>
            </w:r>
          </w:p>
        </w:tc>
        <w:tc>
          <w:tcPr>
            <w:tcW w:w="22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70,762,557</w:t>
            </w:r>
          </w:p>
        </w:tc>
        <w:tc>
          <w:tcPr>
            <w:tcW w:w="22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9,004,867</w:t>
            </w:r>
          </w:p>
        </w:tc>
        <w:tc>
          <w:tcPr>
            <w:tcW w:w="22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147,747,119</w:t>
            </w:r>
          </w:p>
        </w:tc>
        <w:tc>
          <w:tcPr>
            <w:tcW w:w="1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3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300" w:type="dxa"/>
            <w:vAlign w:val="bottom"/>
          </w:tcPr>
          <w:p>
            <w:pPr>
              <w:spacing w:after="0" w:line="133" w:lineRule="exact"/>
              <w:rPr>
                <w:sz w:val="20"/>
                <w:szCs w:val="20"/>
                <w:color w:val="auto"/>
              </w:rPr>
            </w:pPr>
            <w:r>
              <w:rPr>
                <w:rFonts w:ascii="Arial" w:cs="Arial" w:eastAsia="Arial" w:hAnsi="Arial"/>
                <w:sz w:val="13"/>
                <w:szCs w:val="13"/>
                <w:b w:val="1"/>
                <w:bCs w:val="1"/>
                <w:color w:val="auto"/>
              </w:rPr>
              <w:t>Monetary liabilities</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Deposits and obligations</w:t>
            </w:r>
          </w:p>
        </w:tc>
        <w:tc>
          <w:tcPr>
            <w:tcW w:w="106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(37,468,123)</w:t>
            </w:r>
          </w:p>
        </w:tc>
        <w:tc>
          <w:tcPr>
            <w:tcW w:w="104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(41,514,198)</w:t>
            </w:r>
          </w:p>
        </w:tc>
        <w:tc>
          <w:tcPr>
            <w:tcW w:w="106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(6,934,066)</w:t>
            </w:r>
          </w:p>
        </w:tc>
        <w:tc>
          <w:tcPr>
            <w:tcW w:w="104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(85,916,387)</w:t>
            </w:r>
          </w:p>
        </w:tc>
        <w:tc>
          <w:tcPr>
            <w:tcW w:w="100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(36,446,886)</w:t>
            </w:r>
          </w:p>
        </w:tc>
        <w:tc>
          <w:tcPr>
            <w:tcW w:w="100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(45,696,802)</w:t>
            </w:r>
          </w:p>
        </w:tc>
        <w:tc>
          <w:tcPr>
            <w:tcW w:w="1000" w:type="dxa"/>
            <w:vAlign w:val="bottom"/>
            <w:gridSpan w:val="2"/>
            <w:shd w:val="clear" w:color="auto" w:fill="CCEEFF"/>
          </w:tcPr>
          <w:p>
            <w:pPr>
              <w:jc w:val="right"/>
              <w:ind w:right="96"/>
              <w:spacing w:after="0" w:line="133" w:lineRule="exact"/>
              <w:rPr>
                <w:sz w:val="20"/>
                <w:szCs w:val="20"/>
                <w:color w:val="auto"/>
              </w:rPr>
            </w:pPr>
            <w:r>
              <w:rPr>
                <w:rFonts w:ascii="Arial" w:cs="Arial" w:eastAsia="Arial" w:hAnsi="Arial"/>
                <w:sz w:val="13"/>
                <w:szCs w:val="13"/>
                <w:color w:val="auto"/>
              </w:rPr>
              <w:t>(6,462,945)</w:t>
            </w:r>
          </w:p>
        </w:tc>
        <w:tc>
          <w:tcPr>
            <w:tcW w:w="920" w:type="dxa"/>
            <w:vAlign w:val="bottom"/>
            <w:gridSpan w:val="2"/>
            <w:shd w:val="clear" w:color="auto" w:fill="CCEEFF"/>
          </w:tcPr>
          <w:p>
            <w:pPr>
              <w:jc w:val="right"/>
              <w:ind w:right="42"/>
              <w:spacing w:after="0" w:line="133" w:lineRule="exact"/>
              <w:rPr>
                <w:sz w:val="20"/>
                <w:szCs w:val="20"/>
                <w:color w:val="auto"/>
              </w:rPr>
            </w:pPr>
            <w:r>
              <w:rPr>
                <w:rFonts w:ascii="Arial" w:cs="Arial" w:eastAsia="Arial" w:hAnsi="Arial"/>
                <w:sz w:val="13"/>
                <w:szCs w:val="13"/>
                <w:color w:val="auto"/>
              </w:rPr>
              <w:t>(88,606,633)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Pr>
          <w:p>
            <w:pPr>
              <w:spacing w:after="0" w:line="133" w:lineRule="exact"/>
              <w:rPr>
                <w:sz w:val="20"/>
                <w:szCs w:val="20"/>
                <w:color w:val="auto"/>
              </w:rPr>
            </w:pPr>
            <w:r>
              <w:rPr>
                <w:rFonts w:ascii="Arial" w:cs="Arial" w:eastAsia="Arial" w:hAnsi="Arial"/>
                <w:sz w:val="13"/>
                <w:szCs w:val="13"/>
                <w:color w:val="auto"/>
                <w:w w:val="92"/>
              </w:rPr>
              <w:t>Payables from repurchase agreements and security Lendings</w:t>
            </w:r>
          </w:p>
        </w:tc>
        <w:tc>
          <w:tcPr>
            <w:tcW w:w="106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(12,522,337)</w:t>
            </w:r>
          </w:p>
        </w:tc>
        <w:tc>
          <w:tcPr>
            <w:tcW w:w="104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(1,313,163)</w:t>
            </w:r>
          </w:p>
        </w:tc>
        <w:tc>
          <w:tcPr>
            <w:tcW w:w="106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(1,292,499)</w:t>
            </w:r>
          </w:p>
        </w:tc>
        <w:tc>
          <w:tcPr>
            <w:tcW w:w="104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(15,127,999)</w:t>
            </w:r>
          </w:p>
        </w:tc>
        <w:tc>
          <w:tcPr>
            <w:tcW w:w="100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(11,673,446)</w:t>
            </w:r>
          </w:p>
        </w:tc>
        <w:tc>
          <w:tcPr>
            <w:tcW w:w="100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(1,503,347)</w:t>
            </w:r>
          </w:p>
        </w:tc>
        <w:tc>
          <w:tcPr>
            <w:tcW w:w="1000" w:type="dxa"/>
            <w:vAlign w:val="bottom"/>
            <w:gridSpan w:val="2"/>
          </w:tcPr>
          <w:p>
            <w:pPr>
              <w:jc w:val="right"/>
              <w:ind w:right="96"/>
              <w:spacing w:after="0" w:line="133" w:lineRule="exact"/>
              <w:rPr>
                <w:sz w:val="20"/>
                <w:szCs w:val="20"/>
                <w:color w:val="auto"/>
              </w:rPr>
            </w:pPr>
            <w:r>
              <w:rPr>
                <w:rFonts w:ascii="Arial" w:cs="Arial" w:eastAsia="Arial" w:hAnsi="Arial"/>
                <w:sz w:val="13"/>
                <w:szCs w:val="13"/>
                <w:color w:val="auto"/>
              </w:rPr>
              <w:t>(1,422,957)</w:t>
            </w:r>
          </w:p>
        </w:tc>
        <w:tc>
          <w:tcPr>
            <w:tcW w:w="920" w:type="dxa"/>
            <w:vAlign w:val="bottom"/>
            <w:gridSpan w:val="2"/>
          </w:tcPr>
          <w:p>
            <w:pPr>
              <w:jc w:val="right"/>
              <w:ind w:right="42"/>
              <w:spacing w:after="0" w:line="133" w:lineRule="exact"/>
              <w:rPr>
                <w:sz w:val="20"/>
                <w:szCs w:val="20"/>
                <w:color w:val="auto"/>
              </w:rPr>
            </w:pPr>
            <w:r>
              <w:rPr>
                <w:rFonts w:ascii="Arial" w:cs="Arial" w:eastAsia="Arial" w:hAnsi="Arial"/>
                <w:sz w:val="13"/>
                <w:szCs w:val="13"/>
                <w:color w:val="auto"/>
              </w:rPr>
              <w:t>(14,599,750)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Due to bank and correspondents</w:t>
            </w:r>
          </w:p>
        </w:tc>
        <w:tc>
          <w:tcPr>
            <w:tcW w:w="106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(2,630,256)</w:t>
            </w:r>
          </w:p>
        </w:tc>
        <w:tc>
          <w:tcPr>
            <w:tcW w:w="104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(4,644,838)</w:t>
            </w:r>
          </w:p>
        </w:tc>
        <w:tc>
          <w:tcPr>
            <w:tcW w:w="106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(218,822)</w:t>
            </w:r>
          </w:p>
        </w:tc>
        <w:tc>
          <w:tcPr>
            <w:tcW w:w="1040" w:type="dxa"/>
            <w:vAlign w:val="bottom"/>
            <w:gridSpan w:val="2"/>
            <w:shd w:val="clear" w:color="auto" w:fill="CCEEFF"/>
          </w:tcPr>
          <w:p>
            <w:pPr>
              <w:jc w:val="right"/>
              <w:ind w:right="102"/>
              <w:spacing w:after="0" w:line="133" w:lineRule="exact"/>
              <w:rPr>
                <w:sz w:val="20"/>
                <w:szCs w:val="20"/>
                <w:color w:val="auto"/>
              </w:rPr>
            </w:pPr>
            <w:r>
              <w:rPr>
                <w:rFonts w:ascii="Arial" w:cs="Arial" w:eastAsia="Arial" w:hAnsi="Arial"/>
                <w:sz w:val="13"/>
                <w:szCs w:val="13"/>
                <w:color w:val="auto"/>
              </w:rPr>
              <w:t>(7,493,916))</w:t>
            </w:r>
          </w:p>
        </w:tc>
        <w:tc>
          <w:tcPr>
            <w:tcW w:w="100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(2,379,021)</w:t>
            </w:r>
          </w:p>
        </w:tc>
        <w:tc>
          <w:tcPr>
            <w:tcW w:w="100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(5,184,659)</w:t>
            </w:r>
          </w:p>
        </w:tc>
        <w:tc>
          <w:tcPr>
            <w:tcW w:w="1000" w:type="dxa"/>
            <w:vAlign w:val="bottom"/>
            <w:gridSpan w:val="2"/>
            <w:shd w:val="clear" w:color="auto" w:fill="CCEEFF"/>
          </w:tcPr>
          <w:p>
            <w:pPr>
              <w:jc w:val="right"/>
              <w:ind w:right="96"/>
              <w:spacing w:after="0" w:line="133" w:lineRule="exact"/>
              <w:rPr>
                <w:sz w:val="20"/>
                <w:szCs w:val="20"/>
                <w:color w:val="auto"/>
              </w:rPr>
            </w:pPr>
            <w:r>
              <w:rPr>
                <w:rFonts w:ascii="Arial" w:cs="Arial" w:eastAsia="Arial" w:hAnsi="Arial"/>
                <w:sz w:val="13"/>
                <w:szCs w:val="13"/>
                <w:color w:val="auto"/>
              </w:rPr>
              <w:t>(198,817)</w:t>
            </w:r>
          </w:p>
        </w:tc>
        <w:tc>
          <w:tcPr>
            <w:tcW w:w="920" w:type="dxa"/>
            <w:vAlign w:val="bottom"/>
            <w:gridSpan w:val="2"/>
            <w:shd w:val="clear" w:color="auto" w:fill="CCEEFF"/>
          </w:tcPr>
          <w:p>
            <w:pPr>
              <w:jc w:val="right"/>
              <w:ind w:right="42"/>
              <w:spacing w:after="0" w:line="133" w:lineRule="exact"/>
              <w:rPr>
                <w:sz w:val="20"/>
                <w:szCs w:val="20"/>
                <w:color w:val="auto"/>
              </w:rPr>
            </w:pPr>
            <w:r>
              <w:rPr>
                <w:rFonts w:ascii="Arial" w:cs="Arial" w:eastAsia="Arial" w:hAnsi="Arial"/>
                <w:sz w:val="13"/>
                <w:szCs w:val="13"/>
                <w:color w:val="auto"/>
              </w:rPr>
              <w:t>(7,762,497)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Pr>
          <w:p>
            <w:pPr>
              <w:spacing w:after="0" w:line="133" w:lineRule="exact"/>
              <w:rPr>
                <w:sz w:val="20"/>
                <w:szCs w:val="20"/>
                <w:color w:val="auto"/>
              </w:rPr>
            </w:pPr>
            <w:r>
              <w:rPr>
                <w:rFonts w:ascii="Arial" w:cs="Arial" w:eastAsia="Arial" w:hAnsi="Arial"/>
                <w:sz w:val="13"/>
                <w:szCs w:val="13"/>
                <w:color w:val="auto"/>
              </w:rPr>
              <w:t>Financial liabilities at fair value through profit or loss</w:t>
            </w:r>
          </w:p>
        </w:tc>
        <w:tc>
          <w:tcPr>
            <w:tcW w:w="1060" w:type="dxa"/>
            <w:vAlign w:val="bottom"/>
            <w:gridSpan w:val="2"/>
          </w:tcPr>
          <w:p>
            <w:pPr>
              <w:jc w:val="right"/>
              <w:ind w:right="202"/>
              <w:spacing w:after="0" w:line="133"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(6,052)</w:t>
            </w:r>
          </w:p>
        </w:tc>
        <w:tc>
          <w:tcPr>
            <w:tcW w:w="106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(203,468)</w:t>
            </w:r>
          </w:p>
        </w:tc>
        <w:tc>
          <w:tcPr>
            <w:tcW w:w="104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(209,520)</w:t>
            </w:r>
          </w:p>
        </w:tc>
        <w:tc>
          <w:tcPr>
            <w:tcW w:w="1000" w:type="dxa"/>
            <w:vAlign w:val="bottom"/>
            <w:gridSpan w:val="2"/>
          </w:tcPr>
          <w:p>
            <w:pPr>
              <w:jc w:val="right"/>
              <w:ind w:right="182"/>
              <w:spacing w:after="0" w:line="133"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(47,737)</w:t>
            </w:r>
          </w:p>
        </w:tc>
        <w:tc>
          <w:tcPr>
            <w:tcW w:w="1000" w:type="dxa"/>
            <w:vAlign w:val="bottom"/>
            <w:gridSpan w:val="2"/>
          </w:tcPr>
          <w:p>
            <w:pPr>
              <w:jc w:val="right"/>
              <w:ind w:right="156"/>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2"/>
              <w:spacing w:after="0" w:line="133" w:lineRule="exact"/>
              <w:rPr>
                <w:sz w:val="20"/>
                <w:szCs w:val="20"/>
                <w:color w:val="auto"/>
              </w:rPr>
            </w:pPr>
            <w:r>
              <w:rPr>
                <w:rFonts w:ascii="Arial" w:cs="Arial" w:eastAsia="Arial" w:hAnsi="Arial"/>
                <w:sz w:val="13"/>
                <w:szCs w:val="13"/>
                <w:color w:val="auto"/>
              </w:rPr>
              <w:t>(47,737)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2"/>
              </w:rPr>
              <w:t>Insurance claims reserves and technical reserves not general</w:t>
            </w:r>
          </w:p>
        </w:tc>
        <w:tc>
          <w:tcPr>
            <w:tcW w:w="106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(3,134,680)</w:t>
            </w:r>
          </w:p>
        </w:tc>
        <w:tc>
          <w:tcPr>
            <w:tcW w:w="104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(3,650,466)</w:t>
            </w:r>
          </w:p>
        </w:tc>
        <w:tc>
          <w:tcPr>
            <w:tcW w:w="106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(1,043)</w:t>
            </w:r>
          </w:p>
        </w:tc>
        <w:tc>
          <w:tcPr>
            <w:tcW w:w="104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(6,786,189)</w:t>
            </w:r>
          </w:p>
        </w:tc>
        <w:tc>
          <w:tcPr>
            <w:tcW w:w="100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(2,699,351)</w:t>
            </w:r>
          </w:p>
        </w:tc>
        <w:tc>
          <w:tcPr>
            <w:tcW w:w="100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(3,661,014)</w:t>
            </w:r>
          </w:p>
        </w:tc>
        <w:tc>
          <w:tcPr>
            <w:tcW w:w="1000" w:type="dxa"/>
            <w:vAlign w:val="bottom"/>
            <w:gridSpan w:val="2"/>
            <w:shd w:val="clear" w:color="auto" w:fill="CCEEFF"/>
          </w:tcPr>
          <w:p>
            <w:pPr>
              <w:jc w:val="right"/>
              <w:ind w:right="96"/>
              <w:spacing w:after="0" w:line="133" w:lineRule="exact"/>
              <w:rPr>
                <w:sz w:val="20"/>
                <w:szCs w:val="20"/>
                <w:color w:val="auto"/>
              </w:rPr>
            </w:pPr>
            <w:r>
              <w:rPr>
                <w:rFonts w:ascii="Arial" w:cs="Arial" w:eastAsia="Arial" w:hAnsi="Arial"/>
                <w:sz w:val="13"/>
                <w:szCs w:val="13"/>
                <w:color w:val="auto"/>
              </w:rPr>
              <w:t>(1,263)</w:t>
            </w:r>
          </w:p>
        </w:tc>
        <w:tc>
          <w:tcPr>
            <w:tcW w:w="920" w:type="dxa"/>
            <w:vAlign w:val="bottom"/>
            <w:gridSpan w:val="2"/>
            <w:shd w:val="clear" w:color="auto" w:fill="CCEEFF"/>
          </w:tcPr>
          <w:p>
            <w:pPr>
              <w:jc w:val="right"/>
              <w:ind w:right="42"/>
              <w:spacing w:after="0" w:line="133" w:lineRule="exact"/>
              <w:rPr>
                <w:sz w:val="20"/>
                <w:szCs w:val="20"/>
                <w:color w:val="auto"/>
              </w:rPr>
            </w:pPr>
            <w:r>
              <w:rPr>
                <w:rFonts w:ascii="Arial" w:cs="Arial" w:eastAsia="Arial" w:hAnsi="Arial"/>
                <w:sz w:val="13"/>
                <w:szCs w:val="13"/>
                <w:color w:val="auto"/>
              </w:rPr>
              <w:t>(6,361,628)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Pr>
          <w:p>
            <w:pPr>
              <w:spacing w:after="0" w:line="133" w:lineRule="exact"/>
              <w:rPr>
                <w:sz w:val="20"/>
                <w:szCs w:val="20"/>
                <w:color w:val="auto"/>
              </w:rPr>
            </w:pPr>
            <w:r>
              <w:rPr>
                <w:rFonts w:ascii="Arial" w:cs="Arial" w:eastAsia="Arial" w:hAnsi="Arial"/>
                <w:sz w:val="13"/>
                <w:szCs w:val="13"/>
                <w:color w:val="auto"/>
              </w:rPr>
              <w:t>Bonds and notes issued</w:t>
            </w:r>
          </w:p>
        </w:tc>
        <w:tc>
          <w:tcPr>
            <w:tcW w:w="106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(2,544,031)</w:t>
            </w:r>
          </w:p>
        </w:tc>
        <w:tc>
          <w:tcPr>
            <w:tcW w:w="104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(13,291,371)</w:t>
            </w:r>
          </w:p>
        </w:tc>
        <w:tc>
          <w:tcPr>
            <w:tcW w:w="106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(104,201)</w:t>
            </w:r>
          </w:p>
        </w:tc>
        <w:tc>
          <w:tcPr>
            <w:tcW w:w="104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(15,939,603)</w:t>
            </w:r>
          </w:p>
        </w:tc>
        <w:tc>
          <w:tcPr>
            <w:tcW w:w="100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(2,171,074)</w:t>
            </w:r>
          </w:p>
        </w:tc>
        <w:tc>
          <w:tcPr>
            <w:tcW w:w="100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(14,010,489)</w:t>
            </w:r>
          </w:p>
        </w:tc>
        <w:tc>
          <w:tcPr>
            <w:tcW w:w="1000" w:type="dxa"/>
            <w:vAlign w:val="bottom"/>
            <w:gridSpan w:val="2"/>
          </w:tcPr>
          <w:p>
            <w:pPr>
              <w:jc w:val="right"/>
              <w:ind w:right="96"/>
              <w:spacing w:after="0" w:line="133" w:lineRule="exact"/>
              <w:rPr>
                <w:sz w:val="20"/>
                <w:szCs w:val="20"/>
                <w:color w:val="auto"/>
              </w:rPr>
            </w:pPr>
            <w:r>
              <w:rPr>
                <w:rFonts w:ascii="Arial" w:cs="Arial" w:eastAsia="Arial" w:hAnsi="Arial"/>
                <w:sz w:val="13"/>
                <w:szCs w:val="13"/>
                <w:color w:val="auto"/>
              </w:rPr>
              <w:t>(106,399)</w:t>
            </w:r>
          </w:p>
        </w:tc>
        <w:tc>
          <w:tcPr>
            <w:tcW w:w="920" w:type="dxa"/>
            <w:vAlign w:val="bottom"/>
            <w:gridSpan w:val="2"/>
          </w:tcPr>
          <w:p>
            <w:pPr>
              <w:jc w:val="right"/>
              <w:ind w:right="42"/>
              <w:spacing w:after="0" w:line="133" w:lineRule="exact"/>
              <w:rPr>
                <w:sz w:val="20"/>
                <w:szCs w:val="20"/>
                <w:color w:val="auto"/>
              </w:rPr>
            </w:pPr>
            <w:r>
              <w:rPr>
                <w:rFonts w:ascii="Arial" w:cs="Arial" w:eastAsia="Arial" w:hAnsi="Arial"/>
                <w:sz w:val="13"/>
                <w:szCs w:val="13"/>
                <w:color w:val="auto"/>
              </w:rPr>
              <w:t>(16,287,962)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0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Other liabilities</w:t>
            </w:r>
          </w:p>
        </w:tc>
        <w:tc>
          <w:tcPr>
            <w:tcW w:w="1060" w:type="dxa"/>
            <w:vAlign w:val="bottom"/>
            <w:gridSpan w:val="2"/>
            <w:shd w:val="clear" w:color="auto" w:fill="CCEEFF"/>
          </w:tcPr>
          <w:p>
            <w:pPr>
              <w:jc w:val="right"/>
              <w:ind w:right="162"/>
              <w:spacing w:after="0" w:line="145" w:lineRule="exact"/>
              <w:rPr>
                <w:sz w:val="20"/>
                <w:szCs w:val="20"/>
                <w:color w:val="auto"/>
              </w:rPr>
            </w:pPr>
            <w:r>
              <w:rPr>
                <w:rFonts w:ascii="Arial" w:cs="Arial" w:eastAsia="Arial" w:hAnsi="Arial"/>
                <w:sz w:val="13"/>
                <w:szCs w:val="13"/>
                <w:color w:val="auto"/>
              </w:rPr>
              <w:t>(2,434,407)</w:t>
            </w:r>
          </w:p>
        </w:tc>
        <w:tc>
          <w:tcPr>
            <w:tcW w:w="1040" w:type="dxa"/>
            <w:vAlign w:val="bottom"/>
            <w:gridSpan w:val="2"/>
            <w:shd w:val="clear" w:color="auto" w:fill="CCEEFF"/>
          </w:tcPr>
          <w:p>
            <w:pPr>
              <w:jc w:val="right"/>
              <w:ind w:right="162"/>
              <w:spacing w:after="0" w:line="145" w:lineRule="exact"/>
              <w:rPr>
                <w:sz w:val="20"/>
                <w:szCs w:val="20"/>
                <w:color w:val="auto"/>
              </w:rPr>
            </w:pPr>
            <w:r>
              <w:rPr>
                <w:rFonts w:ascii="Arial" w:cs="Arial" w:eastAsia="Arial" w:hAnsi="Arial"/>
                <w:sz w:val="13"/>
                <w:szCs w:val="13"/>
                <w:color w:val="auto"/>
              </w:rPr>
              <w:t>(1,492,911)</w:t>
            </w:r>
          </w:p>
        </w:tc>
        <w:tc>
          <w:tcPr>
            <w:tcW w:w="1060" w:type="dxa"/>
            <w:vAlign w:val="bottom"/>
            <w:gridSpan w:val="2"/>
            <w:shd w:val="clear" w:color="auto" w:fill="CCEEFF"/>
          </w:tcPr>
          <w:p>
            <w:pPr>
              <w:jc w:val="right"/>
              <w:ind w:right="162"/>
              <w:spacing w:after="0" w:line="145" w:lineRule="exact"/>
              <w:rPr>
                <w:sz w:val="20"/>
                <w:szCs w:val="20"/>
                <w:color w:val="auto"/>
              </w:rPr>
            </w:pPr>
            <w:r>
              <w:rPr>
                <w:rFonts w:ascii="Arial" w:cs="Arial" w:eastAsia="Arial" w:hAnsi="Arial"/>
                <w:sz w:val="13"/>
                <w:szCs w:val="13"/>
                <w:color w:val="auto"/>
              </w:rPr>
              <w:t>(917,779)</w:t>
            </w:r>
          </w:p>
        </w:tc>
        <w:tc>
          <w:tcPr>
            <w:tcW w:w="1040" w:type="dxa"/>
            <w:vAlign w:val="bottom"/>
            <w:gridSpan w:val="2"/>
            <w:shd w:val="clear" w:color="auto" w:fill="CCEEFF"/>
          </w:tcPr>
          <w:p>
            <w:pPr>
              <w:jc w:val="right"/>
              <w:ind w:right="142"/>
              <w:spacing w:after="0" w:line="145" w:lineRule="exact"/>
              <w:rPr>
                <w:sz w:val="20"/>
                <w:szCs w:val="20"/>
                <w:color w:val="auto"/>
              </w:rPr>
            </w:pPr>
            <w:r>
              <w:rPr>
                <w:rFonts w:ascii="Arial" w:cs="Arial" w:eastAsia="Arial" w:hAnsi="Arial"/>
                <w:sz w:val="13"/>
                <w:szCs w:val="13"/>
                <w:color w:val="auto"/>
              </w:rPr>
              <w:t>(4,845,097)</w:t>
            </w:r>
          </w:p>
        </w:tc>
        <w:tc>
          <w:tcPr>
            <w:tcW w:w="1000" w:type="dxa"/>
            <w:vAlign w:val="bottom"/>
            <w:gridSpan w:val="2"/>
            <w:shd w:val="clear" w:color="auto" w:fill="CCEEFF"/>
          </w:tcPr>
          <w:p>
            <w:pPr>
              <w:jc w:val="right"/>
              <w:ind w:right="142"/>
              <w:spacing w:after="0" w:line="145" w:lineRule="exact"/>
              <w:rPr>
                <w:sz w:val="20"/>
                <w:szCs w:val="20"/>
                <w:color w:val="auto"/>
              </w:rPr>
            </w:pPr>
            <w:r>
              <w:rPr>
                <w:rFonts w:ascii="Arial" w:cs="Arial" w:eastAsia="Arial" w:hAnsi="Arial"/>
                <w:sz w:val="13"/>
                <w:szCs w:val="13"/>
                <w:color w:val="auto"/>
              </w:rPr>
              <w:t>(2,942,934)</w:t>
            </w:r>
          </w:p>
        </w:tc>
        <w:tc>
          <w:tcPr>
            <w:tcW w:w="1000" w:type="dxa"/>
            <w:vAlign w:val="bottom"/>
            <w:gridSpan w:val="2"/>
            <w:shd w:val="clear" w:color="auto" w:fill="CCEEFF"/>
          </w:tcPr>
          <w:p>
            <w:pPr>
              <w:jc w:val="right"/>
              <w:ind w:right="142"/>
              <w:spacing w:after="0" w:line="145" w:lineRule="exact"/>
              <w:rPr>
                <w:sz w:val="20"/>
                <w:szCs w:val="20"/>
                <w:color w:val="auto"/>
              </w:rPr>
            </w:pPr>
            <w:r>
              <w:rPr>
                <w:rFonts w:ascii="Arial" w:cs="Arial" w:eastAsia="Arial" w:hAnsi="Arial"/>
                <w:sz w:val="13"/>
                <w:szCs w:val="13"/>
                <w:color w:val="auto"/>
              </w:rPr>
              <w:t>(1,510,666)</w:t>
            </w:r>
          </w:p>
        </w:tc>
        <w:tc>
          <w:tcPr>
            <w:tcW w:w="1000" w:type="dxa"/>
            <w:vAlign w:val="bottom"/>
            <w:gridSpan w:val="2"/>
            <w:shd w:val="clear" w:color="auto" w:fill="CCEEFF"/>
          </w:tcPr>
          <w:p>
            <w:pPr>
              <w:jc w:val="right"/>
              <w:ind w:right="96"/>
              <w:spacing w:after="0" w:line="145" w:lineRule="exact"/>
              <w:rPr>
                <w:sz w:val="20"/>
                <w:szCs w:val="20"/>
                <w:color w:val="auto"/>
              </w:rPr>
            </w:pPr>
            <w:r>
              <w:rPr>
                <w:rFonts w:ascii="Arial" w:cs="Arial" w:eastAsia="Arial" w:hAnsi="Arial"/>
                <w:sz w:val="13"/>
                <w:szCs w:val="13"/>
                <w:color w:val="auto"/>
              </w:rPr>
              <w:t>(632,842)</w:t>
            </w:r>
          </w:p>
        </w:tc>
        <w:tc>
          <w:tcPr>
            <w:tcW w:w="920" w:type="dxa"/>
            <w:vAlign w:val="bottom"/>
            <w:gridSpan w:val="2"/>
            <w:shd w:val="clear" w:color="auto" w:fill="CCEEFF"/>
          </w:tcPr>
          <w:p>
            <w:pPr>
              <w:jc w:val="right"/>
              <w:ind w:right="42"/>
              <w:spacing w:after="0" w:line="145" w:lineRule="exact"/>
              <w:rPr>
                <w:sz w:val="20"/>
                <w:szCs w:val="20"/>
                <w:color w:val="auto"/>
              </w:rPr>
            </w:pPr>
            <w:r>
              <w:rPr>
                <w:rFonts w:ascii="Arial" w:cs="Arial" w:eastAsia="Arial" w:hAnsi="Arial"/>
                <w:sz w:val="13"/>
                <w:szCs w:val="13"/>
                <w:color w:val="auto"/>
              </w:rPr>
              <w:t>(5,086,442)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tcBorders>
              <w:bottom w:val="single" w:sz="8" w:color="CCEEFF"/>
            </w:tcBorders>
          </w:tcPr>
          <w:p>
            <w:pPr>
              <w:spacing w:after="0" w:line="125" w:lineRule="exact"/>
              <w:rPr>
                <w:sz w:val="20"/>
                <w:szCs w:val="20"/>
                <w:color w:val="auto"/>
              </w:rPr>
            </w:pPr>
            <w:r>
              <w:rPr>
                <w:rFonts w:ascii="Arial" w:cs="Arial" w:eastAsia="Arial" w:hAnsi="Arial"/>
                <w:sz w:val="13"/>
                <w:szCs w:val="13"/>
                <w:b w:val="1"/>
                <w:bCs w:val="1"/>
                <w:color w:val="auto"/>
              </w:rPr>
              <w:t>Total</w:t>
            </w:r>
          </w:p>
        </w:tc>
        <w:tc>
          <w:tcPr>
            <w:tcW w:w="8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(60,733,834</w:t>
            </w:r>
          </w:p>
        </w:tc>
        <w:tc>
          <w:tcPr>
            <w:tcW w:w="240" w:type="dxa"/>
            <w:vAlign w:val="bottom"/>
            <w:tcBorders>
              <w:bottom w:val="single" w:sz="8" w:color="CCEEFF"/>
            </w:tcBorders>
          </w:tcPr>
          <w:p>
            <w:pPr>
              <w:jc w:val="right"/>
              <w:ind w:right="162"/>
              <w:spacing w:after="0"/>
              <w:rPr>
                <w:sz w:val="20"/>
                <w:szCs w:val="20"/>
                <w:color w:val="auto"/>
              </w:rPr>
            </w:pPr>
            <w:r>
              <w:rPr>
                <w:rFonts w:ascii="Arial" w:cs="Arial" w:eastAsia="Arial" w:hAnsi="Arial"/>
                <w:sz w:val="8"/>
                <w:szCs w:val="8"/>
                <w:color w:val="auto"/>
                <w:w w:val="73"/>
              </w:rPr>
              <w:t>)</w:t>
            </w: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(65,912,999</w:t>
            </w:r>
          </w:p>
        </w:tc>
        <w:tc>
          <w:tcPr>
            <w:tcW w:w="240" w:type="dxa"/>
            <w:vAlign w:val="bottom"/>
            <w:tcBorders>
              <w:bottom w:val="single" w:sz="8" w:color="CCEEFF"/>
            </w:tcBorders>
          </w:tcPr>
          <w:p>
            <w:pPr>
              <w:jc w:val="right"/>
              <w:ind w:right="162"/>
              <w:spacing w:after="0"/>
              <w:rPr>
                <w:sz w:val="20"/>
                <w:szCs w:val="20"/>
                <w:color w:val="auto"/>
              </w:rPr>
            </w:pPr>
            <w:r>
              <w:rPr>
                <w:rFonts w:ascii="Arial" w:cs="Arial" w:eastAsia="Arial" w:hAnsi="Arial"/>
                <w:sz w:val="8"/>
                <w:szCs w:val="8"/>
                <w:color w:val="auto"/>
                <w:w w:val="73"/>
              </w:rPr>
              <w:t>)</w:t>
            </w:r>
          </w:p>
        </w:tc>
        <w:tc>
          <w:tcPr>
            <w:tcW w:w="8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(9,671,878</w:t>
            </w:r>
          </w:p>
        </w:tc>
        <w:tc>
          <w:tcPr>
            <w:tcW w:w="240" w:type="dxa"/>
            <w:vAlign w:val="bottom"/>
            <w:tcBorders>
              <w:bottom w:val="single" w:sz="8" w:color="CCEEFF"/>
            </w:tcBorders>
          </w:tcPr>
          <w:p>
            <w:pPr>
              <w:jc w:val="right"/>
              <w:ind w:right="162"/>
              <w:spacing w:after="0"/>
              <w:rPr>
                <w:sz w:val="20"/>
                <w:szCs w:val="20"/>
                <w:color w:val="auto"/>
              </w:rPr>
            </w:pPr>
            <w:r>
              <w:rPr>
                <w:rFonts w:ascii="Arial" w:cs="Arial" w:eastAsia="Arial" w:hAnsi="Arial"/>
                <w:sz w:val="8"/>
                <w:szCs w:val="8"/>
                <w:color w:val="auto"/>
                <w:w w:val="73"/>
              </w:rPr>
              <w:t>)</w:t>
            </w:r>
          </w:p>
        </w:tc>
        <w:tc>
          <w:tcPr>
            <w:tcW w:w="8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(136,318,711</w:t>
            </w:r>
          </w:p>
        </w:tc>
        <w:tc>
          <w:tcPr>
            <w:tcW w:w="220" w:type="dxa"/>
            <w:vAlign w:val="bottom"/>
            <w:tcBorders>
              <w:bottom w:val="single" w:sz="8" w:color="CCEEFF"/>
            </w:tcBorders>
          </w:tcPr>
          <w:p>
            <w:pPr>
              <w:jc w:val="right"/>
              <w:ind w:right="142"/>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(58,312,712</w:t>
            </w:r>
          </w:p>
        </w:tc>
        <w:tc>
          <w:tcPr>
            <w:tcW w:w="220" w:type="dxa"/>
            <w:vAlign w:val="bottom"/>
            <w:tcBorders>
              <w:bottom w:val="single" w:sz="8" w:color="CCEEFF"/>
            </w:tcBorders>
          </w:tcPr>
          <w:p>
            <w:pPr>
              <w:jc w:val="right"/>
              <w:ind w:right="142"/>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(71,614,714</w:t>
            </w:r>
          </w:p>
        </w:tc>
        <w:tc>
          <w:tcPr>
            <w:tcW w:w="220" w:type="dxa"/>
            <w:vAlign w:val="bottom"/>
            <w:tcBorders>
              <w:bottom w:val="single" w:sz="8" w:color="CCEEFF"/>
            </w:tcBorders>
          </w:tcPr>
          <w:p>
            <w:pPr>
              <w:jc w:val="right"/>
              <w:ind w:right="142"/>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(8,825,223</w:t>
            </w:r>
          </w:p>
        </w:tc>
        <w:tc>
          <w:tcPr>
            <w:tcW w:w="220" w:type="dxa"/>
            <w:vAlign w:val="bottom"/>
            <w:tcBorders>
              <w:bottom w:val="single" w:sz="8" w:color="CCEEFF"/>
            </w:tcBorders>
          </w:tcPr>
          <w:p>
            <w:pPr>
              <w:jc w:val="right"/>
              <w:ind w:right="96"/>
              <w:spacing w:after="0" w:line="125" w:lineRule="exact"/>
              <w:rPr>
                <w:sz w:val="20"/>
                <w:szCs w:val="20"/>
                <w:color w:val="auto"/>
              </w:rPr>
            </w:pPr>
            <w:r>
              <w:rPr>
                <w:rFonts w:ascii="Arial" w:cs="Arial" w:eastAsia="Arial" w:hAnsi="Arial"/>
                <w:sz w:val="13"/>
                <w:szCs w:val="13"/>
                <w:color w:val="auto"/>
                <w:w w:val="91"/>
              </w:rPr>
              <w:t>)</w:t>
            </w:r>
          </w:p>
        </w:tc>
        <w:tc>
          <w:tcPr>
            <w:tcW w:w="8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(138,752,649</w:t>
            </w:r>
          </w:p>
        </w:tc>
        <w:tc>
          <w:tcPr>
            <w:tcW w:w="120" w:type="dxa"/>
            <w:vAlign w:val="bottom"/>
            <w:tcBorders>
              <w:bottom w:val="single" w:sz="8" w:color="CCEEFF"/>
            </w:tcBorders>
          </w:tcPr>
          <w:p>
            <w:pPr>
              <w:jc w:val="right"/>
              <w:ind w:right="4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11,468,358</w:t>
            </w:r>
          </w:p>
        </w:tc>
        <w:tc>
          <w:tcPr>
            <w:tcW w:w="240" w:type="dxa"/>
            <w:vAlign w:val="bottom"/>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(88,213</w:t>
            </w:r>
          </w:p>
        </w:tc>
        <w:tc>
          <w:tcPr>
            <w:tcW w:w="240" w:type="dxa"/>
            <w:vAlign w:val="bottom"/>
            <w:shd w:val="clear" w:color="auto" w:fill="CCEEFF"/>
          </w:tcPr>
          <w:p>
            <w:pPr>
              <w:jc w:val="right"/>
              <w:ind w:right="162"/>
              <w:spacing w:after="0"/>
              <w:rPr>
                <w:sz w:val="20"/>
                <w:szCs w:val="20"/>
                <w:color w:val="auto"/>
              </w:rPr>
            </w:pPr>
            <w:r>
              <w:rPr>
                <w:rFonts w:ascii="Arial" w:cs="Arial" w:eastAsia="Arial" w:hAnsi="Arial"/>
                <w:sz w:val="8"/>
                <w:szCs w:val="8"/>
                <w:color w:val="auto"/>
                <w:w w:val="73"/>
              </w:rPr>
              <w:t>)</w:t>
            </w:r>
          </w:p>
        </w:tc>
        <w:tc>
          <w:tcPr>
            <w:tcW w:w="82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3,963</w:t>
            </w:r>
          </w:p>
        </w:tc>
        <w:tc>
          <w:tcPr>
            <w:tcW w:w="240" w:type="dxa"/>
            <w:vAlign w:val="bottom"/>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11,384,108</w:t>
            </w:r>
          </w:p>
        </w:tc>
        <w:tc>
          <w:tcPr>
            <w:tcW w:w="22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9,666,983</w:t>
            </w:r>
          </w:p>
        </w:tc>
        <w:tc>
          <w:tcPr>
            <w:tcW w:w="22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(852,157</w:t>
            </w:r>
          </w:p>
        </w:tc>
        <w:tc>
          <w:tcPr>
            <w:tcW w:w="220" w:type="dxa"/>
            <w:vAlign w:val="bottom"/>
            <w:shd w:val="clear" w:color="auto" w:fill="CCEEFF"/>
          </w:tcPr>
          <w:p>
            <w:pPr>
              <w:jc w:val="right"/>
              <w:ind w:right="142"/>
              <w:spacing w:after="0"/>
              <w:rPr>
                <w:sz w:val="20"/>
                <w:szCs w:val="20"/>
                <w:color w:val="auto"/>
              </w:rPr>
            </w:pPr>
            <w:r>
              <w:rPr>
                <w:rFonts w:ascii="Arial" w:cs="Arial" w:eastAsia="Arial" w:hAnsi="Arial"/>
                <w:sz w:val="8"/>
                <w:szCs w:val="8"/>
                <w:color w:val="auto"/>
                <w:w w:val="73"/>
              </w:rPr>
              <w:t>)</w:t>
            </w:r>
          </w:p>
        </w:tc>
        <w:tc>
          <w:tcPr>
            <w:tcW w:w="7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179,644</w:t>
            </w:r>
          </w:p>
        </w:tc>
        <w:tc>
          <w:tcPr>
            <w:tcW w:w="220" w:type="dxa"/>
            <w:vAlign w:val="bottom"/>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8,994,470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3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3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Forwards position, net</w:t>
            </w:r>
          </w:p>
        </w:tc>
        <w:tc>
          <w:tcPr>
            <w:tcW w:w="1060" w:type="dxa"/>
            <w:vAlign w:val="bottom"/>
            <w:gridSpan w:val="2"/>
            <w:shd w:val="clear" w:color="auto" w:fill="CCEEFF"/>
          </w:tcPr>
          <w:p>
            <w:pPr>
              <w:jc w:val="right"/>
              <w:ind w:right="202"/>
              <w:spacing w:after="0" w:line="133" w:lineRule="exact"/>
              <w:rPr>
                <w:sz w:val="20"/>
                <w:szCs w:val="20"/>
                <w:color w:val="auto"/>
              </w:rPr>
            </w:pPr>
            <w:r>
              <w:rPr>
                <w:rFonts w:ascii="Arial" w:cs="Arial" w:eastAsia="Arial" w:hAnsi="Arial"/>
                <w:sz w:val="13"/>
                <w:szCs w:val="13"/>
                <w:color w:val="auto"/>
              </w:rPr>
              <w:t>508,304</w:t>
            </w:r>
          </w:p>
        </w:tc>
        <w:tc>
          <w:tcPr>
            <w:tcW w:w="104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(529,352)</w:t>
            </w:r>
          </w:p>
        </w:tc>
        <w:tc>
          <w:tcPr>
            <w:tcW w:w="106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(93,844)</w:t>
            </w:r>
          </w:p>
        </w:tc>
        <w:tc>
          <w:tcPr>
            <w:tcW w:w="104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(114,892)</w:t>
            </w:r>
          </w:p>
        </w:tc>
        <w:tc>
          <w:tcPr>
            <w:tcW w:w="1000" w:type="dxa"/>
            <w:vAlign w:val="bottom"/>
            <w:gridSpan w:val="2"/>
            <w:shd w:val="clear" w:color="auto" w:fill="CCEEFF"/>
          </w:tcPr>
          <w:p>
            <w:pPr>
              <w:jc w:val="right"/>
              <w:ind w:right="182"/>
              <w:spacing w:after="0" w:line="133" w:lineRule="exact"/>
              <w:rPr>
                <w:sz w:val="20"/>
                <w:szCs w:val="20"/>
                <w:color w:val="auto"/>
              </w:rPr>
            </w:pPr>
            <w:r>
              <w:rPr>
                <w:rFonts w:ascii="Arial" w:cs="Arial" w:eastAsia="Arial" w:hAnsi="Arial"/>
                <w:sz w:val="13"/>
                <w:szCs w:val="13"/>
                <w:color w:val="auto"/>
              </w:rPr>
              <w:t>6,011,253</w:t>
            </w:r>
          </w:p>
        </w:tc>
        <w:tc>
          <w:tcPr>
            <w:tcW w:w="1000" w:type="dxa"/>
            <w:vAlign w:val="bottom"/>
            <w:gridSpan w:val="2"/>
            <w:shd w:val="clear" w:color="auto" w:fill="CCEEFF"/>
          </w:tcPr>
          <w:p>
            <w:pPr>
              <w:jc w:val="right"/>
              <w:ind w:right="142"/>
              <w:spacing w:after="0" w:line="133" w:lineRule="exact"/>
              <w:rPr>
                <w:sz w:val="20"/>
                <w:szCs w:val="20"/>
                <w:color w:val="auto"/>
              </w:rPr>
            </w:pPr>
            <w:r>
              <w:rPr>
                <w:rFonts w:ascii="Arial" w:cs="Arial" w:eastAsia="Arial" w:hAnsi="Arial"/>
                <w:sz w:val="13"/>
                <w:szCs w:val="13"/>
                <w:color w:val="auto"/>
              </w:rPr>
              <w:t>(6,707,587)</w:t>
            </w:r>
          </w:p>
        </w:tc>
        <w:tc>
          <w:tcPr>
            <w:tcW w:w="1000" w:type="dxa"/>
            <w:vAlign w:val="bottom"/>
            <w:gridSpan w:val="2"/>
            <w:shd w:val="clear" w:color="auto" w:fill="CCEEFF"/>
          </w:tcPr>
          <w:p>
            <w:pPr>
              <w:jc w:val="right"/>
              <w:ind w:right="156"/>
              <w:spacing w:after="0" w:line="133" w:lineRule="exact"/>
              <w:rPr>
                <w:sz w:val="20"/>
                <w:szCs w:val="20"/>
                <w:color w:val="auto"/>
              </w:rPr>
            </w:pPr>
            <w:r>
              <w:rPr>
                <w:rFonts w:ascii="Arial" w:cs="Arial" w:eastAsia="Arial" w:hAnsi="Arial"/>
                <w:sz w:val="13"/>
                <w:szCs w:val="13"/>
                <w:color w:val="auto"/>
              </w:rPr>
              <w:t>696,334</w:t>
            </w:r>
          </w:p>
        </w:tc>
        <w:tc>
          <w:tcPr>
            <w:tcW w:w="920" w:type="dxa"/>
            <w:vAlign w:val="bottom"/>
            <w:gridSpan w:val="2"/>
            <w:shd w:val="clear" w:color="auto" w:fill="CCEEFF"/>
          </w:tcPr>
          <w:p>
            <w:pPr>
              <w:jc w:val="right"/>
              <w:ind w:right="82"/>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Pr>
          <w:p>
            <w:pPr>
              <w:spacing w:after="0" w:line="133" w:lineRule="exact"/>
              <w:rPr>
                <w:sz w:val="20"/>
                <w:szCs w:val="20"/>
                <w:color w:val="auto"/>
              </w:rPr>
            </w:pPr>
            <w:r>
              <w:rPr>
                <w:rFonts w:ascii="Arial" w:cs="Arial" w:eastAsia="Arial" w:hAnsi="Arial"/>
                <w:sz w:val="13"/>
                <w:szCs w:val="13"/>
                <w:color w:val="auto"/>
              </w:rPr>
              <w:t>Currency swaps position, net</w:t>
            </w:r>
          </w:p>
        </w:tc>
        <w:tc>
          <w:tcPr>
            <w:tcW w:w="1060" w:type="dxa"/>
            <w:vAlign w:val="bottom"/>
            <w:gridSpan w:val="2"/>
          </w:tcPr>
          <w:p>
            <w:pPr>
              <w:jc w:val="right"/>
              <w:ind w:right="202"/>
              <w:spacing w:after="0" w:line="133" w:lineRule="exact"/>
              <w:rPr>
                <w:sz w:val="20"/>
                <w:szCs w:val="20"/>
                <w:color w:val="auto"/>
              </w:rPr>
            </w:pPr>
            <w:r>
              <w:rPr>
                <w:rFonts w:ascii="Arial" w:cs="Arial" w:eastAsia="Arial" w:hAnsi="Arial"/>
                <w:sz w:val="13"/>
                <w:szCs w:val="13"/>
                <w:color w:val="auto"/>
              </w:rPr>
              <w:t>245,063</w:t>
            </w:r>
          </w:p>
        </w:tc>
        <w:tc>
          <w:tcPr>
            <w:tcW w:w="1040" w:type="dxa"/>
            <w:vAlign w:val="bottom"/>
            <w:gridSpan w:val="2"/>
          </w:tcPr>
          <w:p>
            <w:pPr>
              <w:jc w:val="right"/>
              <w:ind w:right="162"/>
              <w:spacing w:after="0" w:line="133" w:lineRule="exact"/>
              <w:rPr>
                <w:sz w:val="20"/>
                <w:szCs w:val="20"/>
                <w:color w:val="auto"/>
              </w:rPr>
            </w:pPr>
            <w:r>
              <w:rPr>
                <w:rFonts w:ascii="Arial" w:cs="Arial" w:eastAsia="Arial" w:hAnsi="Arial"/>
                <w:sz w:val="13"/>
                <w:szCs w:val="13"/>
                <w:color w:val="auto"/>
              </w:rPr>
              <w:t>(245,098)</w:t>
            </w:r>
          </w:p>
        </w:tc>
        <w:tc>
          <w:tcPr>
            <w:tcW w:w="1060" w:type="dxa"/>
            <w:vAlign w:val="bottom"/>
            <w:gridSpan w:val="2"/>
          </w:tcPr>
          <w:p>
            <w:pPr>
              <w:jc w:val="right"/>
              <w:ind w:right="202"/>
              <w:spacing w:after="0" w:line="133" w:lineRule="exact"/>
              <w:rPr>
                <w:sz w:val="20"/>
                <w:szCs w:val="20"/>
                <w:color w:val="auto"/>
              </w:rPr>
            </w:pPr>
            <w:r>
              <w:rPr>
                <w:rFonts w:ascii="Arial" w:cs="Arial" w:eastAsia="Arial" w:hAnsi="Arial"/>
                <w:sz w:val="13"/>
                <w:szCs w:val="13"/>
                <w:color w:val="auto"/>
              </w:rPr>
              <w:t>35</w:t>
            </w:r>
          </w:p>
        </w:tc>
        <w:tc>
          <w:tcPr>
            <w:tcW w:w="82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0" w:type="dxa"/>
            <w:vAlign w:val="bottom"/>
            <w:gridSpan w:val="2"/>
          </w:tcPr>
          <w:p>
            <w:pPr>
              <w:jc w:val="right"/>
              <w:ind w:right="142"/>
              <w:spacing w:after="0" w:line="133" w:lineRule="exact"/>
              <w:rPr>
                <w:sz w:val="20"/>
                <w:szCs w:val="20"/>
                <w:color w:val="auto"/>
              </w:rPr>
            </w:pPr>
            <w:r>
              <w:rPr>
                <w:rFonts w:ascii="Arial" w:cs="Arial" w:eastAsia="Arial" w:hAnsi="Arial"/>
                <w:sz w:val="13"/>
                <w:szCs w:val="13"/>
                <w:color w:val="auto"/>
              </w:rPr>
              <w:t>(9,997,505)</w:t>
            </w:r>
          </w:p>
        </w:tc>
        <w:tc>
          <w:tcPr>
            <w:tcW w:w="1000" w:type="dxa"/>
            <w:vAlign w:val="bottom"/>
            <w:gridSpan w:val="2"/>
          </w:tcPr>
          <w:p>
            <w:pPr>
              <w:jc w:val="right"/>
              <w:ind w:right="182"/>
              <w:spacing w:after="0" w:line="133" w:lineRule="exact"/>
              <w:rPr>
                <w:sz w:val="20"/>
                <w:szCs w:val="20"/>
                <w:color w:val="auto"/>
              </w:rPr>
            </w:pPr>
            <w:r>
              <w:rPr>
                <w:rFonts w:ascii="Arial" w:cs="Arial" w:eastAsia="Arial" w:hAnsi="Arial"/>
                <w:sz w:val="13"/>
                <w:szCs w:val="13"/>
                <w:color w:val="auto"/>
              </w:rPr>
              <w:t>10,084,091</w:t>
            </w:r>
          </w:p>
        </w:tc>
        <w:tc>
          <w:tcPr>
            <w:tcW w:w="1000" w:type="dxa"/>
            <w:vAlign w:val="bottom"/>
            <w:gridSpan w:val="2"/>
          </w:tcPr>
          <w:p>
            <w:pPr>
              <w:jc w:val="right"/>
              <w:ind w:right="96"/>
              <w:spacing w:after="0" w:line="133" w:lineRule="exact"/>
              <w:rPr>
                <w:sz w:val="20"/>
                <w:szCs w:val="20"/>
                <w:color w:val="auto"/>
              </w:rPr>
            </w:pPr>
            <w:r>
              <w:rPr>
                <w:rFonts w:ascii="Arial" w:cs="Arial" w:eastAsia="Arial" w:hAnsi="Arial"/>
                <w:sz w:val="13"/>
                <w:szCs w:val="13"/>
                <w:color w:val="auto"/>
              </w:rPr>
              <w:t>(86,586)</w:t>
            </w:r>
          </w:p>
        </w:tc>
        <w:tc>
          <w:tcPr>
            <w:tcW w:w="920" w:type="dxa"/>
            <w:vAlign w:val="bottom"/>
            <w:gridSpan w:val="2"/>
          </w:tcPr>
          <w:p>
            <w:pPr>
              <w:jc w:val="right"/>
              <w:ind w:right="82"/>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Cross currency swaps position, net</w:t>
            </w:r>
          </w:p>
        </w:tc>
        <w:tc>
          <w:tcPr>
            <w:tcW w:w="106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(1,340,985)</w:t>
            </w:r>
          </w:p>
        </w:tc>
        <w:tc>
          <w:tcPr>
            <w:tcW w:w="1040" w:type="dxa"/>
            <w:vAlign w:val="bottom"/>
            <w:gridSpan w:val="2"/>
            <w:shd w:val="clear" w:color="auto" w:fill="CCEEFF"/>
          </w:tcPr>
          <w:p>
            <w:pPr>
              <w:jc w:val="right"/>
              <w:ind w:right="202"/>
              <w:spacing w:after="0" w:line="133" w:lineRule="exact"/>
              <w:rPr>
                <w:sz w:val="20"/>
                <w:szCs w:val="20"/>
                <w:color w:val="auto"/>
              </w:rPr>
            </w:pPr>
            <w:r>
              <w:rPr>
                <w:rFonts w:ascii="Arial" w:cs="Arial" w:eastAsia="Arial" w:hAnsi="Arial"/>
                <w:sz w:val="13"/>
                <w:szCs w:val="13"/>
                <w:color w:val="auto"/>
              </w:rPr>
              <w:t>1,433,012</w:t>
            </w:r>
          </w:p>
        </w:tc>
        <w:tc>
          <w:tcPr>
            <w:tcW w:w="1060" w:type="dxa"/>
            <w:vAlign w:val="bottom"/>
            <w:gridSpan w:val="2"/>
            <w:shd w:val="clear" w:color="auto" w:fill="CCEEFF"/>
          </w:tcPr>
          <w:p>
            <w:pPr>
              <w:jc w:val="right"/>
              <w:ind w:right="162"/>
              <w:spacing w:after="0" w:line="133" w:lineRule="exact"/>
              <w:rPr>
                <w:sz w:val="20"/>
                <w:szCs w:val="20"/>
                <w:color w:val="auto"/>
              </w:rPr>
            </w:pPr>
            <w:r>
              <w:rPr>
                <w:rFonts w:ascii="Arial" w:cs="Arial" w:eastAsia="Arial" w:hAnsi="Arial"/>
                <w:sz w:val="13"/>
                <w:szCs w:val="13"/>
                <w:color w:val="auto"/>
              </w:rPr>
              <w:t>(92,027)</w:t>
            </w:r>
          </w:p>
        </w:tc>
        <w:tc>
          <w:tcPr>
            <w:tcW w:w="8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2"/>
              <w:spacing w:after="0" w:line="133"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82"/>
              <w:spacing w:after="0" w:line="133"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56"/>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82"/>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00" w:type="dxa"/>
            <w:vAlign w:val="bottom"/>
          </w:tcPr>
          <w:p>
            <w:pPr>
              <w:spacing w:after="0" w:line="145" w:lineRule="exact"/>
              <w:rPr>
                <w:sz w:val="20"/>
                <w:szCs w:val="20"/>
                <w:color w:val="auto"/>
              </w:rPr>
            </w:pPr>
            <w:r>
              <w:rPr>
                <w:rFonts w:ascii="Arial" w:cs="Arial" w:eastAsia="Arial" w:hAnsi="Arial"/>
                <w:sz w:val="13"/>
                <w:szCs w:val="13"/>
                <w:color w:val="auto"/>
              </w:rPr>
              <w:t>Options, net</w:t>
            </w:r>
          </w:p>
        </w:tc>
        <w:tc>
          <w:tcPr>
            <w:tcW w:w="1060" w:type="dxa"/>
            <w:vAlign w:val="bottom"/>
            <w:gridSpan w:val="2"/>
          </w:tcPr>
          <w:p>
            <w:pPr>
              <w:jc w:val="right"/>
              <w:ind w:right="162"/>
              <w:spacing w:after="0" w:line="145" w:lineRule="exact"/>
              <w:rPr>
                <w:sz w:val="20"/>
                <w:szCs w:val="20"/>
                <w:color w:val="auto"/>
              </w:rPr>
            </w:pPr>
            <w:r>
              <w:rPr>
                <w:rFonts w:ascii="Arial" w:cs="Arial" w:eastAsia="Arial" w:hAnsi="Arial"/>
                <w:sz w:val="13"/>
                <w:szCs w:val="13"/>
                <w:color w:val="auto"/>
              </w:rPr>
              <w:t>(86,059)</w:t>
            </w:r>
          </w:p>
        </w:tc>
        <w:tc>
          <w:tcPr>
            <w:tcW w:w="1040" w:type="dxa"/>
            <w:vAlign w:val="bottom"/>
            <w:gridSpan w:val="2"/>
          </w:tcPr>
          <w:p>
            <w:pPr>
              <w:jc w:val="right"/>
              <w:ind w:right="202"/>
              <w:spacing w:after="0" w:line="145" w:lineRule="exact"/>
              <w:rPr>
                <w:sz w:val="20"/>
                <w:szCs w:val="20"/>
                <w:color w:val="auto"/>
              </w:rPr>
            </w:pPr>
            <w:r>
              <w:rPr>
                <w:rFonts w:ascii="Arial" w:cs="Arial" w:eastAsia="Arial" w:hAnsi="Arial"/>
                <w:sz w:val="13"/>
                <w:szCs w:val="13"/>
                <w:color w:val="auto"/>
              </w:rPr>
              <w:t>86,059</w:t>
            </w:r>
          </w:p>
        </w:tc>
        <w:tc>
          <w:tcPr>
            <w:tcW w:w="1060" w:type="dxa"/>
            <w:vAlign w:val="bottom"/>
            <w:gridSpan w:val="2"/>
          </w:tcPr>
          <w:p>
            <w:pPr>
              <w:jc w:val="right"/>
              <w:ind w:right="202"/>
              <w:spacing w:after="0" w:line="14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182"/>
              <w:spacing w:after="0" w:line="145" w:lineRule="exact"/>
              <w:rPr>
                <w:sz w:val="20"/>
                <w:szCs w:val="20"/>
                <w:color w:val="auto"/>
              </w:rPr>
            </w:pPr>
            <w:r>
              <w:rPr>
                <w:rFonts w:ascii="Arial" w:cs="Arial" w:eastAsia="Arial" w:hAnsi="Arial"/>
                <w:sz w:val="13"/>
                <w:szCs w:val="13"/>
                <w:color w:val="auto"/>
              </w:rPr>
              <w:t>543,066</w:t>
            </w:r>
          </w:p>
        </w:tc>
        <w:tc>
          <w:tcPr>
            <w:tcW w:w="1000" w:type="dxa"/>
            <w:vAlign w:val="bottom"/>
            <w:gridSpan w:val="2"/>
          </w:tcPr>
          <w:p>
            <w:pPr>
              <w:jc w:val="right"/>
              <w:ind w:right="142"/>
              <w:spacing w:after="0" w:line="145" w:lineRule="exact"/>
              <w:rPr>
                <w:sz w:val="20"/>
                <w:szCs w:val="20"/>
                <w:color w:val="auto"/>
              </w:rPr>
            </w:pPr>
            <w:r>
              <w:rPr>
                <w:rFonts w:ascii="Arial" w:cs="Arial" w:eastAsia="Arial" w:hAnsi="Arial"/>
                <w:sz w:val="13"/>
                <w:szCs w:val="13"/>
                <w:color w:val="auto"/>
              </w:rPr>
              <w:t>(543,066)</w:t>
            </w:r>
          </w:p>
        </w:tc>
        <w:tc>
          <w:tcPr>
            <w:tcW w:w="1000" w:type="dxa"/>
            <w:vAlign w:val="bottom"/>
            <w:gridSpan w:val="2"/>
          </w:tcPr>
          <w:p>
            <w:pPr>
              <w:jc w:val="right"/>
              <w:ind w:right="156"/>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82"/>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3"/>
                <w:szCs w:val="13"/>
                <w:color w:val="auto"/>
              </w:rPr>
              <w:t>Net monetary position</w:t>
            </w:r>
          </w:p>
        </w:tc>
        <w:tc>
          <w:tcPr>
            <w:tcW w:w="8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10,794,681</w:t>
            </w:r>
          </w:p>
        </w:tc>
        <w:tc>
          <w:tcPr>
            <w:tcW w:w="2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656,408</w:t>
            </w:r>
          </w:p>
        </w:tc>
        <w:tc>
          <w:tcPr>
            <w:tcW w:w="2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(181,873</w:t>
            </w:r>
          </w:p>
        </w:tc>
        <w:tc>
          <w:tcPr>
            <w:tcW w:w="240" w:type="dxa"/>
            <w:vAlign w:val="bottom"/>
            <w:tcBorders>
              <w:top w:val="single" w:sz="8" w:color="CCEEFF"/>
            </w:tcBorders>
            <w:shd w:val="clear" w:color="auto" w:fill="CCEEFF"/>
          </w:tcPr>
          <w:p>
            <w:pPr>
              <w:jc w:val="right"/>
              <w:ind w:right="162"/>
              <w:spacing w:after="0"/>
              <w:rPr>
                <w:sz w:val="20"/>
                <w:szCs w:val="20"/>
                <w:color w:val="auto"/>
              </w:rPr>
            </w:pPr>
            <w:r>
              <w:rPr>
                <w:rFonts w:ascii="Arial" w:cs="Arial" w:eastAsia="Arial" w:hAnsi="Arial"/>
                <w:sz w:val="8"/>
                <w:szCs w:val="8"/>
                <w:color w:val="auto"/>
                <w:w w:val="73"/>
              </w:rPr>
              <w:t>)</w:t>
            </w:r>
          </w:p>
        </w:tc>
        <w:tc>
          <w:tcPr>
            <w:tcW w:w="8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11,269,216</w:t>
            </w: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6,223,797</w:t>
            </w: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1,981,281</w:t>
            </w: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789,392</w:t>
            </w:r>
          </w:p>
        </w:tc>
        <w:tc>
          <w:tcPr>
            <w:tcW w:w="2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8,994,470</w:t>
            </w: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828" w:right="219" w:bottom="1440" w:gutter="0" w:footer="0" w:header="0"/>
        </w:sectPr>
      </w:pPr>
    </w:p>
    <w:bookmarkStart w:id="142" w:name="page143"/>
    <w:bookmarkEnd w:id="142"/>
    <w:p>
      <w:pPr>
        <w:ind w:left="280" w:right="80"/>
        <w:spacing w:after="0" w:line="257" w:lineRule="auto"/>
        <w:rPr>
          <w:sz w:val="20"/>
          <w:szCs w:val="20"/>
          <w:color w:val="auto"/>
        </w:rPr>
      </w:pPr>
      <w:r>
        <w:rPr>
          <w:rFonts w:ascii="Arial" w:cs="Arial" w:eastAsia="Arial" w:hAnsi="Arial"/>
          <w:sz w:val="16"/>
          <w:szCs w:val="16"/>
          <w:color w:val="auto"/>
        </w:rPr>
        <w:t>The Group manages foreign exchange risk by monitoring and controlling the currency position values exposed to changes in exchange rates. The Group measures its performance in Soles (since 2014 considering its change in functional currency, before it was measured in U.S. Dollars), so if the net foreign exchange position (e.g. U.S. Dollar) is an asset, any depreciation of Soles with respect to this currency would positively affect the Group’s consolidated statement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statement of income.</w:t>
      </w:r>
    </w:p>
    <w:p>
      <w:pPr>
        <w:spacing w:after="0" w:line="172" w:lineRule="exact"/>
        <w:rPr>
          <w:sz w:val="20"/>
          <w:szCs w:val="20"/>
          <w:color w:val="auto"/>
        </w:rPr>
      </w:pPr>
    </w:p>
    <w:p>
      <w:pPr>
        <w:ind w:left="280" w:right="140"/>
        <w:spacing w:after="0" w:line="292" w:lineRule="auto"/>
        <w:rPr>
          <w:sz w:val="20"/>
          <w:szCs w:val="20"/>
          <w:color w:val="auto"/>
        </w:rPr>
      </w:pPr>
      <w:r>
        <w:rPr>
          <w:rFonts w:ascii="Arial" w:cs="Arial" w:eastAsia="Arial" w:hAnsi="Arial"/>
          <w:sz w:val="15"/>
          <w:szCs w:val="15"/>
          <w:color w:val="auto"/>
        </w:rPr>
        <w:t>The Group’s net foreign exchange position is the sum of its positive open non-Soles positions (net long position) less the sum of its negative open non-Soles positions (net short position). Any devaluation/revaluation of the foreign exchange position would affect the consolidated statement of income. A currency mismatch would leave the Group’s consolidated statement of financial position vulnerable to a fluctuation of the foreign currency (exchange rate shock).</w:t>
      </w:r>
    </w:p>
    <w:p>
      <w:pPr>
        <w:spacing w:after="0" w:line="144" w:lineRule="exact"/>
        <w:rPr>
          <w:sz w:val="20"/>
          <w:szCs w:val="20"/>
          <w:color w:val="auto"/>
        </w:rPr>
      </w:pPr>
    </w:p>
    <w:p>
      <w:pPr>
        <w:ind w:left="280" w:right="200"/>
        <w:spacing w:after="0" w:line="261" w:lineRule="auto"/>
        <w:rPr>
          <w:sz w:val="20"/>
          <w:szCs w:val="20"/>
          <w:color w:val="auto"/>
        </w:rPr>
      </w:pPr>
      <w:r>
        <w:rPr>
          <w:rFonts w:ascii="Arial" w:cs="Arial" w:eastAsia="Arial" w:hAnsi="Arial"/>
          <w:sz w:val="16"/>
          <w:szCs w:val="16"/>
          <w:color w:val="auto"/>
        </w:rPr>
        <w:t>The table below shows the sensitivity analysis of the U.S. Dollar, the currency to which the Group had significant exposure as of December 31, 2016 and 2015 in its non-trading monetary assets and liabilities and its forecast cash flows. The analysis calculates the effect of a reasonably possible movement of the currency rate against Soles with all other variables held constant on the consolidated statement of income, before income tax. A negative amount in the table reflects a potential net reduction in the consolidated statement of income, while a positive amount reflects a net potential increase:</w:t>
      </w:r>
    </w:p>
    <w:p>
      <w:pPr>
        <w:spacing w:after="0" w:line="163" w:lineRule="exact"/>
        <w:rPr>
          <w:sz w:val="20"/>
          <w:szCs w:val="20"/>
          <w:color w:val="auto"/>
        </w:rPr>
      </w:pPr>
    </w:p>
    <w:tbl>
      <w:tblPr>
        <w:tblLayout w:type="fixed"/>
        <w:tblInd w:w="280" w:type="dxa"/>
        <w:tblCellMar>
          <w:top w:w="0" w:type="dxa"/>
          <w:left w:w="0" w:type="dxa"/>
          <w:bottom w:w="0" w:type="dxa"/>
          <w:right w:w="0" w:type="dxa"/>
        </w:tblCellMar>
      </w:tblPr>
      <w:tr>
        <w:trPr>
          <w:trHeight w:val="193"/>
        </w:trPr>
        <w:tc>
          <w:tcPr>
            <w:tcW w:w="5180" w:type="dxa"/>
            <w:vAlign w:val="bottom"/>
            <w:vMerge w:val="restart"/>
          </w:tcPr>
          <w:p>
            <w:pPr>
              <w:spacing w:after="0"/>
              <w:rPr>
                <w:sz w:val="20"/>
                <w:szCs w:val="20"/>
                <w:color w:val="auto"/>
              </w:rPr>
            </w:pPr>
            <w:r>
              <w:rPr>
                <w:rFonts w:ascii="Arial" w:cs="Arial" w:eastAsia="Arial" w:hAnsi="Arial"/>
                <w:sz w:val="16"/>
                <w:szCs w:val="16"/>
                <w:b w:val="1"/>
                <w:bCs w:val="1"/>
                <w:color w:val="auto"/>
              </w:rPr>
              <w:t>Market price sensitivity</w:t>
            </w:r>
          </w:p>
        </w:tc>
        <w:tc>
          <w:tcPr>
            <w:tcW w:w="1980" w:type="dxa"/>
            <w:vAlign w:val="bottom"/>
            <w:gridSpan w:val="2"/>
          </w:tcPr>
          <w:p>
            <w:pPr>
              <w:spacing w:after="0"/>
              <w:rPr>
                <w:sz w:val="20"/>
                <w:szCs w:val="20"/>
                <w:color w:val="auto"/>
              </w:rPr>
            </w:pPr>
            <w:r>
              <w:rPr>
                <w:rFonts w:ascii="Arial" w:cs="Arial" w:eastAsia="Arial" w:hAnsi="Arial"/>
                <w:sz w:val="16"/>
                <w:szCs w:val="16"/>
                <w:b w:val="1"/>
                <w:bCs w:val="1"/>
                <w:color w:val="auto"/>
              </w:rPr>
              <w:t>Change in</w:t>
            </w: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6"/>
                <w:szCs w:val="16"/>
                <w:b w:val="1"/>
                <w:bCs w:val="1"/>
                <w:color w:val="auto"/>
              </w:rPr>
              <w:t>currency rates</w:t>
            </w:r>
          </w:p>
        </w:tc>
        <w:tc>
          <w:tcPr>
            <w:tcW w:w="1740" w:type="dxa"/>
            <w:vAlign w:val="bottom"/>
          </w:tcPr>
          <w:p>
            <w:pPr>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02"/>
        </w:trPr>
        <w:tc>
          <w:tcPr>
            <w:tcW w:w="5180" w:type="dxa"/>
            <w:vAlign w:val="bottom"/>
          </w:tcPr>
          <w:p>
            <w:pPr>
              <w:spacing w:after="0"/>
              <w:rPr>
                <w:sz w:val="17"/>
                <w:szCs w:val="17"/>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0" w:type="dxa"/>
            <w:vAlign w:val="bottom"/>
          </w:tcPr>
          <w:p>
            <w:pPr>
              <w:spacing w:after="0"/>
              <w:rPr>
                <w:sz w:val="1"/>
                <w:szCs w:val="1"/>
                <w:color w:val="auto"/>
              </w:rPr>
            </w:pPr>
          </w:p>
        </w:tc>
      </w:tr>
    </w:tbl>
    <w:p>
      <w:pPr>
        <w:spacing w:after="0" w:line="177" w:lineRule="exact"/>
        <w:rPr>
          <w:sz w:val="20"/>
          <w:szCs w:val="20"/>
          <w:color w:val="auto"/>
        </w:rPr>
      </w:pPr>
    </w:p>
    <w:tbl>
      <w:tblPr>
        <w:tblLayout w:type="fixed"/>
        <w:tblInd w:w="280" w:type="dxa"/>
        <w:tblCellMar>
          <w:top w:w="0" w:type="dxa"/>
          <w:left w:w="0" w:type="dxa"/>
          <w:bottom w:w="0" w:type="dxa"/>
          <w:right w:w="0" w:type="dxa"/>
        </w:tblCellMar>
      </w:tblPr>
      <w:tr>
        <w:trPr>
          <w:trHeight w:val="193"/>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Devaluation -</w:t>
            </w:r>
          </w:p>
        </w:tc>
        <w:tc>
          <w:tcPr>
            <w:tcW w:w="38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93"/>
        </w:trPr>
        <w:tc>
          <w:tcPr>
            <w:tcW w:w="3820" w:type="dxa"/>
            <w:vAlign w:val="bottom"/>
          </w:tcPr>
          <w:p>
            <w:pPr>
              <w:spacing w:after="0"/>
              <w:rPr>
                <w:sz w:val="20"/>
                <w:szCs w:val="20"/>
                <w:color w:val="auto"/>
              </w:rPr>
            </w:pPr>
            <w:r>
              <w:rPr>
                <w:rFonts w:ascii="Arial" w:cs="Arial" w:eastAsia="Arial" w:hAnsi="Arial"/>
                <w:sz w:val="16"/>
                <w:szCs w:val="16"/>
                <w:color w:val="auto"/>
              </w:rPr>
              <w:t>U.S. Dollar</w:t>
            </w:r>
          </w:p>
        </w:tc>
        <w:tc>
          <w:tcPr>
            <w:tcW w:w="3840" w:type="dxa"/>
            <w:vAlign w:val="bottom"/>
          </w:tcPr>
          <w:p>
            <w:pPr>
              <w:jc w:val="right"/>
              <w:ind w:right="639"/>
              <w:spacing w:after="0"/>
              <w:rPr>
                <w:sz w:val="20"/>
                <w:szCs w:val="20"/>
                <w:color w:val="auto"/>
              </w:rPr>
            </w:pPr>
            <w:r>
              <w:rPr>
                <w:rFonts w:ascii="Arial" w:cs="Arial" w:eastAsia="Arial" w:hAnsi="Arial"/>
                <w:sz w:val="16"/>
                <w:szCs w:val="16"/>
                <w:color w:val="auto"/>
              </w:rPr>
              <w:t>5</w:t>
            </w:r>
          </w:p>
        </w:tc>
        <w:tc>
          <w:tcPr>
            <w:tcW w:w="1960" w:type="dxa"/>
            <w:vAlign w:val="bottom"/>
          </w:tcPr>
          <w:p>
            <w:pPr>
              <w:jc w:val="right"/>
              <w:ind w:right="579"/>
              <w:spacing w:after="0"/>
              <w:rPr>
                <w:sz w:val="20"/>
                <w:szCs w:val="20"/>
                <w:color w:val="auto"/>
              </w:rPr>
            </w:pPr>
            <w:r>
              <w:rPr>
                <w:rFonts w:ascii="Arial" w:cs="Arial" w:eastAsia="Arial" w:hAnsi="Arial"/>
                <w:sz w:val="16"/>
                <w:szCs w:val="16"/>
                <w:color w:val="auto"/>
              </w:rPr>
              <w:t>(31,257)</w:t>
            </w:r>
          </w:p>
        </w:tc>
        <w:tc>
          <w:tcPr>
            <w:tcW w:w="1360" w:type="dxa"/>
            <w:vAlign w:val="bottom"/>
          </w:tcPr>
          <w:p>
            <w:pPr>
              <w:jc w:val="right"/>
              <w:spacing w:after="0"/>
              <w:rPr>
                <w:sz w:val="20"/>
                <w:szCs w:val="20"/>
                <w:color w:val="auto"/>
              </w:rPr>
            </w:pPr>
            <w:r>
              <w:rPr>
                <w:rFonts w:ascii="Arial" w:cs="Arial" w:eastAsia="Arial" w:hAnsi="Arial"/>
                <w:sz w:val="16"/>
                <w:szCs w:val="16"/>
                <w:color w:val="auto"/>
              </w:rPr>
              <w:t>(94,347)</w:t>
            </w:r>
          </w:p>
        </w:tc>
      </w:tr>
      <w:tr>
        <w:trPr>
          <w:trHeight w:val="193"/>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U.S. Dollar</w:t>
            </w:r>
          </w:p>
        </w:tc>
        <w:tc>
          <w:tcPr>
            <w:tcW w:w="3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10</w:t>
            </w:r>
          </w:p>
        </w:tc>
        <w:tc>
          <w:tcPr>
            <w:tcW w:w="19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(59,673)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(180,116)</w:t>
            </w:r>
          </w:p>
        </w:tc>
      </w:tr>
      <w:tr>
        <w:trPr>
          <w:trHeight w:val="193"/>
        </w:trPr>
        <w:tc>
          <w:tcPr>
            <w:tcW w:w="38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3"/>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Revaluation -</w:t>
            </w:r>
          </w:p>
        </w:tc>
        <w:tc>
          <w:tcPr>
            <w:tcW w:w="38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93"/>
        </w:trPr>
        <w:tc>
          <w:tcPr>
            <w:tcW w:w="3820" w:type="dxa"/>
            <w:vAlign w:val="bottom"/>
          </w:tcPr>
          <w:p>
            <w:pPr>
              <w:spacing w:after="0"/>
              <w:rPr>
                <w:sz w:val="20"/>
                <w:szCs w:val="20"/>
                <w:color w:val="auto"/>
              </w:rPr>
            </w:pPr>
            <w:r>
              <w:rPr>
                <w:rFonts w:ascii="Arial" w:cs="Arial" w:eastAsia="Arial" w:hAnsi="Arial"/>
                <w:sz w:val="16"/>
                <w:szCs w:val="16"/>
                <w:color w:val="auto"/>
              </w:rPr>
              <w:t>U.S. Dollar</w:t>
            </w:r>
          </w:p>
        </w:tc>
        <w:tc>
          <w:tcPr>
            <w:tcW w:w="3840" w:type="dxa"/>
            <w:vAlign w:val="bottom"/>
          </w:tcPr>
          <w:p>
            <w:pPr>
              <w:jc w:val="right"/>
              <w:ind w:right="639"/>
              <w:spacing w:after="0"/>
              <w:rPr>
                <w:sz w:val="20"/>
                <w:szCs w:val="20"/>
                <w:color w:val="auto"/>
              </w:rPr>
            </w:pPr>
            <w:r>
              <w:rPr>
                <w:rFonts w:ascii="Arial" w:cs="Arial" w:eastAsia="Arial" w:hAnsi="Arial"/>
                <w:sz w:val="16"/>
                <w:szCs w:val="16"/>
                <w:color w:val="auto"/>
              </w:rPr>
              <w:t>5</w:t>
            </w:r>
          </w:p>
        </w:tc>
        <w:tc>
          <w:tcPr>
            <w:tcW w:w="1960" w:type="dxa"/>
            <w:vAlign w:val="bottom"/>
          </w:tcPr>
          <w:p>
            <w:pPr>
              <w:jc w:val="right"/>
              <w:ind w:right="639"/>
              <w:spacing w:after="0"/>
              <w:rPr>
                <w:sz w:val="20"/>
                <w:szCs w:val="20"/>
                <w:color w:val="auto"/>
              </w:rPr>
            </w:pPr>
            <w:r>
              <w:rPr>
                <w:rFonts w:ascii="Arial" w:cs="Arial" w:eastAsia="Arial" w:hAnsi="Arial"/>
                <w:sz w:val="16"/>
                <w:szCs w:val="16"/>
                <w:color w:val="auto"/>
              </w:rPr>
              <w:t>34,548</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104,278</w:t>
            </w:r>
          </w:p>
        </w:tc>
      </w:tr>
      <w:tr>
        <w:trPr>
          <w:trHeight w:val="193"/>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U.S. Dollar</w:t>
            </w:r>
          </w:p>
        </w:tc>
        <w:tc>
          <w:tcPr>
            <w:tcW w:w="3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10</w:t>
            </w:r>
          </w:p>
        </w:tc>
        <w:tc>
          <w:tcPr>
            <w:tcW w:w="19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72,934</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220,142</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34.3 Liquidity risk</w:t>
      </w:r>
    </w:p>
    <w:p>
      <w:pPr>
        <w:spacing w:after="0" w:line="207" w:lineRule="exact"/>
        <w:rPr>
          <w:sz w:val="20"/>
          <w:szCs w:val="20"/>
          <w:color w:val="auto"/>
        </w:rPr>
      </w:pPr>
    </w:p>
    <w:p>
      <w:pPr>
        <w:ind w:right="240"/>
        <w:spacing w:after="0" w:line="315" w:lineRule="auto"/>
        <w:rPr>
          <w:sz w:val="20"/>
          <w:szCs w:val="20"/>
          <w:color w:val="auto"/>
        </w:rPr>
      </w:pPr>
      <w:r>
        <w:rPr>
          <w:rFonts w:ascii="Arial" w:cs="Arial" w:eastAsia="Arial" w:hAnsi="Arial"/>
          <w:sz w:val="15"/>
          <w:szCs w:val="15"/>
          <w:color w:val="auto"/>
        </w:rPr>
        <w:t>Liquidity risk is the risk that the Group is unable to meet its payment obligations associated with its financial liabilities when they fall due and to replace funds when they are withdrawn. The consequence may be the failure to meet obligations to repay depositors, fulfill commitments to lend or meet other operating cash needs.</w:t>
      </w:r>
    </w:p>
    <w:p>
      <w:pPr>
        <w:spacing w:after="0" w:line="12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Group is exposed to daily calls on, among others, its available cash resources from overnight deposits, current accounts, maturing deposits, loan draw-downs, guarantees and other calls. The Management of the Group’s subsidiaries sets limits on the minimum proportion of funds available to meet such calls and on the minimum level of inter-bank and other borrowing facilities that should be in place to cover withdrawals at unexpected levels of demand. Sources of liquidity are regularly reviewed by the Market Risk Management Department to maintain a wide diversification by currency, geography, provider, product and term.</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0"/>
          </w:cols>
          <w:pgMar w:left="240" w:top="828" w:right="239" w:bottom="1440" w:gutter="0" w:footer="0" w:header="0"/>
        </w:sectPr>
      </w:pPr>
    </w:p>
    <w:bookmarkStart w:id="143" w:name="page144"/>
    <w:bookmarkEnd w:id="143"/>
    <w:p>
      <w:pPr>
        <w:ind w:right="160"/>
        <w:spacing w:after="0" w:line="266" w:lineRule="auto"/>
        <w:rPr>
          <w:sz w:val="20"/>
          <w:szCs w:val="20"/>
          <w:color w:val="auto"/>
        </w:rPr>
      </w:pPr>
      <w:r>
        <w:rPr>
          <w:rFonts w:ascii="Arial" w:cs="Arial" w:eastAsia="Arial" w:hAnsi="Arial"/>
          <w:sz w:val="16"/>
          <w:szCs w:val="16"/>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the risk of losses.</w:t>
      </w:r>
    </w:p>
    <w:p>
      <w:pPr>
        <w:spacing w:after="0" w:line="162"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The maturities of assets and liabilities and the ability to replace, at an acceptable cost, interest-bearing liabilities as they mature are important factors in assessing the liquidity of the Group and its exposure to changes in interest rates and exchange rates.</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 mismatch, in the maturity of long-term illiquid assets against short-term liabilities, exposes the consolidated statement of financial position to risks related both to rollover and to interest rates. If liquid assets do not cover maturing debts; a consolidated statement of financial position is vulnerable to a rollover risk. Furthermore, a sharp increase in interest rates can dramatically increase the cost of rolling over short-term liabilities, leading to a rapid increase in debt service. The contractual-maturity gap report is useful in showing liquidity characteristics.</w:t>
      </w:r>
    </w:p>
    <w:p>
      <w:pPr>
        <w:spacing w:after="0" w:line="167" w:lineRule="exact"/>
        <w:rPr>
          <w:sz w:val="20"/>
          <w:szCs w:val="20"/>
          <w:color w:val="auto"/>
        </w:rPr>
      </w:pPr>
    </w:p>
    <w:p>
      <w:pPr>
        <w:jc w:val="both"/>
        <w:ind w:right="540"/>
        <w:spacing w:after="0" w:line="266" w:lineRule="auto"/>
        <w:rPr>
          <w:sz w:val="20"/>
          <w:szCs w:val="20"/>
          <w:color w:val="auto"/>
        </w:rPr>
      </w:pPr>
      <w:r>
        <w:rPr>
          <w:rFonts w:ascii="Arial" w:cs="Arial" w:eastAsia="Arial" w:hAnsi="Arial"/>
          <w:sz w:val="16"/>
          <w:szCs w:val="16"/>
          <w:color w:val="auto"/>
        </w:rPr>
        <w:t>Corporate policies have been implemented for liquidity risk management by the Group. These policies are consistent with the particular characteristics of each operating segment in which each of the Group companies operate. Risk Management heads set up limits and autonomy models to determine the adequate liquidity indicators to be managed.</w:t>
      </w:r>
    </w:p>
    <w:p>
      <w:pPr>
        <w:spacing w:after="0" w:line="158"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b w:val="1"/>
          <w:bCs w:val="1"/>
          <w:color w:val="auto"/>
        </w:rPr>
        <w:t>Commercial banking</w:t>
      </w:r>
      <w:r>
        <w:rPr>
          <w:rFonts w:ascii="Arial" w:cs="Arial" w:eastAsia="Arial" w:hAnsi="Arial"/>
          <w:sz w:val="15"/>
          <w:szCs w:val="15"/>
          <w:color w:val="auto"/>
        </w:rPr>
        <w:t>: Liquidity risk exposure in BCP Peru, BCP Bolivia, MiBanco and Atlantic Security Bank is based on indicators such as the Internal Liquidity Coverage</w:t>
      </w:r>
      <w:r>
        <w:rPr>
          <w:rFonts w:ascii="Arial" w:cs="Arial" w:eastAsia="Arial" w:hAnsi="Arial"/>
          <w:sz w:val="15"/>
          <w:szCs w:val="15"/>
          <w:b w:val="1"/>
          <w:bCs w:val="1"/>
          <w:color w:val="auto"/>
        </w:rPr>
        <w:t xml:space="preserve"> </w:t>
      </w:r>
      <w:r>
        <w:rPr>
          <w:rFonts w:ascii="Arial" w:cs="Arial" w:eastAsia="Arial" w:hAnsi="Arial"/>
          <w:sz w:val="15"/>
          <w:szCs w:val="15"/>
          <w:color w:val="auto"/>
        </w:rPr>
        <w:t>Ratio (RCLI, the Spanish acronym) which measures the amount of liquid assets available to meet cash outflows needs within a given stress scenario for a period of 30 days and the Internal Ratio of Stable Net Funding (RFNEI, the Spanish acronym), which is intended to guarantee that long-term assets are financed at least with a minimum number of stable liabilities within a prolonged liquidity crisis scenario; the latter works as a minimum compliance mechanism that supplements the RCL. The core limits of these indicators are 100% and any excess is presented in the Credicorp Treasury Risk Committee, Credicorp Risk Committee and ALM of the respective subsidiary.</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b w:val="1"/>
          <w:bCs w:val="1"/>
          <w:color w:val="auto"/>
        </w:rPr>
        <w:t xml:space="preserve">Insurance: </w:t>
      </w:r>
      <w:r>
        <w:rPr>
          <w:rFonts w:ascii="Arial" w:cs="Arial" w:eastAsia="Arial" w:hAnsi="Arial"/>
          <w:sz w:val="16"/>
          <w:szCs w:val="16"/>
          <w:color w:val="auto"/>
        </w:rPr>
        <w:t>Liquidity risk management in Pacífico Grupo Asegurador follows a particular approach given the nature of the business. For annually renewable businesses, mainly</w:t>
      </w:r>
      <w:r>
        <w:rPr>
          <w:rFonts w:ascii="Arial" w:cs="Arial" w:eastAsia="Arial" w:hAnsi="Arial"/>
          <w:sz w:val="16"/>
          <w:szCs w:val="16"/>
          <w:b w:val="1"/>
          <w:bCs w:val="1"/>
          <w:color w:val="auto"/>
        </w:rPr>
        <w:t xml:space="preserve"> </w:t>
      </w:r>
      <w:r>
        <w:rPr>
          <w:rFonts w:ascii="Arial" w:cs="Arial" w:eastAsia="Arial" w:hAnsi="Arial"/>
          <w:sz w:val="16"/>
          <w:szCs w:val="16"/>
          <w:color w:val="auto"/>
        </w:rPr>
        <w:t>“Pacífico Seguros”, focus of liquidity is the quick availability or resources in the event of a systemic event (e.g. earthquake); for this purpose, there are minimum investment indicators in place relating to local cash/time deposits and foreign fixed-income instruments of high quality and liquidity.</w:t>
      </w:r>
    </w:p>
    <w:p>
      <w:pPr>
        <w:spacing w:after="0" w:line="161" w:lineRule="exact"/>
        <w:rPr>
          <w:sz w:val="20"/>
          <w:szCs w:val="20"/>
          <w:color w:val="auto"/>
        </w:rPr>
      </w:pPr>
    </w:p>
    <w:p>
      <w:pPr>
        <w:jc w:val="both"/>
        <w:ind w:right="60"/>
        <w:spacing w:after="0" w:line="292" w:lineRule="auto"/>
        <w:rPr>
          <w:sz w:val="20"/>
          <w:szCs w:val="20"/>
          <w:color w:val="auto"/>
        </w:rPr>
      </w:pPr>
      <w:r>
        <w:rPr>
          <w:rFonts w:ascii="Arial" w:cs="Arial" w:eastAsia="Arial" w:hAnsi="Arial"/>
          <w:sz w:val="15"/>
          <w:szCs w:val="15"/>
          <w:color w:val="auto"/>
        </w:rPr>
        <w:t>For long-term businesses such as Pacífico Vida, given the nature of the products offered and the contractual relationship with customers (the liquidity risk is not material); focus is on maintaining sufficient flow of assets and matching their maturities with maturities of obligations (mathematical technical reserve); for this purpose there are indicators that measure the asset/liability sufficiency and adequacy as well as calculations or economic capital subject to interest rate risk, a methodology of Credicorp.</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b w:val="1"/>
          <w:bCs w:val="1"/>
          <w:color w:val="auto"/>
        </w:rPr>
        <w:t xml:space="preserve">AFPs: </w:t>
      </w:r>
      <w:r>
        <w:rPr>
          <w:rFonts w:ascii="Arial" w:cs="Arial" w:eastAsia="Arial" w:hAnsi="Arial"/>
          <w:sz w:val="16"/>
          <w:szCs w:val="16"/>
          <w:color w:val="auto"/>
        </w:rPr>
        <w:t>Liquidity risk management in AFP Prima is differentiated between the fund administrator and the funds being managed. Liquidity management regarding the fund</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is focused on meeting periodic operating expense needs, which are supported with the collection of commissions. The fund administrator entity does not record unexpected outflows of liquidity.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banking:</w:t>
      </w:r>
    </w:p>
    <w:p>
      <w:pPr>
        <w:spacing w:after="0" w:line="20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Liquidity risk in the Grupo Credicorp Capital (Correval, IM Trust y Credicorp Capital Perú) principally affects the security brokerage. In managing this risk, limits of use of liquidity have been established as well as matching maturities by dealing desk; follow-up on liquidity is performed on a daily basis for a short-term horizon covering the coming settlements. If short-term unmatched maturities are noted, repos are used. On the other hand, structural risk of Credicorp Capital is not significant given the low levels of debt, which is monitored regularly using financial planning tools.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Companies perform a liquidity risk management using the liquidity Gap or contractual maturity Gap.</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0"/>
          </w:cols>
          <w:pgMar w:left="240" w:top="828" w:right="239" w:bottom="1440" w:gutter="0" w:footer="0" w:header="0"/>
        </w:sectPr>
      </w:pPr>
    </w:p>
    <w:bookmarkStart w:id="144" w:name="page145"/>
    <w:bookmarkEnd w:id="144"/>
    <w:p>
      <w:pPr>
        <w:ind w:right="120"/>
        <w:spacing w:after="0" w:line="280" w:lineRule="auto"/>
        <w:rPr>
          <w:sz w:val="20"/>
          <w:szCs w:val="20"/>
          <w:color w:val="auto"/>
        </w:rPr>
      </w:pPr>
      <w:r>
        <w:rPr>
          <w:rFonts w:ascii="Arial" w:cs="Arial" w:eastAsia="Arial" w:hAnsi="Arial"/>
          <w:sz w:val="16"/>
          <w:szCs w:val="16"/>
          <w:color w:val="auto"/>
        </w:rPr>
        <w:t>The table below presents the cash flows payable by the Group by remaining contractual maturities (including future interest payments) at the date of the consolidated statement of financial position. The amounts disclosed in the table are the contractual undiscounted 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2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As of December 31, 2016</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As of December 31, 2015</w:t>
            </w: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Up to a</w:t>
            </w:r>
          </w:p>
        </w:tc>
        <w:tc>
          <w:tcPr>
            <w:tcW w:w="82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From 1 to</w:t>
            </w:r>
          </w:p>
        </w:tc>
        <w:tc>
          <w:tcPr>
            <w:tcW w:w="74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From 3 to</w:t>
            </w:r>
          </w:p>
        </w:tc>
        <w:tc>
          <w:tcPr>
            <w:tcW w:w="780" w:type="dxa"/>
            <w:vAlign w:val="bottom"/>
            <w:gridSpan w:val="3"/>
          </w:tcPr>
          <w:p>
            <w:pPr>
              <w:ind w:left="60"/>
              <w:spacing w:after="0" w:line="105" w:lineRule="exact"/>
              <w:rPr>
                <w:sz w:val="20"/>
                <w:szCs w:val="20"/>
                <w:color w:val="auto"/>
              </w:rPr>
            </w:pPr>
            <w:r>
              <w:rPr>
                <w:rFonts w:ascii="Arial" w:cs="Arial" w:eastAsia="Arial" w:hAnsi="Arial"/>
                <w:sz w:val="12"/>
                <w:szCs w:val="12"/>
                <w:b w:val="1"/>
                <w:bCs w:val="1"/>
                <w:color w:val="auto"/>
              </w:rPr>
              <w:t>From 1 to</w:t>
            </w:r>
          </w:p>
        </w:tc>
        <w:tc>
          <w:tcPr>
            <w:tcW w:w="840" w:type="dxa"/>
            <w:vAlign w:val="bottom"/>
            <w:gridSpan w:val="3"/>
          </w:tcPr>
          <w:p>
            <w:pPr>
              <w:ind w:left="80"/>
              <w:spacing w:after="0" w:line="105" w:lineRule="exact"/>
              <w:rPr>
                <w:sz w:val="20"/>
                <w:szCs w:val="20"/>
                <w:color w:val="auto"/>
              </w:rPr>
            </w:pPr>
            <w:r>
              <w:rPr>
                <w:rFonts w:ascii="Arial" w:cs="Arial" w:eastAsia="Arial" w:hAnsi="Arial"/>
                <w:sz w:val="12"/>
                <w:szCs w:val="12"/>
                <w:b w:val="1"/>
                <w:bCs w:val="1"/>
                <w:color w:val="auto"/>
              </w:rPr>
              <w:t>Over 5</w:t>
            </w:r>
          </w:p>
        </w:tc>
        <w:tc>
          <w:tcPr>
            <w:tcW w:w="9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Total</w:t>
            </w:r>
          </w:p>
        </w:tc>
        <w:tc>
          <w:tcPr>
            <w:tcW w:w="82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Up to a</w:t>
            </w:r>
          </w:p>
        </w:tc>
        <w:tc>
          <w:tcPr>
            <w:tcW w:w="78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From 1 to</w:t>
            </w:r>
          </w:p>
        </w:tc>
        <w:tc>
          <w:tcPr>
            <w:tcW w:w="80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From 3 to</w:t>
            </w:r>
          </w:p>
        </w:tc>
        <w:tc>
          <w:tcPr>
            <w:tcW w:w="74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From 1 to</w:t>
            </w:r>
          </w:p>
        </w:tc>
        <w:tc>
          <w:tcPr>
            <w:tcW w:w="880" w:type="dxa"/>
            <w:vAlign w:val="bottom"/>
            <w:gridSpan w:val="3"/>
          </w:tcPr>
          <w:p>
            <w:pPr>
              <w:ind w:left="60"/>
              <w:spacing w:after="0" w:line="105" w:lineRule="exact"/>
              <w:rPr>
                <w:sz w:val="20"/>
                <w:szCs w:val="20"/>
                <w:color w:val="auto"/>
              </w:rPr>
            </w:pPr>
            <w:r>
              <w:rPr>
                <w:rFonts w:ascii="Arial" w:cs="Arial" w:eastAsia="Arial" w:hAnsi="Arial"/>
                <w:sz w:val="12"/>
                <w:szCs w:val="12"/>
                <w:b w:val="1"/>
                <w:bCs w:val="1"/>
                <w:color w:val="auto"/>
              </w:rPr>
              <w:t>Over 5</w:t>
            </w:r>
          </w:p>
        </w:tc>
        <w:tc>
          <w:tcPr>
            <w:tcW w:w="8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month</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3 months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12 months</w:t>
            </w: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5 years</w:t>
            </w:r>
          </w:p>
        </w:tc>
        <w:tc>
          <w:tcPr>
            <w:tcW w:w="840" w:type="dxa"/>
            <w:vAlign w:val="bottom"/>
            <w:gridSpan w:val="3"/>
          </w:tcPr>
          <w:p>
            <w:pPr>
              <w:ind w:left="80"/>
              <w:spacing w:after="0"/>
              <w:rPr>
                <w:sz w:val="20"/>
                <w:szCs w:val="20"/>
                <w:color w:val="auto"/>
              </w:rPr>
            </w:pPr>
            <w:r>
              <w:rPr>
                <w:rFonts w:ascii="Arial" w:cs="Arial" w:eastAsia="Arial" w:hAnsi="Arial"/>
                <w:sz w:val="13"/>
                <w:szCs w:val="13"/>
                <w:b w:val="1"/>
                <w:bCs w:val="1"/>
                <w:color w:val="auto"/>
              </w:rPr>
              <w:t>Year</w:t>
            </w:r>
          </w:p>
        </w:tc>
        <w:tc>
          <w:tcPr>
            <w:tcW w:w="920" w:type="dxa"/>
            <w:vAlign w:val="bottom"/>
            <w:gridSpan w:val="3"/>
            <w:vMerge w:val="continue"/>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month</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3 months</w:t>
            </w: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12 months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5 years</w:t>
            </w:r>
          </w:p>
        </w:tc>
        <w:tc>
          <w:tcPr>
            <w:tcW w:w="880" w:type="dxa"/>
            <w:vAlign w:val="bottom"/>
            <w:gridSpan w:val="3"/>
          </w:tcPr>
          <w:p>
            <w:pPr>
              <w:ind w:left="60"/>
              <w:spacing w:after="0"/>
              <w:rPr>
                <w:sz w:val="20"/>
                <w:szCs w:val="20"/>
                <w:color w:val="auto"/>
              </w:rPr>
            </w:pPr>
            <w:r>
              <w:rPr>
                <w:rFonts w:ascii="Arial" w:cs="Arial" w:eastAsia="Arial" w:hAnsi="Arial"/>
                <w:sz w:val="13"/>
                <w:szCs w:val="13"/>
                <w:b w:val="1"/>
                <w:bCs w:val="1"/>
                <w:color w:val="auto"/>
              </w:rPr>
              <w:t>Year</w:t>
            </w:r>
          </w:p>
        </w:tc>
        <w:tc>
          <w:tcPr>
            <w:tcW w:w="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top w:val="single" w:sz="8" w:color="auto"/>
            </w:tcBorders>
          </w:tcPr>
          <w:p>
            <w:pPr>
              <w:jc w:val="right"/>
              <w:ind w:right="276"/>
              <w:spacing w:after="0"/>
              <w:rPr>
                <w:sz w:val="20"/>
                <w:szCs w:val="20"/>
                <w:color w:val="auto"/>
              </w:rPr>
            </w:pPr>
            <w:r>
              <w:rPr>
                <w:rFonts w:ascii="Arial" w:cs="Arial" w:eastAsia="Arial" w:hAnsi="Arial"/>
                <w:sz w:val="13"/>
                <w:szCs w:val="13"/>
                <w:b w:val="1"/>
                <w:bCs w:val="1"/>
                <w:color w:val="auto"/>
                <w:w w:val="84"/>
              </w:rPr>
              <w:t>S/(000)</w:t>
            </w: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3"/>
                <w:szCs w:val="13"/>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3"/>
                <w:szCs w:val="13"/>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Financial assets</w:t>
            </w:r>
          </w:p>
        </w:tc>
        <w:tc>
          <w:tcPr>
            <w:tcW w:w="80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w w:val="98"/>
              </w:rPr>
              <w:t>26,177,608</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w w:val="98"/>
              </w:rPr>
              <w:t>19,909,373</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2"/>
              <w:spacing w:after="0" w:line="133" w:lineRule="exact"/>
              <w:rPr>
                <w:sz w:val="20"/>
                <w:szCs w:val="20"/>
                <w:color w:val="auto"/>
              </w:rPr>
            </w:pPr>
            <w:r>
              <w:rPr>
                <w:rFonts w:ascii="Arial" w:cs="Arial" w:eastAsia="Arial" w:hAnsi="Arial"/>
                <w:sz w:val="13"/>
                <w:szCs w:val="13"/>
                <w:color w:val="auto"/>
                <w:w w:val="95"/>
              </w:rPr>
              <w:t>38,171,817</w:t>
            </w:r>
          </w:p>
        </w:tc>
        <w:tc>
          <w:tcPr>
            <w:tcW w:w="78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62,824,369</w:t>
            </w:r>
          </w:p>
        </w:tc>
        <w:tc>
          <w:tcPr>
            <w:tcW w:w="840" w:type="dxa"/>
            <w:vAlign w:val="bottom"/>
            <w:gridSpan w:val="3"/>
            <w:shd w:val="clear" w:color="auto" w:fill="CCEEFF"/>
          </w:tcPr>
          <w:p>
            <w:pPr>
              <w:jc w:val="right"/>
              <w:ind w:right="62"/>
              <w:spacing w:after="0" w:line="133" w:lineRule="exact"/>
              <w:rPr>
                <w:sz w:val="20"/>
                <w:szCs w:val="20"/>
                <w:color w:val="auto"/>
              </w:rPr>
            </w:pPr>
            <w:r>
              <w:rPr>
                <w:rFonts w:ascii="Arial" w:cs="Arial" w:eastAsia="Arial" w:hAnsi="Arial"/>
                <w:sz w:val="13"/>
                <w:szCs w:val="13"/>
                <w:color w:val="auto"/>
              </w:rPr>
              <w:t>36,406,209</w:t>
            </w:r>
          </w:p>
        </w:tc>
        <w:tc>
          <w:tcPr>
            <w:tcW w:w="92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183,489,376</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w w:val="98"/>
              </w:rPr>
              <w:t>22,863,507</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w w:val="95"/>
              </w:rPr>
              <w:t>16,732,722</w:t>
            </w:r>
          </w:p>
        </w:tc>
        <w:tc>
          <w:tcPr>
            <w:tcW w:w="80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w w:val="98"/>
              </w:rPr>
              <w:t>32,113,631</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w w:val="98"/>
              </w:rPr>
              <w:t>64,324,012</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28,285,740</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w w:val="96"/>
              </w:rPr>
              <w:t>164,319,612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w w:val="97"/>
              </w:rPr>
              <w:t>Financial liabilities by type -</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00" w:type="dxa"/>
            <w:vAlign w:val="bottom"/>
          </w:tcPr>
          <w:p>
            <w:pPr>
              <w:spacing w:after="0" w:line="133" w:lineRule="exact"/>
              <w:rPr>
                <w:sz w:val="20"/>
                <w:szCs w:val="20"/>
                <w:color w:val="auto"/>
              </w:rPr>
            </w:pPr>
            <w:r>
              <w:rPr>
                <w:rFonts w:ascii="Arial" w:cs="Arial" w:eastAsia="Arial" w:hAnsi="Arial"/>
                <w:sz w:val="13"/>
                <w:szCs w:val="13"/>
                <w:color w:val="auto"/>
              </w:rPr>
              <w:t>Deposits and obligations</w:t>
            </w:r>
          </w:p>
        </w:tc>
        <w:tc>
          <w:tcPr>
            <w:tcW w:w="80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w w:val="98"/>
              </w:rPr>
              <w:t>24,982,659</w:t>
            </w:r>
          </w:p>
        </w:tc>
        <w:tc>
          <w:tcPr>
            <w:tcW w:w="660" w:type="dxa"/>
            <w:vAlign w:val="bottom"/>
          </w:tcPr>
          <w:p>
            <w:pPr>
              <w:jc w:val="right"/>
              <w:spacing w:after="0" w:line="133" w:lineRule="exact"/>
              <w:rPr>
                <w:sz w:val="20"/>
                <w:szCs w:val="20"/>
                <w:color w:val="auto"/>
              </w:rPr>
            </w:pPr>
            <w:r>
              <w:rPr>
                <w:rFonts w:ascii="Arial" w:cs="Arial" w:eastAsia="Arial" w:hAnsi="Arial"/>
                <w:sz w:val="13"/>
                <w:szCs w:val="13"/>
                <w:color w:val="auto"/>
              </w:rPr>
              <w:t>8,678,312</w:t>
            </w:r>
          </w:p>
        </w:tc>
        <w:tc>
          <w:tcPr>
            <w:tcW w:w="160" w:type="dxa"/>
            <w:vAlign w:val="bottom"/>
          </w:tcPr>
          <w:p>
            <w:pPr>
              <w:spacing w:after="0"/>
              <w:rPr>
                <w:sz w:val="11"/>
                <w:szCs w:val="11"/>
                <w:color w:val="auto"/>
              </w:rPr>
            </w:pPr>
          </w:p>
        </w:tc>
        <w:tc>
          <w:tcPr>
            <w:tcW w:w="740" w:type="dxa"/>
            <w:vAlign w:val="bottom"/>
            <w:gridSpan w:val="2"/>
          </w:tcPr>
          <w:p>
            <w:pPr>
              <w:jc w:val="right"/>
              <w:ind w:right="62"/>
              <w:spacing w:after="0" w:line="133" w:lineRule="exact"/>
              <w:rPr>
                <w:sz w:val="20"/>
                <w:szCs w:val="20"/>
                <w:color w:val="auto"/>
              </w:rPr>
            </w:pPr>
            <w:r>
              <w:rPr>
                <w:rFonts w:ascii="Arial" w:cs="Arial" w:eastAsia="Arial" w:hAnsi="Arial"/>
                <w:sz w:val="13"/>
                <w:szCs w:val="13"/>
                <w:color w:val="auto"/>
                <w:w w:val="95"/>
              </w:rPr>
              <w:t>16,056,899</w:t>
            </w:r>
          </w:p>
        </w:tc>
        <w:tc>
          <w:tcPr>
            <w:tcW w:w="78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33,487,729</w:t>
            </w:r>
          </w:p>
        </w:tc>
        <w:tc>
          <w:tcPr>
            <w:tcW w:w="840" w:type="dxa"/>
            <w:vAlign w:val="bottom"/>
            <w:gridSpan w:val="3"/>
          </w:tcPr>
          <w:p>
            <w:pPr>
              <w:jc w:val="right"/>
              <w:ind w:right="62"/>
              <w:spacing w:after="0" w:line="133" w:lineRule="exact"/>
              <w:rPr>
                <w:sz w:val="20"/>
                <w:szCs w:val="20"/>
                <w:color w:val="auto"/>
              </w:rPr>
            </w:pPr>
            <w:r>
              <w:rPr>
                <w:rFonts w:ascii="Arial" w:cs="Arial" w:eastAsia="Arial" w:hAnsi="Arial"/>
                <w:sz w:val="13"/>
                <w:szCs w:val="13"/>
                <w:color w:val="auto"/>
              </w:rPr>
              <w:t>6,077,167</w:t>
            </w:r>
          </w:p>
        </w:tc>
        <w:tc>
          <w:tcPr>
            <w:tcW w:w="92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89,282,766</w:t>
            </w:r>
          </w:p>
        </w:tc>
        <w:tc>
          <w:tcPr>
            <w:tcW w:w="660" w:type="dxa"/>
            <w:vAlign w:val="bottom"/>
          </w:tcPr>
          <w:p>
            <w:pPr>
              <w:jc w:val="right"/>
              <w:spacing w:after="0" w:line="133" w:lineRule="exact"/>
              <w:rPr>
                <w:sz w:val="20"/>
                <w:szCs w:val="20"/>
                <w:color w:val="auto"/>
              </w:rPr>
            </w:pPr>
            <w:r>
              <w:rPr>
                <w:rFonts w:ascii="Arial" w:cs="Arial" w:eastAsia="Arial" w:hAnsi="Arial"/>
                <w:sz w:val="13"/>
                <w:szCs w:val="13"/>
                <w:color w:val="auto"/>
                <w:w w:val="98"/>
              </w:rPr>
              <w:t>24,803,628</w:t>
            </w:r>
          </w:p>
        </w:tc>
        <w:tc>
          <w:tcPr>
            <w:tcW w:w="160" w:type="dxa"/>
            <w:vAlign w:val="bottom"/>
          </w:tcPr>
          <w:p>
            <w:pPr>
              <w:spacing w:after="0"/>
              <w:rPr>
                <w:sz w:val="11"/>
                <w:szCs w:val="11"/>
                <w:color w:val="auto"/>
              </w:rPr>
            </w:pPr>
          </w:p>
        </w:tc>
        <w:tc>
          <w:tcPr>
            <w:tcW w:w="7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6,769,967</w:t>
            </w:r>
          </w:p>
        </w:tc>
        <w:tc>
          <w:tcPr>
            <w:tcW w:w="660" w:type="dxa"/>
            <w:vAlign w:val="bottom"/>
          </w:tcPr>
          <w:p>
            <w:pPr>
              <w:jc w:val="right"/>
              <w:spacing w:after="0" w:line="133" w:lineRule="exact"/>
              <w:rPr>
                <w:sz w:val="20"/>
                <w:szCs w:val="20"/>
                <w:color w:val="auto"/>
              </w:rPr>
            </w:pPr>
            <w:r>
              <w:rPr>
                <w:rFonts w:ascii="Arial" w:cs="Arial" w:eastAsia="Arial" w:hAnsi="Arial"/>
                <w:sz w:val="13"/>
                <w:szCs w:val="13"/>
                <w:color w:val="auto"/>
                <w:w w:val="98"/>
              </w:rPr>
              <w:t>14,412,392</w:t>
            </w:r>
          </w:p>
        </w:tc>
        <w:tc>
          <w:tcPr>
            <w:tcW w:w="14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3"/>
                <w:szCs w:val="13"/>
                <w:color w:val="auto"/>
              </w:rPr>
              <w:t>8,642,270</w:t>
            </w:r>
          </w:p>
        </w:tc>
        <w:tc>
          <w:tcPr>
            <w:tcW w:w="80" w:type="dxa"/>
            <w:vAlign w:val="bottom"/>
          </w:tcPr>
          <w:p>
            <w:pPr>
              <w:spacing w:after="0"/>
              <w:rPr>
                <w:sz w:val="11"/>
                <w:szCs w:val="11"/>
                <w:color w:val="auto"/>
              </w:rPr>
            </w:pPr>
          </w:p>
        </w:tc>
        <w:tc>
          <w:tcPr>
            <w:tcW w:w="72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7,912,781</w:t>
            </w:r>
          </w:p>
        </w:tc>
        <w:tc>
          <w:tcPr>
            <w:tcW w:w="160" w:type="dxa"/>
            <w:vAlign w:val="bottom"/>
          </w:tcPr>
          <w:p>
            <w:pPr>
              <w:spacing w:after="0"/>
              <w:rPr>
                <w:sz w:val="11"/>
                <w:szCs w:val="11"/>
                <w:color w:val="auto"/>
              </w:rPr>
            </w:pPr>
          </w:p>
        </w:tc>
        <w:tc>
          <w:tcPr>
            <w:tcW w:w="74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62,541,038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89"/>
              </w:rPr>
              <w:t>Payables from reverse purchase</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agreements and security</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4"/>
              </w:rPr>
              <w:t>lendings and due to banks and</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correspondents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3,015,441</w:t>
            </w: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3"/>
                <w:szCs w:val="13"/>
                <w:color w:val="auto"/>
              </w:rPr>
              <w:t>2,014,116</w:t>
            </w:r>
          </w:p>
        </w:tc>
        <w:tc>
          <w:tcPr>
            <w:tcW w:w="740" w:type="dxa"/>
            <w:vAlign w:val="bottom"/>
            <w:gridSpan w:val="2"/>
            <w:shd w:val="clear" w:color="auto" w:fill="CCEEFF"/>
          </w:tcPr>
          <w:p>
            <w:pPr>
              <w:jc w:val="right"/>
              <w:ind w:right="62"/>
              <w:spacing w:after="0"/>
              <w:rPr>
                <w:sz w:val="20"/>
                <w:szCs w:val="20"/>
                <w:color w:val="auto"/>
              </w:rPr>
            </w:pPr>
            <w:r>
              <w:rPr>
                <w:rFonts w:ascii="Arial" w:cs="Arial" w:eastAsia="Arial" w:hAnsi="Arial"/>
                <w:sz w:val="13"/>
                <w:szCs w:val="13"/>
                <w:color w:val="auto"/>
              </w:rPr>
              <w:t>5,572,115</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10,581,827</w:t>
            </w:r>
          </w:p>
        </w:tc>
        <w:tc>
          <w:tcPr>
            <w:tcW w:w="840" w:type="dxa"/>
            <w:vAlign w:val="bottom"/>
            <w:gridSpan w:val="3"/>
            <w:shd w:val="clear" w:color="auto" w:fill="CCEEFF"/>
          </w:tcPr>
          <w:p>
            <w:pPr>
              <w:jc w:val="right"/>
              <w:ind w:right="62"/>
              <w:spacing w:after="0"/>
              <w:rPr>
                <w:sz w:val="20"/>
                <w:szCs w:val="20"/>
                <w:color w:val="auto"/>
              </w:rPr>
            </w:pPr>
            <w:r>
              <w:rPr>
                <w:rFonts w:ascii="Arial" w:cs="Arial" w:eastAsia="Arial" w:hAnsi="Arial"/>
                <w:sz w:val="13"/>
                <w:szCs w:val="13"/>
                <w:color w:val="auto"/>
              </w:rPr>
              <w:t>5,101,938</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26,285,437</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3,987,557</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2,425,197</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2,910,552</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7,833,305</w:t>
            </w: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(1,417,554)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15,739,057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00" w:type="dxa"/>
            <w:vAlign w:val="bottom"/>
          </w:tcPr>
          <w:p>
            <w:pPr>
              <w:spacing w:after="0" w:line="117" w:lineRule="exact"/>
              <w:rPr>
                <w:sz w:val="20"/>
                <w:szCs w:val="20"/>
                <w:color w:val="auto"/>
              </w:rPr>
            </w:pPr>
            <w:r>
              <w:rPr>
                <w:rFonts w:ascii="Arial" w:cs="Arial" w:eastAsia="Arial" w:hAnsi="Arial"/>
                <w:sz w:val="13"/>
                <w:szCs w:val="13"/>
                <w:color w:val="auto"/>
                <w:w w:val="97"/>
              </w:rPr>
              <w:t>Accounts payable to reinsurer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gridSpan w:val="2"/>
          </w:tcPr>
          <w:p>
            <w:pPr>
              <w:spacing w:after="0"/>
              <w:rPr>
                <w:sz w:val="20"/>
                <w:szCs w:val="20"/>
                <w:color w:val="auto"/>
              </w:rPr>
            </w:pPr>
            <w:r>
              <w:rPr>
                <w:rFonts w:ascii="Arial" w:cs="Arial" w:eastAsia="Arial" w:hAnsi="Arial"/>
                <w:sz w:val="13"/>
                <w:szCs w:val="13"/>
                <w:color w:val="auto"/>
              </w:rPr>
              <w:t>and and coinsurers</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38,678</w:t>
            </w:r>
          </w:p>
        </w:tc>
        <w:tc>
          <w:tcPr>
            <w:tcW w:w="820" w:type="dxa"/>
            <w:vAlign w:val="bottom"/>
            <w:gridSpan w:val="2"/>
          </w:tcPr>
          <w:p>
            <w:pPr>
              <w:jc w:val="right"/>
              <w:ind w:right="122"/>
              <w:spacing w:after="0"/>
              <w:rPr>
                <w:sz w:val="20"/>
                <w:szCs w:val="20"/>
                <w:color w:val="auto"/>
              </w:rPr>
            </w:pPr>
            <w:r>
              <w:rPr>
                <w:rFonts w:ascii="Arial" w:cs="Arial" w:eastAsia="Arial" w:hAnsi="Arial"/>
                <w:sz w:val="13"/>
                <w:szCs w:val="13"/>
                <w:color w:val="auto"/>
              </w:rPr>
              <w:t>157,686</w:t>
            </w:r>
          </w:p>
        </w:tc>
        <w:tc>
          <w:tcPr>
            <w:tcW w:w="740" w:type="dxa"/>
            <w:vAlign w:val="bottom"/>
            <w:gridSpan w:val="2"/>
          </w:tcPr>
          <w:p>
            <w:pPr>
              <w:jc w:val="right"/>
              <w:ind w:right="62"/>
              <w:spacing w:after="0"/>
              <w:rPr>
                <w:sz w:val="20"/>
                <w:szCs w:val="20"/>
                <w:color w:val="auto"/>
              </w:rPr>
            </w:pPr>
            <w:r>
              <w:rPr>
                <w:rFonts w:ascii="Arial" w:cs="Arial" w:eastAsia="Arial" w:hAnsi="Arial"/>
                <w:sz w:val="13"/>
                <w:szCs w:val="13"/>
                <w:color w:val="auto"/>
              </w:rPr>
              <w:t>35,453</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5,166</w:t>
            </w:r>
          </w:p>
        </w:tc>
        <w:tc>
          <w:tcPr>
            <w:tcW w:w="840" w:type="dxa"/>
            <w:vAlign w:val="bottom"/>
            <w:gridSpan w:val="3"/>
          </w:tcPr>
          <w:p>
            <w:pPr>
              <w:jc w:val="right"/>
              <w:ind w:right="62"/>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236,983</w:t>
            </w:r>
          </w:p>
        </w:tc>
        <w:tc>
          <w:tcPr>
            <w:tcW w:w="820" w:type="dxa"/>
            <w:vAlign w:val="bottom"/>
            <w:gridSpan w:val="2"/>
          </w:tcPr>
          <w:p>
            <w:pPr>
              <w:jc w:val="right"/>
              <w:ind w:right="122"/>
              <w:spacing w:after="0"/>
              <w:rPr>
                <w:sz w:val="20"/>
                <w:szCs w:val="20"/>
                <w:color w:val="auto"/>
              </w:rPr>
            </w:pPr>
            <w:r>
              <w:rPr>
                <w:rFonts w:ascii="Arial" w:cs="Arial" w:eastAsia="Arial" w:hAnsi="Arial"/>
                <w:sz w:val="13"/>
                <w:szCs w:val="13"/>
                <w:color w:val="auto"/>
              </w:rPr>
              <w:t>64,094</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191,906</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31,439</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4,067</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291,506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7"/>
              </w:rPr>
              <w:t>Financial liabilities designated</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at fair value through profit or</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loss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209,520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2"/>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62"/>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209,520</w:t>
            </w: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3"/>
                <w:szCs w:val="13"/>
                <w:color w:val="auto"/>
              </w:rPr>
              <w:t>47,737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47,737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00" w:type="dxa"/>
            <w:vAlign w:val="bottom"/>
          </w:tcPr>
          <w:p>
            <w:pPr>
              <w:spacing w:after="0" w:line="117" w:lineRule="exact"/>
              <w:rPr>
                <w:sz w:val="20"/>
                <w:szCs w:val="20"/>
                <w:color w:val="auto"/>
              </w:rPr>
            </w:pPr>
            <w:r>
              <w:rPr>
                <w:rFonts w:ascii="Arial" w:cs="Arial" w:eastAsia="Arial" w:hAnsi="Arial"/>
                <w:sz w:val="13"/>
                <w:szCs w:val="13"/>
                <w:color w:val="auto"/>
              </w:rPr>
              <w:t>Technical, insurance claims</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720" w:type="dxa"/>
            <w:vAlign w:val="bottom"/>
            <w:gridSpan w:val="2"/>
          </w:tcPr>
          <w:p>
            <w:pPr>
              <w:spacing w:after="0" w:line="133" w:lineRule="exact"/>
              <w:rPr>
                <w:sz w:val="20"/>
                <w:szCs w:val="20"/>
                <w:color w:val="auto"/>
              </w:rPr>
            </w:pPr>
            <w:r>
              <w:rPr>
                <w:rFonts w:ascii="Arial" w:cs="Arial" w:eastAsia="Arial" w:hAnsi="Arial"/>
                <w:sz w:val="13"/>
                <w:szCs w:val="13"/>
                <w:color w:val="auto"/>
              </w:rPr>
              <w:t>reserves and reserves for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gridSpan w:val="2"/>
          </w:tcPr>
          <w:p>
            <w:pPr>
              <w:spacing w:after="0"/>
              <w:rPr>
                <w:sz w:val="20"/>
                <w:szCs w:val="20"/>
                <w:color w:val="auto"/>
              </w:rPr>
            </w:pPr>
            <w:r>
              <w:rPr>
                <w:rFonts w:ascii="Arial" w:cs="Arial" w:eastAsia="Arial" w:hAnsi="Arial"/>
                <w:sz w:val="13"/>
                <w:szCs w:val="13"/>
                <w:color w:val="auto"/>
              </w:rPr>
              <w:t>unearned premiums</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161,205</w:t>
            </w:r>
          </w:p>
        </w:tc>
        <w:tc>
          <w:tcPr>
            <w:tcW w:w="820" w:type="dxa"/>
            <w:vAlign w:val="bottom"/>
            <w:gridSpan w:val="2"/>
          </w:tcPr>
          <w:p>
            <w:pPr>
              <w:jc w:val="right"/>
              <w:ind w:right="122"/>
              <w:spacing w:after="0"/>
              <w:rPr>
                <w:sz w:val="20"/>
                <w:szCs w:val="20"/>
                <w:color w:val="auto"/>
              </w:rPr>
            </w:pPr>
            <w:r>
              <w:rPr>
                <w:rFonts w:ascii="Arial" w:cs="Arial" w:eastAsia="Arial" w:hAnsi="Arial"/>
                <w:sz w:val="13"/>
                <w:szCs w:val="13"/>
                <w:color w:val="auto"/>
              </w:rPr>
              <w:t>108,109</w:t>
            </w:r>
          </w:p>
        </w:tc>
        <w:tc>
          <w:tcPr>
            <w:tcW w:w="740" w:type="dxa"/>
            <w:vAlign w:val="bottom"/>
            <w:gridSpan w:val="2"/>
          </w:tcPr>
          <w:p>
            <w:pPr>
              <w:jc w:val="right"/>
              <w:ind w:right="62"/>
              <w:spacing w:after="0"/>
              <w:rPr>
                <w:sz w:val="20"/>
                <w:szCs w:val="20"/>
                <w:color w:val="auto"/>
              </w:rPr>
            </w:pPr>
            <w:r>
              <w:rPr>
                <w:rFonts w:ascii="Arial" w:cs="Arial" w:eastAsia="Arial" w:hAnsi="Arial"/>
                <w:sz w:val="13"/>
                <w:szCs w:val="13"/>
                <w:color w:val="auto"/>
              </w:rPr>
              <w:t>366,939</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1,633,571</w:t>
            </w:r>
          </w:p>
        </w:tc>
        <w:tc>
          <w:tcPr>
            <w:tcW w:w="840" w:type="dxa"/>
            <w:vAlign w:val="bottom"/>
            <w:gridSpan w:val="3"/>
          </w:tcPr>
          <w:p>
            <w:pPr>
              <w:jc w:val="right"/>
              <w:ind w:right="62"/>
              <w:spacing w:after="0"/>
              <w:rPr>
                <w:sz w:val="20"/>
                <w:szCs w:val="20"/>
                <w:color w:val="auto"/>
              </w:rPr>
            </w:pPr>
            <w:r>
              <w:rPr>
                <w:rFonts w:ascii="Arial" w:cs="Arial" w:eastAsia="Arial" w:hAnsi="Arial"/>
                <w:sz w:val="13"/>
                <w:szCs w:val="13"/>
                <w:color w:val="auto"/>
              </w:rPr>
              <w:t>3,402,248</w:t>
            </w: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5,672,072</w:t>
            </w:r>
          </w:p>
        </w:tc>
        <w:tc>
          <w:tcPr>
            <w:tcW w:w="820" w:type="dxa"/>
            <w:vAlign w:val="bottom"/>
            <w:gridSpan w:val="2"/>
          </w:tcPr>
          <w:p>
            <w:pPr>
              <w:jc w:val="right"/>
              <w:ind w:right="122"/>
              <w:spacing w:after="0"/>
              <w:rPr>
                <w:sz w:val="20"/>
                <w:szCs w:val="20"/>
                <w:color w:val="auto"/>
              </w:rPr>
            </w:pPr>
            <w:r>
              <w:rPr>
                <w:rFonts w:ascii="Arial" w:cs="Arial" w:eastAsia="Arial" w:hAnsi="Arial"/>
                <w:sz w:val="13"/>
                <w:szCs w:val="13"/>
                <w:color w:val="auto"/>
              </w:rPr>
              <w:t>61,060</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358,853</w:t>
            </w:r>
          </w:p>
        </w:tc>
        <w:tc>
          <w:tcPr>
            <w:tcW w:w="660" w:type="dxa"/>
            <w:vAlign w:val="bottom"/>
          </w:tcPr>
          <w:p>
            <w:pPr>
              <w:jc w:val="right"/>
              <w:spacing w:after="0"/>
              <w:rPr>
                <w:sz w:val="20"/>
                <w:szCs w:val="20"/>
                <w:color w:val="auto"/>
              </w:rPr>
            </w:pPr>
            <w:r>
              <w:rPr>
                <w:rFonts w:ascii="Arial" w:cs="Arial" w:eastAsia="Arial" w:hAnsi="Arial"/>
                <w:sz w:val="13"/>
                <w:szCs w:val="13"/>
                <w:color w:val="auto"/>
              </w:rPr>
              <w:t>5,183,184</w:t>
            </w: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753,050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6,356,147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Bonds and notes issued</w:t>
            </w:r>
          </w:p>
        </w:tc>
        <w:tc>
          <w:tcPr>
            <w:tcW w:w="80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125,777</w:t>
            </w:r>
          </w:p>
        </w:tc>
        <w:tc>
          <w:tcPr>
            <w:tcW w:w="820" w:type="dxa"/>
            <w:vAlign w:val="bottom"/>
            <w:gridSpan w:val="2"/>
            <w:shd w:val="clear" w:color="auto" w:fill="CCEEFF"/>
          </w:tcPr>
          <w:p>
            <w:pPr>
              <w:jc w:val="right"/>
              <w:ind w:right="122"/>
              <w:spacing w:after="0" w:line="133" w:lineRule="exact"/>
              <w:rPr>
                <w:sz w:val="20"/>
                <w:szCs w:val="20"/>
                <w:color w:val="auto"/>
              </w:rPr>
            </w:pPr>
            <w:r>
              <w:rPr>
                <w:rFonts w:ascii="Arial" w:cs="Arial" w:eastAsia="Arial" w:hAnsi="Arial"/>
                <w:sz w:val="13"/>
                <w:szCs w:val="13"/>
                <w:color w:val="auto"/>
              </w:rPr>
              <w:t>176,115</w:t>
            </w:r>
          </w:p>
        </w:tc>
        <w:tc>
          <w:tcPr>
            <w:tcW w:w="740" w:type="dxa"/>
            <w:vAlign w:val="bottom"/>
            <w:gridSpan w:val="2"/>
            <w:shd w:val="clear" w:color="auto" w:fill="CCEEFF"/>
          </w:tcPr>
          <w:p>
            <w:pPr>
              <w:jc w:val="right"/>
              <w:ind w:right="62"/>
              <w:spacing w:after="0" w:line="133" w:lineRule="exact"/>
              <w:rPr>
                <w:sz w:val="20"/>
                <w:szCs w:val="20"/>
                <w:color w:val="auto"/>
              </w:rPr>
            </w:pPr>
            <w:r>
              <w:rPr>
                <w:rFonts w:ascii="Arial" w:cs="Arial" w:eastAsia="Arial" w:hAnsi="Arial"/>
                <w:sz w:val="13"/>
                <w:szCs w:val="13"/>
                <w:color w:val="auto"/>
              </w:rPr>
              <w:t>1,290,997</w:t>
            </w:r>
          </w:p>
        </w:tc>
        <w:tc>
          <w:tcPr>
            <w:tcW w:w="78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10,292,536</w:t>
            </w:r>
          </w:p>
        </w:tc>
        <w:tc>
          <w:tcPr>
            <w:tcW w:w="840" w:type="dxa"/>
            <w:vAlign w:val="bottom"/>
            <w:gridSpan w:val="3"/>
            <w:shd w:val="clear" w:color="auto" w:fill="CCEEFF"/>
          </w:tcPr>
          <w:p>
            <w:pPr>
              <w:jc w:val="right"/>
              <w:ind w:right="62"/>
              <w:spacing w:after="0" w:line="133" w:lineRule="exact"/>
              <w:rPr>
                <w:sz w:val="20"/>
                <w:szCs w:val="20"/>
                <w:color w:val="auto"/>
              </w:rPr>
            </w:pPr>
            <w:r>
              <w:rPr>
                <w:rFonts w:ascii="Arial" w:cs="Arial" w:eastAsia="Arial" w:hAnsi="Arial"/>
                <w:sz w:val="13"/>
                <w:szCs w:val="13"/>
                <w:color w:val="auto"/>
              </w:rPr>
              <w:t>6,094,298</w:t>
            </w:r>
          </w:p>
        </w:tc>
        <w:tc>
          <w:tcPr>
            <w:tcW w:w="92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17,979,723</w:t>
            </w:r>
          </w:p>
        </w:tc>
        <w:tc>
          <w:tcPr>
            <w:tcW w:w="820" w:type="dxa"/>
            <w:vAlign w:val="bottom"/>
            <w:gridSpan w:val="2"/>
            <w:shd w:val="clear" w:color="auto" w:fill="CCEEFF"/>
          </w:tcPr>
          <w:p>
            <w:pPr>
              <w:jc w:val="right"/>
              <w:ind w:right="122"/>
              <w:spacing w:after="0" w:line="133" w:lineRule="exact"/>
              <w:rPr>
                <w:sz w:val="20"/>
                <w:szCs w:val="20"/>
                <w:color w:val="auto"/>
              </w:rPr>
            </w:pPr>
            <w:r>
              <w:rPr>
                <w:rFonts w:ascii="Arial" w:cs="Arial" w:eastAsia="Arial" w:hAnsi="Arial"/>
                <w:sz w:val="13"/>
                <w:szCs w:val="13"/>
                <w:color w:val="auto"/>
              </w:rPr>
              <w:t>148,918</w:t>
            </w:r>
          </w:p>
        </w:tc>
        <w:tc>
          <w:tcPr>
            <w:tcW w:w="7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889,843</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1,008,926</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8,138,841</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8,515,914</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18,702,442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00" w:type="dxa"/>
            <w:vAlign w:val="bottom"/>
          </w:tcPr>
          <w:p>
            <w:pPr>
              <w:spacing w:after="0" w:line="145" w:lineRule="exact"/>
              <w:rPr>
                <w:sz w:val="20"/>
                <w:szCs w:val="20"/>
                <w:color w:val="auto"/>
              </w:rPr>
            </w:pPr>
            <w:r>
              <w:rPr>
                <w:rFonts w:ascii="Arial" w:cs="Arial" w:eastAsia="Arial" w:hAnsi="Arial"/>
                <w:sz w:val="13"/>
                <w:szCs w:val="13"/>
                <w:color w:val="auto"/>
              </w:rPr>
              <w:t>Other liabilities</w:t>
            </w:r>
          </w:p>
        </w:tc>
        <w:tc>
          <w:tcPr>
            <w:tcW w:w="8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3,941,629</w:t>
            </w:r>
          </w:p>
        </w:tc>
        <w:tc>
          <w:tcPr>
            <w:tcW w:w="820" w:type="dxa"/>
            <w:vAlign w:val="bottom"/>
            <w:gridSpan w:val="2"/>
          </w:tcPr>
          <w:p>
            <w:pPr>
              <w:jc w:val="right"/>
              <w:ind w:right="122"/>
              <w:spacing w:after="0" w:line="145" w:lineRule="exact"/>
              <w:rPr>
                <w:sz w:val="20"/>
                <w:szCs w:val="20"/>
                <w:color w:val="auto"/>
              </w:rPr>
            </w:pPr>
            <w:r>
              <w:rPr>
                <w:rFonts w:ascii="Arial" w:cs="Arial" w:eastAsia="Arial" w:hAnsi="Arial"/>
                <w:sz w:val="13"/>
                <w:szCs w:val="13"/>
                <w:color w:val="auto"/>
              </w:rPr>
              <w:t>133,844</w:t>
            </w:r>
          </w:p>
        </w:tc>
        <w:tc>
          <w:tcPr>
            <w:tcW w:w="740" w:type="dxa"/>
            <w:vAlign w:val="bottom"/>
            <w:gridSpan w:val="2"/>
          </w:tcPr>
          <w:p>
            <w:pPr>
              <w:jc w:val="right"/>
              <w:ind w:right="62"/>
              <w:spacing w:after="0" w:line="145" w:lineRule="exact"/>
              <w:rPr>
                <w:sz w:val="20"/>
                <w:szCs w:val="20"/>
                <w:color w:val="auto"/>
              </w:rPr>
            </w:pPr>
            <w:r>
              <w:rPr>
                <w:rFonts w:ascii="Arial" w:cs="Arial" w:eastAsia="Arial" w:hAnsi="Arial"/>
                <w:sz w:val="13"/>
                <w:szCs w:val="13"/>
                <w:color w:val="auto"/>
              </w:rPr>
              <w:t>200,758</w:t>
            </w:r>
          </w:p>
        </w:tc>
        <w:tc>
          <w:tcPr>
            <w:tcW w:w="78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4,749</w:t>
            </w:r>
          </w:p>
        </w:tc>
        <w:tc>
          <w:tcPr>
            <w:tcW w:w="840" w:type="dxa"/>
            <w:vAlign w:val="bottom"/>
            <w:gridSpan w:val="3"/>
          </w:tcPr>
          <w:p>
            <w:pPr>
              <w:jc w:val="right"/>
              <w:ind w:right="62"/>
              <w:spacing w:after="0" w:line="145" w:lineRule="exact"/>
              <w:rPr>
                <w:sz w:val="20"/>
                <w:szCs w:val="20"/>
                <w:color w:val="auto"/>
              </w:rPr>
            </w:pPr>
            <w:r>
              <w:rPr>
                <w:rFonts w:ascii="Arial" w:cs="Arial" w:eastAsia="Arial" w:hAnsi="Arial"/>
                <w:sz w:val="13"/>
                <w:szCs w:val="13"/>
                <w:color w:val="auto"/>
              </w:rPr>
              <w:t>8,305</w:t>
            </w:r>
          </w:p>
        </w:tc>
        <w:tc>
          <w:tcPr>
            <w:tcW w:w="920" w:type="dxa"/>
            <w:vAlign w:val="bottom"/>
            <w:gridSpan w:val="3"/>
          </w:tcPr>
          <w:p>
            <w:pPr>
              <w:jc w:val="right"/>
              <w:ind w:right="140"/>
              <w:spacing w:after="0" w:line="145" w:lineRule="exact"/>
              <w:rPr>
                <w:sz w:val="20"/>
                <w:szCs w:val="20"/>
                <w:color w:val="auto"/>
              </w:rPr>
            </w:pPr>
            <w:r>
              <w:rPr>
                <w:rFonts w:ascii="Arial" w:cs="Arial" w:eastAsia="Arial" w:hAnsi="Arial"/>
                <w:sz w:val="13"/>
                <w:szCs w:val="13"/>
                <w:color w:val="auto"/>
              </w:rPr>
              <w:t>4,289,285</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1,905,886</w:t>
            </w: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123,416</w:t>
            </w:r>
          </w:p>
        </w:tc>
        <w:tc>
          <w:tcPr>
            <w:tcW w:w="8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142,551</w:t>
            </w: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660,548</w:t>
            </w:r>
          </w:p>
        </w:tc>
        <w:tc>
          <w:tcPr>
            <w:tcW w:w="7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3,086,181</w:t>
            </w:r>
          </w:p>
        </w:tc>
        <w:tc>
          <w:tcPr>
            <w:tcW w:w="160" w:type="dxa"/>
            <w:vAlign w:val="bottom"/>
          </w:tcPr>
          <w:p>
            <w:pPr>
              <w:spacing w:after="0"/>
              <w:rPr>
                <w:sz w:val="12"/>
                <w:szCs w:val="12"/>
                <w:color w:val="auto"/>
              </w:rPr>
            </w:pPr>
          </w:p>
        </w:tc>
        <w:tc>
          <w:tcPr>
            <w:tcW w:w="7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5,918,582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0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3"/>
                <w:szCs w:val="13"/>
                <w:b w:val="1"/>
                <w:bCs w:val="1"/>
                <w:color w:val="auto"/>
              </w:rPr>
              <w:t>Total liabilities</w:t>
            </w: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8"/>
              </w:rPr>
              <w:t>32,474,909</w:t>
            </w: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8"/>
              </w:rPr>
              <w:t>11,268,182</w:t>
            </w: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5"/>
              </w:rPr>
              <w:t>23,523,161</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8"/>
              </w:rPr>
              <w:t>56,005,578</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8"/>
              </w:rPr>
              <w:t>20,683,956</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6"/>
              </w:rPr>
              <w:t>143,955,786</w:t>
            </w: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8"/>
              </w:rPr>
              <w:t>31,018,880</w:t>
            </w: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5"/>
              </w:rPr>
              <w:t>10,759,182</w:t>
            </w: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8"/>
              </w:rPr>
              <w:t>23,689,044</w:t>
            </w: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8"/>
              </w:rPr>
              <w:t>26,032,081</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8"/>
              </w:rPr>
              <w:t>18,097,322</w:t>
            </w:r>
          </w:p>
        </w:tc>
        <w:tc>
          <w:tcPr>
            <w:tcW w:w="1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6"/>
              </w:rPr>
              <w:t>109,596,509</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1700" w:type="dxa"/>
            <w:vAlign w:val="bottom"/>
            <w:shd w:val="clear" w:color="auto" w:fill="CCEEFF"/>
          </w:tcPr>
          <w:p>
            <w:pPr>
              <w:spacing w:after="0" w:line="113" w:lineRule="exact"/>
              <w:rPr>
                <w:sz w:val="20"/>
                <w:szCs w:val="20"/>
                <w:color w:val="auto"/>
              </w:rPr>
            </w:pPr>
            <w:r>
              <w:rPr>
                <w:rFonts w:ascii="Arial" w:cs="Arial" w:eastAsia="Arial" w:hAnsi="Arial"/>
                <w:sz w:val="13"/>
                <w:szCs w:val="13"/>
                <w:b w:val="1"/>
                <w:bCs w:val="1"/>
                <w:color w:val="auto"/>
                <w:w w:val="94"/>
              </w:rPr>
              <w:t>Derivative financial liabilities</w:t>
            </w: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00" w:type="dxa"/>
            <w:vAlign w:val="bottom"/>
          </w:tcPr>
          <w:p>
            <w:pPr>
              <w:spacing w:after="0" w:line="117" w:lineRule="exact"/>
              <w:rPr>
                <w:sz w:val="20"/>
                <w:szCs w:val="20"/>
                <w:color w:val="auto"/>
              </w:rPr>
            </w:pPr>
            <w:r>
              <w:rPr>
                <w:rFonts w:ascii="Arial" w:cs="Arial" w:eastAsia="Arial" w:hAnsi="Arial"/>
                <w:sz w:val="13"/>
                <w:szCs w:val="13"/>
                <w:color w:val="auto"/>
                <w:w w:val="91"/>
              </w:rPr>
              <w:t>Contractual amounts receivable</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gridSpan w:val="2"/>
          </w:tcPr>
          <w:p>
            <w:pPr>
              <w:spacing w:after="0"/>
              <w:rPr>
                <w:sz w:val="20"/>
                <w:szCs w:val="20"/>
                <w:color w:val="auto"/>
              </w:rPr>
            </w:pPr>
            <w:r>
              <w:rPr>
                <w:rFonts w:ascii="Arial" w:cs="Arial" w:eastAsia="Arial" w:hAnsi="Arial"/>
                <w:sz w:val="13"/>
                <w:szCs w:val="13"/>
                <w:color w:val="auto"/>
              </w:rPr>
              <w:t>(Inflows)</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576,992</w:t>
            </w:r>
          </w:p>
        </w:tc>
        <w:tc>
          <w:tcPr>
            <w:tcW w:w="820" w:type="dxa"/>
            <w:vAlign w:val="bottom"/>
            <w:gridSpan w:val="2"/>
          </w:tcPr>
          <w:p>
            <w:pPr>
              <w:jc w:val="right"/>
              <w:ind w:right="122"/>
              <w:spacing w:after="0"/>
              <w:rPr>
                <w:sz w:val="20"/>
                <w:szCs w:val="20"/>
                <w:color w:val="auto"/>
              </w:rPr>
            </w:pPr>
            <w:r>
              <w:rPr>
                <w:rFonts w:ascii="Arial" w:cs="Arial" w:eastAsia="Arial" w:hAnsi="Arial"/>
                <w:sz w:val="13"/>
                <w:szCs w:val="13"/>
                <w:color w:val="auto"/>
              </w:rPr>
              <w:t>150,223</w:t>
            </w:r>
          </w:p>
        </w:tc>
        <w:tc>
          <w:tcPr>
            <w:tcW w:w="740" w:type="dxa"/>
            <w:vAlign w:val="bottom"/>
            <w:gridSpan w:val="2"/>
          </w:tcPr>
          <w:p>
            <w:pPr>
              <w:jc w:val="right"/>
              <w:ind w:right="62"/>
              <w:spacing w:after="0"/>
              <w:rPr>
                <w:sz w:val="20"/>
                <w:szCs w:val="20"/>
                <w:color w:val="auto"/>
              </w:rPr>
            </w:pPr>
            <w:r>
              <w:rPr>
                <w:rFonts w:ascii="Arial" w:cs="Arial" w:eastAsia="Arial" w:hAnsi="Arial"/>
                <w:sz w:val="13"/>
                <w:szCs w:val="13"/>
                <w:color w:val="auto"/>
              </w:rPr>
              <w:t>550,989</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1,765,538</w:t>
            </w:r>
          </w:p>
        </w:tc>
        <w:tc>
          <w:tcPr>
            <w:tcW w:w="840" w:type="dxa"/>
            <w:vAlign w:val="bottom"/>
            <w:gridSpan w:val="3"/>
          </w:tcPr>
          <w:p>
            <w:pPr>
              <w:jc w:val="right"/>
              <w:ind w:right="62"/>
              <w:spacing w:after="0"/>
              <w:rPr>
                <w:sz w:val="20"/>
                <w:szCs w:val="20"/>
                <w:color w:val="auto"/>
              </w:rPr>
            </w:pPr>
            <w:r>
              <w:rPr>
                <w:rFonts w:ascii="Arial" w:cs="Arial" w:eastAsia="Arial" w:hAnsi="Arial"/>
                <w:sz w:val="13"/>
                <w:szCs w:val="13"/>
                <w:color w:val="auto"/>
              </w:rPr>
              <w:t>522,802</w:t>
            </w: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3,566,544</w:t>
            </w:r>
          </w:p>
        </w:tc>
        <w:tc>
          <w:tcPr>
            <w:tcW w:w="820" w:type="dxa"/>
            <w:vAlign w:val="bottom"/>
            <w:gridSpan w:val="2"/>
          </w:tcPr>
          <w:p>
            <w:pPr>
              <w:jc w:val="right"/>
              <w:ind w:right="122"/>
              <w:spacing w:after="0"/>
              <w:rPr>
                <w:sz w:val="20"/>
                <w:szCs w:val="20"/>
                <w:color w:val="auto"/>
              </w:rPr>
            </w:pPr>
            <w:r>
              <w:rPr>
                <w:rFonts w:ascii="Arial" w:cs="Arial" w:eastAsia="Arial" w:hAnsi="Arial"/>
                <w:sz w:val="13"/>
                <w:szCs w:val="13"/>
                <w:color w:val="auto"/>
              </w:rPr>
              <w:t>990,499</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766,469</w:t>
            </w:r>
          </w:p>
        </w:tc>
        <w:tc>
          <w:tcPr>
            <w:tcW w:w="660" w:type="dxa"/>
            <w:vAlign w:val="bottom"/>
          </w:tcPr>
          <w:p>
            <w:pPr>
              <w:jc w:val="right"/>
              <w:spacing w:after="0"/>
              <w:rPr>
                <w:sz w:val="20"/>
                <w:szCs w:val="20"/>
                <w:color w:val="auto"/>
              </w:rPr>
            </w:pPr>
            <w:r>
              <w:rPr>
                <w:rFonts w:ascii="Arial" w:cs="Arial" w:eastAsia="Arial" w:hAnsi="Arial"/>
                <w:sz w:val="13"/>
                <w:szCs w:val="13"/>
                <w:color w:val="auto"/>
              </w:rPr>
              <w:t>1,509,604</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2,218,047</w:t>
            </w:r>
          </w:p>
        </w:tc>
        <w:tc>
          <w:tcPr>
            <w:tcW w:w="80" w:type="dxa"/>
            <w:vAlign w:val="bottom"/>
          </w:tcPr>
          <w:p>
            <w:pPr>
              <w:spacing w:after="0"/>
              <w:rPr>
                <w:sz w:val="12"/>
                <w:szCs w:val="1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318,060</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5,802,679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9"/>
              </w:rPr>
              <w:t>Contractual amounts payable</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(outflows)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301,709</w:t>
            </w: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3"/>
                <w:szCs w:val="13"/>
                <w:color w:val="auto"/>
              </w:rPr>
              <w:t>305,279</w:t>
            </w:r>
          </w:p>
        </w:tc>
        <w:tc>
          <w:tcPr>
            <w:tcW w:w="740" w:type="dxa"/>
            <w:vAlign w:val="bottom"/>
            <w:gridSpan w:val="2"/>
            <w:shd w:val="clear" w:color="auto" w:fill="CCEEFF"/>
          </w:tcPr>
          <w:p>
            <w:pPr>
              <w:jc w:val="right"/>
              <w:ind w:right="62"/>
              <w:spacing w:after="0"/>
              <w:rPr>
                <w:sz w:val="20"/>
                <w:szCs w:val="20"/>
                <w:color w:val="auto"/>
              </w:rPr>
            </w:pPr>
            <w:r>
              <w:rPr>
                <w:rFonts w:ascii="Arial" w:cs="Arial" w:eastAsia="Arial" w:hAnsi="Arial"/>
                <w:sz w:val="13"/>
                <w:szCs w:val="13"/>
                <w:color w:val="auto"/>
              </w:rPr>
              <w:t>588,079</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1,714,861</w:t>
            </w:r>
          </w:p>
        </w:tc>
        <w:tc>
          <w:tcPr>
            <w:tcW w:w="840" w:type="dxa"/>
            <w:vAlign w:val="bottom"/>
            <w:gridSpan w:val="3"/>
            <w:shd w:val="clear" w:color="auto" w:fill="CCEEFF"/>
          </w:tcPr>
          <w:p>
            <w:pPr>
              <w:jc w:val="right"/>
              <w:ind w:right="62"/>
              <w:spacing w:after="0"/>
              <w:rPr>
                <w:sz w:val="20"/>
                <w:szCs w:val="20"/>
                <w:color w:val="auto"/>
              </w:rPr>
            </w:pPr>
            <w:r>
              <w:rPr>
                <w:rFonts w:ascii="Arial" w:cs="Arial" w:eastAsia="Arial" w:hAnsi="Arial"/>
                <w:sz w:val="13"/>
                <w:szCs w:val="13"/>
                <w:color w:val="auto"/>
              </w:rPr>
              <w:t>552,438</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3,462,366</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1,036,265</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754,503</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1,466,475</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2,058,000</w:t>
            </w: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294,818</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5,610,061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00" w:type="dxa"/>
            <w:vAlign w:val="bottom"/>
          </w:tcPr>
          <w:p>
            <w:pPr>
              <w:spacing w:after="0" w:line="125" w:lineRule="exact"/>
              <w:rPr>
                <w:sz w:val="20"/>
                <w:szCs w:val="20"/>
                <w:color w:val="auto"/>
              </w:rPr>
            </w:pPr>
            <w:r>
              <w:rPr>
                <w:rFonts w:ascii="Arial" w:cs="Arial" w:eastAsia="Arial" w:hAnsi="Arial"/>
                <w:sz w:val="13"/>
                <w:szCs w:val="13"/>
                <w:b w:val="1"/>
                <w:bCs w:val="1"/>
                <w:color w:val="auto"/>
              </w:rPr>
              <w:t>Total liabilities</w:t>
            </w: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275,283</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(155,056</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(37,090</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50,677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(29,636</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104,178</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(45,766</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11,966</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43,129</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160,047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23,242</w:t>
            </w:r>
          </w:p>
        </w:tc>
        <w:tc>
          <w:tcPr>
            <w:tcW w:w="16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192,618</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 Including derivative contracts designated for hedge accounting.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0"/>
          </w:cols>
          <w:pgMar w:left="240" w:top="828" w:right="21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b w:val="1"/>
          <w:bCs w:val="1"/>
          <w:color w:val="auto"/>
        </w:rPr>
        <w:t>34.4 Operational risk -</w:t>
      </w:r>
    </w:p>
    <w:p>
      <w:pPr>
        <w:spacing w:after="0" w:line="207" w:lineRule="exact"/>
        <w:rPr>
          <w:sz w:val="20"/>
          <w:szCs w:val="20"/>
          <w:color w:val="auto"/>
        </w:rPr>
      </w:pPr>
    </w:p>
    <w:p>
      <w:pPr>
        <w:ind w:right="240"/>
        <w:spacing w:after="0" w:line="354" w:lineRule="auto"/>
        <w:rPr>
          <w:sz w:val="20"/>
          <w:szCs w:val="20"/>
          <w:color w:val="auto"/>
        </w:rPr>
      </w:pPr>
      <w:r>
        <w:rPr>
          <w:rFonts w:ascii="Arial" w:cs="Arial" w:eastAsia="Arial" w:hAnsi="Arial"/>
          <w:sz w:val="14"/>
          <w:szCs w:val="14"/>
          <w:color w:val="auto"/>
        </w:rPr>
        <w:t>Operational risk is the possibility of the occurrence of losses arising from inadequate processes, human error, failure of information technology, relations with third parties or external events. Operational risks can, lead to financial losses and have legal or regulatory compliance consequences, but exclude strategic or reputational risk.</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Group’s objective, through one of its pillars, is to develop an efficient risk culture, and to achieve this, it records operational risks and their respective process controls. The risk map permits their monitoring, prioritization and proposed treatment according to established governance. Operational Risks are grouped into Internal Fraud, External Fraud, Labor Relations and Job Security, Relations with Clients, business products and practices, Damages to material assets, business and systems interruption, and Failures in process execution, delivery and management.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34.5 Risk of the insurance activity -</w:t>
      </w:r>
    </w:p>
    <w:p>
      <w:pPr>
        <w:spacing w:after="0" w:line="207"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principal risk the Group faces under insurance contracts is that the actual claims and benefit payments or the timing thereof, differ from expectations. This is influenced by the frequency of claims, severity of claims, actual benefits paid and subsequent development of long-term claims. Therefore, the objective of the Group is to ensure that sufficient reserves are available to cover these liabilities.</w:t>
      </w:r>
    </w:p>
    <w:p>
      <w:pPr>
        <w:spacing w:after="0" w:line="162" w:lineRule="exact"/>
        <w:rPr>
          <w:sz w:val="20"/>
          <w:szCs w:val="20"/>
          <w:color w:val="auto"/>
        </w:rPr>
      </w:pPr>
    </w:p>
    <w:p>
      <w:pPr>
        <w:ind w:right="380"/>
        <w:spacing w:after="0" w:line="292" w:lineRule="auto"/>
        <w:rPr>
          <w:sz w:val="20"/>
          <w:szCs w:val="20"/>
          <w:color w:val="auto"/>
        </w:rPr>
      </w:pPr>
      <w:r>
        <w:rPr>
          <w:rFonts w:ascii="Arial" w:cs="Arial" w:eastAsia="Arial" w:hAnsi="Arial"/>
          <w:sz w:val="15"/>
          <w:szCs w:val="15"/>
          <w:color w:val="auto"/>
        </w:rPr>
        <w:t>The above risk exposure is mitigated by diversification across a large portfolio of insurance contracts. The variability of risks is also improved by careful selection and implementation of underwriting strategy guidelines, as well as the use of reinsurance arrangements. The Group’s placement of reinsurance is diversified so that it is neither dependent on a single reinsurer nor are the operations of the Group substantially dependent upon any single reinsurance contract.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Life insurance contracts -</w:t>
      </w:r>
    </w:p>
    <w:p>
      <w:pPr>
        <w:spacing w:after="0" w:line="207"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color w:val="auto"/>
        </w:rPr>
        <w:t>The main risks that the Group is exposed to are mortality, morbidity, longevity, investment return, expense incurred of loss arising from expense experience being different than expected, and policyholder decision, all of which, do not vary significantly in relation to the location of the risk insured by the Group, type of risk insured or industry.</w:t>
      </w:r>
    </w:p>
    <w:p>
      <w:pPr>
        <w:spacing w:after="0" w:line="127" w:lineRule="exact"/>
        <w:rPr>
          <w:sz w:val="20"/>
          <w:szCs w:val="20"/>
          <w:color w:val="auto"/>
        </w:rPr>
      </w:pPr>
    </w:p>
    <w:p>
      <w:pPr>
        <w:ind w:right="160"/>
        <w:spacing w:after="0" w:line="310" w:lineRule="auto"/>
        <w:rPr>
          <w:sz w:val="20"/>
          <w:szCs w:val="20"/>
          <w:color w:val="auto"/>
        </w:rPr>
      </w:pPr>
      <w:r>
        <w:rPr>
          <w:rFonts w:ascii="Arial" w:cs="Arial" w:eastAsia="Arial" w:hAnsi="Arial"/>
          <w:sz w:val="14"/>
          <w:szCs w:val="14"/>
          <w:color w:val="auto"/>
        </w:rPr>
        <w:t>The Group’s underwriting strategy is designed to ensure that risks are well diversified in terms of type of risk and level of insured benefits. This is largely achieved through diversification across insurable risks, the use of medical screening in order to ensure that pricing takes account of current health conditions and family medical history, regular review of actual claims experience and product pricing, as well as detailed claims handling procedures. Underwriting limits are in place to enforce appropriate risk selection criteria. For example, the Group has the right not to renew individual policies, it can impose deductibles and it has the right to reject the payment of fraudulent claims.</w:t>
      </w:r>
    </w:p>
    <w:p>
      <w:pPr>
        <w:spacing w:after="0" w:line="135"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For contracts when death is the insured risk, the significant factors that could increase the overall frequency of claims are epidemics, widespread changes in lifestyle and natural disasters, resulting in earlier or more claims than expected.</w:t>
      </w:r>
    </w:p>
    <w:p>
      <w:pPr>
        <w:spacing w:after="0" w:line="151" w:lineRule="exact"/>
        <w:rPr>
          <w:sz w:val="20"/>
          <w:szCs w:val="20"/>
          <w:color w:val="auto"/>
        </w:rPr>
      </w:pPr>
    </w:p>
    <w:p>
      <w:pPr>
        <w:ind w:right="260"/>
        <w:spacing w:after="0" w:line="280" w:lineRule="auto"/>
        <w:rPr>
          <w:sz w:val="20"/>
          <w:szCs w:val="20"/>
          <w:color w:val="auto"/>
        </w:rPr>
      </w:pPr>
      <w:r>
        <w:rPr>
          <w:rFonts w:ascii="Arial" w:cs="Arial" w:eastAsia="Arial" w:hAnsi="Arial"/>
          <w:sz w:val="16"/>
          <w:szCs w:val="16"/>
          <w:color w:val="auto"/>
        </w:rPr>
        <w:t>For retirement, survival and disability annuities contracts, the most significant factor is continuing improvement in medical science and social conditions that would increase longevity.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performed a sensitivity analysis of the technical reserve estimates, note 16(c).</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Non-life insurance contracts (general insurance and healthcare) -</w:t>
      </w:r>
    </w:p>
    <w:p>
      <w:pPr>
        <w:spacing w:after="0" w:line="207" w:lineRule="exact"/>
        <w:rPr>
          <w:sz w:val="20"/>
          <w:szCs w:val="20"/>
          <w:color w:val="auto"/>
        </w:rPr>
      </w:pPr>
    </w:p>
    <w:p>
      <w:pPr>
        <w:ind w:right="480"/>
        <w:spacing w:after="0" w:line="280" w:lineRule="auto"/>
        <w:rPr>
          <w:sz w:val="20"/>
          <w:szCs w:val="20"/>
          <w:color w:val="auto"/>
        </w:rPr>
      </w:pPr>
      <w:r>
        <w:rPr>
          <w:rFonts w:ascii="Arial" w:cs="Arial" w:eastAsia="Arial" w:hAnsi="Arial"/>
          <w:sz w:val="16"/>
          <w:szCs w:val="16"/>
          <w:color w:val="auto"/>
        </w:rPr>
        <w:t>The Group mainly issues the following types of non-life general insurance contracts: automobile, home, business and healthcare insurances. Healthcare contracts provide medical expense cover to policyholders. Risks under non-life insurance policies usually cover 12 months.</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- 141 -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146" w:name="page147"/>
    <w:bookmarkEnd w:id="146"/>
    <w:p>
      <w:pPr>
        <w:ind w:left="3" w:right="160"/>
        <w:spacing w:after="0" w:line="280" w:lineRule="auto"/>
        <w:rPr>
          <w:sz w:val="20"/>
          <w:szCs w:val="20"/>
          <w:color w:val="auto"/>
        </w:rPr>
      </w:pPr>
      <w:r>
        <w:rPr>
          <w:rFonts w:ascii="Arial" w:cs="Arial" w:eastAsia="Arial" w:hAnsi="Arial"/>
          <w:sz w:val="16"/>
          <w:szCs w:val="16"/>
          <w:color w:val="auto"/>
        </w:rPr>
        <w:t>For general insurance contracts the most significant risks arise from climate changes, natural disasters and other type of damages. For healthcare contracts the most significant risks arise from lifestyle changes, epidemics and medical science and technology improvements.</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These risks do not vary significantly in relation to the location of the risk insured by the Group, type of risk insured or industry.</w:t>
      </w:r>
    </w:p>
    <w:p>
      <w:pPr>
        <w:spacing w:after="0" w:line="203"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The above risk exposures are mitigated by diversification across a large portfolio of insurance contracts. The variability of risk is improved by careful selection and implementation of underwriting strategies, which are designed to ensure that risks are diversified in terms of type of risks and level of insured benefits. This is largely achieved through diversification across industry sectors and geography. Further, strict claim review policies to assess all new and ongoing claims, regular detailed review of claims handling procedures and frequent investigation of possible fraudulent claims are all policies and procedures put in place to reduce the Group’s risk exposure. Insurance contracts also entitle the Group to pursue third parties for payment of some or all costs. Also, the Group actively manages and promptly pursues claims, in order to reduce its exposure to unpredictable future developments that can negatively impact the Group.</w:t>
      </w:r>
    </w:p>
    <w:p>
      <w:pPr>
        <w:spacing w:after="0" w:line="172" w:lineRule="exact"/>
        <w:rPr>
          <w:sz w:val="20"/>
          <w:szCs w:val="20"/>
          <w:color w:val="auto"/>
        </w:rPr>
      </w:pPr>
    </w:p>
    <w:p>
      <w:pPr>
        <w:ind w:left="3" w:right="120"/>
        <w:spacing w:after="0" w:line="280" w:lineRule="auto"/>
        <w:rPr>
          <w:sz w:val="20"/>
          <w:szCs w:val="20"/>
          <w:color w:val="auto"/>
        </w:rPr>
      </w:pPr>
      <w:r>
        <w:rPr>
          <w:rFonts w:ascii="Arial" w:cs="Arial" w:eastAsia="Arial" w:hAnsi="Arial"/>
          <w:sz w:val="16"/>
          <w:szCs w:val="16"/>
          <w:color w:val="auto"/>
        </w:rPr>
        <w:t>The Group has also limited its exposure by imposing maximum claim amounts on certain contracts as well as the use of reinsurance arrangements in order to limit its exposure to catastrophic events.</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color w:val="auto"/>
        </w:rPr>
        <w:t>Credit risk of the insurance activity -</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6"/>
          <w:szCs w:val="16"/>
          <w:color w:val="auto"/>
        </w:rPr>
        <w:t>Credit risk is the risk that one party to a financial instrument will cause a financial loss to the other party by failing to discharge an obligation.</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policies and procedures are in place to mitigate the Group’s exposure to credit risk:</w:t>
      </w:r>
    </w:p>
    <w:p>
      <w:pPr>
        <w:spacing w:after="0" w:line="203" w:lineRule="exact"/>
        <w:rPr>
          <w:sz w:val="20"/>
          <w:szCs w:val="20"/>
          <w:color w:val="auto"/>
        </w:rPr>
      </w:pPr>
    </w:p>
    <w:p>
      <w:pPr>
        <w:ind w:left="283" w:hanging="283"/>
        <w:spacing w:after="0"/>
        <w:tabs>
          <w:tab w:leader="none" w:pos="28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Group sets the maximum amounts and limits that may be advanced to corporate counterparties by reference to their long- term credit ratings.</w:t>
      </w:r>
    </w:p>
    <w:p>
      <w:pPr>
        <w:spacing w:after="0" w:line="202" w:lineRule="exact"/>
        <w:rPr>
          <w:rFonts w:ascii="Arial" w:cs="Arial" w:eastAsia="Arial" w:hAnsi="Arial"/>
          <w:sz w:val="16"/>
          <w:szCs w:val="16"/>
          <w:color w:val="auto"/>
        </w:rPr>
      </w:pPr>
    </w:p>
    <w:p>
      <w:pPr>
        <w:ind w:left="283" w:right="580" w:hanging="283"/>
        <w:spacing w:after="0" w:line="315" w:lineRule="auto"/>
        <w:tabs>
          <w:tab w:leader="none" w:pos="283" w:val="left"/>
        </w:tabs>
        <w:numPr>
          <w:ilvl w:val="0"/>
          <w:numId w:val="142"/>
        </w:numPr>
        <w:rPr>
          <w:rFonts w:ascii="Arial" w:cs="Arial" w:eastAsia="Arial" w:hAnsi="Arial"/>
          <w:sz w:val="15"/>
          <w:szCs w:val="15"/>
          <w:color w:val="auto"/>
        </w:rPr>
      </w:pPr>
      <w:r>
        <w:rPr>
          <w:rFonts w:ascii="Arial" w:cs="Arial" w:eastAsia="Arial" w:hAnsi="Arial"/>
          <w:sz w:val="15"/>
          <w:szCs w:val="15"/>
          <w:color w:val="auto"/>
        </w:rPr>
        <w:t>Credit risk from customer balances, will only persist during the grace period specified in the policy document or trust deed until the policy is paid up or terminated. Commissions paid to intermediaries are netted off against amounts receivable from them in order to reduce the risk of doubtful accounts.</w:t>
      </w:r>
    </w:p>
    <w:p>
      <w:pPr>
        <w:spacing w:after="0" w:line="127" w:lineRule="exact"/>
        <w:rPr>
          <w:rFonts w:ascii="Arial" w:cs="Arial" w:eastAsia="Arial" w:hAnsi="Arial"/>
          <w:sz w:val="15"/>
          <w:szCs w:val="15"/>
          <w:color w:val="auto"/>
        </w:rPr>
      </w:pPr>
    </w:p>
    <w:p>
      <w:pPr>
        <w:ind w:left="283" w:right="260" w:hanging="283"/>
        <w:spacing w:after="0" w:line="266" w:lineRule="auto"/>
        <w:tabs>
          <w:tab w:leader="none" w:pos="28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Reinsurance is placed with counterparties that have a good credit rating and concentration of risk is avoided by following guidelines in respect of counterparties’ limits which are set each year by the Board of Directors and are subject to regular reviews. At each reporting date, Management performs an assessment of creditworthiness of reinsurers and updates the reinsurance purchase strategy, ascertaining a suitable allowance for impairment.</w:t>
      </w:r>
    </w:p>
    <w:p>
      <w:pPr>
        <w:spacing w:after="0" w:line="161" w:lineRule="exact"/>
        <w:rPr>
          <w:rFonts w:ascii="Arial" w:cs="Arial" w:eastAsia="Arial" w:hAnsi="Arial"/>
          <w:sz w:val="16"/>
          <w:szCs w:val="16"/>
          <w:color w:val="auto"/>
        </w:rPr>
      </w:pPr>
    </w:p>
    <w:p>
      <w:pPr>
        <w:ind w:left="283" w:right="540" w:hanging="283"/>
        <w:spacing w:after="0" w:line="315" w:lineRule="auto"/>
        <w:tabs>
          <w:tab w:leader="none" w:pos="283" w:val="left"/>
        </w:tabs>
        <w:numPr>
          <w:ilvl w:val="0"/>
          <w:numId w:val="142"/>
        </w:numPr>
        <w:rPr>
          <w:rFonts w:ascii="Arial" w:cs="Arial" w:eastAsia="Arial" w:hAnsi="Arial"/>
          <w:sz w:val="15"/>
          <w:szCs w:val="15"/>
          <w:color w:val="auto"/>
        </w:rPr>
      </w:pPr>
      <w:r>
        <w:rPr>
          <w:rFonts w:ascii="Arial" w:cs="Arial" w:eastAsia="Arial" w:hAnsi="Arial"/>
          <w:sz w:val="15"/>
          <w:szCs w:val="15"/>
          <w:color w:val="auto"/>
        </w:rPr>
        <w:t>A Group policy setting out the assessment and determination of what constitutes credit risk for the Group is in place, its compliance is monitored and exposures and breaches are reported to the Group risk committee. The policy is regularly reviewed for pertinence and for changes in the risk environment.</w:t>
      </w:r>
    </w:p>
    <w:p>
      <w:pPr>
        <w:spacing w:after="0" w:line="127" w:lineRule="exact"/>
        <w:rPr>
          <w:rFonts w:ascii="Arial" w:cs="Arial" w:eastAsia="Arial" w:hAnsi="Arial"/>
          <w:sz w:val="15"/>
          <w:szCs w:val="15"/>
          <w:color w:val="auto"/>
        </w:rPr>
      </w:pPr>
    </w:p>
    <w:p>
      <w:pPr>
        <w:ind w:left="283" w:right="120" w:hanging="283"/>
        <w:spacing w:after="0" w:line="315" w:lineRule="auto"/>
        <w:tabs>
          <w:tab w:leader="none" w:pos="283"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Group issues unit-linked contracts whereby the policyholder bears the investment risk on the financial assets held in the Company’s investment portfolio as the policy benefits are directly linked to the value of the assets in the portfolio. Therefore, the Group has no material credit risk on unit- linked financial assets.</w:t>
      </w:r>
    </w:p>
    <w:p>
      <w:pPr>
        <w:spacing w:after="0" w:line="320" w:lineRule="exact"/>
        <w:rPr>
          <w:rFonts w:ascii="Arial" w:cs="Arial" w:eastAsia="Arial" w:hAnsi="Arial"/>
          <w:sz w:val="15"/>
          <w:szCs w:val="15"/>
          <w:color w:val="auto"/>
        </w:rPr>
      </w:pPr>
    </w:p>
    <w:p>
      <w:pPr>
        <w:ind w:left="5603" w:hanging="95"/>
        <w:spacing w:after="0"/>
        <w:tabs>
          <w:tab w:leader="none" w:pos="5603" w:val="left"/>
        </w:tabs>
        <w:numPr>
          <w:ilvl w:val="1"/>
          <w:numId w:val="142"/>
        </w:numPr>
        <w:rPr>
          <w:rFonts w:ascii="Arial" w:cs="Arial" w:eastAsia="Arial" w:hAnsi="Arial"/>
          <w:sz w:val="16"/>
          <w:szCs w:val="16"/>
          <w:color w:val="auto"/>
        </w:rPr>
      </w:pPr>
      <w:r>
        <w:rPr>
          <w:rFonts w:ascii="Arial" w:cs="Arial" w:eastAsia="Arial" w:hAnsi="Arial"/>
          <w:sz w:val="16"/>
          <w:szCs w:val="16"/>
          <w:color w:val="auto"/>
        </w:rPr>
        <w:t>142 -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03"/>
          </w:cols>
          <w:pgMar w:left="237" w:top="828" w:right="259" w:bottom="1440" w:gutter="0" w:footer="0" w:header="0"/>
        </w:sectPr>
      </w:pPr>
    </w:p>
    <w:bookmarkStart w:id="147" w:name="page148"/>
    <w:bookmarkEnd w:id="147"/>
    <w:p>
      <w:pPr>
        <w:ind w:left="3"/>
        <w:spacing w:after="0"/>
        <w:rPr>
          <w:sz w:val="20"/>
          <w:szCs w:val="20"/>
          <w:color w:val="auto"/>
        </w:rPr>
      </w:pPr>
      <w:r>
        <w:rPr>
          <w:rFonts w:ascii="Arial" w:cs="Arial" w:eastAsia="Arial" w:hAnsi="Arial"/>
          <w:sz w:val="16"/>
          <w:szCs w:val="16"/>
          <w:b w:val="1"/>
          <w:bCs w:val="1"/>
          <w:color w:val="auto"/>
        </w:rPr>
        <w:t>34.6 Capital management -</w:t>
      </w:r>
    </w:p>
    <w:p>
      <w:pPr>
        <w:spacing w:after="0" w:line="207" w:lineRule="exact"/>
        <w:rPr>
          <w:sz w:val="20"/>
          <w:szCs w:val="20"/>
          <w:color w:val="auto"/>
        </w:rPr>
      </w:pPr>
    </w:p>
    <w:p>
      <w:pPr>
        <w:ind w:left="3"/>
        <w:spacing w:after="0" w:line="280" w:lineRule="auto"/>
        <w:rPr>
          <w:sz w:val="20"/>
          <w:szCs w:val="20"/>
          <w:color w:val="auto"/>
        </w:rPr>
      </w:pPr>
      <w:r>
        <w:rPr>
          <w:rFonts w:ascii="Arial" w:cs="Arial" w:eastAsia="Arial" w:hAnsi="Arial"/>
          <w:sz w:val="16"/>
          <w:szCs w:val="16"/>
          <w:color w:val="auto"/>
        </w:rPr>
        <w:t>The Group maintains an actively managed capital base to cover risks inherent in its business. The adequacy of the Group’s capital is monitored using, among other measures, the rules and ratios established by the SBS, the supervising authority of its major subsidiaries and for consolidation purposes.</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4"/>
          <w:szCs w:val="14"/>
          <w:color w:val="auto"/>
        </w:rPr>
        <w:t>The Group’s objectives when managing capital are: (i) to comply with the capital requirements set by the regulators of the markets where the entities within the Group operate;</w:t>
      </w:r>
    </w:p>
    <w:p>
      <w:pPr>
        <w:spacing w:after="0" w:line="45" w:lineRule="exact"/>
        <w:rPr>
          <w:sz w:val="20"/>
          <w:szCs w:val="20"/>
          <w:color w:val="auto"/>
        </w:rPr>
      </w:pPr>
    </w:p>
    <w:p>
      <w:pPr>
        <w:ind w:left="3" w:right="380" w:hanging="3"/>
        <w:spacing w:after="0" w:line="298" w:lineRule="auto"/>
        <w:tabs>
          <w:tab w:leader="none" w:pos="241"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to safeguard the Group’s ability to continue as a going concern so that it can continue to provide returns for shareholders and benefits for other stakeholders; and (iii) to maintain a strong capital base to support the development of its business, in line with the limits and tolerances established in the declaration of Risk Appetite.</w:t>
      </w:r>
    </w:p>
    <w:p>
      <w:pPr>
        <w:spacing w:after="0" w:line="140" w:lineRule="exact"/>
        <w:rPr>
          <w:sz w:val="20"/>
          <w:szCs w:val="20"/>
          <w:color w:val="auto"/>
        </w:rPr>
      </w:pPr>
    </w:p>
    <w:p>
      <w:pPr>
        <w:ind w:left="3" w:right="60"/>
        <w:spacing w:after="0" w:line="257" w:lineRule="auto"/>
        <w:rPr>
          <w:sz w:val="20"/>
          <w:szCs w:val="20"/>
          <w:color w:val="auto"/>
        </w:rPr>
      </w:pPr>
      <w:r>
        <w:rPr>
          <w:rFonts w:ascii="Arial" w:cs="Arial" w:eastAsia="Arial" w:hAnsi="Arial"/>
          <w:sz w:val="16"/>
          <w:szCs w:val="16"/>
          <w:color w:val="auto"/>
        </w:rPr>
        <w:t>Legislative Decree N° 1028 modified the Banking Law, establishing that regulatory capital must be equal to or more than 10 percent of total risk weighted assets and contingent operations, represented by the sum of: the regulatory capital requirement for market risk multiplied by 10, the regulatory capital requirement for operational risk multiplied by 10 and the weighted assets and contingent credits by credit risk. This calculation must include all balance sheet exposures or assets in local or foreign currency. As of December 31, 2016 and 2015, the minimum requirement is 10.0 percent. Also, by means of SBS Resolution No.8425- 2011 dated July 2011 the SBS requires an additional effective equity per economic cycle, concentration risk, market concentration risk, interest rate risk and other risks. Peruvian financial entities have a 5-year-term from July 2011 to adjust their total effective equity to the requested level.</w:t>
      </w:r>
    </w:p>
    <w:p>
      <w:pPr>
        <w:spacing w:after="0" w:line="172"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As of December 31, 2016 and 2015, the regulatory capital for the subsidiaries engaged in financial and insurance activities amounted to approximately S/21,174.7 million and S/18,614.7 million, respectively. The regulatory capital has been determined in accordance with SBS regulations in force as of said dates. Under the SBS regulations, the Group’s regulatory capital exceeds by approximately S/3,915.7 million the minimum regulatory capital required as of December 31, 2016 (approximately S/1,834.4 million as of December 31, 2015)</w:t>
      </w:r>
    </w:p>
    <w:p>
      <w:pPr>
        <w:spacing w:after="0" w:line="360"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- 143 -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4" w:right="239" w:bottom="1440" w:gutter="0" w:footer="0" w:header="0"/>
        </w:sectPr>
      </w:pPr>
    </w:p>
    <w:bookmarkStart w:id="148" w:name="page149"/>
    <w:bookmarkEnd w:id="148"/>
    <w:p>
      <w:pPr>
        <w:ind w:left="3"/>
        <w:spacing w:after="0"/>
        <w:rPr>
          <w:sz w:val="20"/>
          <w:szCs w:val="20"/>
          <w:color w:val="auto"/>
        </w:rPr>
      </w:pPr>
      <w:r>
        <w:rPr>
          <w:rFonts w:ascii="Arial" w:cs="Arial" w:eastAsia="Arial" w:hAnsi="Arial"/>
          <w:sz w:val="16"/>
          <w:szCs w:val="16"/>
          <w:b w:val="1"/>
          <w:bCs w:val="1"/>
          <w:color w:val="auto"/>
        </w:rPr>
        <w:t>34.7  Fair values -</w:t>
      </w:r>
    </w:p>
    <w:p>
      <w:pPr>
        <w:spacing w:after="0" w:line="207" w:lineRule="exact"/>
        <w:rPr>
          <w:sz w:val="20"/>
          <w:szCs w:val="20"/>
          <w:color w:val="auto"/>
        </w:rPr>
      </w:pPr>
    </w:p>
    <w:p>
      <w:pPr>
        <w:ind w:left="283" w:hanging="283"/>
        <w:spacing w:after="0"/>
        <w:tabs>
          <w:tab w:leader="none" w:pos="28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Financial instruments recorded at fair value and fair value hierarchy -</w:t>
      </w:r>
    </w:p>
    <w:p>
      <w:pPr>
        <w:spacing w:after="0" w:line="203" w:lineRule="exact"/>
        <w:rPr>
          <w:sz w:val="20"/>
          <w:szCs w:val="20"/>
          <w:color w:val="auto"/>
        </w:rPr>
      </w:pPr>
    </w:p>
    <w:p>
      <w:pPr>
        <w:ind w:left="283"/>
        <w:spacing w:after="0" w:line="280" w:lineRule="auto"/>
        <w:rPr>
          <w:sz w:val="20"/>
          <w:szCs w:val="20"/>
          <w:color w:val="auto"/>
        </w:rPr>
      </w:pPr>
      <w:r>
        <w:rPr>
          <w:rFonts w:ascii="Arial" w:cs="Arial" w:eastAsia="Arial" w:hAnsi="Arial"/>
          <w:sz w:val="16"/>
          <w:szCs w:val="16"/>
          <w:color w:val="auto"/>
        </w:rPr>
        <w:t>The following table analyses financial instruments measured at fair value at the reporting date, by the level in the fair value hierarchy into which the fair value measurement is categorized. The amounts are based on the values recognized in the consolidated statement of financial position:</w:t>
      </w:r>
    </w:p>
    <w:p>
      <w:pPr>
        <w:spacing w:after="0" w:line="155" w:lineRule="exact"/>
        <w:rPr>
          <w:sz w:val="20"/>
          <w:szCs w:val="20"/>
          <w:color w:val="auto"/>
        </w:rPr>
      </w:pPr>
    </w:p>
    <w:tbl>
      <w:tblPr>
        <w:tblLayout w:type="fixed"/>
        <w:tblInd w:w="3623" w:type="dxa"/>
        <w:tblCellMar>
          <w:top w:w="0" w:type="dxa"/>
          <w:left w:w="0" w:type="dxa"/>
          <w:bottom w:w="0" w:type="dxa"/>
          <w:right w:w="0" w:type="dxa"/>
        </w:tblCellMar>
      </w:tblPr>
      <w:tr>
        <w:trPr>
          <w:trHeight w:val="153"/>
        </w:trPr>
        <w:tc>
          <w:tcPr>
            <w:tcW w:w="6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Note</w:t>
            </w:r>
          </w:p>
        </w:tc>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As of December 31, 2016</w:t>
            </w: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As of December 31, 2015</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40" w:type="dxa"/>
            <w:vAlign w:val="bottom"/>
            <w:gridSpan w:val="2"/>
            <w:vMerge w:val="continue"/>
          </w:tcPr>
          <w:p>
            <w:pPr>
              <w:spacing w:after="0"/>
              <w:rPr>
                <w:sz w:val="11"/>
                <w:szCs w:val="11"/>
                <w:color w:val="auto"/>
              </w:rPr>
            </w:pPr>
          </w:p>
        </w:tc>
        <w:tc>
          <w:tcPr>
            <w:tcW w:w="660" w:type="dxa"/>
            <w:vAlign w:val="bottom"/>
          </w:tcPr>
          <w:p>
            <w:pPr>
              <w:spacing w:after="0" w:line="138" w:lineRule="exact"/>
              <w:rPr>
                <w:sz w:val="20"/>
                <w:szCs w:val="20"/>
                <w:color w:val="auto"/>
              </w:rPr>
            </w:pPr>
            <w:r>
              <w:rPr>
                <w:rFonts w:ascii="Arial" w:cs="Arial" w:eastAsia="Arial" w:hAnsi="Arial"/>
                <w:sz w:val="13"/>
                <w:szCs w:val="13"/>
                <w:b w:val="1"/>
                <w:bCs w:val="1"/>
                <w:color w:val="auto"/>
              </w:rPr>
              <w:t>Level 1</w:t>
            </w:r>
          </w:p>
        </w:tc>
        <w:tc>
          <w:tcPr>
            <w:tcW w:w="1120" w:type="dxa"/>
            <w:vAlign w:val="bottom"/>
            <w:gridSpan w:val="3"/>
          </w:tcPr>
          <w:p>
            <w:pPr>
              <w:ind w:left="220"/>
              <w:spacing w:after="0" w:line="138" w:lineRule="exact"/>
              <w:rPr>
                <w:sz w:val="20"/>
                <w:szCs w:val="20"/>
                <w:color w:val="auto"/>
              </w:rPr>
            </w:pPr>
            <w:r>
              <w:rPr>
                <w:rFonts w:ascii="Arial" w:cs="Arial" w:eastAsia="Arial" w:hAnsi="Arial"/>
                <w:sz w:val="13"/>
                <w:szCs w:val="13"/>
                <w:b w:val="1"/>
                <w:bCs w:val="1"/>
                <w:color w:val="auto"/>
              </w:rPr>
              <w:t>Level 2</w:t>
            </w:r>
          </w:p>
        </w:tc>
        <w:tc>
          <w:tcPr>
            <w:tcW w:w="660" w:type="dxa"/>
            <w:vAlign w:val="bottom"/>
          </w:tcPr>
          <w:p>
            <w:pPr>
              <w:spacing w:after="0" w:line="138" w:lineRule="exact"/>
              <w:rPr>
                <w:sz w:val="20"/>
                <w:szCs w:val="20"/>
                <w:color w:val="auto"/>
              </w:rPr>
            </w:pPr>
            <w:r>
              <w:rPr>
                <w:rFonts w:ascii="Arial" w:cs="Arial" w:eastAsia="Arial" w:hAnsi="Arial"/>
                <w:sz w:val="13"/>
                <w:szCs w:val="13"/>
                <w:b w:val="1"/>
                <w:bCs w:val="1"/>
                <w:color w:val="auto"/>
              </w:rPr>
              <w:t>Level 3</w:t>
            </w:r>
          </w:p>
        </w:tc>
        <w:tc>
          <w:tcPr>
            <w:tcW w:w="900" w:type="dxa"/>
            <w:vAlign w:val="bottom"/>
            <w:gridSpan w:val="2"/>
          </w:tcPr>
          <w:p>
            <w:pPr>
              <w:ind w:left="220"/>
              <w:spacing w:after="0" w:line="138"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1"/>
                <w:szCs w:val="11"/>
                <w:color w:val="auto"/>
              </w:rPr>
            </w:pPr>
          </w:p>
        </w:tc>
        <w:tc>
          <w:tcPr>
            <w:tcW w:w="640" w:type="dxa"/>
            <w:vAlign w:val="bottom"/>
          </w:tcPr>
          <w:p>
            <w:pPr>
              <w:spacing w:after="0" w:line="138" w:lineRule="exact"/>
              <w:rPr>
                <w:sz w:val="20"/>
                <w:szCs w:val="20"/>
                <w:color w:val="auto"/>
              </w:rPr>
            </w:pPr>
            <w:r>
              <w:rPr>
                <w:rFonts w:ascii="Arial" w:cs="Arial" w:eastAsia="Arial" w:hAnsi="Arial"/>
                <w:sz w:val="13"/>
                <w:szCs w:val="13"/>
                <w:b w:val="1"/>
                <w:bCs w:val="1"/>
                <w:color w:val="auto"/>
              </w:rPr>
              <w:t>Level 1</w:t>
            </w:r>
          </w:p>
        </w:tc>
        <w:tc>
          <w:tcPr>
            <w:tcW w:w="920" w:type="dxa"/>
            <w:vAlign w:val="bottom"/>
            <w:gridSpan w:val="2"/>
          </w:tcPr>
          <w:p>
            <w:pPr>
              <w:ind w:left="220"/>
              <w:spacing w:after="0" w:line="138" w:lineRule="exact"/>
              <w:rPr>
                <w:sz w:val="20"/>
                <w:szCs w:val="20"/>
                <w:color w:val="auto"/>
              </w:rPr>
            </w:pPr>
            <w:r>
              <w:rPr>
                <w:rFonts w:ascii="Arial" w:cs="Arial" w:eastAsia="Arial" w:hAnsi="Arial"/>
                <w:sz w:val="13"/>
                <w:szCs w:val="13"/>
                <w:b w:val="1"/>
                <w:bCs w:val="1"/>
                <w:color w:val="auto"/>
              </w:rPr>
              <w:t>Level 2</w:t>
            </w:r>
          </w:p>
        </w:tc>
        <w:tc>
          <w:tcPr>
            <w:tcW w:w="1080" w:type="dxa"/>
            <w:vAlign w:val="bottom"/>
            <w:gridSpan w:val="3"/>
          </w:tcPr>
          <w:p>
            <w:pPr>
              <w:ind w:left="220"/>
              <w:spacing w:after="0" w:line="138" w:lineRule="exact"/>
              <w:rPr>
                <w:sz w:val="20"/>
                <w:szCs w:val="20"/>
                <w:color w:val="auto"/>
              </w:rPr>
            </w:pPr>
            <w:r>
              <w:rPr>
                <w:rFonts w:ascii="Arial" w:cs="Arial" w:eastAsia="Arial" w:hAnsi="Arial"/>
                <w:sz w:val="13"/>
                <w:szCs w:val="13"/>
                <w:b w:val="1"/>
                <w:bCs w:val="1"/>
                <w:color w:val="auto"/>
              </w:rPr>
              <w:t>Level 3</w:t>
            </w:r>
          </w:p>
        </w:tc>
        <w:tc>
          <w:tcPr>
            <w:tcW w:w="700" w:type="dxa"/>
            <w:vAlign w:val="bottom"/>
          </w:tcPr>
          <w:p>
            <w:pPr>
              <w:spacing w:after="0" w:line="13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19"/>
        </w:trPr>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83" w:type="dxa"/>
        <w:tblCellMar>
          <w:top w:w="0" w:type="dxa"/>
          <w:left w:w="0" w:type="dxa"/>
          <w:bottom w:w="0" w:type="dxa"/>
          <w:right w:w="0" w:type="dxa"/>
        </w:tblCellMar>
      </w:tblPr>
      <w:tr>
        <w:trPr>
          <w:trHeight w:val="139"/>
        </w:trPr>
        <w:tc>
          <w:tcPr>
            <w:tcW w:w="312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Financial assets</w:t>
            </w: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3"/>
        </w:trPr>
        <w:tc>
          <w:tcPr>
            <w:tcW w:w="3120" w:type="dxa"/>
            <w:vAlign w:val="bottom"/>
          </w:tcPr>
          <w:p>
            <w:pPr>
              <w:spacing w:after="0" w:line="133" w:lineRule="exact"/>
              <w:rPr>
                <w:sz w:val="20"/>
                <w:szCs w:val="20"/>
                <w:color w:val="auto"/>
              </w:rPr>
            </w:pPr>
            <w:r>
              <w:rPr>
                <w:rFonts w:ascii="Arial" w:cs="Arial" w:eastAsia="Arial" w:hAnsi="Arial"/>
                <w:sz w:val="13"/>
                <w:szCs w:val="13"/>
                <w:b w:val="1"/>
                <w:bCs w:val="1"/>
                <w:color w:val="auto"/>
              </w:rPr>
              <w:t>Derivative finnacial instruments:</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3"/>
        </w:trPr>
        <w:tc>
          <w:tcPr>
            <w:tcW w:w="31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Forward foreign exchange</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73,722</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73,722</w:t>
            </w:r>
          </w:p>
        </w:tc>
        <w:tc>
          <w:tcPr>
            <w:tcW w:w="86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92,132</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92,132</w:t>
            </w:r>
          </w:p>
        </w:tc>
      </w:tr>
      <w:tr>
        <w:trPr>
          <w:trHeight w:val="133"/>
        </w:trPr>
        <w:tc>
          <w:tcPr>
            <w:tcW w:w="3120" w:type="dxa"/>
            <w:vAlign w:val="bottom"/>
          </w:tcPr>
          <w:p>
            <w:pPr>
              <w:spacing w:after="0" w:line="133" w:lineRule="exact"/>
              <w:rPr>
                <w:sz w:val="20"/>
                <w:szCs w:val="20"/>
                <w:color w:val="auto"/>
              </w:rPr>
            </w:pPr>
            <w:r>
              <w:rPr>
                <w:rFonts w:ascii="Arial" w:cs="Arial" w:eastAsia="Arial" w:hAnsi="Arial"/>
                <w:sz w:val="13"/>
                <w:szCs w:val="13"/>
                <w:color w:val="auto"/>
              </w:rPr>
              <w:t>Interest rate swaps</w:t>
            </w:r>
          </w:p>
        </w:tc>
        <w:tc>
          <w:tcPr>
            <w:tcW w:w="8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310,221</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310,221</w:t>
            </w:r>
          </w:p>
        </w:tc>
        <w:tc>
          <w:tcPr>
            <w:tcW w:w="86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470,477</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470,477</w:t>
            </w:r>
          </w:p>
        </w:tc>
      </w:tr>
      <w:tr>
        <w:trPr>
          <w:trHeight w:val="133"/>
        </w:trPr>
        <w:tc>
          <w:tcPr>
            <w:tcW w:w="31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Cross currency swaps</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108,241</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108,241</w:t>
            </w:r>
          </w:p>
        </w:tc>
        <w:tc>
          <w:tcPr>
            <w:tcW w:w="86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63,748</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63,748</w:t>
            </w:r>
          </w:p>
        </w:tc>
      </w:tr>
      <w:tr>
        <w:trPr>
          <w:trHeight w:val="133"/>
        </w:trPr>
        <w:tc>
          <w:tcPr>
            <w:tcW w:w="3120" w:type="dxa"/>
            <w:vAlign w:val="bottom"/>
          </w:tcPr>
          <w:p>
            <w:pPr>
              <w:spacing w:after="0" w:line="133" w:lineRule="exact"/>
              <w:rPr>
                <w:sz w:val="20"/>
                <w:szCs w:val="20"/>
                <w:color w:val="auto"/>
              </w:rPr>
            </w:pPr>
            <w:r>
              <w:rPr>
                <w:rFonts w:ascii="Arial" w:cs="Arial" w:eastAsia="Arial" w:hAnsi="Arial"/>
                <w:sz w:val="13"/>
                <w:szCs w:val="13"/>
                <w:color w:val="auto"/>
              </w:rPr>
              <w:t>Currency swaps</w:t>
            </w:r>
          </w:p>
        </w:tc>
        <w:tc>
          <w:tcPr>
            <w:tcW w:w="8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428,928</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428,928</w:t>
            </w:r>
          </w:p>
        </w:tc>
        <w:tc>
          <w:tcPr>
            <w:tcW w:w="86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839,087</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839,087</w:t>
            </w:r>
          </w:p>
        </w:tc>
      </w:tr>
      <w:tr>
        <w:trPr>
          <w:trHeight w:val="145"/>
        </w:trPr>
        <w:tc>
          <w:tcPr>
            <w:tcW w:w="31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Foreign currency options</w:t>
            </w: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21,490</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21,490</w:t>
            </w:r>
          </w:p>
        </w:tc>
        <w:tc>
          <w:tcPr>
            <w:tcW w:w="8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10,072</w:t>
            </w:r>
          </w:p>
        </w:tc>
        <w:tc>
          <w:tcPr>
            <w:tcW w:w="8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10,072</w:t>
            </w:r>
          </w:p>
        </w:tc>
      </w:tr>
      <w:tr>
        <w:trPr>
          <w:trHeight w:val="125"/>
        </w:trPr>
        <w:tc>
          <w:tcPr>
            <w:tcW w:w="3120" w:type="dxa"/>
            <w:vAlign w:val="bottom"/>
          </w:tcPr>
          <w:p>
            <w:pPr>
              <w:spacing w:after="0"/>
              <w:rPr>
                <w:sz w:val="10"/>
                <w:szCs w:val="10"/>
                <w:color w:val="auto"/>
              </w:rPr>
            </w:pPr>
          </w:p>
        </w:tc>
        <w:tc>
          <w:tcPr>
            <w:tcW w:w="860" w:type="dxa"/>
            <w:vAlign w:val="bottom"/>
          </w:tcPr>
          <w:p>
            <w:pPr>
              <w:jc w:val="center"/>
              <w:ind w:left="36"/>
              <w:spacing w:after="0" w:line="125" w:lineRule="exact"/>
              <w:rPr>
                <w:sz w:val="20"/>
                <w:szCs w:val="20"/>
                <w:color w:val="auto"/>
              </w:rPr>
            </w:pPr>
            <w:r>
              <w:rPr>
                <w:rFonts w:ascii="Arial" w:cs="Arial" w:eastAsia="Arial" w:hAnsi="Arial"/>
                <w:sz w:val="13"/>
                <w:szCs w:val="13"/>
                <w:color w:val="auto"/>
                <w:w w:val="92"/>
              </w:rPr>
              <w:t>12(b)</w:t>
            </w:r>
          </w:p>
        </w:tc>
        <w:tc>
          <w:tcPr>
            <w:tcW w:w="66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6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3"/>
                <w:szCs w:val="13"/>
                <w:color w:val="auto"/>
              </w:rPr>
              <w:t>942,602</w:t>
            </w:r>
          </w:p>
        </w:tc>
        <w:tc>
          <w:tcPr>
            <w:tcW w:w="220" w:type="dxa"/>
            <w:vAlign w:val="bottom"/>
          </w:tcPr>
          <w:p>
            <w:pPr>
              <w:spacing w:after="0"/>
              <w:rPr>
                <w:sz w:val="10"/>
                <w:szCs w:val="10"/>
                <w:color w:val="auto"/>
              </w:rPr>
            </w:pPr>
          </w:p>
        </w:tc>
        <w:tc>
          <w:tcPr>
            <w:tcW w:w="66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6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3"/>
                <w:szCs w:val="13"/>
                <w:color w:val="auto"/>
              </w:rPr>
              <w:t>942,602</w:t>
            </w:r>
          </w:p>
        </w:tc>
        <w:tc>
          <w:tcPr>
            <w:tcW w:w="220" w:type="dxa"/>
            <w:vAlign w:val="bottom"/>
          </w:tcPr>
          <w:p>
            <w:pPr>
              <w:spacing w:after="0"/>
              <w:rPr>
                <w:sz w:val="10"/>
                <w:szCs w:val="10"/>
                <w:color w:val="auto"/>
              </w:rPr>
            </w:pPr>
          </w:p>
        </w:tc>
        <w:tc>
          <w:tcPr>
            <w:tcW w:w="64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7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3"/>
                <w:szCs w:val="13"/>
                <w:color w:val="auto"/>
              </w:rPr>
              <w:t>1,475,516</w:t>
            </w:r>
          </w:p>
        </w:tc>
        <w:tc>
          <w:tcPr>
            <w:tcW w:w="220" w:type="dxa"/>
            <w:vAlign w:val="bottom"/>
          </w:tcPr>
          <w:p>
            <w:pPr>
              <w:spacing w:after="0"/>
              <w:rPr>
                <w:sz w:val="10"/>
                <w:szCs w:val="10"/>
                <w:color w:val="auto"/>
              </w:rPr>
            </w:pPr>
          </w:p>
        </w:tc>
        <w:tc>
          <w:tcPr>
            <w:tcW w:w="64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7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3"/>
                <w:szCs w:val="13"/>
                <w:color w:val="auto"/>
              </w:rPr>
              <w:t>1,475,516</w:t>
            </w:r>
          </w:p>
        </w:tc>
        <w:tc>
          <w:tcPr>
            <w:tcW w:w="100" w:type="dxa"/>
            <w:vAlign w:val="bottom"/>
          </w:tcPr>
          <w:p>
            <w:pPr>
              <w:spacing w:after="0"/>
              <w:rPr>
                <w:sz w:val="10"/>
                <w:szCs w:val="10"/>
                <w:color w:val="auto"/>
              </w:rPr>
            </w:pPr>
          </w:p>
        </w:tc>
      </w:tr>
      <w:tr>
        <w:trPr>
          <w:trHeight w:val="133"/>
        </w:trPr>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3"/>
        </w:trPr>
        <w:tc>
          <w:tcPr>
            <w:tcW w:w="3120" w:type="dxa"/>
            <w:vAlign w:val="bottom"/>
          </w:tcPr>
          <w:p>
            <w:pPr>
              <w:spacing w:after="0" w:line="133" w:lineRule="exact"/>
              <w:rPr>
                <w:sz w:val="20"/>
                <w:szCs w:val="20"/>
                <w:color w:val="auto"/>
              </w:rPr>
            </w:pPr>
            <w:r>
              <w:rPr>
                <w:rFonts w:ascii="Arial" w:cs="Arial" w:eastAsia="Arial" w:hAnsi="Arial"/>
                <w:sz w:val="13"/>
                <w:szCs w:val="13"/>
                <w:color w:val="auto"/>
              </w:rPr>
              <w:t>Trading securities</w:t>
            </w:r>
          </w:p>
        </w:tc>
        <w:tc>
          <w:tcPr>
            <w:tcW w:w="860" w:type="dxa"/>
            <w:vAlign w:val="bottom"/>
          </w:tcPr>
          <w:p>
            <w:pPr>
              <w:spacing w:after="0"/>
              <w:rPr>
                <w:sz w:val="11"/>
                <w:szCs w:val="11"/>
                <w:color w:val="auto"/>
              </w:rPr>
            </w:pP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843,939</w:t>
            </w:r>
          </w:p>
        </w:tc>
        <w:tc>
          <w:tcPr>
            <w:tcW w:w="9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3,162,322</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8,758</w:t>
            </w:r>
          </w:p>
        </w:tc>
        <w:tc>
          <w:tcPr>
            <w:tcW w:w="680" w:type="dxa"/>
            <w:vAlign w:val="bottom"/>
          </w:tcPr>
          <w:p>
            <w:pPr>
              <w:jc w:val="right"/>
              <w:spacing w:after="0" w:line="133" w:lineRule="exact"/>
              <w:rPr>
                <w:sz w:val="20"/>
                <w:szCs w:val="20"/>
                <w:color w:val="auto"/>
              </w:rPr>
            </w:pPr>
            <w:r>
              <w:rPr>
                <w:rFonts w:ascii="Arial" w:cs="Arial" w:eastAsia="Arial" w:hAnsi="Arial"/>
                <w:sz w:val="13"/>
                <w:szCs w:val="13"/>
                <w:color w:val="auto"/>
              </w:rPr>
              <w:t>4,015,019</w:t>
            </w:r>
          </w:p>
        </w:tc>
        <w:tc>
          <w:tcPr>
            <w:tcW w:w="220" w:type="dxa"/>
            <w:vAlign w:val="bottom"/>
          </w:tcPr>
          <w:p>
            <w:pPr>
              <w:spacing w:after="0"/>
              <w:rPr>
                <w:sz w:val="11"/>
                <w:szCs w:val="11"/>
                <w:color w:val="auto"/>
              </w:rPr>
            </w:pPr>
          </w:p>
        </w:tc>
        <w:tc>
          <w:tcPr>
            <w:tcW w:w="86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805,256</w:t>
            </w: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1,513,746</w:t>
            </w:r>
          </w:p>
        </w:tc>
        <w:tc>
          <w:tcPr>
            <w:tcW w:w="220" w:type="dxa"/>
            <w:vAlign w:val="bottom"/>
          </w:tcPr>
          <w:p>
            <w:pPr>
              <w:spacing w:after="0"/>
              <w:rPr>
                <w:sz w:val="11"/>
                <w:szCs w:val="11"/>
                <w:color w:val="auto"/>
              </w:rPr>
            </w:pP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4,094</w:t>
            </w:r>
          </w:p>
        </w:tc>
        <w:tc>
          <w:tcPr>
            <w:tcW w:w="80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2,323,096</w:t>
            </w:r>
          </w:p>
        </w:tc>
      </w:tr>
      <w:tr>
        <w:trPr>
          <w:trHeight w:val="133"/>
        </w:trPr>
        <w:tc>
          <w:tcPr>
            <w:tcW w:w="31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Financial assets at fair value through profit or loss</w:t>
            </w:r>
          </w:p>
        </w:tc>
        <w:tc>
          <w:tcPr>
            <w:tcW w:w="860" w:type="dxa"/>
            <w:vAlign w:val="bottom"/>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6"/>
              </w:rPr>
              <w:t>8(a)</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377,552</w:t>
            </w: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79,988</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1,559</w:t>
            </w: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459,099</w:t>
            </w:r>
          </w:p>
        </w:tc>
        <w:tc>
          <w:tcPr>
            <w:tcW w:w="86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260,435</w:t>
            </w:r>
          </w:p>
        </w:tc>
        <w:tc>
          <w:tcPr>
            <w:tcW w:w="92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89,893</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350,328</w:t>
            </w:r>
          </w:p>
        </w:tc>
      </w:tr>
      <w:tr>
        <w:trPr>
          <w:trHeight w:val="133"/>
        </w:trPr>
        <w:tc>
          <w:tcPr>
            <w:tcW w:w="3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3"/>
        </w:trPr>
        <w:tc>
          <w:tcPr>
            <w:tcW w:w="312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Available-for-sale investments:</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3"/>
        </w:trPr>
        <w:tc>
          <w:tcPr>
            <w:tcW w:w="3120" w:type="dxa"/>
            <w:vAlign w:val="bottom"/>
          </w:tcPr>
          <w:p>
            <w:pPr>
              <w:spacing w:after="0" w:line="133" w:lineRule="exact"/>
              <w:rPr>
                <w:sz w:val="20"/>
                <w:szCs w:val="20"/>
                <w:color w:val="auto"/>
              </w:rPr>
            </w:pPr>
            <w:r>
              <w:rPr>
                <w:rFonts w:ascii="Arial" w:cs="Arial" w:eastAsia="Arial" w:hAnsi="Arial"/>
                <w:sz w:val="13"/>
                <w:szCs w:val="13"/>
                <w:color w:val="auto"/>
              </w:rPr>
              <w:t>Debt instruments</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3"/>
        </w:trPr>
        <w:tc>
          <w:tcPr>
            <w:tcW w:w="31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Certificates of deposit BCRP</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4,802,608</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4,802,608</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4,593,585</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4,593,585</w:t>
            </w:r>
          </w:p>
        </w:tc>
      </w:tr>
      <w:tr>
        <w:trPr>
          <w:trHeight w:val="133"/>
        </w:trPr>
        <w:tc>
          <w:tcPr>
            <w:tcW w:w="3120" w:type="dxa"/>
            <w:vAlign w:val="bottom"/>
          </w:tcPr>
          <w:p>
            <w:pPr>
              <w:spacing w:after="0" w:line="133" w:lineRule="exact"/>
              <w:rPr>
                <w:sz w:val="20"/>
                <w:szCs w:val="20"/>
                <w:color w:val="auto"/>
              </w:rPr>
            </w:pPr>
            <w:r>
              <w:rPr>
                <w:rFonts w:ascii="Arial" w:cs="Arial" w:eastAsia="Arial" w:hAnsi="Arial"/>
                <w:sz w:val="13"/>
                <w:szCs w:val="13"/>
                <w:color w:val="auto"/>
              </w:rPr>
              <w:t>Corporate bonds, leases and subordinate</w:t>
            </w:r>
          </w:p>
        </w:tc>
        <w:tc>
          <w:tcPr>
            <w:tcW w:w="8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3"/>
                <w:szCs w:val="13"/>
                <w:color w:val="auto"/>
              </w:rPr>
              <w:t>3,830,740</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4,209,173</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109,493</w:t>
            </w:r>
          </w:p>
        </w:tc>
        <w:tc>
          <w:tcPr>
            <w:tcW w:w="680" w:type="dxa"/>
            <w:vAlign w:val="bottom"/>
          </w:tcPr>
          <w:p>
            <w:pPr>
              <w:jc w:val="right"/>
              <w:spacing w:after="0" w:line="133" w:lineRule="exact"/>
              <w:rPr>
                <w:sz w:val="20"/>
                <w:szCs w:val="20"/>
                <w:color w:val="auto"/>
              </w:rPr>
            </w:pPr>
            <w:r>
              <w:rPr>
                <w:rFonts w:ascii="Arial" w:cs="Arial" w:eastAsia="Arial" w:hAnsi="Arial"/>
                <w:sz w:val="13"/>
                <w:szCs w:val="13"/>
                <w:color w:val="auto"/>
              </w:rPr>
              <w:t>8,149,406</w:t>
            </w:r>
          </w:p>
        </w:tc>
        <w:tc>
          <w:tcPr>
            <w:tcW w:w="220" w:type="dxa"/>
            <w:vAlign w:val="bottom"/>
          </w:tcPr>
          <w:p>
            <w:pPr>
              <w:spacing w:after="0"/>
              <w:rPr>
                <w:sz w:val="11"/>
                <w:szCs w:val="11"/>
                <w:color w:val="auto"/>
              </w:rPr>
            </w:pPr>
          </w:p>
        </w:tc>
        <w:tc>
          <w:tcPr>
            <w:tcW w:w="86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3,574,627</w:t>
            </w: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4,031,865</w:t>
            </w:r>
          </w:p>
        </w:tc>
        <w:tc>
          <w:tcPr>
            <w:tcW w:w="220" w:type="dxa"/>
            <w:vAlign w:val="bottom"/>
          </w:tcPr>
          <w:p>
            <w:pPr>
              <w:spacing w:after="0"/>
              <w:rPr>
                <w:sz w:val="11"/>
                <w:szCs w:val="11"/>
                <w:color w:val="auto"/>
              </w:rPr>
            </w:pP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92,304</w:t>
            </w:r>
          </w:p>
        </w:tc>
        <w:tc>
          <w:tcPr>
            <w:tcW w:w="80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7,698,796</w:t>
            </w:r>
          </w:p>
        </w:tc>
      </w:tr>
      <w:tr>
        <w:trPr>
          <w:trHeight w:val="133"/>
        </w:trPr>
        <w:tc>
          <w:tcPr>
            <w:tcW w:w="31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Government treasury bonds</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1,688,930</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558,693</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2,247,623</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1,987,849</w:t>
            </w:r>
          </w:p>
        </w:tc>
        <w:tc>
          <w:tcPr>
            <w:tcW w:w="92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814,614</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2,802,463</w:t>
            </w:r>
          </w:p>
        </w:tc>
      </w:tr>
      <w:tr>
        <w:trPr>
          <w:trHeight w:val="133"/>
        </w:trPr>
        <w:tc>
          <w:tcPr>
            <w:tcW w:w="3120" w:type="dxa"/>
            <w:vAlign w:val="bottom"/>
          </w:tcPr>
          <w:p>
            <w:pPr>
              <w:spacing w:after="0" w:line="133" w:lineRule="exact"/>
              <w:rPr>
                <w:sz w:val="20"/>
                <w:szCs w:val="20"/>
                <w:color w:val="auto"/>
              </w:rPr>
            </w:pPr>
            <w:r>
              <w:rPr>
                <w:rFonts w:ascii="Arial" w:cs="Arial" w:eastAsia="Arial" w:hAnsi="Arial"/>
                <w:sz w:val="13"/>
                <w:szCs w:val="13"/>
                <w:color w:val="auto"/>
              </w:rPr>
              <w:t>Mutual funds</w:t>
            </w:r>
          </w:p>
        </w:tc>
        <w:tc>
          <w:tcPr>
            <w:tcW w:w="860" w:type="dxa"/>
            <w:vAlign w:val="bottom"/>
          </w:tcPr>
          <w:p>
            <w:pPr>
              <w:spacing w:after="0"/>
              <w:rPr>
                <w:sz w:val="11"/>
                <w:szCs w:val="11"/>
                <w:color w:val="auto"/>
              </w:rPr>
            </w:pP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55,052</w:t>
            </w:r>
          </w:p>
        </w:tc>
        <w:tc>
          <w:tcPr>
            <w:tcW w:w="9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466,574</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139,140</w:t>
            </w:r>
          </w:p>
        </w:tc>
        <w:tc>
          <w:tcPr>
            <w:tcW w:w="9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660,766</w:t>
            </w:r>
          </w:p>
        </w:tc>
        <w:tc>
          <w:tcPr>
            <w:tcW w:w="86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54,709</w:t>
            </w:r>
          </w:p>
        </w:tc>
        <w:tc>
          <w:tcPr>
            <w:tcW w:w="92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335,764</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106,153</w:t>
            </w:r>
          </w:p>
        </w:tc>
        <w:tc>
          <w:tcPr>
            <w:tcW w:w="80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496,626</w:t>
            </w:r>
          </w:p>
        </w:tc>
      </w:tr>
      <w:tr>
        <w:trPr>
          <w:trHeight w:val="133"/>
        </w:trPr>
        <w:tc>
          <w:tcPr>
            <w:tcW w:w="31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Other instruments</w:t>
            </w:r>
          </w:p>
        </w:tc>
        <w:tc>
          <w:tcPr>
            <w:tcW w:w="8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26,571</w:t>
            </w: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804,192</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36,613</w:t>
            </w: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867,376</w:t>
            </w:r>
          </w:p>
        </w:tc>
        <w:tc>
          <w:tcPr>
            <w:tcW w:w="86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141,743</w:t>
            </w:r>
          </w:p>
        </w:tc>
        <w:tc>
          <w:tcPr>
            <w:tcW w:w="92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798,566</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87,824</w:t>
            </w:r>
          </w:p>
        </w:tc>
        <w:tc>
          <w:tcPr>
            <w:tcW w:w="8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1,028,133</w:t>
            </w:r>
          </w:p>
        </w:tc>
      </w:tr>
      <w:tr>
        <w:trPr>
          <w:trHeight w:val="145"/>
        </w:trPr>
        <w:tc>
          <w:tcPr>
            <w:tcW w:w="3120" w:type="dxa"/>
            <w:vAlign w:val="bottom"/>
          </w:tcPr>
          <w:p>
            <w:pPr>
              <w:spacing w:after="0" w:line="145" w:lineRule="exact"/>
              <w:rPr>
                <w:sz w:val="20"/>
                <w:szCs w:val="20"/>
                <w:color w:val="auto"/>
              </w:rPr>
            </w:pPr>
            <w:r>
              <w:rPr>
                <w:rFonts w:ascii="Arial" w:cs="Arial" w:eastAsia="Arial" w:hAnsi="Arial"/>
                <w:sz w:val="13"/>
                <w:szCs w:val="13"/>
                <w:color w:val="auto"/>
              </w:rPr>
              <w:t>Equity instruments</w:t>
            </w:r>
          </w:p>
        </w:tc>
        <w:tc>
          <w:tcPr>
            <w:tcW w:w="8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1,197,358</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665,158</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95,372</w:t>
            </w:r>
          </w:p>
        </w:tc>
        <w:tc>
          <w:tcPr>
            <w:tcW w:w="680" w:type="dxa"/>
            <w:vAlign w:val="bottom"/>
          </w:tcPr>
          <w:p>
            <w:pPr>
              <w:jc w:val="right"/>
              <w:spacing w:after="0" w:line="145" w:lineRule="exact"/>
              <w:rPr>
                <w:sz w:val="20"/>
                <w:szCs w:val="20"/>
                <w:color w:val="auto"/>
              </w:rPr>
            </w:pPr>
            <w:r>
              <w:rPr>
                <w:rFonts w:ascii="Arial" w:cs="Arial" w:eastAsia="Arial" w:hAnsi="Arial"/>
                <w:sz w:val="13"/>
                <w:szCs w:val="13"/>
                <w:color w:val="auto"/>
              </w:rPr>
              <w:t>1,957,888</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1,320,114</w:t>
            </w:r>
          </w:p>
        </w:tc>
        <w:tc>
          <w:tcPr>
            <w:tcW w:w="92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715,170</w:t>
            </w:r>
          </w:p>
        </w:tc>
        <w:tc>
          <w:tcPr>
            <w:tcW w:w="86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114,033</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2,149,317</w:t>
            </w:r>
          </w:p>
        </w:tc>
      </w:tr>
      <w:tr>
        <w:trPr>
          <w:trHeight w:val="125"/>
        </w:trPr>
        <w:tc>
          <w:tcPr>
            <w:tcW w:w="31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jc w:val="center"/>
              <w:ind w:left="36"/>
              <w:spacing w:after="0" w:line="125" w:lineRule="exact"/>
              <w:rPr>
                <w:sz w:val="20"/>
                <w:szCs w:val="20"/>
                <w:color w:val="auto"/>
              </w:rPr>
            </w:pPr>
            <w:r>
              <w:rPr>
                <w:rFonts w:ascii="Arial" w:cs="Arial" w:eastAsia="Arial" w:hAnsi="Arial"/>
                <w:sz w:val="13"/>
                <w:szCs w:val="13"/>
                <w:color w:val="auto"/>
                <w:w w:val="86"/>
              </w:rPr>
              <w:t>6(a)</w:t>
            </w: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6,798,651</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11,506,398</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380,618</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18,685,667</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7,079,042</w:t>
            </w: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11,289,564</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400,314</w:t>
            </w: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18,768,921</w:t>
            </w:r>
          </w:p>
        </w:tc>
        <w:tc>
          <w:tcPr>
            <w:tcW w:w="100" w:type="dxa"/>
            <w:vAlign w:val="bottom"/>
            <w:tcBorders>
              <w:top w:val="single" w:sz="8" w:color="CCEEFF"/>
            </w:tcBorders>
            <w:shd w:val="clear" w:color="auto" w:fill="CCEEFF"/>
          </w:tcPr>
          <w:p>
            <w:pPr>
              <w:spacing w:after="0"/>
              <w:rPr>
                <w:sz w:val="10"/>
                <w:szCs w:val="10"/>
                <w:color w:val="auto"/>
              </w:rPr>
            </w:pPr>
          </w:p>
        </w:tc>
      </w:tr>
      <w:tr>
        <w:trPr>
          <w:trHeight w:val="125"/>
        </w:trPr>
        <w:tc>
          <w:tcPr>
            <w:tcW w:w="3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5"/>
        </w:trPr>
        <w:tc>
          <w:tcPr>
            <w:tcW w:w="3120" w:type="dxa"/>
            <w:vAlign w:val="bottom"/>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Total financial assets</w:t>
            </w: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8,020,142</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15,691,310</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390,935</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24,102,387</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8,144,733</w:t>
            </w: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14,368,719</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404,408</w:t>
            </w:r>
          </w:p>
        </w:tc>
        <w:tc>
          <w:tcPr>
            <w:tcW w:w="8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22,917,860</w:t>
            </w:r>
          </w:p>
        </w:tc>
      </w:tr>
      <w:tr>
        <w:trPr>
          <w:trHeight w:val="125"/>
        </w:trPr>
        <w:tc>
          <w:tcPr>
            <w:tcW w:w="3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33"/>
        </w:trPr>
        <w:tc>
          <w:tcPr>
            <w:tcW w:w="3120" w:type="dxa"/>
            <w:vAlign w:val="bottom"/>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Financial liabilities</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3"/>
        </w:trPr>
        <w:tc>
          <w:tcPr>
            <w:tcW w:w="3120" w:type="dxa"/>
            <w:vAlign w:val="bottom"/>
          </w:tcPr>
          <w:p>
            <w:pPr>
              <w:spacing w:after="0" w:line="133" w:lineRule="exact"/>
              <w:rPr>
                <w:sz w:val="20"/>
                <w:szCs w:val="20"/>
                <w:color w:val="auto"/>
              </w:rPr>
            </w:pPr>
            <w:r>
              <w:rPr>
                <w:rFonts w:ascii="Arial" w:cs="Arial" w:eastAsia="Arial" w:hAnsi="Arial"/>
                <w:sz w:val="13"/>
                <w:szCs w:val="13"/>
                <w:b w:val="1"/>
                <w:bCs w:val="1"/>
                <w:color w:val="auto"/>
              </w:rPr>
              <w:t>Derivatives financial instruments:</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3"/>
        </w:trPr>
        <w:tc>
          <w:tcPr>
            <w:tcW w:w="31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Interest rate swaps</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60,572</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60,572</w:t>
            </w:r>
          </w:p>
        </w:tc>
        <w:tc>
          <w:tcPr>
            <w:tcW w:w="86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82,940</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82,940</w:t>
            </w:r>
          </w:p>
        </w:tc>
      </w:tr>
      <w:tr>
        <w:trPr>
          <w:trHeight w:val="133"/>
        </w:trPr>
        <w:tc>
          <w:tcPr>
            <w:tcW w:w="3120" w:type="dxa"/>
            <w:vAlign w:val="bottom"/>
          </w:tcPr>
          <w:p>
            <w:pPr>
              <w:spacing w:after="0" w:line="133" w:lineRule="exact"/>
              <w:rPr>
                <w:sz w:val="20"/>
                <w:szCs w:val="20"/>
                <w:color w:val="auto"/>
              </w:rPr>
            </w:pPr>
            <w:r>
              <w:rPr>
                <w:rFonts w:ascii="Arial" w:cs="Arial" w:eastAsia="Arial" w:hAnsi="Arial"/>
                <w:sz w:val="13"/>
                <w:szCs w:val="13"/>
                <w:color w:val="auto"/>
              </w:rPr>
              <w:t>Foreign exchange forwards</w:t>
            </w:r>
          </w:p>
        </w:tc>
        <w:tc>
          <w:tcPr>
            <w:tcW w:w="8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55,437</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55,437</w:t>
            </w:r>
          </w:p>
        </w:tc>
        <w:tc>
          <w:tcPr>
            <w:tcW w:w="86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178,056</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178,056</w:t>
            </w:r>
          </w:p>
        </w:tc>
      </w:tr>
      <w:tr>
        <w:trPr>
          <w:trHeight w:val="133"/>
        </w:trPr>
        <w:tc>
          <w:tcPr>
            <w:tcW w:w="31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Foreign currency swaps</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49,329</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49,329</w:t>
            </w:r>
          </w:p>
        </w:tc>
        <w:tc>
          <w:tcPr>
            <w:tcW w:w="86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31,467</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31,467</w:t>
            </w:r>
          </w:p>
        </w:tc>
      </w:tr>
      <w:tr>
        <w:trPr>
          <w:trHeight w:val="133"/>
        </w:trPr>
        <w:tc>
          <w:tcPr>
            <w:tcW w:w="3120" w:type="dxa"/>
            <w:vAlign w:val="bottom"/>
          </w:tcPr>
          <w:p>
            <w:pPr>
              <w:spacing w:after="0" w:line="133" w:lineRule="exact"/>
              <w:rPr>
                <w:sz w:val="20"/>
                <w:szCs w:val="20"/>
                <w:color w:val="auto"/>
              </w:rPr>
            </w:pPr>
            <w:r>
              <w:rPr>
                <w:rFonts w:ascii="Arial" w:cs="Arial" w:eastAsia="Arial" w:hAnsi="Arial"/>
                <w:sz w:val="13"/>
                <w:szCs w:val="13"/>
                <w:color w:val="auto"/>
              </w:rPr>
              <w:t>Currency swaps</w:t>
            </w:r>
          </w:p>
        </w:tc>
        <w:tc>
          <w:tcPr>
            <w:tcW w:w="8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490,475</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490,475</w:t>
            </w:r>
          </w:p>
        </w:tc>
        <w:tc>
          <w:tcPr>
            <w:tcW w:w="86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625,687</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625,687</w:t>
            </w:r>
          </w:p>
        </w:tc>
      </w:tr>
      <w:tr>
        <w:trPr>
          <w:trHeight w:val="145"/>
        </w:trPr>
        <w:tc>
          <w:tcPr>
            <w:tcW w:w="31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Foreign currency options</w:t>
            </w:r>
          </w:p>
        </w:tc>
        <w:tc>
          <w:tcPr>
            <w:tcW w:w="860" w:type="dxa"/>
            <w:vAlign w:val="bottom"/>
            <w:shd w:val="clear" w:color="auto" w:fill="CCEEFF"/>
          </w:tcPr>
          <w:p>
            <w:pPr>
              <w:jc w:val="center"/>
              <w:ind w:left="36"/>
              <w:spacing w:after="0" w:line="145" w:lineRule="exact"/>
              <w:rPr>
                <w:sz w:val="20"/>
                <w:szCs w:val="20"/>
                <w:color w:val="auto"/>
              </w:rPr>
            </w:pPr>
            <w:r>
              <w:rPr>
                <w:rFonts w:ascii="Arial" w:cs="Arial" w:eastAsia="Arial" w:hAnsi="Arial"/>
                <w:sz w:val="13"/>
                <w:szCs w:val="13"/>
                <w:color w:val="auto"/>
                <w:w w:val="92"/>
              </w:rPr>
              <w:t>12(b)</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17,202</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17,202</w:t>
            </w:r>
          </w:p>
        </w:tc>
        <w:tc>
          <w:tcPr>
            <w:tcW w:w="8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24,371</w:t>
            </w:r>
          </w:p>
        </w:tc>
        <w:tc>
          <w:tcPr>
            <w:tcW w:w="8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24,371</w:t>
            </w:r>
          </w:p>
        </w:tc>
      </w:tr>
      <w:tr>
        <w:trPr>
          <w:trHeight w:val="125"/>
        </w:trPr>
        <w:tc>
          <w:tcPr>
            <w:tcW w:w="312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673,015</w:t>
            </w:r>
          </w:p>
        </w:tc>
        <w:tc>
          <w:tcPr>
            <w:tcW w:w="22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673,015</w:t>
            </w:r>
          </w:p>
        </w:tc>
        <w:tc>
          <w:tcPr>
            <w:tcW w:w="22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942,521</w:t>
            </w:r>
          </w:p>
        </w:tc>
        <w:tc>
          <w:tcPr>
            <w:tcW w:w="22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942,521</w:t>
            </w:r>
          </w:p>
        </w:tc>
        <w:tc>
          <w:tcPr>
            <w:tcW w:w="100" w:type="dxa"/>
            <w:vAlign w:val="bottom"/>
            <w:tcBorders>
              <w:bottom w:val="single" w:sz="8" w:color="CCEEFF"/>
            </w:tcBorders>
          </w:tcPr>
          <w:p>
            <w:pPr>
              <w:spacing w:after="0"/>
              <w:rPr>
                <w:sz w:val="10"/>
                <w:szCs w:val="10"/>
                <w:color w:val="auto"/>
              </w:rPr>
            </w:pPr>
          </w:p>
        </w:tc>
      </w:tr>
      <w:tr>
        <w:trPr>
          <w:trHeight w:val="125"/>
        </w:trPr>
        <w:tc>
          <w:tcPr>
            <w:tcW w:w="3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3"/>
        </w:trPr>
        <w:tc>
          <w:tcPr>
            <w:tcW w:w="3120" w:type="dxa"/>
            <w:vAlign w:val="bottom"/>
          </w:tcPr>
          <w:p>
            <w:pPr>
              <w:spacing w:after="0" w:line="133" w:lineRule="exact"/>
              <w:rPr>
                <w:sz w:val="20"/>
                <w:szCs w:val="20"/>
                <w:color w:val="auto"/>
              </w:rPr>
            </w:pPr>
            <w:r>
              <w:rPr>
                <w:rFonts w:ascii="Arial" w:cs="Arial" w:eastAsia="Arial" w:hAnsi="Arial"/>
                <w:sz w:val="13"/>
                <w:szCs w:val="13"/>
                <w:color w:val="auto"/>
              </w:rPr>
              <w:t>Bonds and notes issued at fair value</w:t>
            </w:r>
          </w:p>
        </w:tc>
        <w:tc>
          <w:tcPr>
            <w:tcW w:w="8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8,412,515</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3" w:lineRule="exact"/>
              <w:rPr>
                <w:sz w:val="20"/>
                <w:szCs w:val="20"/>
                <w:color w:val="auto"/>
              </w:rPr>
            </w:pPr>
            <w:r>
              <w:rPr>
                <w:rFonts w:ascii="Arial" w:cs="Arial" w:eastAsia="Arial" w:hAnsi="Arial"/>
                <w:sz w:val="13"/>
                <w:szCs w:val="13"/>
                <w:color w:val="auto"/>
              </w:rPr>
              <w:t>8,412,515</w:t>
            </w:r>
          </w:p>
        </w:tc>
        <w:tc>
          <w:tcPr>
            <w:tcW w:w="220" w:type="dxa"/>
            <w:vAlign w:val="bottom"/>
          </w:tcPr>
          <w:p>
            <w:pPr>
              <w:spacing w:after="0"/>
              <w:rPr>
                <w:sz w:val="11"/>
                <w:szCs w:val="11"/>
                <w:color w:val="auto"/>
              </w:rPr>
            </w:pPr>
          </w:p>
        </w:tc>
        <w:tc>
          <w:tcPr>
            <w:tcW w:w="86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8,535,401</w:t>
            </w:r>
          </w:p>
        </w:tc>
        <w:tc>
          <w:tcPr>
            <w:tcW w:w="220" w:type="dxa"/>
            <w:vAlign w:val="bottom"/>
          </w:tcPr>
          <w:p>
            <w:pPr>
              <w:spacing w:after="0"/>
              <w:rPr>
                <w:sz w:val="11"/>
                <w:szCs w:val="11"/>
                <w:color w:val="auto"/>
              </w:rPr>
            </w:pP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8,535,401</w:t>
            </w:r>
          </w:p>
        </w:tc>
      </w:tr>
      <w:tr>
        <w:trPr>
          <w:trHeight w:val="133"/>
        </w:trPr>
        <w:tc>
          <w:tcPr>
            <w:tcW w:w="31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Financial liabilities at fair value through profit or loss</w:t>
            </w: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209,520</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209,520</w:t>
            </w:r>
          </w:p>
        </w:tc>
        <w:tc>
          <w:tcPr>
            <w:tcW w:w="86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47,737</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47,737</w:t>
            </w:r>
          </w:p>
        </w:tc>
      </w:tr>
      <w:tr>
        <w:trPr>
          <w:trHeight w:val="145"/>
        </w:trPr>
        <w:tc>
          <w:tcPr>
            <w:tcW w:w="3120" w:type="dxa"/>
            <w:vAlign w:val="bottom"/>
          </w:tcPr>
          <w:p>
            <w:pPr>
              <w:spacing w:after="0" w:line="145" w:lineRule="exact"/>
              <w:rPr>
                <w:sz w:val="20"/>
                <w:szCs w:val="20"/>
                <w:color w:val="auto"/>
              </w:rPr>
            </w:pPr>
            <w:r>
              <w:rPr>
                <w:rFonts w:ascii="Arial" w:cs="Arial" w:eastAsia="Arial" w:hAnsi="Arial"/>
                <w:sz w:val="13"/>
                <w:szCs w:val="13"/>
                <w:color w:val="auto"/>
              </w:rPr>
              <w:t>Put options of non-controlling interest</w:t>
            </w:r>
          </w:p>
        </w:tc>
        <w:tc>
          <w:tcPr>
            <w:tcW w:w="860" w:type="dxa"/>
            <w:vAlign w:val="bottom"/>
          </w:tcPr>
          <w:p>
            <w:pPr>
              <w:jc w:val="center"/>
              <w:ind w:left="36"/>
              <w:spacing w:after="0" w:line="145" w:lineRule="exact"/>
              <w:rPr>
                <w:sz w:val="20"/>
                <w:szCs w:val="20"/>
                <w:color w:val="auto"/>
              </w:rPr>
            </w:pPr>
            <w:r>
              <w:rPr>
                <w:rFonts w:ascii="Arial" w:cs="Arial" w:eastAsia="Arial" w:hAnsi="Arial"/>
                <w:sz w:val="13"/>
                <w:szCs w:val="13"/>
                <w:color w:val="auto"/>
                <w:w w:val="89"/>
              </w:rPr>
              <w:t>2(c)</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93,273</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93,273</w:t>
            </w:r>
          </w:p>
        </w:tc>
      </w:tr>
      <w:tr>
        <w:trPr>
          <w:trHeight w:val="125"/>
        </w:trPr>
        <w:tc>
          <w:tcPr>
            <w:tcW w:w="312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3"/>
                <w:szCs w:val="13"/>
                <w:b w:val="1"/>
                <w:bCs w:val="1"/>
                <w:color w:val="auto"/>
              </w:rPr>
              <w:t>Total pasivos financieros</w:t>
            </w:r>
          </w:p>
        </w:tc>
        <w:tc>
          <w:tcPr>
            <w:tcW w:w="8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9,295,050</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9,295,050</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9,525,659</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93,273</w:t>
            </w: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9,618,932</w:t>
            </w:r>
          </w:p>
        </w:tc>
        <w:tc>
          <w:tcPr>
            <w:tcW w:w="100" w:type="dxa"/>
            <w:vAlign w:val="bottom"/>
            <w:tcBorders>
              <w:top w:val="single" w:sz="8" w:color="CCEEFF"/>
            </w:tcBorders>
            <w:shd w:val="clear" w:color="auto" w:fill="CCEEFF"/>
          </w:tcPr>
          <w:p>
            <w:pPr>
              <w:spacing w:after="0"/>
              <w:rPr>
                <w:sz w:val="10"/>
                <w:szCs w:val="10"/>
                <w:color w:val="auto"/>
              </w:rPr>
            </w:pPr>
          </w:p>
        </w:tc>
      </w:tr>
    </w:tbl>
    <w:p>
      <w:pPr>
        <w:spacing w:after="0" w:line="374"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- 144 -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83"/>
          </w:cols>
          <w:pgMar w:left="237" w:top="824" w:right="279" w:bottom="1440" w:gutter="0" w:footer="0" w:header="0"/>
        </w:sectPr>
      </w:pPr>
    </w:p>
    <w:bookmarkStart w:id="149" w:name="page150"/>
    <w:bookmarkEnd w:id="149"/>
    <w:p>
      <w:pPr>
        <w:spacing w:after="0" w:line="266" w:lineRule="auto"/>
        <w:rPr>
          <w:sz w:val="20"/>
          <w:szCs w:val="20"/>
          <w:color w:val="auto"/>
        </w:rPr>
      </w:pPr>
      <w:r>
        <w:rPr>
          <w:rFonts w:ascii="Arial" w:cs="Arial" w:eastAsia="Arial" w:hAnsi="Arial"/>
          <w:sz w:val="16"/>
          <w:szCs w:val="16"/>
          <w:color w:val="auto"/>
        </w:rPr>
        <w:t>Financial instruments included in the Level 1 category are those that are measured on the basis of quotations obtained in an active market. A financial instrument is regarded as quoted in an active market if quoted prices are readily and regularly available from an exchange, dealer, broker, industry group, pricing service or regulatory agency and those prices represent actual and regularly occurring market transactions on an arm’s length basis.</w:t>
      </w:r>
    </w:p>
    <w:p>
      <w:pPr>
        <w:spacing w:after="0" w:line="162"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Financial instruments included in the Level 2 category are those that are measured on the basis of observable marke factors. This category includes instruments valued using: quoted prices for similar instruments, either in active or less active markets and other valuation techniques (models) where all significant inputs are directly or indirectly observable based on market data.</w:t>
      </w:r>
    </w:p>
    <w:p>
      <w:pPr>
        <w:spacing w:after="0" w:line="162" w:lineRule="exact"/>
        <w:rPr>
          <w:sz w:val="20"/>
          <w:szCs w:val="20"/>
          <w:color w:val="auto"/>
        </w:rPr>
      </w:pPr>
    </w:p>
    <w:p>
      <w:pPr>
        <w:ind w:right="260"/>
        <w:spacing w:after="0" w:line="315" w:lineRule="auto"/>
        <w:rPr>
          <w:sz w:val="20"/>
          <w:szCs w:val="20"/>
          <w:color w:val="auto"/>
        </w:rPr>
      </w:pPr>
      <w:r>
        <w:rPr>
          <w:rFonts w:ascii="Arial" w:cs="Arial" w:eastAsia="Arial" w:hAnsi="Arial"/>
          <w:sz w:val="15"/>
          <w:szCs w:val="15"/>
          <w:color w:val="auto"/>
        </w:rPr>
        <w:t>Following is a description of how fair value is determined for the main Group’s financial instruments where valuation techniques were used with inputs based on market data which incorporate Credicorp’s estimates on the assumptions that market participants would use for measuring these financial instruments:</w:t>
      </w:r>
    </w:p>
    <w:p>
      <w:pPr>
        <w:spacing w:after="0" w:line="127"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Valuation of derivative financial instruments -</w:t>
      </w:r>
    </w:p>
    <w:p>
      <w:pPr>
        <w:spacing w:after="0" w:line="203" w:lineRule="exact"/>
        <w:rPr>
          <w:sz w:val="20"/>
          <w:szCs w:val="20"/>
          <w:color w:val="auto"/>
        </w:rPr>
      </w:pPr>
    </w:p>
    <w:p>
      <w:pPr>
        <w:ind w:left="300" w:right="160"/>
        <w:spacing w:after="0" w:line="321" w:lineRule="auto"/>
        <w:rPr>
          <w:sz w:val="20"/>
          <w:szCs w:val="20"/>
          <w:color w:val="auto"/>
        </w:rPr>
      </w:pPr>
      <w:r>
        <w:rPr>
          <w:rFonts w:ascii="Arial" w:cs="Arial" w:eastAsia="Arial" w:hAnsi="Arial"/>
          <w:sz w:val="14"/>
          <w:szCs w:val="14"/>
          <w:color w:val="auto"/>
        </w:rPr>
        <w:t>Interest rate swaps, currency swaps and forward exchange contracts are measured by using valuation techniques where inputs are based on market data. The most frequently applied valuation techniques include forward pricing and swap models, using present value calculations. The models incorporate various inputs, including the credit quality of counterparties, foreign exchange, forward rates and interest rate curves. Options are valued using well-known, widely accepted valuation models.</w:t>
      </w:r>
    </w:p>
    <w:p>
      <w:pPr>
        <w:spacing w:after="0" w:line="128" w:lineRule="exact"/>
        <w:rPr>
          <w:sz w:val="20"/>
          <w:szCs w:val="20"/>
          <w:color w:val="auto"/>
        </w:rPr>
      </w:pPr>
    </w:p>
    <w:p>
      <w:pPr>
        <w:jc w:val="both"/>
        <w:ind w:left="300" w:right="60"/>
        <w:spacing w:after="0" w:line="292" w:lineRule="auto"/>
        <w:rPr>
          <w:sz w:val="20"/>
          <w:szCs w:val="20"/>
          <w:color w:val="auto"/>
        </w:rPr>
      </w:pPr>
      <w:r>
        <w:rPr>
          <w:rFonts w:ascii="Arial" w:cs="Arial" w:eastAsia="Arial" w:hAnsi="Arial"/>
          <w:sz w:val="15"/>
          <w:szCs w:val="15"/>
          <w:color w:val="auto"/>
        </w:rPr>
        <w:t>A credit valuation adjustment (CVA) is applied to the “Over-The-Counter” derivative exposures to take into account the counterparty’s risk of default when measuring the fair value of the derivative. CVA is the mark-to market cost of protection required to hedge credit risk from counterparties in this type of derivatives portfolio. CVA is calculated by multiplying the probability of default (PD), the loss given default (LGD) and the expected exposure (EE) at the time of default.</w:t>
      </w:r>
    </w:p>
    <w:p>
      <w:pPr>
        <w:spacing w:after="0" w:line="144" w:lineRule="exact"/>
        <w:rPr>
          <w:sz w:val="20"/>
          <w:szCs w:val="20"/>
          <w:color w:val="auto"/>
        </w:rPr>
      </w:pPr>
    </w:p>
    <w:p>
      <w:pPr>
        <w:ind w:left="300" w:right="200"/>
        <w:spacing w:after="0" w:line="261" w:lineRule="auto"/>
        <w:rPr>
          <w:sz w:val="20"/>
          <w:szCs w:val="20"/>
          <w:color w:val="auto"/>
        </w:rPr>
      </w:pPr>
      <w:r>
        <w:rPr>
          <w:rFonts w:ascii="Arial" w:cs="Arial" w:eastAsia="Arial" w:hAnsi="Arial"/>
          <w:sz w:val="16"/>
          <w:szCs w:val="16"/>
          <w:color w:val="auto"/>
        </w:rPr>
        <w:t>Credicorp calculates EE using a Monte Carlo simulation at a counterparty level. The model inputs include market values from current market data and model parameters implied from quoted market prices. These are updated at each measurement date. Collateral and netting arrangements are taken into account where applicable. PDs and LGDs are derived from a credit spread simulation based on a deterministic model or a Monte-Carlo model that incorporates rating migration and market observable data where available.</w:t>
      </w:r>
    </w:p>
    <w:p>
      <w:pPr>
        <w:spacing w:after="0" w:line="167" w:lineRule="exact"/>
        <w:rPr>
          <w:sz w:val="20"/>
          <w:szCs w:val="20"/>
          <w:color w:val="auto"/>
        </w:rPr>
      </w:pPr>
    </w:p>
    <w:p>
      <w:pPr>
        <w:ind w:left="300" w:right="100"/>
        <w:spacing w:after="0" w:line="280" w:lineRule="auto"/>
        <w:rPr>
          <w:sz w:val="20"/>
          <w:szCs w:val="20"/>
          <w:color w:val="auto"/>
        </w:rPr>
      </w:pPr>
      <w:r>
        <w:rPr>
          <w:rFonts w:ascii="Arial" w:cs="Arial" w:eastAsia="Arial" w:hAnsi="Arial"/>
          <w:sz w:val="16"/>
          <w:szCs w:val="16"/>
          <w:color w:val="auto"/>
        </w:rPr>
        <w:t>A debit valuation adjustment (DVA) is applied to include the Group’s own credit risk in the fair value of derivatives (that is the risk that the Group might default on its contractual obligations), using the same methodology as for CVA.</w:t>
      </w:r>
    </w:p>
    <w:p>
      <w:pPr>
        <w:spacing w:after="0" w:line="151" w:lineRule="exact"/>
        <w:rPr>
          <w:sz w:val="20"/>
          <w:szCs w:val="20"/>
          <w:color w:val="auto"/>
        </w:rPr>
      </w:pPr>
    </w:p>
    <w:p>
      <w:pPr>
        <w:ind w:left="300" w:right="40"/>
        <w:spacing w:after="0" w:line="280" w:lineRule="auto"/>
        <w:rPr>
          <w:sz w:val="20"/>
          <w:szCs w:val="20"/>
          <w:color w:val="auto"/>
        </w:rPr>
      </w:pPr>
      <w:r>
        <w:rPr>
          <w:rFonts w:ascii="Arial" w:cs="Arial" w:eastAsia="Arial" w:hAnsi="Arial"/>
          <w:sz w:val="15"/>
          <w:szCs w:val="15"/>
          <w:color w:val="auto"/>
        </w:rPr>
        <w:t>As of December 31, 2016, the balance of receivables and payables corresponding to derivatives amounted to S/942.6 million and S/673.0 million, respectively, see note 12(b), generating DVA and CVA adjustments for approximately S/8.0 million and S/15.0 million, respectively. The net impact of both items in the consolidated statement of income amounted to S/9.3 million. As of December 31, 2015, the balance of receivables and payables corresponding to derivatives amounted to S/1,475.5 million and S/942.5 million, respectively, see note 12(b), generating DV and CVA adjustments for approximately S/7.3 million and S/24.4million, respectively. Also, the net impact of both items in the consolidated statement of income amounted to S/25.2 million.</w:t>
      </w:r>
    </w:p>
    <w:p>
      <w:pPr>
        <w:spacing w:after="0" w:line="348"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- 145 -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13970</wp:posOffset>
            </wp:positionV>
            <wp:extent cx="7261225" cy="762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40"/>
          </w:cols>
          <w:pgMar w:left="520" w:top="828" w:right="239" w:bottom="1440" w:gutter="0" w:footer="0" w:header="0"/>
        </w:sectPr>
      </w:pPr>
    </w:p>
    <w:bookmarkStart w:id="150" w:name="page151"/>
    <w:bookmarkEnd w:id="150"/>
    <w:p>
      <w:pPr>
        <w:spacing w:after="0"/>
        <w:tabs>
          <w:tab w:leader="none" w:pos="280" w:val="left"/>
        </w:tabs>
        <w:rPr>
          <w:sz w:val="20"/>
          <w:szCs w:val="20"/>
          <w:color w:val="auto"/>
        </w:rPr>
      </w:pPr>
      <w:r>
        <w:rPr>
          <w:rFonts w:ascii="Arial" w:cs="Arial" w:eastAsia="Arial" w:hAnsi="Arial"/>
          <w:sz w:val="16"/>
          <w:szCs w:val="16"/>
          <w:color w:val="auto"/>
        </w:rPr>
        <w:t>-</w:t>
        <w:tab/>
        <w:t>Valuation of debt securities available for sale classified in level 2 -</w:t>
      </w:r>
    </w:p>
    <w:p>
      <w:pPr>
        <w:spacing w:after="0" w:line="203" w:lineRule="exact"/>
        <w:rPr>
          <w:sz w:val="20"/>
          <w:szCs w:val="20"/>
          <w:color w:val="auto"/>
        </w:rPr>
      </w:pPr>
    </w:p>
    <w:p>
      <w:pPr>
        <w:ind w:left="300" w:right="280"/>
        <w:spacing w:after="0" w:line="266" w:lineRule="auto"/>
        <w:rPr>
          <w:sz w:val="20"/>
          <w:szCs w:val="20"/>
          <w:color w:val="auto"/>
        </w:rPr>
      </w:pPr>
      <w:r>
        <w:rPr>
          <w:rFonts w:ascii="Arial" w:cs="Arial" w:eastAsia="Arial" w:hAnsi="Arial"/>
          <w:sz w:val="16"/>
          <w:szCs w:val="16"/>
          <w:color w:val="auto"/>
        </w:rPr>
        <w:t>Valuation of BCRP certificates of deposit, corporate, leasing, subordinated bonds and Government treasury bonds are measured calculating their Net Present Values (NPV) through discounted cash flows, using appropriate and relevant zero coupon rate curves to discount cash flows in the respective currency and considering observable current market transactions.</w:t>
      </w:r>
    </w:p>
    <w:p>
      <w:pPr>
        <w:spacing w:after="0" w:line="162" w:lineRule="exact"/>
        <w:rPr>
          <w:sz w:val="20"/>
          <w:szCs w:val="20"/>
          <w:color w:val="auto"/>
        </w:rPr>
      </w:pPr>
    </w:p>
    <w:p>
      <w:pPr>
        <w:ind w:left="300"/>
        <w:spacing w:after="0" w:line="266" w:lineRule="auto"/>
        <w:rPr>
          <w:sz w:val="20"/>
          <w:szCs w:val="20"/>
          <w:color w:val="auto"/>
        </w:rPr>
      </w:pPr>
      <w:r>
        <w:rPr>
          <w:rFonts w:ascii="Arial" w:cs="Arial" w:eastAsia="Arial" w:hAnsi="Arial"/>
          <w:sz w:val="16"/>
          <w:szCs w:val="16"/>
          <w:color w:val="auto"/>
        </w:rPr>
        <w:t>Other debt instruments are measured using valuation techniques based on assumptions supported by prices from observable current market transactions, obtained via pricing services. Nevertheless, when prices have not been determined in an active market, fair values are based on broker quotes and assets that are valued using models whereby the majority of assumptions are market observable.</w:t>
      </w:r>
    </w:p>
    <w:p>
      <w:pPr>
        <w:spacing w:after="0" w:line="162" w:lineRule="exact"/>
        <w:rPr>
          <w:sz w:val="20"/>
          <w:szCs w:val="20"/>
          <w:color w:val="auto"/>
        </w:rPr>
      </w:pPr>
    </w:p>
    <w:p>
      <w:pPr>
        <w:ind w:left="300" w:right="20"/>
        <w:spacing w:after="0" w:line="280" w:lineRule="auto"/>
        <w:rPr>
          <w:sz w:val="20"/>
          <w:szCs w:val="20"/>
          <w:color w:val="auto"/>
        </w:rPr>
      </w:pPr>
      <w:r>
        <w:rPr>
          <w:rFonts w:ascii="Arial" w:cs="Arial" w:eastAsia="Arial" w:hAnsi="Arial"/>
          <w:sz w:val="16"/>
          <w:szCs w:val="16"/>
          <w:color w:val="auto"/>
        </w:rPr>
        <w:t>Financial instruments included in the Level 3 category are those that are measured using valuation techniques based on assumptions that are neither supported by prices from observable current market transactions in the same instrument nor are they based on available market data.</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this regard, no significant differences were noted between the estimated fair values and the respective carrying amounts.</w:t>
      </w:r>
    </w:p>
    <w:p>
      <w:pPr>
        <w:spacing w:after="0" w:line="203" w:lineRule="exact"/>
        <w:rPr>
          <w:sz w:val="20"/>
          <w:szCs w:val="20"/>
          <w:color w:val="auto"/>
        </w:rPr>
      </w:pPr>
    </w:p>
    <w:p>
      <w:pPr>
        <w:jc w:val="both"/>
        <w:ind w:left="300" w:right="120"/>
        <w:spacing w:after="0" w:line="292" w:lineRule="auto"/>
        <w:rPr>
          <w:sz w:val="20"/>
          <w:szCs w:val="20"/>
          <w:color w:val="auto"/>
        </w:rPr>
      </w:pPr>
      <w:r>
        <w:rPr>
          <w:rFonts w:ascii="Arial" w:cs="Arial" w:eastAsia="Arial" w:hAnsi="Arial"/>
          <w:sz w:val="15"/>
          <w:szCs w:val="15"/>
          <w:color w:val="auto"/>
        </w:rPr>
        <w:t>As of December 31, 2016 and 2015, the net unrealized gain of Level 3 financial instruments amounted to S/40.6 million and S/50.5 million, respectively. During 2016 and 2015, changes in the carrying amount of Level 3 financial instruments have not been significant since there were no purchases, issuances, settlements or any other significant movements or transfers from level 3 to Level 1 or Level 2 or vice versa. Also, there have been no transfers between Level 1 and Level 2.</w:t>
      </w:r>
    </w:p>
    <w:p>
      <w:pPr>
        <w:spacing w:after="0" w:line="33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- 146 -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13970</wp:posOffset>
            </wp:positionV>
            <wp:extent cx="7261225" cy="762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40"/>
          </w:cols>
          <w:pgMar w:left="520" w:top="828" w:right="239" w:bottom="1440" w:gutter="0" w:footer="0" w:header="0"/>
        </w:sectPr>
      </w:pPr>
    </w:p>
    <w:bookmarkStart w:id="151" w:name="page152"/>
    <w:bookmarkEnd w:id="151"/>
    <w:p>
      <w:pPr>
        <w:spacing w:after="0"/>
        <w:tabs>
          <w:tab w:leader="none" w:pos="2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Financial instruments not measured at fair value -</w:t>
      </w:r>
    </w:p>
    <w:p>
      <w:pPr>
        <w:spacing w:after="0" w:line="203" w:lineRule="exact"/>
        <w:rPr>
          <w:sz w:val="20"/>
          <w:szCs w:val="20"/>
          <w:color w:val="auto"/>
        </w:rPr>
      </w:pPr>
    </w:p>
    <w:p>
      <w:pPr>
        <w:ind w:left="280"/>
        <w:spacing w:after="0" w:line="280" w:lineRule="auto"/>
        <w:rPr>
          <w:sz w:val="20"/>
          <w:szCs w:val="20"/>
          <w:color w:val="auto"/>
        </w:rPr>
      </w:pPr>
      <w:r>
        <w:rPr>
          <w:rFonts w:ascii="Arial" w:cs="Arial" w:eastAsia="Arial" w:hAnsi="Arial"/>
          <w:sz w:val="16"/>
          <w:szCs w:val="16"/>
          <w:color w:val="auto"/>
        </w:rPr>
        <w:t>Set out below is the disclosure of the comparison between the carrying amounts and fair values of the financial instruments, which are not measured at fair value, presented in the consolidated statement of financial position by level of the fair value hierarchy:</w:t>
      </w:r>
    </w:p>
    <w:p>
      <w:pPr>
        <w:spacing w:after="0" w:line="155" w:lineRule="exact"/>
        <w:rPr>
          <w:sz w:val="20"/>
          <w:szCs w:val="20"/>
          <w:color w:val="auto"/>
        </w:rPr>
      </w:pPr>
    </w:p>
    <w:tbl>
      <w:tblPr>
        <w:tblLayout w:type="fixed"/>
        <w:tblInd w:w="2320" w:type="dxa"/>
        <w:tblCellMar>
          <w:top w:w="0" w:type="dxa"/>
          <w:left w:w="0" w:type="dxa"/>
          <w:bottom w:w="0" w:type="dxa"/>
          <w:right w:w="0" w:type="dxa"/>
        </w:tblCellMar>
      </w:tblPr>
      <w:tr>
        <w:trPr>
          <w:trHeight w:val="153"/>
        </w:trPr>
        <w:tc>
          <w:tcPr>
            <w:tcW w:w="1580" w:type="dxa"/>
            <w:vAlign w:val="bottom"/>
            <w:gridSpan w:val="4"/>
          </w:tcPr>
          <w:p>
            <w:pPr>
              <w:spacing w:after="0"/>
              <w:rPr>
                <w:sz w:val="20"/>
                <w:szCs w:val="20"/>
                <w:color w:val="auto"/>
              </w:rPr>
            </w:pPr>
            <w:r>
              <w:rPr>
                <w:rFonts w:ascii="Arial" w:cs="Arial" w:eastAsia="Arial" w:hAnsi="Arial"/>
                <w:sz w:val="13"/>
                <w:szCs w:val="13"/>
                <w:b w:val="1"/>
                <w:bCs w:val="1"/>
                <w:color w:val="auto"/>
              </w:rPr>
              <w:t>As of December 31, 2016</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Arial" w:cs="Arial" w:eastAsia="Arial" w:hAnsi="Arial"/>
                <w:sz w:val="13"/>
                <w:szCs w:val="13"/>
                <w:b w:val="1"/>
                <w:bCs w:val="1"/>
                <w:color w:val="auto"/>
              </w:rPr>
              <w:t>As of December 31, 2015</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37"/>
        </w:trPr>
        <w:tc>
          <w:tcPr>
            <w:tcW w:w="20" w:type="dxa"/>
            <w:vAlign w:val="bottom"/>
          </w:tcPr>
          <w:p>
            <w:pPr>
              <w:spacing w:after="0"/>
              <w:rPr>
                <w:sz w:val="11"/>
                <w:szCs w:val="11"/>
                <w:color w:val="auto"/>
              </w:rPr>
            </w:pPr>
          </w:p>
        </w:tc>
        <w:tc>
          <w:tcPr>
            <w:tcW w:w="62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Level 1</w:t>
            </w:r>
          </w:p>
        </w:tc>
        <w:tc>
          <w:tcPr>
            <w:tcW w:w="940" w:type="dxa"/>
            <w:vAlign w:val="bottom"/>
            <w:tcBorders>
              <w:top w:val="single" w:sz="8" w:color="auto"/>
            </w:tcBorders>
            <w:gridSpan w:val="2"/>
          </w:tcPr>
          <w:p>
            <w:pPr>
              <w:ind w:left="200"/>
              <w:spacing w:after="0" w:line="138" w:lineRule="exact"/>
              <w:rPr>
                <w:sz w:val="20"/>
                <w:szCs w:val="20"/>
                <w:color w:val="auto"/>
              </w:rPr>
            </w:pPr>
            <w:r>
              <w:rPr>
                <w:rFonts w:ascii="Arial" w:cs="Arial" w:eastAsia="Arial" w:hAnsi="Arial"/>
                <w:sz w:val="13"/>
                <w:szCs w:val="13"/>
                <w:b w:val="1"/>
                <w:bCs w:val="1"/>
                <w:color w:val="auto"/>
              </w:rPr>
              <w:t>Level 2</w:t>
            </w:r>
          </w:p>
        </w:tc>
        <w:tc>
          <w:tcPr>
            <w:tcW w:w="1000" w:type="dxa"/>
            <w:vAlign w:val="bottom"/>
            <w:tcBorders>
              <w:top w:val="single" w:sz="8" w:color="auto"/>
            </w:tcBorders>
            <w:gridSpan w:val="3"/>
          </w:tcPr>
          <w:p>
            <w:pPr>
              <w:ind w:left="200"/>
              <w:spacing w:after="0" w:line="138" w:lineRule="exact"/>
              <w:rPr>
                <w:sz w:val="20"/>
                <w:szCs w:val="20"/>
                <w:color w:val="auto"/>
              </w:rPr>
            </w:pPr>
            <w:r>
              <w:rPr>
                <w:rFonts w:ascii="Arial" w:cs="Arial" w:eastAsia="Arial" w:hAnsi="Arial"/>
                <w:sz w:val="13"/>
                <w:szCs w:val="13"/>
                <w:b w:val="1"/>
                <w:bCs w:val="1"/>
                <w:color w:val="auto"/>
              </w:rPr>
              <w:t>Level 3</w:t>
            </w:r>
          </w:p>
        </w:tc>
        <w:tc>
          <w:tcPr>
            <w:tcW w:w="94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Fair value</w:t>
            </w:r>
          </w:p>
        </w:tc>
        <w:tc>
          <w:tcPr>
            <w:tcW w:w="76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Book value</w:t>
            </w:r>
          </w:p>
        </w:tc>
        <w:tc>
          <w:tcPr>
            <w:tcW w:w="180" w:type="dxa"/>
            <w:vAlign w:val="bottom"/>
          </w:tcPr>
          <w:p>
            <w:pPr>
              <w:spacing w:after="0"/>
              <w:rPr>
                <w:sz w:val="11"/>
                <w:szCs w:val="11"/>
                <w:color w:val="auto"/>
              </w:rPr>
            </w:pPr>
          </w:p>
        </w:tc>
        <w:tc>
          <w:tcPr>
            <w:tcW w:w="84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Level 1</w:t>
            </w:r>
          </w:p>
        </w:tc>
        <w:tc>
          <w:tcPr>
            <w:tcW w:w="76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Level 2</w:t>
            </w:r>
          </w:p>
        </w:tc>
        <w:tc>
          <w:tcPr>
            <w:tcW w:w="1040" w:type="dxa"/>
            <w:vAlign w:val="bottom"/>
            <w:tcBorders>
              <w:top w:val="single" w:sz="8" w:color="auto"/>
            </w:tcBorders>
            <w:gridSpan w:val="3"/>
          </w:tcPr>
          <w:p>
            <w:pPr>
              <w:ind w:left="180"/>
              <w:spacing w:after="0" w:line="138" w:lineRule="exact"/>
              <w:rPr>
                <w:sz w:val="20"/>
                <w:szCs w:val="20"/>
                <w:color w:val="auto"/>
              </w:rPr>
            </w:pPr>
            <w:r>
              <w:rPr>
                <w:rFonts w:ascii="Arial" w:cs="Arial" w:eastAsia="Arial" w:hAnsi="Arial"/>
                <w:sz w:val="13"/>
                <w:szCs w:val="13"/>
                <w:b w:val="1"/>
                <w:bCs w:val="1"/>
                <w:color w:val="auto"/>
              </w:rPr>
              <w:t>Level 3</w:t>
            </w:r>
          </w:p>
        </w:tc>
        <w:tc>
          <w:tcPr>
            <w:tcW w:w="98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Fair value</w:t>
            </w:r>
          </w:p>
        </w:tc>
        <w:tc>
          <w:tcPr>
            <w:tcW w:w="76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Book value</w:t>
            </w:r>
          </w:p>
        </w:tc>
      </w:tr>
      <w:tr>
        <w:trPr>
          <w:trHeight w:val="119"/>
        </w:trPr>
        <w:tc>
          <w:tcPr>
            <w:tcW w:w="20" w:type="dxa"/>
            <w:vAlign w:val="bottom"/>
          </w:tcPr>
          <w:p>
            <w:pPr>
              <w:spacing w:after="0"/>
              <w:rPr>
                <w:sz w:val="10"/>
                <w:szCs w:val="10"/>
                <w:color w:val="auto"/>
              </w:rPr>
            </w:pPr>
          </w:p>
        </w:tc>
        <w:tc>
          <w:tcPr>
            <w:tcW w:w="6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0"/>
                <w:szCs w:val="10"/>
                <w:color w:val="auto"/>
              </w:rPr>
            </w:pPr>
          </w:p>
        </w:tc>
        <w:tc>
          <w:tcPr>
            <w:tcW w:w="6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7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7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7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7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r>
    </w:tbl>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139"/>
        </w:trPr>
        <w:tc>
          <w:tcPr>
            <w:tcW w:w="204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Assets</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3"/>
        </w:trPr>
        <w:tc>
          <w:tcPr>
            <w:tcW w:w="2040" w:type="dxa"/>
            <w:vAlign w:val="bottom"/>
          </w:tcPr>
          <w:p>
            <w:pPr>
              <w:spacing w:after="0" w:line="133" w:lineRule="exact"/>
              <w:rPr>
                <w:sz w:val="20"/>
                <w:szCs w:val="20"/>
                <w:color w:val="auto"/>
              </w:rPr>
            </w:pPr>
            <w:r>
              <w:rPr>
                <w:rFonts w:ascii="Arial" w:cs="Arial" w:eastAsia="Arial" w:hAnsi="Arial"/>
                <w:sz w:val="13"/>
                <w:szCs w:val="13"/>
                <w:color w:val="auto"/>
              </w:rPr>
              <w:t>Cash and due from banks</w:t>
            </w:r>
          </w:p>
        </w:tc>
        <w:tc>
          <w:tcPr>
            <w:tcW w:w="84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16,645,769</w:t>
            </w:r>
          </w:p>
        </w:tc>
        <w:tc>
          <w:tcPr>
            <w:tcW w:w="80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16,645,769</w:t>
            </w:r>
          </w:p>
        </w:tc>
        <w:tc>
          <w:tcPr>
            <w:tcW w:w="9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16,645,769</w:t>
            </w:r>
          </w:p>
        </w:tc>
        <w:tc>
          <w:tcPr>
            <w:tcW w:w="8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3" w:lineRule="exact"/>
              <w:rPr>
                <w:sz w:val="20"/>
                <w:szCs w:val="20"/>
                <w:color w:val="auto"/>
              </w:rPr>
            </w:pPr>
            <w:r>
              <w:rPr>
                <w:rFonts w:ascii="Arial" w:cs="Arial" w:eastAsia="Arial" w:hAnsi="Arial"/>
                <w:sz w:val="13"/>
                <w:szCs w:val="13"/>
                <w:color w:val="auto"/>
              </w:rPr>
              <w:t>22,391,744</w:t>
            </w:r>
          </w:p>
        </w:tc>
        <w:tc>
          <w:tcPr>
            <w:tcW w:w="180" w:type="dxa"/>
            <w:vAlign w:val="bottom"/>
          </w:tcPr>
          <w:p>
            <w:pPr>
              <w:spacing w:after="0"/>
              <w:rPr>
                <w:sz w:val="11"/>
                <w:szCs w:val="11"/>
                <w:color w:val="auto"/>
              </w:rPr>
            </w:pP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3" w:lineRule="exact"/>
              <w:rPr>
                <w:sz w:val="20"/>
                <w:szCs w:val="20"/>
                <w:color w:val="auto"/>
              </w:rPr>
            </w:pPr>
            <w:r>
              <w:rPr>
                <w:rFonts w:ascii="Arial" w:cs="Arial" w:eastAsia="Arial" w:hAnsi="Arial"/>
                <w:sz w:val="13"/>
                <w:szCs w:val="13"/>
                <w:color w:val="auto"/>
              </w:rPr>
              <w:t>22,391,744</w:t>
            </w:r>
          </w:p>
        </w:tc>
        <w:tc>
          <w:tcPr>
            <w:tcW w:w="220" w:type="dxa"/>
            <w:vAlign w:val="bottom"/>
          </w:tcPr>
          <w:p>
            <w:pPr>
              <w:spacing w:after="0"/>
              <w:rPr>
                <w:sz w:val="11"/>
                <w:szCs w:val="11"/>
                <w:color w:val="auto"/>
              </w:rPr>
            </w:pPr>
          </w:p>
        </w:tc>
        <w:tc>
          <w:tcPr>
            <w:tcW w:w="86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22,391,744</w:t>
            </w:r>
          </w:p>
        </w:tc>
      </w:tr>
      <w:tr>
        <w:trPr>
          <w:trHeight w:val="133"/>
        </w:trPr>
        <w:tc>
          <w:tcPr>
            <w:tcW w:w="20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8"/>
              </w:rPr>
              <w:t>Cash collateral, reverse repurchase</w:t>
            </w:r>
          </w:p>
        </w:tc>
        <w:tc>
          <w:tcPr>
            <w:tcW w:w="84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10,919,624</w:t>
            </w:r>
          </w:p>
        </w:tc>
        <w:tc>
          <w:tcPr>
            <w:tcW w:w="8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10,919,624</w:t>
            </w:r>
          </w:p>
        </w:tc>
        <w:tc>
          <w:tcPr>
            <w:tcW w:w="9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10,919,624</w:t>
            </w:r>
          </w:p>
        </w:tc>
        <w:tc>
          <w:tcPr>
            <w:tcW w:w="8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11,026,698</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11,026,698</w:t>
            </w:r>
          </w:p>
        </w:tc>
        <w:tc>
          <w:tcPr>
            <w:tcW w:w="8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11,026,698</w:t>
            </w:r>
          </w:p>
        </w:tc>
      </w:tr>
      <w:tr>
        <w:trPr>
          <w:trHeight w:val="133"/>
        </w:trPr>
        <w:tc>
          <w:tcPr>
            <w:tcW w:w="2040" w:type="dxa"/>
            <w:vAlign w:val="bottom"/>
          </w:tcPr>
          <w:p>
            <w:pPr>
              <w:spacing w:after="0" w:line="133" w:lineRule="exact"/>
              <w:rPr>
                <w:sz w:val="20"/>
                <w:szCs w:val="20"/>
                <w:color w:val="auto"/>
              </w:rPr>
            </w:pPr>
            <w:r>
              <w:rPr>
                <w:rFonts w:ascii="Arial" w:cs="Arial" w:eastAsia="Arial" w:hAnsi="Arial"/>
                <w:sz w:val="13"/>
                <w:szCs w:val="13"/>
                <w:color w:val="auto"/>
              </w:rPr>
              <w:t>Held-to-maturity investments</w:t>
            </w:r>
          </w:p>
        </w:tc>
        <w:tc>
          <w:tcPr>
            <w:tcW w:w="84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5,215,704</w:t>
            </w:r>
          </w:p>
        </w:tc>
        <w:tc>
          <w:tcPr>
            <w:tcW w:w="94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5,215,704</w:t>
            </w:r>
          </w:p>
        </w:tc>
        <w:tc>
          <w:tcPr>
            <w:tcW w:w="9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5,118,420</w:t>
            </w:r>
          </w:p>
        </w:tc>
        <w:tc>
          <w:tcPr>
            <w:tcW w:w="8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3,659,197</w:t>
            </w:r>
          </w:p>
        </w:tc>
        <w:tc>
          <w:tcPr>
            <w:tcW w:w="76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3" w:lineRule="exact"/>
              <w:rPr>
                <w:sz w:val="20"/>
                <w:szCs w:val="20"/>
                <w:color w:val="auto"/>
              </w:rPr>
            </w:pPr>
            <w:r>
              <w:rPr>
                <w:rFonts w:ascii="Arial" w:cs="Arial" w:eastAsia="Arial" w:hAnsi="Arial"/>
                <w:sz w:val="13"/>
                <w:szCs w:val="13"/>
                <w:color w:val="auto"/>
              </w:rPr>
              <w:t>3,659,197</w:t>
            </w:r>
          </w:p>
        </w:tc>
        <w:tc>
          <w:tcPr>
            <w:tcW w:w="220" w:type="dxa"/>
            <w:vAlign w:val="bottom"/>
          </w:tcPr>
          <w:p>
            <w:pPr>
              <w:spacing w:after="0"/>
              <w:rPr>
                <w:sz w:val="11"/>
                <w:szCs w:val="11"/>
                <w:color w:val="auto"/>
              </w:rPr>
            </w:pPr>
          </w:p>
        </w:tc>
        <w:tc>
          <w:tcPr>
            <w:tcW w:w="86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3,582,129</w:t>
            </w:r>
          </w:p>
        </w:tc>
      </w:tr>
      <w:tr>
        <w:trPr>
          <w:trHeight w:val="133"/>
        </w:trPr>
        <w:tc>
          <w:tcPr>
            <w:tcW w:w="20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Loans, net</w:t>
            </w:r>
          </w:p>
        </w:tc>
        <w:tc>
          <w:tcPr>
            <w:tcW w:w="84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w w:val="99"/>
              </w:rPr>
              <w:t>110,137,973</w:t>
            </w:r>
          </w:p>
        </w:tc>
        <w:tc>
          <w:tcPr>
            <w:tcW w:w="8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110,137,973</w:t>
            </w:r>
          </w:p>
        </w:tc>
        <w:tc>
          <w:tcPr>
            <w:tcW w:w="9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110,393,753</w:t>
            </w:r>
          </w:p>
        </w:tc>
        <w:tc>
          <w:tcPr>
            <w:tcW w:w="8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105,132,492</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105,132,492</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105,132,492</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3"/>
                <w:szCs w:val="13"/>
                <w:color w:val="auto"/>
              </w:rPr>
              <w:t>Premiums and other policies</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40" w:type="dxa"/>
            <w:vAlign w:val="bottom"/>
          </w:tcPr>
          <w:p>
            <w:pPr>
              <w:spacing w:after="0"/>
              <w:rPr>
                <w:sz w:val="20"/>
                <w:szCs w:val="20"/>
                <w:color w:val="auto"/>
              </w:rPr>
            </w:pPr>
            <w:r>
              <w:rPr>
                <w:rFonts w:ascii="Arial" w:cs="Arial" w:eastAsia="Arial" w:hAnsi="Arial"/>
                <w:sz w:val="13"/>
                <w:szCs w:val="13"/>
                <w:color w:val="auto"/>
              </w:rPr>
              <w:t>receivable</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643,224</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643,224</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643,224</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648,017</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648,017</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648,017</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7"/>
              </w:rPr>
              <w:t>Accounts receivable from reinsurers</w:t>
            </w: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40" w:type="dxa"/>
            <w:vAlign w:val="bottom"/>
            <w:shd w:val="clear" w:color="auto" w:fill="CCEEFF"/>
          </w:tcPr>
          <w:p>
            <w:pPr>
              <w:spacing w:after="0"/>
              <w:rPr>
                <w:sz w:val="20"/>
                <w:szCs w:val="20"/>
                <w:color w:val="auto"/>
              </w:rPr>
            </w:pPr>
            <w:r>
              <w:rPr>
                <w:rFonts w:ascii="Arial" w:cs="Arial" w:eastAsia="Arial" w:hAnsi="Arial"/>
                <w:sz w:val="13"/>
                <w:szCs w:val="13"/>
                <w:color w:val="auto"/>
              </w:rPr>
              <w:t>and coinsurers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454,187</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454,187</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454,187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457,189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457,189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457,189</w:t>
            </w:r>
          </w:p>
        </w:tc>
      </w:tr>
      <w:tr>
        <w:trPr>
          <w:trHeight w:val="133"/>
        </w:trPr>
        <w:tc>
          <w:tcPr>
            <w:tcW w:w="2040" w:type="dxa"/>
            <w:vAlign w:val="bottom"/>
          </w:tcPr>
          <w:p>
            <w:pPr>
              <w:spacing w:after="0" w:line="133" w:lineRule="exact"/>
              <w:rPr>
                <w:sz w:val="20"/>
                <w:szCs w:val="20"/>
                <w:color w:val="auto"/>
              </w:rPr>
            </w:pPr>
            <w:r>
              <w:rPr>
                <w:rFonts w:ascii="Arial" w:cs="Arial" w:eastAsia="Arial" w:hAnsi="Arial"/>
                <w:sz w:val="13"/>
                <w:szCs w:val="13"/>
                <w:color w:val="auto"/>
              </w:rPr>
              <w:t>Bank acceptances</w:t>
            </w:r>
          </w:p>
        </w:tc>
        <w:tc>
          <w:tcPr>
            <w:tcW w:w="84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491,139</w:t>
            </w:r>
          </w:p>
        </w:tc>
        <w:tc>
          <w:tcPr>
            <w:tcW w:w="80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491,139</w:t>
            </w:r>
          </w:p>
        </w:tc>
        <w:tc>
          <w:tcPr>
            <w:tcW w:w="9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491,139</w:t>
            </w:r>
          </w:p>
        </w:tc>
        <w:tc>
          <w:tcPr>
            <w:tcW w:w="8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222,496</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222,496</w:t>
            </w:r>
          </w:p>
        </w:tc>
        <w:tc>
          <w:tcPr>
            <w:tcW w:w="86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222,496</w:t>
            </w:r>
          </w:p>
        </w:tc>
      </w:tr>
      <w:tr>
        <w:trPr>
          <w:trHeight w:val="145"/>
        </w:trPr>
        <w:tc>
          <w:tcPr>
            <w:tcW w:w="20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Other assets</w:t>
            </w:r>
          </w:p>
        </w:tc>
        <w:tc>
          <w:tcPr>
            <w:tcW w:w="8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1,286,082</w:t>
            </w:r>
          </w:p>
        </w:tc>
        <w:tc>
          <w:tcPr>
            <w:tcW w:w="8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1,286,082</w:t>
            </w:r>
          </w:p>
        </w:tc>
        <w:tc>
          <w:tcPr>
            <w:tcW w:w="9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1,286,082</w:t>
            </w:r>
          </w:p>
        </w:tc>
        <w:tc>
          <w:tcPr>
            <w:tcW w:w="8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1,769,789</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1,769,789</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1,769,789</w:t>
            </w:r>
          </w:p>
        </w:tc>
      </w:tr>
      <w:tr>
        <w:trPr>
          <w:trHeight w:val="125"/>
        </w:trPr>
        <w:tc>
          <w:tcPr>
            <w:tcW w:w="2040" w:type="dxa"/>
            <w:vAlign w:val="bottom"/>
            <w:tcBorders>
              <w:bottom w:val="single" w:sz="8" w:color="CCEEFF"/>
            </w:tcBorders>
          </w:tcPr>
          <w:p>
            <w:pPr>
              <w:spacing w:after="0" w:line="125" w:lineRule="exact"/>
              <w:rPr>
                <w:sz w:val="20"/>
                <w:szCs w:val="20"/>
                <w:color w:val="auto"/>
              </w:rPr>
            </w:pPr>
            <w:r>
              <w:rPr>
                <w:rFonts w:ascii="Arial" w:cs="Arial" w:eastAsia="Arial" w:hAnsi="Arial"/>
                <w:sz w:val="13"/>
                <w:szCs w:val="13"/>
                <w:b w:val="1"/>
                <w:bCs w:val="1"/>
                <w:color w:val="auto"/>
              </w:rPr>
              <w:t>Total</w:t>
            </w: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5,215,704</w:t>
            </w:r>
          </w:p>
        </w:tc>
        <w:tc>
          <w:tcPr>
            <w:tcW w:w="20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w w:val="99"/>
              </w:rPr>
              <w:t>140,577,998</w:t>
            </w:r>
          </w:p>
        </w:tc>
        <w:tc>
          <w:tcPr>
            <w:tcW w:w="2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145,793,702</w:t>
            </w:r>
          </w:p>
        </w:tc>
        <w:tc>
          <w:tcPr>
            <w:tcW w:w="18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145,952,198</w:t>
            </w:r>
          </w:p>
        </w:tc>
        <w:tc>
          <w:tcPr>
            <w:tcW w:w="18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3,659,197</w:t>
            </w:r>
          </w:p>
        </w:tc>
        <w:tc>
          <w:tcPr>
            <w:tcW w:w="18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141,648,425</w:t>
            </w:r>
          </w:p>
        </w:tc>
        <w:tc>
          <w:tcPr>
            <w:tcW w:w="18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145,307,622</w:t>
            </w:r>
          </w:p>
        </w:tc>
        <w:tc>
          <w:tcPr>
            <w:tcW w:w="22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color w:val="auto"/>
              </w:rPr>
              <w:t>145,230,554</w:t>
            </w:r>
          </w:p>
        </w:tc>
        <w:tc>
          <w:tcPr>
            <w:tcW w:w="100" w:type="dxa"/>
            <w:vAlign w:val="bottom"/>
            <w:tcBorders>
              <w:bottom w:val="single" w:sz="8" w:color="CCEEFF"/>
            </w:tcBorders>
          </w:tcPr>
          <w:p>
            <w:pPr>
              <w:spacing w:after="0"/>
              <w:rPr>
                <w:sz w:val="10"/>
                <w:szCs w:val="10"/>
                <w:color w:val="auto"/>
              </w:rPr>
            </w:pPr>
          </w:p>
        </w:tc>
      </w:tr>
      <w:tr>
        <w:trPr>
          <w:trHeight w:val="125"/>
        </w:trPr>
        <w:tc>
          <w:tcPr>
            <w:tcW w:w="20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3"/>
        </w:trPr>
        <w:tc>
          <w:tcPr>
            <w:tcW w:w="2040" w:type="dxa"/>
            <w:vAlign w:val="bottom"/>
          </w:tcPr>
          <w:p>
            <w:pPr>
              <w:spacing w:after="0" w:line="133" w:lineRule="exact"/>
              <w:rPr>
                <w:sz w:val="20"/>
                <w:szCs w:val="20"/>
                <w:color w:val="auto"/>
              </w:rPr>
            </w:pPr>
            <w:r>
              <w:rPr>
                <w:rFonts w:ascii="Arial" w:cs="Arial" w:eastAsia="Arial" w:hAnsi="Arial"/>
                <w:sz w:val="13"/>
                <w:szCs w:val="13"/>
                <w:b w:val="1"/>
                <w:bCs w:val="1"/>
                <w:color w:val="auto"/>
              </w:rPr>
              <w:t>Liabilities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3"/>
        </w:trPr>
        <w:tc>
          <w:tcPr>
            <w:tcW w:w="20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3"/>
        </w:trPr>
        <w:tc>
          <w:tcPr>
            <w:tcW w:w="2040" w:type="dxa"/>
            <w:vAlign w:val="bottom"/>
          </w:tcPr>
          <w:p>
            <w:pPr>
              <w:spacing w:after="0" w:line="133" w:lineRule="exact"/>
              <w:rPr>
                <w:sz w:val="20"/>
                <w:szCs w:val="20"/>
                <w:color w:val="auto"/>
              </w:rPr>
            </w:pPr>
            <w:r>
              <w:rPr>
                <w:rFonts w:ascii="Arial" w:cs="Arial" w:eastAsia="Arial" w:hAnsi="Arial"/>
                <w:sz w:val="13"/>
                <w:szCs w:val="13"/>
                <w:color w:val="auto"/>
              </w:rPr>
              <w:t>Deposits and obligations</w:t>
            </w:r>
          </w:p>
        </w:tc>
        <w:tc>
          <w:tcPr>
            <w:tcW w:w="84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85,916,387</w:t>
            </w:r>
          </w:p>
        </w:tc>
        <w:tc>
          <w:tcPr>
            <w:tcW w:w="80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85,916,387</w:t>
            </w:r>
          </w:p>
        </w:tc>
        <w:tc>
          <w:tcPr>
            <w:tcW w:w="9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85,916,387</w:t>
            </w:r>
          </w:p>
        </w:tc>
        <w:tc>
          <w:tcPr>
            <w:tcW w:w="8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3" w:lineRule="exact"/>
              <w:rPr>
                <w:sz w:val="20"/>
                <w:szCs w:val="20"/>
                <w:color w:val="auto"/>
              </w:rPr>
            </w:pPr>
            <w:r>
              <w:rPr>
                <w:rFonts w:ascii="Arial" w:cs="Arial" w:eastAsia="Arial" w:hAnsi="Arial"/>
                <w:sz w:val="13"/>
                <w:szCs w:val="13"/>
                <w:color w:val="auto"/>
              </w:rPr>
              <w:t>88,606,633</w:t>
            </w:r>
          </w:p>
        </w:tc>
        <w:tc>
          <w:tcPr>
            <w:tcW w:w="180" w:type="dxa"/>
            <w:vAlign w:val="bottom"/>
          </w:tcPr>
          <w:p>
            <w:pPr>
              <w:spacing w:after="0"/>
              <w:rPr>
                <w:sz w:val="11"/>
                <w:szCs w:val="11"/>
                <w:color w:val="auto"/>
              </w:rPr>
            </w:pP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3" w:lineRule="exact"/>
              <w:rPr>
                <w:sz w:val="20"/>
                <w:szCs w:val="20"/>
                <w:color w:val="auto"/>
              </w:rPr>
            </w:pPr>
            <w:r>
              <w:rPr>
                <w:rFonts w:ascii="Arial" w:cs="Arial" w:eastAsia="Arial" w:hAnsi="Arial"/>
                <w:sz w:val="13"/>
                <w:szCs w:val="13"/>
                <w:color w:val="auto"/>
              </w:rPr>
              <w:t>88,606,633</w:t>
            </w:r>
          </w:p>
        </w:tc>
        <w:tc>
          <w:tcPr>
            <w:tcW w:w="220" w:type="dxa"/>
            <w:vAlign w:val="bottom"/>
          </w:tcPr>
          <w:p>
            <w:pPr>
              <w:spacing w:after="0"/>
              <w:rPr>
                <w:sz w:val="11"/>
                <w:szCs w:val="11"/>
                <w:color w:val="auto"/>
              </w:rPr>
            </w:pPr>
          </w:p>
        </w:tc>
        <w:tc>
          <w:tcPr>
            <w:tcW w:w="86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88,606,633</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Payables from repurchase</w:t>
            </w: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40" w:type="dxa"/>
            <w:vAlign w:val="bottom"/>
            <w:shd w:val="clear" w:color="auto" w:fill="CCEEFF"/>
          </w:tcPr>
          <w:p>
            <w:pPr>
              <w:spacing w:after="0"/>
              <w:rPr>
                <w:sz w:val="20"/>
                <w:szCs w:val="20"/>
                <w:color w:val="auto"/>
              </w:rPr>
            </w:pPr>
            <w:r>
              <w:rPr>
                <w:rFonts w:ascii="Arial" w:cs="Arial" w:eastAsia="Arial" w:hAnsi="Arial"/>
                <w:sz w:val="13"/>
                <w:szCs w:val="13"/>
                <w:color w:val="auto"/>
              </w:rPr>
              <w:t>agreements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15,127,999</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15,127,999</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15,127,999</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14,599,750</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14,599,750</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14,599,750</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3"/>
                <w:szCs w:val="13"/>
                <w:color w:val="auto"/>
              </w:rPr>
              <w:t>Due to Banks and correspondents</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40" w:type="dxa"/>
            <w:vAlign w:val="bottom"/>
          </w:tcPr>
          <w:p>
            <w:pPr>
              <w:spacing w:after="0"/>
              <w:rPr>
                <w:sz w:val="20"/>
                <w:szCs w:val="20"/>
                <w:color w:val="auto"/>
              </w:rPr>
            </w:pPr>
            <w:r>
              <w:rPr>
                <w:rFonts w:ascii="Arial" w:cs="Arial" w:eastAsia="Arial" w:hAnsi="Arial"/>
                <w:sz w:val="13"/>
                <w:szCs w:val="13"/>
                <w:color w:val="auto"/>
              </w:rPr>
              <w:t>and other entities</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7,615,935</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7,615,935</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7,493,916</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12,357,513</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12,357,513</w:t>
            </w:r>
          </w:p>
        </w:tc>
        <w:tc>
          <w:tcPr>
            <w:tcW w:w="22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7,762,497</w:t>
            </w:r>
          </w:p>
        </w:tc>
      </w:tr>
      <w:tr>
        <w:trPr>
          <w:trHeight w:val="133"/>
        </w:trPr>
        <w:tc>
          <w:tcPr>
            <w:tcW w:w="20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Bank acceptances</w:t>
            </w:r>
          </w:p>
        </w:tc>
        <w:tc>
          <w:tcPr>
            <w:tcW w:w="84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491,139</w:t>
            </w:r>
          </w:p>
        </w:tc>
        <w:tc>
          <w:tcPr>
            <w:tcW w:w="8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491,139</w:t>
            </w:r>
          </w:p>
        </w:tc>
        <w:tc>
          <w:tcPr>
            <w:tcW w:w="9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491,139</w:t>
            </w:r>
          </w:p>
        </w:tc>
        <w:tc>
          <w:tcPr>
            <w:tcW w:w="8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222,496</w:t>
            </w: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222,496</w:t>
            </w:r>
          </w:p>
        </w:tc>
        <w:tc>
          <w:tcPr>
            <w:tcW w:w="8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222,496</w:t>
            </w:r>
          </w:p>
        </w:tc>
      </w:tr>
      <w:tr>
        <w:trPr>
          <w:trHeight w:val="133"/>
        </w:trPr>
        <w:tc>
          <w:tcPr>
            <w:tcW w:w="2040" w:type="dxa"/>
            <w:vAlign w:val="bottom"/>
          </w:tcPr>
          <w:p>
            <w:pPr>
              <w:spacing w:after="0" w:line="133" w:lineRule="exact"/>
              <w:rPr>
                <w:sz w:val="20"/>
                <w:szCs w:val="20"/>
                <w:color w:val="auto"/>
              </w:rPr>
            </w:pPr>
            <w:r>
              <w:rPr>
                <w:rFonts w:ascii="Arial" w:cs="Arial" w:eastAsia="Arial" w:hAnsi="Arial"/>
                <w:sz w:val="13"/>
                <w:szCs w:val="13"/>
                <w:color w:val="auto"/>
                <w:w w:val="95"/>
              </w:rPr>
              <w:t>Payable to reinsurers and coinsurers</w:t>
            </w:r>
          </w:p>
        </w:tc>
        <w:tc>
          <w:tcPr>
            <w:tcW w:w="84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233,892</w:t>
            </w:r>
          </w:p>
        </w:tc>
        <w:tc>
          <w:tcPr>
            <w:tcW w:w="80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233,892</w:t>
            </w:r>
          </w:p>
        </w:tc>
        <w:tc>
          <w:tcPr>
            <w:tcW w:w="9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233,892</w:t>
            </w:r>
          </w:p>
        </w:tc>
        <w:tc>
          <w:tcPr>
            <w:tcW w:w="8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241,847</w:t>
            </w:r>
          </w:p>
        </w:tc>
        <w:tc>
          <w:tcPr>
            <w:tcW w:w="8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241,847</w:t>
            </w:r>
          </w:p>
        </w:tc>
        <w:tc>
          <w:tcPr>
            <w:tcW w:w="86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241,847</w:t>
            </w:r>
          </w:p>
        </w:tc>
      </w:tr>
      <w:tr>
        <w:trPr>
          <w:trHeight w:val="133"/>
        </w:trPr>
        <w:tc>
          <w:tcPr>
            <w:tcW w:w="20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Bond and notes issued</w:t>
            </w:r>
          </w:p>
        </w:tc>
        <w:tc>
          <w:tcPr>
            <w:tcW w:w="84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3"/>
                <w:szCs w:val="13"/>
                <w:color w:val="auto"/>
              </w:rPr>
              <w:t>8,137,945</w:t>
            </w:r>
          </w:p>
        </w:tc>
        <w:tc>
          <w:tcPr>
            <w:tcW w:w="8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8,137,945</w:t>
            </w:r>
          </w:p>
        </w:tc>
        <w:tc>
          <w:tcPr>
            <w:tcW w:w="9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7,527,088</w:t>
            </w:r>
          </w:p>
        </w:tc>
        <w:tc>
          <w:tcPr>
            <w:tcW w:w="8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8,125,918</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8,125,918</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7,752,561</w:t>
            </w:r>
          </w:p>
        </w:tc>
      </w:tr>
      <w:tr>
        <w:trPr>
          <w:trHeight w:val="145"/>
        </w:trPr>
        <w:tc>
          <w:tcPr>
            <w:tcW w:w="2040" w:type="dxa"/>
            <w:vAlign w:val="bottom"/>
          </w:tcPr>
          <w:p>
            <w:pPr>
              <w:spacing w:after="0" w:line="145" w:lineRule="exact"/>
              <w:rPr>
                <w:sz w:val="20"/>
                <w:szCs w:val="20"/>
                <w:color w:val="auto"/>
              </w:rPr>
            </w:pPr>
            <w:r>
              <w:rPr>
                <w:rFonts w:ascii="Arial" w:cs="Arial" w:eastAsia="Arial" w:hAnsi="Arial"/>
                <w:sz w:val="13"/>
                <w:szCs w:val="13"/>
                <w:color w:val="auto"/>
              </w:rPr>
              <w:t>Other liabilities</w:t>
            </w: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2,540,980</w:t>
            </w:r>
          </w:p>
        </w:tc>
        <w:tc>
          <w:tcPr>
            <w:tcW w:w="80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2,540,980</w:t>
            </w:r>
          </w:p>
        </w:tc>
        <w:tc>
          <w:tcPr>
            <w:tcW w:w="94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2,540,980</w:t>
            </w:r>
          </w:p>
        </w:tc>
        <w:tc>
          <w:tcPr>
            <w:tcW w:w="84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2,843,131</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2,843,131</w:t>
            </w:r>
          </w:p>
        </w:tc>
        <w:tc>
          <w:tcPr>
            <w:tcW w:w="220" w:type="dxa"/>
            <w:vAlign w:val="bottom"/>
          </w:tcPr>
          <w:p>
            <w:pPr>
              <w:spacing w:after="0"/>
              <w:rPr>
                <w:sz w:val="12"/>
                <w:szCs w:val="12"/>
                <w:color w:val="auto"/>
              </w:rPr>
            </w:pPr>
          </w:p>
        </w:tc>
        <w:tc>
          <w:tcPr>
            <w:tcW w:w="8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2,707,563</w:t>
            </w:r>
          </w:p>
        </w:tc>
      </w:tr>
      <w:tr>
        <w:trPr>
          <w:trHeight w:val="125"/>
        </w:trPr>
        <w:tc>
          <w:tcPr>
            <w:tcW w:w="204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3"/>
                <w:szCs w:val="13"/>
                <w:b w:val="1"/>
                <w:bCs w:val="1"/>
                <w:color w:val="auto"/>
              </w:rPr>
              <w:t>Total</w:t>
            </w: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w w:val="99"/>
              </w:rPr>
              <w:t>120,064,277</w:t>
            </w: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120,064,277</w:t>
            </w:r>
          </w:p>
        </w:tc>
        <w:tc>
          <w:tcPr>
            <w:tcW w:w="1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119,331,401</w:t>
            </w: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126,997,288</w:t>
            </w: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126,997,288</w:t>
            </w:r>
          </w:p>
        </w:tc>
        <w:tc>
          <w:tcPr>
            <w:tcW w:w="2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121,893,347</w:t>
            </w:r>
          </w:p>
        </w:tc>
        <w:tc>
          <w:tcPr>
            <w:tcW w:w="100" w:type="dxa"/>
            <w:vAlign w:val="bottom"/>
            <w:tcBorders>
              <w:top w:val="single" w:sz="8" w:color="CCEEFF"/>
            </w:tcBorders>
            <w:shd w:val="clear" w:color="auto" w:fill="CCEEFF"/>
          </w:tcPr>
          <w:p>
            <w:pPr>
              <w:spacing w:after="0"/>
              <w:rPr>
                <w:sz w:val="10"/>
                <w:szCs w:val="10"/>
                <w:color w:val="auto"/>
              </w:rPr>
            </w:pPr>
          </w:p>
        </w:tc>
      </w:tr>
    </w:tbl>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- 147 -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261225" cy="762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360"/>
          </w:cols>
          <w:pgMar w:left="240" w:top="828" w:right="299" w:bottom="1440" w:gutter="0" w:footer="0" w:header="0"/>
        </w:sectPr>
      </w:pPr>
    </w:p>
    <w:bookmarkStart w:id="152" w:name="page153"/>
    <w:bookmarkEnd w:id="152"/>
    <w:p>
      <w:pPr>
        <w:ind w:left="283" w:right="40"/>
        <w:spacing w:after="0" w:line="280" w:lineRule="auto"/>
        <w:rPr>
          <w:sz w:val="20"/>
          <w:szCs w:val="20"/>
          <w:color w:val="auto"/>
        </w:rPr>
      </w:pPr>
      <w:r>
        <w:rPr>
          <w:rFonts w:ascii="Arial" w:cs="Arial" w:eastAsia="Arial" w:hAnsi="Arial"/>
          <w:sz w:val="16"/>
          <w:szCs w:val="16"/>
          <w:color w:val="auto"/>
        </w:rPr>
        <w:t>The methodologies and assumptions used by the Group to determine fair values depend on the terms and risk characteristics of the various financial instruments and include the following:</w:t>
      </w:r>
    </w:p>
    <w:p>
      <w:pPr>
        <w:spacing w:after="0" w:line="151" w:lineRule="exact"/>
        <w:rPr>
          <w:sz w:val="20"/>
          <w:szCs w:val="20"/>
          <w:color w:val="auto"/>
        </w:rPr>
      </w:pPr>
    </w:p>
    <w:p>
      <w:pPr>
        <w:ind w:left="583" w:right="120" w:hanging="293"/>
        <w:spacing w:after="0" w:line="321" w:lineRule="auto"/>
        <w:tabs>
          <w:tab w:leader="none" w:pos="583" w:val="left"/>
        </w:tabs>
        <w:numPr>
          <w:ilvl w:val="0"/>
          <w:numId w:val="145"/>
        </w:numPr>
        <w:rPr>
          <w:rFonts w:ascii="Arial" w:cs="Arial" w:eastAsia="Arial" w:hAnsi="Arial"/>
          <w:sz w:val="14"/>
          <w:szCs w:val="14"/>
          <w:color w:val="auto"/>
        </w:rPr>
      </w:pPr>
      <w:r>
        <w:rPr>
          <w:rFonts w:ascii="Arial" w:cs="Arial" w:eastAsia="Arial" w:hAnsi="Arial"/>
          <w:sz w:val="14"/>
          <w:szCs w:val="14"/>
          <w:color w:val="auto"/>
        </w:rPr>
        <w:t>Long-term fixed-rate and variable-rate loans are evaluated by the Group based on parameters such as interest rates, specific country risk factors, and individual creditworthiness of the customer and the risk characteristics of the financed project. Based on this evaluation, allowances are taken into account for the incurred losses of these loans. As of December 31, 2016 and 2015, the carrying amounts of loans, net of allowances, were not materially different from their calculated fair values.</w:t>
      </w:r>
    </w:p>
    <w:p>
      <w:pPr>
        <w:spacing w:after="0" w:line="127" w:lineRule="exact"/>
        <w:rPr>
          <w:rFonts w:ascii="Arial" w:cs="Arial" w:eastAsia="Arial" w:hAnsi="Arial"/>
          <w:sz w:val="14"/>
          <w:szCs w:val="14"/>
          <w:color w:val="auto"/>
        </w:rPr>
      </w:pPr>
    </w:p>
    <w:p>
      <w:pPr>
        <w:ind w:left="583" w:right="160" w:hanging="293"/>
        <w:spacing w:after="0" w:line="266" w:lineRule="auto"/>
        <w:tabs>
          <w:tab w:leader="none" w:pos="58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Assets for which fair values approximate their carrying value - For financial assets and financial liabilities that are liquid or have a short term maturity (less than three months) it is assumed that the carrying amounts approximate to their fair values. This assumption is also applied to demand deposits, savings accounts without a specific maturity and variable rate financial instruments.</w:t>
      </w:r>
    </w:p>
    <w:p>
      <w:pPr>
        <w:spacing w:after="0" w:line="161" w:lineRule="exact"/>
        <w:rPr>
          <w:rFonts w:ascii="Arial" w:cs="Arial" w:eastAsia="Arial" w:hAnsi="Arial"/>
          <w:sz w:val="16"/>
          <w:szCs w:val="16"/>
          <w:color w:val="auto"/>
        </w:rPr>
      </w:pPr>
    </w:p>
    <w:p>
      <w:pPr>
        <w:ind w:left="583" w:right="100" w:hanging="293"/>
        <w:spacing w:after="0" w:line="259" w:lineRule="auto"/>
        <w:tabs>
          <w:tab w:leader="none" w:pos="58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 bearing deposits is based on discounted cash flows using prevailing market interest rates for financial instruments with similar credit risk and maturity. For quoted debt issued the fair values are calculated based on quoted market prices. When quoted market prices are not available, a discounted cash flow model is used based on a current interest rate yield curve appropriate for the remaining term to maturity.</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34.8 Fiduciary activities, management of funds and pension funds -</w:t>
      </w:r>
    </w:p>
    <w:p>
      <w:pPr>
        <w:spacing w:after="0" w:line="207" w:lineRule="exact"/>
        <w:rPr>
          <w:sz w:val="20"/>
          <w:szCs w:val="20"/>
          <w:color w:val="auto"/>
        </w:rPr>
      </w:pPr>
    </w:p>
    <w:p>
      <w:pPr>
        <w:jc w:val="both"/>
        <w:ind w:left="3" w:right="120"/>
        <w:spacing w:after="0" w:line="266" w:lineRule="auto"/>
        <w:rPr>
          <w:sz w:val="20"/>
          <w:szCs w:val="20"/>
          <w:color w:val="auto"/>
        </w:rPr>
      </w:pPr>
      <w:r>
        <w:rPr>
          <w:rFonts w:ascii="Arial" w:cs="Arial" w:eastAsia="Arial" w:hAnsi="Arial"/>
          <w:sz w:val="16"/>
          <w:szCs w:val="16"/>
          <w:color w:val="auto"/>
        </w:rPr>
        <w:t>The Group provides custody, trustee, investment management and advisory services to third parties; therefore, the Group makes allocations and purchase and sale decisions in relation to a wide range of financial instruments. Assets that are held in a fiduciary capacity are not included in these consolidated financial statements. These services give rise to the risk that the Group will be accused of mismanagement or under-performance.</w:t>
      </w:r>
    </w:p>
    <w:p>
      <w:pPr>
        <w:spacing w:after="0" w:line="162" w:lineRule="exact"/>
        <w:rPr>
          <w:sz w:val="20"/>
          <w:szCs w:val="20"/>
          <w:color w:val="auto"/>
        </w:rPr>
      </w:pPr>
    </w:p>
    <w:p>
      <w:pPr>
        <w:ind w:left="3"/>
        <w:spacing w:after="0"/>
        <w:rPr>
          <w:sz w:val="20"/>
          <w:szCs w:val="20"/>
          <w:color w:val="auto"/>
        </w:rPr>
      </w:pPr>
      <w:r>
        <w:rPr>
          <w:rFonts w:ascii="Arial" w:cs="Arial" w:eastAsia="Arial" w:hAnsi="Arial"/>
          <w:sz w:val="15"/>
          <w:szCs w:val="15"/>
          <w:color w:val="auto"/>
        </w:rPr>
        <w:t>As of December 31, 2016 and 2015, the assigned value of the financial assets under administration off the balance sheet (in millions of Peruvian soles) is as follows:</w:t>
      </w:r>
    </w:p>
    <w:p>
      <w:pPr>
        <w:spacing w:after="0" w:line="222"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460" w:type="dxa"/>
            <w:vAlign w:val="bottom"/>
          </w:tcPr>
          <w:p>
            <w:pPr>
              <w:spacing w:after="0"/>
              <w:rPr>
                <w:sz w:val="18"/>
                <w:szCs w:val="18"/>
                <w:color w:val="auto"/>
              </w:rPr>
            </w:pPr>
          </w:p>
        </w:tc>
        <w:tc>
          <w:tcPr>
            <w:tcW w:w="8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2016</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r>
      <w:tr>
        <w:trPr>
          <w:trHeight w:val="186"/>
        </w:trPr>
        <w:tc>
          <w:tcPr>
            <w:tcW w:w="8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Pension funds</w:t>
            </w:r>
          </w:p>
        </w:tc>
        <w:tc>
          <w:tcPr>
            <w:tcW w:w="6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42,845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39,009</w:t>
            </w:r>
          </w:p>
        </w:tc>
        <w:tc>
          <w:tcPr>
            <w:tcW w:w="120" w:type="dxa"/>
            <w:vAlign w:val="bottom"/>
            <w:tcBorders>
              <w:top w:val="single" w:sz="8" w:color="CCEEFF"/>
            </w:tcBorders>
            <w:shd w:val="clear" w:color="auto" w:fill="CCEEFF"/>
          </w:tcPr>
          <w:p>
            <w:pPr>
              <w:spacing w:after="0"/>
              <w:rPr>
                <w:sz w:val="16"/>
                <w:szCs w:val="16"/>
                <w:color w:val="auto"/>
              </w:rPr>
            </w:pPr>
          </w:p>
        </w:tc>
      </w:tr>
      <w:tr>
        <w:trPr>
          <w:trHeight w:val="193"/>
        </w:trPr>
        <w:tc>
          <w:tcPr>
            <w:tcW w:w="8780" w:type="dxa"/>
            <w:vAlign w:val="bottom"/>
            <w:gridSpan w:val="3"/>
          </w:tcPr>
          <w:p>
            <w:pPr>
              <w:spacing w:after="0"/>
              <w:rPr>
                <w:sz w:val="20"/>
                <w:szCs w:val="20"/>
                <w:color w:val="auto"/>
              </w:rPr>
            </w:pPr>
            <w:r>
              <w:rPr>
                <w:rFonts w:ascii="Arial" w:cs="Arial" w:eastAsia="Arial" w:hAnsi="Arial"/>
                <w:sz w:val="16"/>
                <w:szCs w:val="16"/>
                <w:color w:val="auto"/>
              </w:rPr>
              <w:t>Investment funds</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51,281</w:t>
            </w:r>
          </w:p>
        </w:tc>
        <w:tc>
          <w:tcPr>
            <w:tcW w:w="1700" w:type="dxa"/>
            <w:vAlign w:val="bottom"/>
            <w:gridSpan w:val="3"/>
          </w:tcPr>
          <w:p>
            <w:pPr>
              <w:jc w:val="right"/>
              <w:ind w:right="120"/>
              <w:spacing w:after="0"/>
              <w:rPr>
                <w:sz w:val="20"/>
                <w:szCs w:val="20"/>
                <w:color w:val="auto"/>
              </w:rPr>
            </w:pPr>
            <w:r>
              <w:rPr>
                <w:rFonts w:ascii="Arial" w:cs="Arial" w:eastAsia="Arial" w:hAnsi="Arial"/>
                <w:sz w:val="16"/>
                <w:szCs w:val="16"/>
                <w:color w:val="auto"/>
              </w:rPr>
              <w:t>14,361</w:t>
            </w:r>
          </w:p>
        </w:tc>
      </w:tr>
      <w:tr>
        <w:trPr>
          <w:trHeight w:val="205"/>
        </w:trPr>
        <w:tc>
          <w:tcPr>
            <w:tcW w:w="8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managed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18,253</w:t>
            </w:r>
          </w:p>
        </w:tc>
        <w:tc>
          <w:tcPr>
            <w:tcW w:w="17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17,360</w:t>
            </w:r>
          </w:p>
        </w:tc>
      </w:tr>
      <w:tr>
        <w:trPr>
          <w:trHeight w:val="185"/>
        </w:trPr>
        <w:tc>
          <w:tcPr>
            <w:tcW w:w="4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7680" w:type="dxa"/>
            <w:vAlign w:val="bottom"/>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112,379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70,730</w:t>
            </w:r>
          </w:p>
        </w:tc>
        <w:tc>
          <w:tcPr>
            <w:tcW w:w="120" w:type="dxa"/>
            <w:vAlign w:val="bottom"/>
          </w:tcPr>
          <w:p>
            <w:pPr>
              <w:spacing w:after="0"/>
              <w:rPr>
                <w:sz w:val="16"/>
                <w:szCs w:val="16"/>
                <w:color w:val="auto"/>
              </w:rPr>
            </w:pPr>
          </w:p>
        </w:tc>
      </w:tr>
      <w:tr>
        <w:trPr>
          <w:trHeight w:val="379"/>
        </w:trPr>
        <w:tc>
          <w:tcPr>
            <w:tcW w:w="460" w:type="dxa"/>
            <w:vAlign w:val="bottom"/>
          </w:tcPr>
          <w:p>
            <w:pPr>
              <w:spacing w:after="0"/>
              <w:rPr>
                <w:sz w:val="20"/>
                <w:szCs w:val="20"/>
                <w:color w:val="auto"/>
              </w:rPr>
            </w:pPr>
            <w:r>
              <w:rPr>
                <w:rFonts w:ascii="Arial" w:cs="Arial" w:eastAsia="Arial" w:hAnsi="Arial"/>
                <w:sz w:val="16"/>
                <w:szCs w:val="16"/>
                <w:b w:val="1"/>
                <w:bCs w:val="1"/>
                <w:color w:val="auto"/>
              </w:rPr>
              <w:t>35</w:t>
            </w:r>
          </w:p>
        </w:tc>
        <w:tc>
          <w:tcPr>
            <w:tcW w:w="8320" w:type="dxa"/>
            <w:vAlign w:val="bottom"/>
            <w:gridSpan w:val="2"/>
          </w:tcPr>
          <w:p>
            <w:pPr>
              <w:jc w:val="right"/>
              <w:ind w:right="5120"/>
              <w:spacing w:after="0"/>
              <w:rPr>
                <w:sz w:val="20"/>
                <w:szCs w:val="20"/>
                <w:color w:val="auto"/>
              </w:rPr>
            </w:pPr>
            <w:r>
              <w:rPr>
                <w:rFonts w:ascii="Arial" w:cs="Arial" w:eastAsia="Arial" w:hAnsi="Arial"/>
                <w:sz w:val="16"/>
                <w:szCs w:val="16"/>
                <w:b w:val="1"/>
                <w:bCs w:val="1"/>
                <w:color w:val="auto"/>
              </w:rPr>
              <w:t>COMMITMENTS AND CONTINGENCIES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81" w:lineRule="exact"/>
        <w:rPr>
          <w:sz w:val="20"/>
          <w:szCs w:val="20"/>
          <w:color w:val="auto"/>
        </w:rPr>
      </w:pPr>
    </w:p>
    <w:p>
      <w:pPr>
        <w:ind w:left="3"/>
        <w:spacing w:after="0"/>
        <w:rPr>
          <w:sz w:val="20"/>
          <w:szCs w:val="20"/>
          <w:color w:val="auto"/>
        </w:rPr>
      </w:pPr>
      <w:r>
        <w:rPr>
          <w:rFonts w:ascii="Arial" w:cs="Arial" w:eastAsia="Arial" w:hAnsi="Arial"/>
          <w:sz w:val="16"/>
          <w:szCs w:val="16"/>
          <w:color w:val="auto"/>
        </w:rPr>
        <w:t>Legal claim contingencies -</w:t>
      </w:r>
    </w:p>
    <w:p>
      <w:pPr>
        <w:spacing w:after="0" w:line="203" w:lineRule="exact"/>
        <w:rPr>
          <w:sz w:val="20"/>
          <w:szCs w:val="20"/>
          <w:color w:val="auto"/>
        </w:rPr>
      </w:pPr>
    </w:p>
    <w:p>
      <w:pPr>
        <w:ind w:left="283" w:hanging="283"/>
        <w:spacing w:after="0"/>
        <w:tabs>
          <w:tab w:leader="none" w:pos="28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Madoff Trustee Litigations -</w:t>
      </w:r>
    </w:p>
    <w:p>
      <w:pPr>
        <w:spacing w:after="0" w:line="202" w:lineRule="exact"/>
        <w:rPr>
          <w:rFonts w:ascii="Arial" w:cs="Arial" w:eastAsia="Arial" w:hAnsi="Arial"/>
          <w:sz w:val="16"/>
          <w:szCs w:val="16"/>
          <w:color w:val="auto"/>
        </w:rPr>
      </w:pPr>
    </w:p>
    <w:p>
      <w:pPr>
        <w:ind w:left="283" w:right="60"/>
        <w:spacing w:after="0" w:line="259" w:lineRule="auto"/>
        <w:rPr>
          <w:rFonts w:ascii="Arial" w:cs="Arial" w:eastAsia="Arial" w:hAnsi="Arial"/>
          <w:sz w:val="16"/>
          <w:szCs w:val="16"/>
          <w:color w:val="auto"/>
        </w:rPr>
      </w:pPr>
      <w:r>
        <w:rPr>
          <w:rFonts w:ascii="Arial" w:cs="Arial" w:eastAsia="Arial" w:hAnsi="Arial"/>
          <w:sz w:val="16"/>
          <w:szCs w:val="16"/>
          <w:color w:val="auto"/>
        </w:rPr>
        <w:t>On September 22, 2011, the Trustee for the liquidations of Bernard L. Madoff Investment Securities LLC (BLMIS), and the substantively consolidated state of Bernard L. Madoff (“the Madoff Trustee”) filed a complaint against Credicorp’s subsidiary Atlantic Security Bank (ASB) in U.S. Bankruptcy Court Southern District of New York, for an amount of approximately US$120.0 million (“the Complaint”), equivalent to approximately S/402.7 million, which corresponds to the funds that ASB managed in Atlantic US Blue Chip Fund and that were redeemed between the end of 2004 and the beginning of 2005 from Fairfield Sentry Limited in Liquidation (hereafter “Fairfield”), a fund that invested in BLMIS.</w:t>
      </w:r>
    </w:p>
    <w:p>
      <w:pPr>
        <w:spacing w:after="0" w:line="361" w:lineRule="exact"/>
        <w:rPr>
          <w:rFonts w:ascii="Arial" w:cs="Arial" w:eastAsia="Arial" w:hAnsi="Arial"/>
          <w:sz w:val="16"/>
          <w:szCs w:val="16"/>
          <w:color w:val="auto"/>
        </w:rPr>
      </w:pPr>
    </w:p>
    <w:p>
      <w:pPr>
        <w:ind w:left="5603" w:hanging="95"/>
        <w:spacing w:after="0"/>
        <w:tabs>
          <w:tab w:leader="none" w:pos="5603" w:val="left"/>
        </w:tabs>
        <w:numPr>
          <w:ilvl w:val="1"/>
          <w:numId w:val="146"/>
        </w:numPr>
        <w:rPr>
          <w:rFonts w:ascii="Arial" w:cs="Arial" w:eastAsia="Arial" w:hAnsi="Arial"/>
          <w:sz w:val="16"/>
          <w:szCs w:val="16"/>
          <w:color w:val="auto"/>
        </w:rPr>
      </w:pPr>
      <w:r>
        <w:rPr>
          <w:rFonts w:ascii="Arial" w:cs="Arial" w:eastAsia="Arial" w:hAnsi="Arial"/>
          <w:sz w:val="16"/>
          <w:szCs w:val="16"/>
          <w:color w:val="auto"/>
        </w:rPr>
        <w:t>148 -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43"/>
          </w:cols>
          <w:pgMar w:left="237" w:top="828" w:right="219" w:bottom="1440" w:gutter="0" w:footer="0" w:header="0"/>
        </w:sectPr>
      </w:pPr>
    </w:p>
    <w:bookmarkStart w:id="153" w:name="page154"/>
    <w:bookmarkEnd w:id="153"/>
    <w:p>
      <w:pPr>
        <w:ind w:left="283" w:right="20"/>
        <w:spacing w:after="0" w:line="259" w:lineRule="auto"/>
        <w:rPr>
          <w:sz w:val="20"/>
          <w:szCs w:val="20"/>
          <w:color w:val="auto"/>
        </w:rPr>
      </w:pPr>
      <w:r>
        <w:rPr>
          <w:rFonts w:ascii="Arial" w:cs="Arial" w:eastAsia="Arial" w:hAnsi="Arial"/>
          <w:sz w:val="16"/>
          <w:szCs w:val="16"/>
          <w:color w:val="auto"/>
        </w:rPr>
        <w:t>The Complaint further alleges that the Madoff Trustee filed an adversary proceeding against Fairfield, seeking to avoid and recover the initial transfers of money from BLMIS to Fairfield; that on June 7 and 10, 2011, the Bankruptcy Court approved a settlement between the Madoff Trustee, Fairfield and others; and that the Madoff Trustee is entitled to recover the sums sought from ASB as “subsequent transfers” of “avoided transfers” from BLMIS to Fairfield that Fairfield subsequently transferred to ASB. The Madoff Trustee has filed similar actions against other alleged “subsequent transferees” that invested in Fairfield and its sister entities which, in turn, invested in and redeemed funds from BLMIS.</w:t>
      </w:r>
    </w:p>
    <w:p>
      <w:pPr>
        <w:spacing w:after="0" w:line="168" w:lineRule="exact"/>
        <w:rPr>
          <w:sz w:val="20"/>
          <w:szCs w:val="20"/>
          <w:color w:val="auto"/>
        </w:rPr>
      </w:pPr>
    </w:p>
    <w:p>
      <w:pPr>
        <w:jc w:val="both"/>
        <w:ind w:left="283" w:right="200"/>
        <w:spacing w:after="0" w:line="284" w:lineRule="auto"/>
        <w:rPr>
          <w:sz w:val="20"/>
          <w:szCs w:val="20"/>
          <w:color w:val="auto"/>
        </w:rPr>
      </w:pPr>
      <w:r>
        <w:rPr>
          <w:rFonts w:ascii="Arial" w:cs="Arial" w:eastAsia="Arial" w:hAnsi="Arial"/>
          <w:sz w:val="15"/>
          <w:szCs w:val="15"/>
          <w:color w:val="auto"/>
        </w:rPr>
        <w:t>Management believes that ASB has valid defense arguments against the Madoff Trustee’s claims alleged in the Complaint and intends to contest these claims vigorously. Management considers, among other substantial defenses, that the Complaint considers only the amounts withdrawn, without taking into account the amounts invested in Fairfield. Furthermore, ASB after redeeming said funds from Fairfield, re-invested them in BLMIS through another vehicle, resulting in a net loss in the funds that ASB managed on behalf of its clients for approximately US$78.0 million (equivalent to approximately S/261.8 million) as of December, 2008.</w:t>
      </w:r>
    </w:p>
    <w:p>
      <w:pPr>
        <w:spacing w:after="0" w:line="151" w:lineRule="exact"/>
        <w:rPr>
          <w:sz w:val="20"/>
          <w:szCs w:val="20"/>
          <w:color w:val="auto"/>
        </w:rPr>
      </w:pPr>
    </w:p>
    <w:p>
      <w:pPr>
        <w:ind w:left="283" w:hanging="283"/>
        <w:spacing w:after="0"/>
        <w:tabs>
          <w:tab w:leader="none" w:pos="28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Fairfield Liquidator Litigation -</w:t>
      </w:r>
    </w:p>
    <w:p>
      <w:pPr>
        <w:spacing w:after="0" w:line="202" w:lineRule="exact"/>
        <w:rPr>
          <w:rFonts w:ascii="Arial" w:cs="Arial" w:eastAsia="Arial" w:hAnsi="Arial"/>
          <w:sz w:val="16"/>
          <w:szCs w:val="16"/>
          <w:color w:val="auto"/>
        </w:rPr>
      </w:pPr>
    </w:p>
    <w:p>
      <w:pPr>
        <w:ind w:left="283" w:right="40"/>
        <w:spacing w:after="0" w:line="259" w:lineRule="auto"/>
        <w:rPr>
          <w:rFonts w:ascii="Arial" w:cs="Arial" w:eastAsia="Arial" w:hAnsi="Arial"/>
          <w:sz w:val="16"/>
          <w:szCs w:val="16"/>
          <w:color w:val="auto"/>
        </w:rPr>
      </w:pPr>
      <w:r>
        <w:rPr>
          <w:rFonts w:ascii="Arial" w:cs="Arial" w:eastAsia="Arial" w:hAnsi="Arial"/>
          <w:sz w:val="16"/>
          <w:szCs w:val="16"/>
          <w:color w:val="auto"/>
        </w:rPr>
        <w:t>On April 13, 2012, Fairfield and its representative, Kenneth Krys (the “Fairfield Liquidator”), filed an adversary proceeding against ASB pursuant to Chapter 15 of the U.S. Bankruptcy Code, in the U.S Bankruptcy Court for the Southern District of New York, styled as Fairfield Sentry Limited (In Liquidation) v. Atlantic Security Bank, Adv. Pro. N° 12-01550 (BRL) (Bankr. S.D.N.Y.) (“Fairfield v. ASB Adversary Proceeding”). The complaint sought to recover the amount of approximately US$115.0 million, reflecting ASB’s redemptions of certain investments in Fairfield Sentry Limited, together with investment returns thereon. These are essentially the same moneys that the Madoff Trustee seeks to recover in the Madoff Litigation described above.</w:t>
      </w:r>
    </w:p>
    <w:p>
      <w:pPr>
        <w:spacing w:after="0" w:line="167" w:lineRule="exact"/>
        <w:rPr>
          <w:rFonts w:ascii="Arial" w:cs="Arial" w:eastAsia="Arial" w:hAnsi="Arial"/>
          <w:sz w:val="16"/>
          <w:szCs w:val="16"/>
          <w:color w:val="auto"/>
        </w:rPr>
      </w:pPr>
    </w:p>
    <w:p>
      <w:pPr>
        <w:ind w:left="283"/>
        <w:spacing w:after="0" w:line="257" w:lineRule="auto"/>
        <w:rPr>
          <w:rFonts w:ascii="Arial" w:cs="Arial" w:eastAsia="Arial" w:hAnsi="Arial"/>
          <w:sz w:val="16"/>
          <w:szCs w:val="16"/>
          <w:color w:val="auto"/>
        </w:rPr>
      </w:pPr>
      <w:r>
        <w:rPr>
          <w:rFonts w:ascii="Arial" w:cs="Arial" w:eastAsia="Arial" w:hAnsi="Arial"/>
          <w:sz w:val="16"/>
          <w:szCs w:val="16"/>
          <w:color w:val="auto"/>
        </w:rPr>
        <w:t>Thereafter, the Fairfield v. ASB Adversary Proceeding was procedurally consolidated by the Bankruptcy Court with other adversary actions by the Fairfield Liquidator against former investors in Fairfield Sentry. Pursuant to that consolidation, and by consent of the parties, the Bankruptcy Court decreed the suspension of all proceedings in the Fairfield Liquidator adversary actions (except for the filing of amended complaints) in the light of the pending litigation in the British Virgin Island courts (BVI litigation) calling into question the Fairfield Liquidator’s ability to seek recovery of funds invested with and redeemed from Fairfield Sentry. This suspension has been lifted, and on September 18, 2016, the Fairfield Liquidator filed a New Complaint (the modified original Complaint) against ASB. On January 13, 2017, ASB has presented, together with other defendants, a procedural motion/defense for the Complaint to be dismissed.</w:t>
      </w:r>
    </w:p>
    <w:p>
      <w:pPr>
        <w:spacing w:after="0" w:line="172" w:lineRule="exact"/>
        <w:rPr>
          <w:sz w:val="20"/>
          <w:szCs w:val="20"/>
          <w:color w:val="auto"/>
        </w:rPr>
      </w:pPr>
    </w:p>
    <w:p>
      <w:pPr>
        <w:ind w:left="283" w:right="240"/>
        <w:spacing w:after="0" w:line="280" w:lineRule="auto"/>
        <w:rPr>
          <w:sz w:val="20"/>
          <w:szCs w:val="20"/>
          <w:color w:val="auto"/>
        </w:rPr>
      </w:pPr>
      <w:r>
        <w:rPr>
          <w:rFonts w:ascii="Arial" w:cs="Arial" w:eastAsia="Arial" w:hAnsi="Arial"/>
          <w:sz w:val="16"/>
          <w:szCs w:val="16"/>
          <w:color w:val="auto"/>
        </w:rPr>
        <w:t>Management considers that ASB has substantial defenses against the Fairfield Liquidator’s claims alleged in the Amended Complaint and intends to contest these claims vigorously</w:t>
      </w:r>
    </w:p>
    <w:p>
      <w:pPr>
        <w:spacing w:after="0" w:line="147" w:lineRule="exact"/>
        <w:rPr>
          <w:sz w:val="20"/>
          <w:szCs w:val="20"/>
          <w:color w:val="auto"/>
        </w:rPr>
      </w:pPr>
    </w:p>
    <w:p>
      <w:pPr>
        <w:ind w:left="3"/>
        <w:spacing w:after="0"/>
        <w:tabs>
          <w:tab w:leader="none" w:pos="563"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rFonts w:ascii="Arial" w:cs="Arial" w:eastAsia="Arial" w:hAnsi="Arial"/>
          <w:sz w:val="16"/>
          <w:szCs w:val="16"/>
          <w:b w:val="1"/>
          <w:bCs w:val="1"/>
          <w:color w:val="auto"/>
        </w:rPr>
        <w:t>SUBSEQUENT EVENT</w:t>
      </w:r>
    </w:p>
    <w:p>
      <w:pPr>
        <w:spacing w:after="0" w:line="203" w:lineRule="exact"/>
        <w:rPr>
          <w:sz w:val="20"/>
          <w:szCs w:val="20"/>
          <w:color w:val="auto"/>
        </w:rPr>
      </w:pPr>
    </w:p>
    <w:p>
      <w:pPr>
        <w:ind w:left="283" w:hanging="283"/>
        <w:spacing w:after="0"/>
        <w:tabs>
          <w:tab w:leader="none" w:pos="283"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Purchase/Sale of BCP Shares -</w:t>
      </w:r>
    </w:p>
    <w:p>
      <w:pPr>
        <w:spacing w:after="0" w:line="206" w:lineRule="exact"/>
        <w:rPr>
          <w:rFonts w:ascii="Arial" w:cs="Arial" w:eastAsia="Arial" w:hAnsi="Arial"/>
          <w:sz w:val="16"/>
          <w:szCs w:val="16"/>
          <w:b w:val="1"/>
          <w:bCs w:val="1"/>
          <w:color w:val="auto"/>
        </w:rPr>
      </w:pPr>
    </w:p>
    <w:p>
      <w:pPr>
        <w:ind w:left="283" w:right="44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The Executive Committee meeting of the Board of Directors of Credicorp held on January 11, 2017 approved the carrying out of a share simplification of BCP within Grupo Credicorp and subsidiaries.</w:t>
      </w:r>
    </w:p>
    <w:p>
      <w:pPr>
        <w:spacing w:after="0" w:line="150" w:lineRule="exact"/>
        <w:rPr>
          <w:rFonts w:ascii="Arial" w:cs="Arial" w:eastAsia="Arial" w:hAnsi="Arial"/>
          <w:sz w:val="16"/>
          <w:szCs w:val="16"/>
          <w:b w:val="1"/>
          <w:bCs w:val="1"/>
          <w:color w:val="auto"/>
        </w:rPr>
      </w:pPr>
    </w:p>
    <w:p>
      <w:pPr>
        <w:jc w:val="both"/>
        <w:ind w:left="283" w:right="40"/>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The objective of the mentioned simplification is for Grupo Credito, a holding subsidiary of Credicorp with an 84.96 percent interest in BCP, to acquire the 9 percent interest of Credicorp in BCP, which, before the operation was 12.73 percent. In this manner, Grupo Crédito increased its interest in BCP from 84.96 percent to 93.96 percent, while the interest of Credicorp in BCP was reduced from 12.73 percent to 3.73 percent.</w:t>
      </w:r>
    </w:p>
    <w:p>
      <w:pPr>
        <w:spacing w:after="0" w:line="161" w:lineRule="exact"/>
        <w:rPr>
          <w:rFonts w:ascii="Arial" w:cs="Arial" w:eastAsia="Arial" w:hAnsi="Arial"/>
          <w:sz w:val="16"/>
          <w:szCs w:val="16"/>
          <w:b w:val="1"/>
          <w:bCs w:val="1"/>
          <w:color w:val="auto"/>
        </w:rPr>
      </w:pPr>
    </w:p>
    <w:p>
      <w:pPr>
        <w:ind w:left="283" w:right="22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It is worth pointing out that the operation described did not entail any change in the control of BCP, since Credicorp, through its subsidiary Grupo Crédito, still maintains 97.69 of the shares of BCP.</w:t>
      </w:r>
    </w:p>
    <w:p>
      <w:pPr>
        <w:spacing w:after="0" w:line="344" w:lineRule="exact"/>
        <w:rPr>
          <w:rFonts w:ascii="Arial" w:cs="Arial" w:eastAsia="Arial" w:hAnsi="Arial"/>
          <w:sz w:val="16"/>
          <w:szCs w:val="16"/>
          <w:b w:val="1"/>
          <w:bCs w:val="1"/>
          <w:color w:val="auto"/>
        </w:rPr>
      </w:pPr>
    </w:p>
    <w:p>
      <w:pPr>
        <w:ind w:left="5603" w:hanging="95"/>
        <w:spacing w:after="0"/>
        <w:tabs>
          <w:tab w:leader="none" w:pos="5603" w:val="left"/>
        </w:tabs>
        <w:numPr>
          <w:ilvl w:val="1"/>
          <w:numId w:val="148"/>
        </w:numPr>
        <w:rPr>
          <w:rFonts w:ascii="Arial" w:cs="Arial" w:eastAsia="Arial" w:hAnsi="Arial"/>
          <w:sz w:val="16"/>
          <w:szCs w:val="16"/>
          <w:color w:val="auto"/>
        </w:rPr>
      </w:pPr>
      <w:r>
        <w:rPr>
          <w:rFonts w:ascii="Arial" w:cs="Arial" w:eastAsia="Arial" w:hAnsi="Arial"/>
          <w:sz w:val="16"/>
          <w:szCs w:val="16"/>
          <w:color w:val="auto"/>
        </w:rPr>
        <w:t>149 -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3"/>
          </w:cols>
          <w:pgMar w:left="237" w:top="828" w:right="239" w:bottom="1440" w:gutter="0" w:footer="0" w:header="0"/>
        </w:sectPr>
      </w:pPr>
    </w:p>
    <w:bookmarkStart w:id="154" w:name="page155"/>
    <w:bookmarkEnd w:id="154"/>
    <w:p>
      <w:pPr>
        <w:ind w:left="283" w:right="200"/>
        <w:spacing w:after="0" w:line="280" w:lineRule="auto"/>
        <w:rPr>
          <w:sz w:val="20"/>
          <w:szCs w:val="20"/>
          <w:color w:val="auto"/>
        </w:rPr>
      </w:pPr>
      <w:r>
        <w:rPr>
          <w:rFonts w:ascii="Arial" w:cs="Arial" w:eastAsia="Arial" w:hAnsi="Arial"/>
          <w:sz w:val="16"/>
          <w:szCs w:val="16"/>
          <w:color w:val="auto"/>
        </w:rPr>
        <w:t>Thus, on January 11,12 and 13 of 2017, Credicorp sold 269,500,000; 268,500,000 and 97,971,179 shares, respectively, which represent 3.81; 3.80 and 1.39 percent of the share capital of BCP. On said dates, the price per share was S/5.52; S/5.51 and S/5.50, respectively.</w:t>
      </w:r>
    </w:p>
    <w:p>
      <w:pPr>
        <w:spacing w:after="0" w:line="147" w:lineRule="exact"/>
        <w:rPr>
          <w:sz w:val="20"/>
          <w:szCs w:val="20"/>
          <w:color w:val="auto"/>
        </w:rPr>
      </w:pPr>
    </w:p>
    <w:p>
      <w:pPr>
        <w:ind w:left="283" w:hanging="283"/>
        <w:spacing w:after="0"/>
        <w:tabs>
          <w:tab w:leader="none" w:pos="283"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color w:val="auto"/>
        </w:rPr>
        <w:t>First of bonds</w:t>
      </w:r>
    </w:p>
    <w:p>
      <w:pPr>
        <w:spacing w:after="0" w:line="206" w:lineRule="exact"/>
        <w:rPr>
          <w:rFonts w:ascii="Arial" w:cs="Arial" w:eastAsia="Arial" w:hAnsi="Arial"/>
          <w:sz w:val="16"/>
          <w:szCs w:val="16"/>
          <w:b w:val="1"/>
          <w:bCs w:val="1"/>
          <w:color w:val="auto"/>
        </w:rPr>
      </w:pPr>
    </w:p>
    <w:p>
      <w:pPr>
        <w:ind w:left="283" w:right="20"/>
        <w:spacing w:after="0" w:line="315" w:lineRule="auto"/>
        <w:rPr>
          <w:rFonts w:ascii="Arial" w:cs="Arial" w:eastAsia="Arial" w:hAnsi="Arial"/>
          <w:sz w:val="16"/>
          <w:szCs w:val="16"/>
          <w:b w:val="1"/>
          <w:bCs w:val="1"/>
          <w:color w:val="auto"/>
        </w:rPr>
      </w:pPr>
      <w:r>
        <w:rPr>
          <w:rFonts w:ascii="Arial" w:cs="Arial" w:eastAsia="Arial" w:hAnsi="Arial"/>
          <w:sz w:val="15"/>
          <w:szCs w:val="15"/>
          <w:color w:val="auto"/>
        </w:rPr>
        <w:t>On January 25, 2017, BCP issued Corporate Bonds corresponding to the first issue of the fifth program – series D, for a nominal amount of S/182.4 million with maturity of January 25, 2020. Interest is paid halfyearly at an annual rate of 5.91 percent. The purpose of the issue is to cover the growth in BCP’s operations.</w:t>
      </w:r>
    </w:p>
    <w:p>
      <w:pPr>
        <w:spacing w:after="0" w:line="127" w:lineRule="exact"/>
        <w:rPr>
          <w:rFonts w:ascii="Arial" w:cs="Arial" w:eastAsia="Arial" w:hAnsi="Arial"/>
          <w:sz w:val="16"/>
          <w:szCs w:val="16"/>
          <w:b w:val="1"/>
          <w:bCs w:val="1"/>
          <w:color w:val="auto"/>
        </w:rPr>
      </w:pPr>
    </w:p>
    <w:p>
      <w:pPr>
        <w:ind w:left="283" w:right="52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On February 15, 2017, the Board of Directors of Mibanco approved the issue of the fourth program of subordinated bonds for the amount of up to S/600.0 million in accordance with the powers delegated by the General Shareholders’ Meeting of March 23, 2016.</w:t>
      </w:r>
    </w:p>
    <w:p>
      <w:pPr>
        <w:spacing w:after="0" w:line="146" w:lineRule="exact"/>
        <w:rPr>
          <w:rFonts w:ascii="Arial" w:cs="Arial" w:eastAsia="Arial" w:hAnsi="Arial"/>
          <w:sz w:val="16"/>
          <w:szCs w:val="16"/>
          <w:b w:val="1"/>
          <w:bCs w:val="1"/>
          <w:color w:val="auto"/>
        </w:rPr>
      </w:pPr>
    </w:p>
    <w:p>
      <w:pPr>
        <w:ind w:left="283" w:hanging="283"/>
        <w:spacing w:after="0"/>
        <w:tabs>
          <w:tab w:leader="none" w:pos="283"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color w:val="auto"/>
        </w:rPr>
        <w:t>Merger between Pacifico Vida, as the absorbing entity and PPS as the absorbed entity.</w:t>
      </w:r>
    </w:p>
    <w:p>
      <w:pPr>
        <w:spacing w:after="0" w:line="206" w:lineRule="exact"/>
        <w:rPr>
          <w:rFonts w:ascii="Arial" w:cs="Arial" w:eastAsia="Arial" w:hAnsi="Arial"/>
          <w:sz w:val="16"/>
          <w:szCs w:val="16"/>
          <w:b w:val="1"/>
          <w:bCs w:val="1"/>
          <w:color w:val="auto"/>
        </w:rPr>
      </w:pPr>
    </w:p>
    <w:p>
      <w:pPr>
        <w:ind w:left="283" w:right="420"/>
        <w:spacing w:after="0" w:line="292" w:lineRule="auto"/>
        <w:rPr>
          <w:rFonts w:ascii="Arial" w:cs="Arial" w:eastAsia="Arial" w:hAnsi="Arial"/>
          <w:sz w:val="16"/>
          <w:szCs w:val="16"/>
          <w:b w:val="1"/>
          <w:bCs w:val="1"/>
          <w:color w:val="auto"/>
        </w:rPr>
      </w:pPr>
      <w:r>
        <w:rPr>
          <w:rFonts w:ascii="Arial" w:cs="Arial" w:eastAsia="Arial" w:hAnsi="Arial"/>
          <w:sz w:val="15"/>
          <w:szCs w:val="15"/>
          <w:color w:val="auto"/>
        </w:rPr>
        <w:t>The meeting of the Board of Directors of PPS held on January 26, 2017 agreed to present for the consideration of the company’s General Shareholders’ Meeting the approval of the “Merger Project” between PPS and Pacifico Vida, by virtue of which Pacifico Vida will assume in its entirety and bloc the equity of PPS, including its property, rights and obligations and the other legal relationships derived from or related to the rights to assets and liabilities.</w:t>
      </w:r>
    </w:p>
    <w:p>
      <w:pPr>
        <w:spacing w:after="0" w:line="144" w:lineRule="exact"/>
        <w:rPr>
          <w:rFonts w:ascii="Arial" w:cs="Arial" w:eastAsia="Arial" w:hAnsi="Arial"/>
          <w:sz w:val="16"/>
          <w:szCs w:val="16"/>
          <w:b w:val="1"/>
          <w:bCs w:val="1"/>
          <w:color w:val="auto"/>
        </w:rPr>
      </w:pPr>
    </w:p>
    <w:p>
      <w:pPr>
        <w:ind w:left="283"/>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The merger is in line with the process of corporate integration, which began in 2011, joining forces to strengthen the Pacifico brand, and continue its positioning as a unique, client-oriented company, with the ability to provide comprehensive solutions for the protection needs of companies and individuals. Finally, it is worth pointing out that the Merger will significantly strengthen the profitability, liquidity and solvency of the companies involved.</w:t>
      </w:r>
    </w:p>
    <w:p>
      <w:pPr>
        <w:spacing w:after="0" w:line="355" w:lineRule="exact"/>
        <w:rPr>
          <w:rFonts w:ascii="Arial" w:cs="Arial" w:eastAsia="Arial" w:hAnsi="Arial"/>
          <w:sz w:val="16"/>
          <w:szCs w:val="16"/>
          <w:b w:val="1"/>
          <w:bCs w:val="1"/>
          <w:color w:val="auto"/>
        </w:rPr>
      </w:pPr>
    </w:p>
    <w:p>
      <w:pPr>
        <w:ind w:left="5603" w:hanging="95"/>
        <w:spacing w:after="0"/>
        <w:tabs>
          <w:tab w:leader="none" w:pos="5603" w:val="left"/>
        </w:tabs>
        <w:numPr>
          <w:ilvl w:val="1"/>
          <w:numId w:val="149"/>
        </w:numPr>
        <w:rPr>
          <w:rFonts w:ascii="Arial" w:cs="Arial" w:eastAsia="Arial" w:hAnsi="Arial"/>
          <w:sz w:val="16"/>
          <w:szCs w:val="16"/>
          <w:color w:val="auto"/>
        </w:rPr>
      </w:pPr>
      <w:r>
        <w:rPr>
          <w:rFonts w:ascii="Arial" w:cs="Arial" w:eastAsia="Arial" w:hAnsi="Arial"/>
          <w:sz w:val="16"/>
          <w:szCs w:val="16"/>
          <w:color w:val="auto"/>
        </w:rPr>
        <w:t>150 -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1225" cy="762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sectPr>
      <w:pgSz w:w="11900" w:h="16838" w:orient="portrait"/>
      <w:cols w:equalWidth="0" w:num="1">
        <w:col w:w="11423"/>
      </w:cols>
      <w:pgMar w:left="237"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lvl w:ilvl="1">
      <w:lvlJc w:val="left"/>
      <w:lvlText w:val="-"/>
      <w:numFmt w:val="bullet"/>
      <w:start w:val="1"/>
    </w:lvl>
  </w:abstractNum>
  <w:abstractNum w:abstractNumId="4">
    <w:nsid w:val="11447B73"/>
    <w:multiLevelType w:val="hybridMultilevel"/>
    <w:lvl w:ilvl="0">
      <w:lvlJc w:val="left"/>
      <w:lvlText w:val="1"/>
      <w:numFmt w:val="bullet"/>
      <w:start w:val="1"/>
    </w:lvl>
  </w:abstractNum>
  <w:abstractNum w:abstractNumId="5">
    <w:nsid w:val="42963E5A"/>
    <w:multiLevelType w:val="hybridMultilevel"/>
    <w:lvl w:ilvl="0">
      <w:lvlJc w:val="left"/>
      <w:lvlText w:val="2"/>
      <w:numFmt w:val="bullet"/>
      <w:start w:val="1"/>
    </w:lvl>
  </w:abstractNum>
  <w:abstractNum w:abstractNumId="6">
    <w:nsid w:val="A0382C5"/>
    <w:multiLevelType w:val="hybridMultilevel"/>
    <w:lvl w:ilvl="0">
      <w:lvlJc w:val="left"/>
      <w:lvlText w:val="%1)"/>
      <w:numFmt w:val="lowerLetter"/>
      <w:start w:val="1"/>
    </w:lvl>
    <w:lvl w:ilvl="1">
      <w:lvlJc w:val="left"/>
      <w:lvlText w:val="-"/>
      <w:numFmt w:val="bullet"/>
      <w:start w:val="1"/>
    </w:lvl>
  </w:abstractNum>
  <w:abstractNum w:abstractNumId="7">
    <w:nsid w:val="8F2B15E"/>
    <w:multiLevelType w:val="hybridMultilevel"/>
    <w:lvl w:ilvl="0">
      <w:lvlJc w:val="left"/>
      <w:lvlText w:val="%1)"/>
      <w:numFmt w:val="lowerLetter"/>
      <w:start w:val="2"/>
    </w:lvl>
    <w:lvl w:ilvl="1">
      <w:lvlJc w:val="left"/>
      <w:lvlText w:val="-"/>
      <w:numFmt w:val="bullet"/>
      <w:start w:val="1"/>
    </w:lvl>
  </w:abstractNum>
  <w:abstractNum w:abstractNumId="8">
    <w:nsid w:val="1A32234B"/>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9">
    <w:nsid w:val="3B0FD379"/>
    <w:multiLevelType w:val="hybridMultilevel"/>
    <w:lvl w:ilvl="0">
      <w:lvlJc w:val="left"/>
      <w:lvlText w:val="%1"/>
      <w:numFmt w:val="lowerLetter"/>
      <w:start w:val="1"/>
    </w:lvl>
    <w:lvl w:ilvl="1">
      <w:lvlJc w:val="left"/>
      <w:lvlText w:val="(%2)"/>
      <w:numFmt w:val="lowerRoman"/>
      <w:start w:val="2"/>
    </w:lvl>
  </w:abstractNum>
  <w:abstractNum w:abstractNumId="10">
    <w:nsid w:val="68EB2F63"/>
    <w:multiLevelType w:val="hybridMultilevel"/>
    <w:lvl w:ilvl="0">
      <w:lvlJc w:val="left"/>
      <w:lvlText w:val="%1)"/>
      <w:numFmt w:val="lowerLetter"/>
      <w:start w:val="5"/>
    </w:lvl>
    <w:lvl w:ilvl="1">
      <w:lvlJc w:val="left"/>
      <w:lvlText w:val="%2"/>
      <w:numFmt w:val="lowerRoman"/>
      <w:start w:val="1"/>
    </w:lvl>
  </w:abstractNum>
  <w:abstractNum w:abstractNumId="11">
    <w:nsid w:val="4962813B"/>
    <w:multiLevelType w:val="hybridMultilevel"/>
    <w:lvl w:ilvl="0">
      <w:lvlJc w:val="left"/>
      <w:lvlText w:val="3"/>
      <w:numFmt w:val="bullet"/>
      <w:start w:val="1"/>
    </w:lvl>
  </w:abstractNum>
  <w:abstractNum w:abstractNumId="12">
    <w:nsid w:val="60B6DF70"/>
    <w:multiLevelType w:val="hybridMultilevel"/>
    <w:lvl w:ilvl="0">
      <w:lvlJc w:val="left"/>
      <w:lvlText w:val="%1)"/>
      <w:numFmt w:val="lowerLetter"/>
      <w:start w:val="1"/>
    </w:lvl>
    <w:lvl w:ilvl="1">
      <w:lvlJc w:val="left"/>
      <w:lvlText w:val="-"/>
      <w:numFmt w:val="bullet"/>
      <w:start w:val="1"/>
    </w:lvl>
  </w:abstractNum>
  <w:abstractNum w:abstractNumId="13">
    <w:nsid w:val="6A5EE64"/>
    <w:multiLevelType w:val="hybridMultilevel"/>
    <w:lvl w:ilvl="0">
      <w:lvlJc w:val="left"/>
      <w:lvlText w:val="-"/>
      <w:numFmt w:val="bullet"/>
      <w:start w:val="1"/>
    </w:lvl>
    <w:lvl w:ilvl="1">
      <w:lvlJc w:val="left"/>
      <w:lvlText w:val="-"/>
      <w:numFmt w:val="bullet"/>
      <w:start w:val="1"/>
    </w:lvl>
  </w:abstractNum>
  <w:abstractNum w:abstractNumId="14">
    <w:nsid w:val="14330624"/>
    <w:multiLevelType w:val="hybridMultilevel"/>
    <w:lvl w:ilvl="0">
      <w:lvlJc w:val="left"/>
      <w:lvlText w:val="-"/>
      <w:numFmt w:val="bullet"/>
      <w:start w:val="1"/>
    </w:lvl>
    <w:lvl w:ilvl="1">
      <w:lvlJc w:val="left"/>
      <w:lvlText w:val="-"/>
      <w:numFmt w:val="bullet"/>
      <w:start w:val="1"/>
    </w:lvl>
  </w:abstractNum>
  <w:abstractNum w:abstractNumId="15">
    <w:nsid w:val="7FFFCA11"/>
    <w:multiLevelType w:val="hybridMultilevel"/>
    <w:lvl w:ilvl="0">
      <w:lvlJc w:val="left"/>
      <w:lvlText w:val="%1)"/>
      <w:numFmt w:val="lowerLetter"/>
      <w:start w:val="1"/>
    </w:lvl>
    <w:lvl w:ilvl="1">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1)"/>
      <w:numFmt w:val="lowerRoman"/>
      <w:start w:val="1"/>
    </w:lvl>
    <w:lvl w:ilvl="1">
      <w:lvlJc w:val="left"/>
      <w:lvlText w:val="-"/>
      <w:numFmt w:val="bullet"/>
      <w:start w:val="1"/>
    </w:lvl>
  </w:abstractNum>
  <w:abstractNum w:abstractNumId="18">
    <w:nsid w:val="100F59DC"/>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19">
    <w:nsid w:val="7FB7E0AA"/>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0">
    <w:nsid w:val="6EB5BD4"/>
    <w:multiLevelType w:val="hybridMultilevel"/>
    <w:lvl w:ilvl="0">
      <w:lvlJc w:val="left"/>
      <w:lvlText w:val="(%1)"/>
      <w:numFmt w:val="lowerRoman"/>
      <w:start w:val="3"/>
    </w:lvl>
    <w:lvl w:ilvl="1">
      <w:lvlJc w:val="left"/>
      <w:lvlText w:val="-"/>
      <w:numFmt w:val="bullet"/>
      <w:start w:val="1"/>
    </w:lvl>
  </w:abstractNum>
  <w:abstractNum w:abstractNumId="21">
    <w:nsid w:val="6F6DD9AC"/>
    <w:multiLevelType w:val="hybridMultilevel"/>
    <w:lvl w:ilvl="0">
      <w:lvlJc w:val="left"/>
      <w:lvlText w:val="%1)"/>
      <w:numFmt w:val="lowerLetter"/>
      <w:start w:val="4"/>
    </w:lvl>
    <w:lvl w:ilvl="1">
      <w:lvlJc w:val="left"/>
      <w:lvlText w:val="-"/>
      <w:numFmt w:val="bullet"/>
      <w:start w:val="1"/>
    </w:lvl>
  </w:abstractNum>
  <w:abstractNum w:abstractNumId="22">
    <w:nsid w:val="94211F2"/>
    <w:multiLevelType w:val="hybridMultilevel"/>
    <w:lvl w:ilvl="0">
      <w:lvlJc w:val="left"/>
      <w:lvlText w:val="%1)"/>
      <w:numFmt w:val="lowerRoman"/>
      <w:start w:val="1"/>
    </w:lvl>
    <w:lvl w:ilvl="1">
      <w:lvlJc w:val="left"/>
      <w:lvlText w:val="-"/>
      <w:numFmt w:val="bullet"/>
      <w:start w:val="1"/>
    </w:lvl>
  </w:abstractNum>
  <w:abstractNum w:abstractNumId="23">
    <w:nsid w:val="885E1B"/>
    <w:multiLevelType w:val="hybridMultilevel"/>
    <w:lvl w:ilvl="0">
      <w:lvlJc w:val="left"/>
      <w:lvlText w:val="%1)"/>
      <w:numFmt w:val="lowerRoman"/>
      <w:start w:val="2"/>
    </w:lvl>
    <w:lvl w:ilvl="1">
      <w:lvlJc w:val="left"/>
      <w:lvlText w:val="-"/>
      <w:numFmt w:val="bullet"/>
      <w:start w:val="1"/>
    </w:lvl>
  </w:abstractNum>
  <w:abstractNum w:abstractNumId="24">
    <w:nsid w:val="76272110"/>
    <w:multiLevelType w:val="hybridMultilevel"/>
    <w:lvl w:ilvl="0">
      <w:lvlJc w:val="left"/>
      <w:lvlText w:val="(%1)"/>
      <w:numFmt w:val="lowerRoman"/>
      <w:start w:val="1"/>
    </w:lvl>
  </w:abstractNum>
  <w:abstractNum w:abstractNumId="25">
    <w:nsid w:val="4C04A8AF"/>
    <w:multiLevelType w:val="hybridMultilevel"/>
    <w:lvl w:ilvl="0">
      <w:lvlJc w:val="left"/>
      <w:lvlText w:val="%1"/>
      <w:numFmt w:val="lowerRoman"/>
      <w:start w:val="1"/>
    </w:lvl>
    <w:lvl w:ilvl="1">
      <w:lvlJc w:val="left"/>
      <w:lvlText w:val="(%2)"/>
      <w:numFmt w:val="lowerRoman"/>
      <w:start w:val="1"/>
    </w:lvl>
  </w:abstractNum>
  <w:abstractNum w:abstractNumId="26">
    <w:nsid w:val="1716703B"/>
    <w:multiLevelType w:val="hybridMultilevel"/>
    <w:lvl w:ilvl="0">
      <w:lvlJc w:val="left"/>
      <w:lvlText w:val="(%1)"/>
      <w:numFmt w:val="lowerRoman"/>
      <w:start w:val="2"/>
    </w:lvl>
    <w:lvl w:ilvl="1">
      <w:lvlJc w:val="left"/>
      <w:lvlText w:val="%2"/>
      <w:numFmt w:val="lowerRoman"/>
      <w:start w:val="1"/>
    </w:lvl>
  </w:abstractNum>
  <w:abstractNum w:abstractNumId="27">
    <w:nsid w:val="14E17E33"/>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lvl w:ilvl="3">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1)"/>
      <w:numFmt w:val="lowerRoman"/>
      <w:start w:val="2"/>
    </w:lvl>
    <w:lvl w:ilvl="1">
      <w:lvlJc w:val="left"/>
      <w:lvlText w:val="(%2)"/>
      <w:numFmt w:val="lowerRoman"/>
      <w:start w:val="1"/>
    </w:lvl>
    <w:lvl w:ilvl="2">
      <w:lvlJc w:val="left"/>
      <w:lvlText w:val="-"/>
      <w:numFmt w:val="bullet"/>
      <w:start w:val="1"/>
    </w:lvl>
  </w:abstractNum>
  <w:abstractNum w:abstractNumId="30">
    <w:nsid w:val="68EBC550"/>
    <w:multiLevelType w:val="hybridMultilevel"/>
    <w:lvl w:ilvl="0">
      <w:lvlJc w:val="left"/>
      <w:lvlText w:val="(%1)"/>
      <w:numFmt w:val="lowerRoman"/>
      <w:start w:val="4"/>
    </w:lvl>
    <w:lvl w:ilvl="1">
      <w:lvlJc w:val="left"/>
      <w:lvlText w:val="-"/>
      <w:numFmt w:val="bullet"/>
      <w:start w:val="1"/>
    </w:lvl>
  </w:abstractNum>
  <w:abstractNum w:abstractNumId="31">
    <w:nsid w:val="2DF6D648"/>
    <w:multiLevelType w:val="hybridMultilevel"/>
    <w:lvl w:ilvl="0">
      <w:lvlJc w:val="left"/>
      <w:lvlText w:val="(%1)"/>
      <w:numFmt w:val="lowerRoman"/>
      <w:start w:val="6"/>
    </w:lvl>
    <w:lvl w:ilvl="1">
      <w:lvlJc w:val="left"/>
      <w:lvlText w:val="-"/>
      <w:numFmt w:val="bullet"/>
      <w:start w:val="1"/>
    </w:lvl>
  </w:abstractNum>
  <w:abstractNum w:abstractNumId="32">
    <w:nsid w:val="46B7D447"/>
    <w:multiLevelType w:val="hybridMultilevel"/>
    <w:lvl w:ilvl="0">
      <w:lvlJc w:val="left"/>
      <w:lvlText w:val="%1)"/>
      <w:numFmt w:val="lowerLetter"/>
      <w:start w:val="7"/>
    </w:lvl>
    <w:lvl w:ilvl="1">
      <w:lvlJc w:val="left"/>
      <w:lvlText w:val="-"/>
      <w:numFmt w:val="bullet"/>
      <w:start w:val="1"/>
    </w:lvl>
  </w:abstractNum>
  <w:abstractNum w:abstractNumId="33">
    <w:nsid w:val="4A2AC315"/>
    <w:multiLevelType w:val="hybridMultilevel"/>
    <w:lvl w:ilvl="0">
      <w:lvlJc w:val="left"/>
      <w:lvlText w:val="(%1)"/>
      <w:numFmt w:val="lowerRoman"/>
      <w:start w:val="1"/>
    </w:lvl>
    <w:lvl w:ilvl="1">
      <w:lvlJc w:val="left"/>
      <w:lvlText w:val="-"/>
      <w:numFmt w:val="bullet"/>
      <w:start w:val="1"/>
    </w:lvl>
  </w:abstractNum>
  <w:abstractNum w:abstractNumId="34">
    <w:nsid w:val="39EE015C"/>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35">
    <w:nsid w:val="57FC4FBB"/>
    <w:multiLevelType w:val="hybridMultilevel"/>
    <w:lvl w:ilvl="0">
      <w:lvlJc w:val="left"/>
      <w:lvlText w:val="%1)"/>
      <w:numFmt w:val="lowerLetter"/>
      <w:start w:val="10"/>
    </w:lvl>
    <w:lvl w:ilvl="1">
      <w:lvlJc w:val="left"/>
      <w:lvlText w:val="%2"/>
      <w:numFmt w:val="lowerRoman"/>
      <w:start w:val="1"/>
    </w:lvl>
    <w:lvl w:ilvl="2">
      <w:lvlJc w:val="left"/>
      <w:lvlText w:val="-"/>
      <w:numFmt w:val="bullet"/>
      <w:start w:val="1"/>
    </w:lvl>
  </w:abstractNum>
  <w:abstractNum w:abstractNumId="36">
    <w:nsid w:val="CC1016F"/>
    <w:multiLevelType w:val="hybridMultilevel"/>
    <w:lvl w:ilvl="0">
      <w:lvlJc w:val="left"/>
      <w:lvlText w:val="%1)"/>
      <w:numFmt w:val="lowerLetter"/>
      <w:start w:val="11"/>
    </w:lvl>
  </w:abstractNum>
  <w:abstractNum w:abstractNumId="37">
    <w:nsid w:val="43F18422"/>
    <w:multiLevelType w:val="hybridMultilevel"/>
    <w:lvl w:ilvl="0">
      <w:lvlJc w:val="left"/>
      <w:lvlText w:val="%1)"/>
      <w:numFmt w:val="lowerLetter"/>
      <w:start w:val="12"/>
    </w:lvl>
    <w:lvl w:ilvl="1">
      <w:lvlJc w:val="left"/>
      <w:lvlText w:val="-"/>
      <w:numFmt w:val="bullet"/>
      <w:start w:val="1"/>
    </w:lvl>
  </w:abstractNum>
  <w:abstractNum w:abstractNumId="38">
    <w:nsid w:val="60EF0119"/>
    <w:multiLevelType w:val="hybridMultilevel"/>
    <w:lvl w:ilvl="0">
      <w:lvlJc w:val="left"/>
      <w:lvlText w:val="%1)"/>
      <w:numFmt w:val="lowerLetter"/>
      <w:start w:val="13"/>
    </w:lvl>
    <w:lvl w:ilvl="1">
      <w:lvlJc w:val="left"/>
      <w:lvlText w:val="-"/>
      <w:numFmt w:val="bullet"/>
      <w:start w:val="1"/>
    </w:lvl>
  </w:abstractNum>
  <w:abstractNum w:abstractNumId="39">
    <w:nsid w:val="26F324BA"/>
    <w:multiLevelType w:val="hybridMultilevel"/>
    <w:lvl w:ilvl="0">
      <w:lvlJc w:val="left"/>
      <w:lvlText w:val="%1)"/>
      <w:numFmt w:val="lowerLetter"/>
      <w:start w:val="16"/>
    </w:lvl>
    <w:lvl w:ilvl="1">
      <w:lvlJc w:val="left"/>
      <w:lvlText w:val="-"/>
      <w:numFmt w:val="bullet"/>
      <w:start w:val="1"/>
    </w:lvl>
  </w:abstractNum>
  <w:abstractNum w:abstractNumId="40">
    <w:nsid w:val="7F01579B"/>
    <w:multiLevelType w:val="hybridMultilevel"/>
    <w:lvl w:ilvl="0">
      <w:lvlJc w:val="left"/>
      <w:lvlText w:val="%1)"/>
      <w:numFmt w:val="lowerLetter"/>
      <w:start w:val="17"/>
    </w:lvl>
    <w:lvl w:ilvl="1">
      <w:lvlJc w:val="left"/>
      <w:lvlText w:val="-"/>
      <w:numFmt w:val="bullet"/>
      <w:start w:val="1"/>
    </w:lvl>
  </w:abstractNum>
  <w:abstractNum w:abstractNumId="41">
    <w:nsid w:val="49DA307D"/>
    <w:multiLevelType w:val="hybridMultilevel"/>
    <w:lvl w:ilvl="0">
      <w:lvlJc w:val="left"/>
      <w:lvlText w:val="%1)"/>
      <w:numFmt w:val="lowerLetter"/>
      <w:start w:val="19"/>
    </w:lvl>
    <w:lvl w:ilvl="1">
      <w:lvlJc w:val="left"/>
      <w:lvlText w:val="-"/>
      <w:numFmt w:val="bullet"/>
      <w:start w:val="1"/>
    </w:lvl>
  </w:abstractNum>
  <w:abstractNum w:abstractNumId="42">
    <w:nsid w:val="7055A5F5"/>
    <w:multiLevelType w:val="hybridMultilevel"/>
    <w:lvl w:ilvl="0">
      <w:lvlJc w:val="left"/>
      <w:lvlText w:val="%1)"/>
      <w:numFmt w:val="lowerLetter"/>
      <w:start w:val="24"/>
    </w:lvl>
    <w:lvl w:ilvl="1">
      <w:lvlJc w:val="left"/>
      <w:lvlText w:val="-"/>
      <w:numFmt w:val="bullet"/>
      <w:start w:val="1"/>
    </w:lvl>
  </w:abstractNum>
  <w:abstractNum w:abstractNumId="43">
    <w:nsid w:val="5FB8370B"/>
    <w:multiLevelType w:val="hybridMultilevel"/>
    <w:lvl w:ilvl="0">
      <w:lvlJc w:val="left"/>
      <w:lvlText w:val="-"/>
      <w:numFmt w:val="bullet"/>
      <w:start w:val="1"/>
    </w:lvl>
  </w:abstractNum>
  <w:abstractNum w:abstractNumId="44">
    <w:nsid w:val="50801EE1"/>
    <w:multiLevelType w:val="hybridMultilevel"/>
    <w:lvl w:ilvl="0">
      <w:lvlJc w:val="left"/>
      <w:lvlText w:val="%1)"/>
      <w:numFmt w:val="lowerRoman"/>
      <w:start w:val="1"/>
    </w:lvl>
    <w:lvl w:ilvl="1">
      <w:lvlJc w:val="left"/>
      <w:lvlText w:val="-"/>
      <w:numFmt w:val="bullet"/>
      <w:start w:val="1"/>
    </w:lvl>
  </w:abstractNum>
  <w:abstractNum w:abstractNumId="45">
    <w:nsid w:val="488AC1A"/>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46">
    <w:nsid w:val="5FB8011C"/>
    <w:multiLevelType w:val="hybridMultilevel"/>
    <w:lvl w:ilvl="0">
      <w:lvlJc w:val="left"/>
      <w:lvlText w:val="%1)"/>
      <w:numFmt w:val="lowerLetter"/>
      <w:start w:val="27"/>
    </w:lvl>
    <w:lvl w:ilvl="1">
      <w:lvlJc w:val="left"/>
      <w:lvlText w:val="%2"/>
      <w:numFmt w:val="lowerRoman"/>
      <w:start w:val="1"/>
    </w:lvl>
    <w:lvl w:ilvl="2">
      <w:lvlJc w:val="left"/>
      <w:lvlText w:val="-"/>
      <w:numFmt w:val="bullet"/>
      <w:start w:val="1"/>
    </w:lvl>
  </w:abstractNum>
  <w:abstractNum w:abstractNumId="47">
    <w:nsid w:val="6AA78F7F"/>
    <w:multiLevelType w:val="hybridMultilevel"/>
    <w:lvl w:ilvl="0">
      <w:lvlJc w:val="left"/>
      <w:lvlText w:val="-"/>
      <w:numFmt w:val="bullet"/>
      <w:start w:val="1"/>
    </w:lvl>
  </w:abstractNum>
  <w:abstractNum w:abstractNumId="48">
    <w:nsid w:val="7672BD23"/>
    <w:multiLevelType w:val="hybridMultilevel"/>
    <w:lvl w:ilvl="0">
      <w:lvlJc w:val="left"/>
      <w:lvlText w:val="(%1)"/>
      <w:numFmt w:val="lowerRoman"/>
      <w:start w:val="1"/>
    </w:lvl>
    <w:lvl w:ilvl="1">
      <w:lvlJc w:val="left"/>
      <w:lvlText w:val="-"/>
      <w:numFmt w:val="bullet"/>
      <w:start w:val="1"/>
    </w:lvl>
  </w:abstractNum>
  <w:abstractNum w:abstractNumId="49">
    <w:nsid w:val="6FC75AF8"/>
    <w:multiLevelType w:val="hybridMultilevel"/>
    <w:lvl w:ilvl="0">
      <w:lvlJc w:val="left"/>
      <w:lvlText w:val="(%1)"/>
      <w:numFmt w:val="lowerRoman"/>
      <w:start w:val="2"/>
    </w:lvl>
    <w:lvl w:ilvl="1">
      <w:lvlJc w:val="left"/>
      <w:lvlText w:val="·"/>
      <w:numFmt w:val="bullet"/>
      <w:start w:val="1"/>
    </w:lvl>
  </w:abstractNum>
  <w:abstractNum w:abstractNumId="50">
    <w:nsid w:val="6A5F7029"/>
    <w:multiLevelType w:val="hybridMultilevel"/>
    <w:lvl w:ilvl="0">
      <w:lvlJc w:val="left"/>
      <w:lvlText w:val="(%1)"/>
      <w:numFmt w:val="lowerRoman"/>
      <w:start w:val="3"/>
    </w:lvl>
    <w:lvl w:ilvl="1">
      <w:lvlJc w:val="left"/>
      <w:lvlText w:val="-"/>
      <w:numFmt w:val="bullet"/>
      <w:start w:val="1"/>
    </w:lvl>
  </w:abstractNum>
  <w:abstractNum w:abstractNumId="51">
    <w:nsid w:val="7D5E18F8"/>
    <w:multiLevelType w:val="hybridMultilevel"/>
    <w:lvl w:ilvl="0">
      <w:lvlJc w:val="left"/>
      <w:lvlText w:val="(%1)"/>
      <w:numFmt w:val="lowerRoman"/>
      <w:start w:val="4"/>
    </w:lvl>
    <w:lvl w:ilvl="1">
      <w:lvlJc w:val="left"/>
      <w:lvlText w:val="-"/>
      <w:numFmt w:val="bullet"/>
      <w:start w:val="1"/>
    </w:lvl>
  </w:abstractNum>
  <w:abstractNum w:abstractNumId="52">
    <w:nsid w:val="5F3534A4"/>
    <w:multiLevelType w:val="hybridMultilevel"/>
    <w:lvl w:ilvl="0">
      <w:lvlJc w:val="left"/>
      <w:lvlText w:val="(%1)"/>
      <w:numFmt w:val="lowerRoman"/>
      <w:start w:val="5"/>
    </w:lvl>
    <w:lvl w:ilvl="1">
      <w:lvlJc w:val="left"/>
      <w:lvlText w:val="-"/>
      <w:numFmt w:val="bullet"/>
      <w:start w:val="1"/>
    </w:lvl>
  </w:abstractNum>
  <w:abstractNum w:abstractNumId="53">
    <w:nsid w:val="73A1821B"/>
    <w:multiLevelType w:val="hybridMultilevel"/>
    <w:lvl w:ilvl="0">
      <w:lvlJc w:val="left"/>
      <w:lvlText w:val="4"/>
      <w:numFmt w:val="bullet"/>
      <w:start w:val="1"/>
    </w:lvl>
  </w:abstractNum>
  <w:abstractNum w:abstractNumId="54">
    <w:nsid w:val="7DE67713"/>
    <w:multiLevelType w:val="hybridMultilevel"/>
    <w:lvl w:ilvl="0">
      <w:lvlJc w:val="left"/>
      <w:lvlText w:val="%1)"/>
      <w:numFmt w:val="lowerLetter"/>
      <w:start w:val="1"/>
    </w:lvl>
  </w:abstractNum>
  <w:abstractNum w:abstractNumId="55">
    <w:nsid w:val="555C55B5"/>
    <w:multiLevelType w:val="hybridMultilevel"/>
    <w:lvl w:ilvl="0">
      <w:lvlJc w:val="left"/>
      <w:lvlText w:val="5"/>
      <w:numFmt w:val="bullet"/>
      <w:start w:val="1"/>
    </w:lvl>
  </w:abstractNum>
  <w:abstractNum w:abstractNumId="56">
    <w:nsid w:val="3FA62ACA"/>
    <w:multiLevelType w:val="hybridMultilevel"/>
    <w:lvl w:ilvl="0">
      <w:lvlJc w:val="left"/>
      <w:lvlText w:val="(%1)"/>
      <w:numFmt w:val="lowerRoman"/>
      <w:start w:val="1"/>
    </w:lvl>
    <w:lvl w:ilvl="1">
      <w:lvlJc w:val="left"/>
      <w:lvlText w:val="-"/>
      <w:numFmt w:val="bullet"/>
      <w:start w:val="1"/>
    </w:lvl>
  </w:abstractNum>
  <w:abstractNum w:abstractNumId="57">
    <w:nsid w:val="14FCE74E"/>
    <w:multiLevelType w:val="hybridMultilevel"/>
    <w:lvl w:ilvl="0">
      <w:lvlJc w:val="left"/>
      <w:lvlText w:val="(%1)"/>
      <w:numFmt w:val="lowerRoman"/>
      <w:start w:val="2"/>
    </w:lvl>
  </w:abstractNum>
  <w:abstractNum w:abstractNumId="58">
    <w:nsid w:val="6A3DD3E8"/>
    <w:multiLevelType w:val="hybridMultilevel"/>
    <w:lvl w:ilvl="0">
      <w:lvlJc w:val="left"/>
      <w:lvlText w:val="%1)"/>
      <w:numFmt w:val="lowerLetter"/>
      <w:start w:val="2"/>
    </w:lvl>
  </w:abstractNum>
  <w:abstractNum w:abstractNumId="59">
    <w:nsid w:val="71C91298"/>
    <w:multiLevelType w:val="hybridMultilevel"/>
    <w:lvl w:ilvl="0">
      <w:lvlJc w:val="left"/>
      <w:lvlText w:val="%1)"/>
      <w:numFmt w:val="lowerLetter"/>
      <w:start w:val="3"/>
    </w:lvl>
  </w:abstractNum>
  <w:abstractNum w:abstractNumId="60">
    <w:nsid w:val="9DAF632"/>
    <w:multiLevelType w:val="hybridMultilevel"/>
    <w:lvl w:ilvl="0">
      <w:lvlJc w:val="left"/>
      <w:lvlText w:val="(*)"/>
      <w:numFmt w:val="bullet"/>
      <w:start w:val="1"/>
    </w:lvl>
  </w:abstractNum>
  <w:abstractNum w:abstractNumId="61">
    <w:nsid w:val="53299938"/>
    <w:multiLevelType w:val="hybridMultilevel"/>
    <w:lvl w:ilvl="0">
      <w:lvlJc w:val="left"/>
      <w:lvlText w:val="(**)"/>
      <w:numFmt w:val="bullet"/>
      <w:start w:val="1"/>
    </w:lvl>
  </w:abstractNum>
  <w:abstractNum w:abstractNumId="62">
    <w:nsid w:val="1FBFE8E0"/>
    <w:multiLevelType w:val="hybridMultilevel"/>
    <w:lvl w:ilvl="0">
      <w:lvlJc w:val="left"/>
      <w:lvlText w:val="(***)"/>
      <w:numFmt w:val="bullet"/>
      <w:start w:val="1"/>
    </w:lvl>
  </w:abstractNum>
  <w:abstractNum w:abstractNumId="63">
    <w:nsid w:val="5092CA79"/>
    <w:multiLevelType w:val="hybridMultilevel"/>
    <w:lvl w:ilvl="0">
      <w:lvlJc w:val="left"/>
      <w:lvlText w:val="6"/>
      <w:numFmt w:val="bullet"/>
      <w:start w:val="1"/>
    </w:lvl>
  </w:abstractNum>
  <w:abstractNum w:abstractNumId="64">
    <w:nsid w:val="1D545C4D"/>
    <w:multiLevelType w:val="hybridMultilevel"/>
    <w:lvl w:ilvl="0">
      <w:lvlJc w:val="left"/>
      <w:lvlText w:val="%1)"/>
      <w:numFmt w:val="lowerLetter"/>
      <w:start w:val="1"/>
    </w:lvl>
  </w:abstractNum>
  <w:abstractNum w:abstractNumId="65">
    <w:nsid w:val="59ADEA3D"/>
    <w:multiLevelType w:val="hybridMultilevel"/>
    <w:lvl w:ilvl="0">
      <w:lvlJc w:val="left"/>
      <w:lvlText w:val="(%1)"/>
      <w:numFmt w:val="lowerRoman"/>
      <w:start w:val="1"/>
    </w:lvl>
    <w:lvl w:ilvl="1">
      <w:lvlJc w:val="left"/>
      <w:lvlText w:val="-"/>
      <w:numFmt w:val="bullet"/>
      <w:start w:val="1"/>
    </w:lvl>
    <w:lvl w:ilvl="2">
      <w:lvlJc w:val="left"/>
      <w:lvlText w:val="-"/>
      <w:numFmt w:val="bullet"/>
      <w:start w:val="1"/>
    </w:lvl>
  </w:abstractNum>
  <w:abstractNum w:abstractNumId="66">
    <w:nsid w:val="288F1A34"/>
    <w:multiLevelType w:val="hybridMultilevel"/>
    <w:lvl w:ilvl="0">
      <w:lvlJc w:val="left"/>
      <w:lvlText w:val="%1"/>
      <w:numFmt w:val="lowerLetter"/>
      <w:start w:val="1"/>
    </w:lvl>
    <w:lvl w:ilvl="1">
      <w:lvlJc w:val="left"/>
      <w:lvlText w:val="(%2)"/>
      <w:numFmt w:val="lowerRoman"/>
      <w:start w:val="7"/>
    </w:lvl>
  </w:abstractNum>
  <w:abstractNum w:abstractNumId="67">
    <w:nsid w:val="2A155DBC"/>
    <w:multiLevelType w:val="hybridMultilevel"/>
    <w:lvl w:ilvl="0">
      <w:lvlJc w:val="left"/>
      <w:lvlText w:val="%1)"/>
      <w:numFmt w:val="lowerLetter"/>
      <w:start w:val="2"/>
    </w:lvl>
    <w:lvl w:ilvl="1">
      <w:lvlJc w:val="left"/>
      <w:lvlText w:val="%2"/>
      <w:numFmt w:val="lowerRoman"/>
      <w:start w:val="1"/>
    </w:lvl>
  </w:abstractNum>
  <w:abstractNum w:abstractNumId="68">
    <w:nsid w:val="1D9F6E5F"/>
    <w:multiLevelType w:val="hybridMultilevel"/>
    <w:lvl w:ilvl="0">
      <w:lvlJc w:val="left"/>
      <w:lvlText w:val="%1)"/>
      <w:numFmt w:val="lowerLetter"/>
      <w:start w:val="2"/>
    </w:lvl>
    <w:lvl w:ilvl="1">
      <w:lvlJc w:val="left"/>
      <w:lvlText w:val="(*)"/>
      <w:numFmt w:val="bullet"/>
      <w:start w:val="1"/>
    </w:lvl>
  </w:abstractNum>
  <w:abstractNum w:abstractNumId="69">
    <w:nsid w:val="97E1B4E"/>
    <w:multiLevelType w:val="hybridMultilevel"/>
    <w:lvl w:ilvl="0">
      <w:lvlJc w:val="left"/>
      <w:lvlText w:val="7"/>
      <w:numFmt w:val="bullet"/>
      <w:start w:val="1"/>
    </w:lvl>
  </w:abstractNum>
  <w:abstractNum w:abstractNumId="70">
    <w:nsid w:val="51088277"/>
    <w:multiLevelType w:val="hybridMultilevel"/>
    <w:lvl w:ilvl="0">
      <w:lvlJc w:val="left"/>
      <w:lvlText w:val="%1)"/>
      <w:numFmt w:val="lowerLetter"/>
      <w:start w:val="3"/>
    </w:lvl>
    <w:lvl w:ilvl="1">
      <w:lvlJc w:val="left"/>
      <w:lvlText w:val="-"/>
      <w:numFmt w:val="bullet"/>
      <w:start w:val="1"/>
    </w:lvl>
  </w:abstractNum>
  <w:abstractNum w:abstractNumId="71">
    <w:nsid w:val="1CA0C5FA"/>
    <w:multiLevelType w:val="hybridMultilevel"/>
    <w:lvl w:ilvl="0">
      <w:lvlJc w:val="left"/>
      <w:lvlText w:val="%1)"/>
      <w:numFmt w:val="lowerLetter"/>
      <w:start w:val="4"/>
    </w:lvl>
    <w:lvl w:ilvl="1">
      <w:lvlJc w:val="left"/>
      <w:lvlText w:val="(*)"/>
      <w:numFmt w:val="bullet"/>
      <w:start w:val="1"/>
    </w:lvl>
  </w:abstractNum>
  <w:abstractNum w:abstractNumId="72">
    <w:nsid w:val="53584BCB"/>
    <w:multiLevelType w:val="hybridMultilevel"/>
    <w:lvl w:ilvl="0">
      <w:lvlJc w:val="left"/>
      <w:lvlText w:val="8"/>
      <w:numFmt w:val="bullet"/>
      <w:start w:val="1"/>
    </w:lvl>
  </w:abstractNum>
  <w:abstractNum w:abstractNumId="73">
    <w:nsid w:val="415E286C"/>
    <w:multiLevelType w:val="hybridMultilevel"/>
    <w:lvl w:ilvl="0">
      <w:lvlJc w:val="left"/>
      <w:lvlText w:val="9"/>
      <w:numFmt w:val="bullet"/>
      <w:start w:val="1"/>
    </w:lvl>
  </w:abstractNum>
  <w:abstractNum w:abstractNumId="74">
    <w:nsid w:val="7C58FD05"/>
    <w:multiLevelType w:val="hybridMultilevel"/>
    <w:lvl w:ilvl="0">
      <w:lvlJc w:val="left"/>
      <w:lvlText w:val="%1)"/>
      <w:numFmt w:val="lowerLetter"/>
      <w:start w:val="1"/>
    </w:lvl>
    <w:lvl w:ilvl="1">
      <w:lvlJc w:val="left"/>
      <w:lvlText w:val="-"/>
      <w:numFmt w:val="bullet"/>
      <w:start w:val="1"/>
    </w:lvl>
  </w:abstractNum>
  <w:abstractNum w:abstractNumId="75">
    <w:nsid w:val="23D86AAC"/>
    <w:multiLevelType w:val="hybridMultilevel"/>
    <w:lvl w:ilvl="0">
      <w:lvlJc w:val="left"/>
      <w:lvlText w:val="%1)"/>
      <w:numFmt w:val="lowerLetter"/>
      <w:start w:val="1"/>
    </w:lvl>
  </w:abstractNum>
  <w:abstractNum w:abstractNumId="76">
    <w:nsid w:val="45E6D486"/>
    <w:multiLevelType w:val="hybridMultilevel"/>
    <w:lvl w:ilvl="0">
      <w:lvlJc w:val="left"/>
      <w:lvlText w:val="%1)"/>
      <w:numFmt w:val="lowerLetter"/>
      <w:start w:val="1"/>
    </w:lvl>
  </w:abstractNum>
  <w:abstractNum w:abstractNumId="77">
    <w:nsid w:val="5C10FE21"/>
    <w:multiLevelType w:val="hybridMultilevel"/>
    <w:lvl w:ilvl="0">
      <w:lvlJc w:val="left"/>
      <w:lvlText w:val="%1)"/>
      <w:numFmt w:val="lowerLetter"/>
      <w:start w:val="2"/>
    </w:lvl>
  </w:abstractNum>
  <w:abstractNum w:abstractNumId="78">
    <w:nsid w:val="E7FFA2B"/>
    <w:multiLevelType w:val="hybridMultilevel"/>
    <w:lvl w:ilvl="0">
      <w:lvlJc w:val="left"/>
      <w:lvlText w:val="%1)"/>
      <w:numFmt w:val="lowerLetter"/>
      <w:start w:val="2"/>
    </w:lvl>
  </w:abstractNum>
  <w:abstractNum w:abstractNumId="79">
    <w:nsid w:val="3C5991AA"/>
    <w:multiLevelType w:val="hybridMultilevel"/>
    <w:lvl w:ilvl="0">
      <w:lvlJc w:val="left"/>
      <w:lvlText w:val="(%1)"/>
      <w:numFmt w:val="lowerRoman"/>
      <w:start w:val="1"/>
    </w:lvl>
  </w:abstractNum>
  <w:abstractNum w:abstractNumId="80">
    <w:nsid w:val="4BD8591A"/>
    <w:multiLevelType w:val="hybridMultilevel"/>
    <w:lvl w:ilvl="0">
      <w:lvlJc w:val="left"/>
      <w:lvlText w:val="(%1)"/>
      <w:numFmt w:val="lowerRoman"/>
      <w:start w:val="2"/>
    </w:lvl>
  </w:abstractNum>
  <w:abstractNum w:abstractNumId="81">
    <w:nsid w:val="78DF6A55"/>
    <w:multiLevelType w:val="hybridMultilevel"/>
    <w:lvl w:ilvl="0">
      <w:lvlJc w:val="left"/>
      <w:lvlText w:val="%1)"/>
      <w:numFmt w:val="lowerLetter"/>
      <w:start w:val="3"/>
    </w:lvl>
    <w:lvl w:ilvl="1">
      <w:lvlJc w:val="left"/>
      <w:lvlText w:val="-"/>
      <w:numFmt w:val="bullet"/>
      <w:start w:val="1"/>
    </w:lvl>
  </w:abstractNum>
  <w:abstractNum w:abstractNumId="82">
    <w:nsid w:val="39B7AAA2"/>
    <w:multiLevelType w:val="hybridMultilevel"/>
    <w:lvl w:ilvl="0">
      <w:lvlJc w:val="left"/>
      <w:lvlText w:val="%1)"/>
      <w:numFmt w:val="lowerLetter"/>
      <w:start w:val="5"/>
    </w:lvl>
  </w:abstractNum>
  <w:abstractNum w:abstractNumId="83">
    <w:nsid w:val="2B0D8DBE"/>
    <w:multiLevelType w:val="hybridMultilevel"/>
    <w:lvl w:ilvl="0">
      <w:lvlJc w:val="left"/>
      <w:lvlText w:val="(%1)"/>
      <w:numFmt w:val="lowerRoman"/>
      <w:start w:val="1"/>
    </w:lvl>
  </w:abstractNum>
  <w:abstractNum w:abstractNumId="84">
    <w:nsid w:val="6C80EC70"/>
    <w:multiLevelType w:val="hybridMultilevel"/>
    <w:lvl w:ilvl="0">
      <w:lvlJc w:val="left"/>
      <w:lvlText w:val="(%1)"/>
      <w:numFmt w:val="lowerRoman"/>
      <w:start w:val="2"/>
    </w:lvl>
  </w:abstractNum>
  <w:abstractNum w:abstractNumId="85">
    <w:nsid w:val="379E21B5"/>
    <w:multiLevelType w:val="hybridMultilevel"/>
    <w:lvl w:ilvl="0">
      <w:lvlJc w:val="left"/>
      <w:lvlText w:val="%1)"/>
      <w:numFmt w:val="lowerLetter"/>
      <w:start w:val="1"/>
    </w:lvl>
  </w:abstractNum>
  <w:abstractNum w:abstractNumId="86">
    <w:nsid w:val="69E373"/>
    <w:multiLevelType w:val="hybridMultilevel"/>
    <w:lvl w:ilvl="0">
      <w:lvlJc w:val="left"/>
      <w:lvlText w:val="(*)"/>
      <w:numFmt w:val="bullet"/>
      <w:start w:val="1"/>
    </w:lvl>
  </w:abstractNum>
  <w:abstractNum w:abstractNumId="87">
    <w:nsid w:val="2C27173B"/>
    <w:multiLevelType w:val="hybridMultilevel"/>
    <w:lvl w:ilvl="0">
      <w:lvlJc w:val="left"/>
      <w:lvlText w:val="(**)"/>
      <w:numFmt w:val="bullet"/>
      <w:start w:val="1"/>
    </w:lvl>
  </w:abstractNum>
  <w:abstractNum w:abstractNumId="88">
    <w:nsid w:val="4C9B0904"/>
    <w:multiLevelType w:val="hybridMultilevel"/>
    <w:lvl w:ilvl="0">
      <w:lvlJc w:val="left"/>
      <w:lvlText w:val="(***)"/>
      <w:numFmt w:val="bullet"/>
      <w:start w:val="1"/>
    </w:lvl>
    <w:lvl w:ilvl="1">
      <w:lvlJc w:val="left"/>
      <w:lvlText w:val="-"/>
      <w:numFmt w:val="bullet"/>
      <w:start w:val="1"/>
    </w:lvl>
  </w:abstractNum>
  <w:abstractNum w:abstractNumId="89">
    <w:nsid w:val="6AA7B75C"/>
    <w:multiLevelType w:val="hybridMultilevel"/>
    <w:lvl w:ilvl="0">
      <w:lvlJc w:val="left"/>
      <w:lvlText w:val="%1"/>
      <w:numFmt w:val="lowerLetter"/>
      <w:start w:val="1"/>
    </w:lvl>
    <w:lvl w:ilvl="1">
      <w:lvlJc w:val="left"/>
      <w:lvlText w:val="(%2)"/>
      <w:numFmt w:val="lowerRoman"/>
      <w:start w:val="2"/>
    </w:lvl>
  </w:abstractNum>
  <w:abstractNum w:abstractNumId="90">
    <w:nsid w:val="1DF029D3"/>
    <w:multiLevelType w:val="hybridMultilevel"/>
    <w:lvl w:ilvl="0">
      <w:lvlJc w:val="left"/>
      <w:lvlText w:val="%1)"/>
      <w:numFmt w:val="lowerLetter"/>
      <w:start w:val="2"/>
    </w:lvl>
    <w:lvl w:ilvl="1">
      <w:lvlJc w:val="left"/>
      <w:lvlText w:val="%2"/>
      <w:numFmt w:val="lowerRoman"/>
      <w:start w:val="1"/>
    </w:lvl>
  </w:abstractNum>
  <w:abstractNum w:abstractNumId="91">
    <w:nsid w:val="5675FF36"/>
    <w:multiLevelType w:val="hybridMultilevel"/>
    <w:lvl w:ilvl="0">
      <w:lvlJc w:val="left"/>
      <w:lvlText w:val="%1)"/>
      <w:numFmt w:val="lowerLetter"/>
      <w:start w:val="3"/>
    </w:lvl>
    <w:lvl w:ilvl="1">
      <w:lvlJc w:val="left"/>
      <w:lvlText w:val="-"/>
      <w:numFmt w:val="bullet"/>
      <w:start w:val="1"/>
    </w:lvl>
  </w:abstractNum>
  <w:abstractNum w:abstractNumId="92">
    <w:nsid w:val="3DD15094"/>
    <w:multiLevelType w:val="hybridMultilevel"/>
    <w:lvl w:ilvl="0">
      <w:lvlJc w:val="left"/>
      <w:lvlText w:val="%1)"/>
      <w:numFmt w:val="lowerLetter"/>
      <w:start w:val="1"/>
    </w:lvl>
  </w:abstractNum>
  <w:abstractNum w:abstractNumId="93">
    <w:nsid w:val="3DB012B3"/>
    <w:multiLevelType w:val="hybridMultilevel"/>
    <w:lvl w:ilvl="0">
      <w:lvlJc w:val="left"/>
      <w:lvlText w:val="(*)"/>
      <w:numFmt w:val="bullet"/>
      <w:start w:val="1"/>
    </w:lvl>
  </w:abstractNum>
  <w:abstractNum w:abstractNumId="94">
    <w:nsid w:val="2708C9AF"/>
    <w:multiLevelType w:val="hybridMultilevel"/>
    <w:lvl w:ilvl="0">
      <w:lvlJc w:val="left"/>
      <w:lvlText w:val="(*)"/>
      <w:numFmt w:val="bullet"/>
      <w:start w:val="1"/>
    </w:lvl>
    <w:lvl w:ilvl="1">
      <w:lvlJc w:val="left"/>
      <w:lvlText w:val="-"/>
      <w:numFmt w:val="bullet"/>
      <w:start w:val="1"/>
    </w:lvl>
  </w:abstractNum>
  <w:abstractNum w:abstractNumId="95">
    <w:nsid w:val="5B25ACE2"/>
    <w:multiLevelType w:val="hybridMultilevel"/>
    <w:lvl w:ilvl="0">
      <w:lvlJc w:val="left"/>
      <w:lvlText w:val="%1)"/>
      <w:numFmt w:val="lowerLetter"/>
      <w:start w:val="1"/>
    </w:lvl>
  </w:abstractNum>
  <w:abstractNum w:abstractNumId="96">
    <w:nsid w:val="175DFCF0"/>
    <w:multiLevelType w:val="hybridMultilevel"/>
    <w:lvl w:ilvl="0">
      <w:lvlJc w:val="left"/>
      <w:lvlText w:val="(%1)"/>
      <w:numFmt w:val="lowerRoman"/>
      <w:start w:val="1"/>
    </w:lvl>
    <w:lvl w:ilvl="1">
      <w:lvlJc w:val="left"/>
      <w:lvlText w:val="-"/>
      <w:numFmt w:val="bullet"/>
      <w:start w:val="1"/>
    </w:lvl>
  </w:abstractNum>
  <w:abstractNum w:abstractNumId="97">
    <w:nsid w:val="4F97E3E4"/>
    <w:multiLevelType w:val="hybridMultilevel"/>
    <w:lvl w:ilvl="0">
      <w:lvlJc w:val="left"/>
      <w:lvlText w:val="%1"/>
      <w:numFmt w:val="lowerLetter"/>
      <w:start w:val="1"/>
    </w:lvl>
    <w:lvl w:ilvl="1">
      <w:lvlJc w:val="left"/>
      <w:lvlText w:val="(%2)"/>
      <w:numFmt w:val="lowerRoman"/>
      <w:start w:val="7"/>
    </w:lvl>
  </w:abstractNum>
  <w:abstractNum w:abstractNumId="98">
    <w:nsid w:val="53B0A9E"/>
    <w:multiLevelType w:val="hybridMultilevel"/>
    <w:lvl w:ilvl="0">
      <w:lvlJc w:val="left"/>
      <w:lvlText w:val="%1)"/>
      <w:numFmt w:val="lowerLetter"/>
      <w:start w:val="2"/>
    </w:lvl>
    <w:lvl w:ilvl="1">
      <w:lvlJc w:val="left"/>
      <w:lvlText w:val="%2"/>
      <w:numFmt w:val="lowerRoman"/>
      <w:start w:val="1"/>
    </w:lvl>
  </w:abstractNum>
  <w:abstractNum w:abstractNumId="99">
    <w:nsid w:val="34FD6B4F"/>
    <w:multiLevelType w:val="hybridMultilevel"/>
    <w:lvl w:ilvl="0">
      <w:lvlJc w:val="left"/>
      <w:lvlText w:val="%1)"/>
      <w:numFmt w:val="lowerLetter"/>
      <w:start w:val="1"/>
    </w:lvl>
    <w:lvl w:ilvl="1">
      <w:lvlJc w:val="left"/>
      <w:lvlText w:val="-"/>
      <w:numFmt w:val="bullet"/>
      <w:start w:val="1"/>
    </w:lvl>
  </w:abstractNum>
  <w:abstractNum w:abstractNumId="100">
    <w:nsid w:val="5915FF32"/>
    <w:multiLevelType w:val="hybridMultilevel"/>
    <w:lvl w:ilvl="0">
      <w:lvlJc w:val="left"/>
      <w:lvlText w:val="%1)"/>
      <w:numFmt w:val="lowerLetter"/>
      <w:start w:val="3"/>
    </w:lvl>
  </w:abstractNum>
  <w:abstractNum w:abstractNumId="101">
    <w:nsid w:val="56438D15"/>
    <w:multiLevelType w:val="hybridMultilevel"/>
    <w:lvl w:ilvl="0">
      <w:lvlJc w:val="left"/>
      <w:lvlText w:val="%1)"/>
      <w:numFmt w:val="lowerLetter"/>
      <w:start w:val="4"/>
    </w:lvl>
  </w:abstractNum>
  <w:abstractNum w:abstractNumId="102">
    <w:nsid w:val="519E3149"/>
    <w:multiLevelType w:val="hybridMultilevel"/>
    <w:lvl w:ilvl="0">
      <w:lvlJc w:val="left"/>
      <w:lvlText w:val="%1)"/>
      <w:numFmt w:val="lowerLetter"/>
      <w:start w:val="5"/>
    </w:lvl>
  </w:abstractNum>
  <w:abstractNum w:abstractNumId="103">
    <w:nsid w:val="2C6E4AFD"/>
    <w:multiLevelType w:val="hybridMultilevel"/>
    <w:lvl w:ilvl="0">
      <w:lvlJc w:val="left"/>
      <w:lvlText w:val="%1)"/>
      <w:numFmt w:val="lowerLetter"/>
      <w:start w:val="1"/>
    </w:lvl>
    <w:lvl w:ilvl="1">
      <w:lvlJc w:val="left"/>
      <w:lvlText w:val="-"/>
      <w:numFmt w:val="bullet"/>
      <w:start w:val="1"/>
    </w:lvl>
  </w:abstractNum>
  <w:abstractNum w:abstractNumId="104">
    <w:nsid w:val="17A1B582"/>
    <w:multiLevelType w:val="hybridMultilevel"/>
    <w:lvl w:ilvl="0">
      <w:lvlJc w:val="left"/>
      <w:lvlText w:val="%1)"/>
      <w:numFmt w:val="lowerLetter"/>
      <w:start w:val="4"/>
    </w:lvl>
  </w:abstractNum>
  <w:abstractNum w:abstractNumId="105">
    <w:nsid w:val="4DF72E4E"/>
    <w:multiLevelType w:val="hybridMultilevel"/>
    <w:lvl w:ilvl="0">
      <w:lvlJc w:val="left"/>
      <w:lvlText w:val="%1)"/>
      <w:numFmt w:val="lowerLetter"/>
      <w:start w:val="1"/>
    </w:lvl>
  </w:abstractNum>
  <w:abstractNum w:abstractNumId="106">
    <w:nsid w:val="5046B5A9"/>
    <w:multiLevelType w:val="hybridMultilevel"/>
    <w:lvl w:ilvl="0">
      <w:lvlJc w:val="left"/>
      <w:lvlText w:val="%1)"/>
      <w:numFmt w:val="lowerLetter"/>
      <w:start w:val="2"/>
    </w:lvl>
    <w:lvl w:ilvl="1">
      <w:lvlJc w:val="left"/>
      <w:lvlText w:val="-"/>
      <w:numFmt w:val="bullet"/>
      <w:start w:val="1"/>
    </w:lvl>
  </w:abstractNum>
  <w:abstractNum w:abstractNumId="107">
    <w:nsid w:val="5D888A08"/>
    <w:multiLevelType w:val="hybridMultilevel"/>
    <w:lvl w:ilvl="0">
      <w:lvlJc w:val="left"/>
      <w:lvlText w:val="(*)"/>
      <w:numFmt w:val="bullet"/>
      <w:start w:val="1"/>
    </w:lvl>
    <w:lvl w:ilvl="1">
      <w:lvlJc w:val="left"/>
      <w:lvlText w:val="-"/>
      <w:numFmt w:val="bullet"/>
      <w:start w:val="1"/>
    </w:lvl>
  </w:abstractNum>
  <w:abstractNum w:abstractNumId="108">
    <w:nsid w:val="2A082C70"/>
    <w:multiLevelType w:val="hybridMultilevel"/>
    <w:lvl w:ilvl="0">
      <w:lvlJc w:val="left"/>
      <w:lvlText w:val="(*)"/>
      <w:numFmt w:val="bullet"/>
      <w:start w:val="1"/>
    </w:lvl>
  </w:abstractNum>
  <w:abstractNum w:abstractNumId="109">
    <w:nsid w:val="5EC6AFD4"/>
    <w:multiLevelType w:val="hybridMultilevel"/>
    <w:lvl w:ilvl="0">
      <w:lvlJc w:val="left"/>
      <w:lvlText w:val="(%1)"/>
      <w:numFmt w:val="lowerRoman"/>
      <w:start w:val="2"/>
    </w:lvl>
    <w:lvl w:ilvl="1">
      <w:lvlJc w:val="left"/>
      <w:lvlText w:val="-"/>
      <w:numFmt w:val="bullet"/>
      <w:start w:val="1"/>
    </w:lvl>
  </w:abstractNum>
  <w:abstractNum w:abstractNumId="110">
    <w:nsid w:val="19E21BB2"/>
    <w:multiLevelType w:val="hybridMultilevel"/>
    <w:lvl w:ilvl="0">
      <w:lvlJc w:val="left"/>
      <w:lvlText w:val="(*)"/>
      <w:numFmt w:val="bullet"/>
      <w:start w:val="1"/>
    </w:lvl>
    <w:lvl w:ilvl="1">
      <w:lvlJc w:val="left"/>
      <w:lvlText w:val="-"/>
      <w:numFmt w:val="bullet"/>
      <w:start w:val="1"/>
    </w:lvl>
  </w:abstractNum>
  <w:abstractNum w:abstractNumId="111">
    <w:nsid w:val="75E0858A"/>
    <w:multiLevelType w:val="hybridMultilevel"/>
    <w:lvl w:ilvl="0">
      <w:lvlJc w:val="left"/>
      <w:lvlText w:val="(*)"/>
      <w:numFmt w:val="bullet"/>
      <w:start w:val="1"/>
    </w:lvl>
  </w:abstractNum>
  <w:abstractNum w:abstractNumId="112">
    <w:nsid w:val="57A61A29"/>
    <w:multiLevelType w:val="hybridMultilevel"/>
    <w:lvl w:ilvl="0">
      <w:lvlJc w:val="left"/>
      <w:lvlText w:val="(*)"/>
      <w:numFmt w:val="bullet"/>
      <w:start w:val="1"/>
    </w:lvl>
  </w:abstractNum>
  <w:abstractNum w:abstractNumId="113">
    <w:nsid w:val="5399C654"/>
    <w:multiLevelType w:val="hybridMultilevel"/>
    <w:lvl w:ilvl="0">
      <w:lvlJc w:val="left"/>
      <w:lvlText w:val="(%1)"/>
      <w:numFmt w:val="lowerRoman"/>
      <w:start w:val="1"/>
    </w:lvl>
  </w:abstractNum>
  <w:abstractNum w:abstractNumId="114">
    <w:nsid w:val="20EE1348"/>
    <w:multiLevelType w:val="hybridMultilevel"/>
    <w:lvl w:ilvl="0">
      <w:lvlJc w:val="left"/>
      <w:lvlText w:val="(%1)"/>
      <w:numFmt w:val="lowerRoman"/>
      <w:start w:val="2"/>
    </w:lvl>
  </w:abstractNum>
  <w:abstractNum w:abstractNumId="115">
    <w:nsid w:val="4427069A"/>
    <w:multiLevelType w:val="hybridMultilevel"/>
    <w:lvl w:ilvl="0">
      <w:lvlJc w:val="left"/>
      <w:lvlText w:val="(*)"/>
      <w:numFmt w:val="bullet"/>
      <w:start w:val="1"/>
    </w:lvl>
  </w:abstractNum>
  <w:abstractNum w:abstractNumId="116">
    <w:nsid w:val="B37E80A"/>
    <w:multiLevelType w:val="hybridMultilevel"/>
    <w:lvl w:ilvl="0">
      <w:lvlJc w:val="left"/>
      <w:lvlText w:val="(**)"/>
      <w:numFmt w:val="bullet"/>
      <w:start w:val="1"/>
    </w:lvl>
  </w:abstractNum>
  <w:abstractNum w:abstractNumId="117">
    <w:nsid w:val="2157F6BC"/>
    <w:multiLevelType w:val="hybridMultilevel"/>
    <w:lvl w:ilvl="0">
      <w:lvlJc w:val="left"/>
      <w:lvlText w:val="(***)"/>
      <w:numFmt w:val="bullet"/>
      <w:start w:val="1"/>
    </w:lvl>
    <w:lvl w:ilvl="1">
      <w:lvlJc w:val="left"/>
      <w:lvlText w:val="-"/>
      <w:numFmt w:val="bullet"/>
      <w:start w:val="1"/>
    </w:lvl>
  </w:abstractNum>
  <w:abstractNum w:abstractNumId="118">
    <w:nsid w:val="704E1DD5"/>
    <w:multiLevelType w:val="hybridMultilevel"/>
    <w:lvl w:ilvl="0">
      <w:lvlJc w:val="left"/>
      <w:lvlText w:val="(*)"/>
      <w:numFmt w:val="bullet"/>
      <w:start w:val="1"/>
    </w:lvl>
  </w:abstractNum>
  <w:abstractNum w:abstractNumId="119">
    <w:nsid w:val="57D2F10E"/>
    <w:multiLevelType w:val="hybridMultilevel"/>
    <w:lvl w:ilvl="0">
      <w:lvlJc w:val="left"/>
      <w:lvlText w:val="%1)"/>
      <w:numFmt w:val="lowerLetter"/>
      <w:start w:val="1"/>
    </w:lvl>
  </w:abstractNum>
  <w:abstractNum w:abstractNumId="120">
    <w:nsid w:val="BFFAE18"/>
    <w:multiLevelType w:val="hybridMultilevel"/>
    <w:lvl w:ilvl="0">
      <w:lvlJc w:val="left"/>
      <w:lvlText w:val="%1)"/>
      <w:numFmt w:val="lowerLetter"/>
      <w:start w:val="3"/>
    </w:lvl>
  </w:abstractNum>
  <w:abstractNum w:abstractNumId="121">
    <w:nsid w:val="E3E47A8"/>
    <w:multiLevelType w:val="hybridMultilevel"/>
    <w:lvl w:ilvl="0">
      <w:lvlJc w:val="left"/>
      <w:lvlText w:val="%1)"/>
      <w:numFmt w:val="lowerLetter"/>
      <w:start w:val="6"/>
    </w:lvl>
  </w:abstractNum>
  <w:abstractNum w:abstractNumId="122">
    <w:nsid w:val="2E48F04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23">
    <w:nsid w:val="49D0FEAC"/>
    <w:multiLevelType w:val="hybridMultilevel"/>
    <w:lvl w:ilvl="0">
      <w:lvlJc w:val="left"/>
      <w:lvlText w:val="(%1)"/>
      <w:numFmt w:val="lowerRoman"/>
      <w:start w:val="3"/>
    </w:lvl>
    <w:lvl w:ilvl="1">
      <w:lvlJc w:val="left"/>
      <w:lvlText w:val="-"/>
      <w:numFmt w:val="bullet"/>
      <w:start w:val="1"/>
    </w:lvl>
  </w:abstractNum>
  <w:abstractNum w:abstractNumId="124">
    <w:nsid w:val="4BEE5A5B"/>
    <w:multiLevelType w:val="hybridMultilevel"/>
    <w:lvl w:ilvl="0">
      <w:lvlJc w:val="left"/>
      <w:lvlText w:val="%1)"/>
      <w:numFmt w:val="lowerLetter"/>
      <w:start w:val="2"/>
    </w:lvl>
    <w:lvl w:ilvl="1">
      <w:lvlJc w:val="left"/>
      <w:lvlText w:val="-"/>
      <w:numFmt w:val="bullet"/>
      <w:start w:val="1"/>
    </w:lvl>
    <w:lvl w:ilvl="2">
      <w:lvlJc w:val="left"/>
      <w:lvlText w:val="-"/>
      <w:numFmt w:val="bullet"/>
      <w:start w:val="1"/>
    </w:lvl>
  </w:abstractNum>
  <w:abstractNum w:abstractNumId="125">
    <w:nsid w:val="5551B9F3"/>
    <w:multiLevelType w:val="hybridMultilevel"/>
    <w:lvl w:ilvl="0">
      <w:lvlJc w:val="left"/>
      <w:lvlText w:val="%1)"/>
      <w:numFmt w:val="lowerLetter"/>
      <w:start w:val="5"/>
    </w:lvl>
  </w:abstractNum>
  <w:abstractNum w:abstractNumId="126">
    <w:nsid w:val="24F6AB8E"/>
    <w:multiLevelType w:val="hybridMultilevel"/>
    <w:lvl w:ilvl="0">
      <w:lvlJc w:val="left"/>
      <w:lvlText w:val="%1)"/>
      <w:numFmt w:val="lowerLetter"/>
      <w:start w:val="1"/>
    </w:lvl>
    <w:lvl w:ilvl="1">
      <w:lvlJc w:val="left"/>
      <w:lvlText w:val="(%2)"/>
      <w:numFmt w:val="lowerRoman"/>
      <w:start w:val="1"/>
    </w:lvl>
  </w:abstractNum>
  <w:abstractNum w:abstractNumId="127">
    <w:nsid w:val="634C574C"/>
    <w:multiLevelType w:val="hybridMultilevel"/>
    <w:lvl w:ilvl="0">
      <w:lvlJc w:val="left"/>
      <w:lvlText w:val="-"/>
      <w:numFmt w:val="bullet"/>
      <w:start w:val="1"/>
    </w:lvl>
    <w:lvl w:ilvl="1">
      <w:lvlJc w:val="left"/>
      <w:lvlText w:val="-"/>
      <w:numFmt w:val="bullet"/>
      <w:start w:val="1"/>
    </w:lvl>
  </w:abstractNum>
  <w:abstractNum w:abstractNumId="128">
    <w:nsid w:val="24E99DD7"/>
    <w:multiLevelType w:val="hybridMultilevel"/>
    <w:lvl w:ilvl="0">
      <w:lvlJc w:val="left"/>
      <w:lvlText w:val="-"/>
      <w:numFmt w:val="bullet"/>
      <w:start w:val="1"/>
    </w:lvl>
  </w:abstractNum>
  <w:abstractNum w:abstractNumId="129">
    <w:nsid w:val="2A31B62D"/>
    <w:multiLevelType w:val="hybridMultilevel"/>
    <w:lvl w:ilvl="0">
      <w:lvlJc w:val="left"/>
      <w:lvlText w:val="(%1)"/>
      <w:numFmt w:val="lowerRoman"/>
      <w:start w:val="2"/>
    </w:lvl>
    <w:lvl w:ilvl="1">
      <w:lvlJc w:val="left"/>
      <w:lvlText w:val="-"/>
      <w:numFmt w:val="bullet"/>
      <w:start w:val="1"/>
    </w:lvl>
  </w:abstractNum>
  <w:abstractNum w:abstractNumId="130">
    <w:nsid w:val="1849C29B"/>
    <w:multiLevelType w:val="hybridMultilevel"/>
    <w:lvl w:ilvl="0">
      <w:lvlJc w:val="left"/>
      <w:lvlText w:val="%1)"/>
      <w:numFmt w:val="lowerLetter"/>
      <w:start w:val="2"/>
    </w:lvl>
    <w:lvl w:ilvl="1">
      <w:lvlJc w:val="left"/>
      <w:lvlText w:val="-"/>
      <w:numFmt w:val="bullet"/>
      <w:start w:val="1"/>
    </w:lvl>
  </w:abstractNum>
  <w:abstractNum w:abstractNumId="131">
    <w:nsid w:val="7DFF9D09"/>
    <w:multiLevelType w:val="hybridMultilevel"/>
    <w:lvl w:ilvl="0">
      <w:lvlJc w:val="left"/>
      <w:lvlText w:val="(%1)"/>
      <w:numFmt w:val="lowerRoman"/>
      <w:start w:val="1"/>
    </w:lvl>
  </w:abstractNum>
  <w:abstractNum w:abstractNumId="132">
    <w:nsid w:val="754342"/>
    <w:multiLevelType w:val="hybridMultilevel"/>
    <w:lvl w:ilvl="0">
      <w:lvlJc w:val="left"/>
      <w:lvlText w:val="(%1)"/>
      <w:numFmt w:val="lowerRoman"/>
      <w:start w:val="1"/>
    </w:lvl>
  </w:abstractNum>
  <w:abstractNum w:abstractNumId="133">
    <w:nsid w:val="69E7F3E5"/>
    <w:multiLevelType w:val="hybridMultilevel"/>
    <w:lvl w:ilvl="0">
      <w:lvlJc w:val="left"/>
      <w:lvlText w:val="%1)"/>
      <w:numFmt w:val="lowerLetter"/>
      <w:start w:val="4"/>
    </w:lvl>
    <w:lvl w:ilvl="1">
      <w:lvlJc w:val="left"/>
      <w:lvlText w:val="-"/>
      <w:numFmt w:val="bullet"/>
      <w:start w:val="1"/>
    </w:lvl>
  </w:abstractNum>
  <w:abstractNum w:abstractNumId="134">
    <w:nsid w:val="2A6DE806"/>
    <w:multiLevelType w:val="hybridMultilevel"/>
    <w:lvl w:ilvl="0">
      <w:lvlJc w:val="left"/>
      <w:lvlText w:val="%1)"/>
      <w:numFmt w:val="lowerLetter"/>
      <w:start w:val="6"/>
    </w:lvl>
  </w:abstractNum>
  <w:abstractNum w:abstractNumId="135">
    <w:nsid w:val="1816F8C4"/>
    <w:multiLevelType w:val="hybridMultilevel"/>
    <w:lvl w:ilvl="0">
      <w:lvlJc w:val="left"/>
      <w:lvlText w:val="%1)"/>
      <w:numFmt w:val="lowerLetter"/>
      <w:start w:val="7"/>
    </w:lvl>
    <w:lvl w:ilvl="1">
      <w:lvlJc w:val="left"/>
      <w:lvlText w:val="-"/>
      <w:numFmt w:val="bullet"/>
      <w:start w:val="1"/>
    </w:lvl>
  </w:abstractNum>
  <w:abstractNum w:abstractNumId="136">
    <w:nsid w:val="37DF2233"/>
    <w:multiLevelType w:val="hybridMultilevel"/>
    <w:lvl w:ilvl="0">
      <w:lvlJc w:val="left"/>
      <w:lvlText w:val="-"/>
      <w:numFmt w:val="bullet"/>
      <w:start w:val="1"/>
    </w:lvl>
  </w:abstractNum>
  <w:abstractNum w:abstractNumId="137">
    <w:nsid w:val="7AB49DAF"/>
    <w:multiLevelType w:val="hybridMultilevel"/>
    <w:lvl w:ilvl="0">
      <w:lvlJc w:val="left"/>
      <w:lvlText w:val="-"/>
      <w:numFmt w:val="bullet"/>
      <w:start w:val="1"/>
    </w:lvl>
  </w:abstractNum>
  <w:abstractNum w:abstractNumId="138">
    <w:nsid w:val="759F82C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9">
    <w:nsid w:val="61E74EA3"/>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40">
    <w:nsid w:val="597B4D84"/>
    <w:multiLevelType w:val="hybridMultilevel"/>
    <w:lvl w:ilvl="0">
      <w:lvlJc w:val="left"/>
      <w:lvlText w:val="(%1)"/>
      <w:numFmt w:val="lowerRoman"/>
      <w:start w:val="2"/>
    </w:lvl>
    <w:lvl w:ilvl="1">
      <w:lvlJc w:val="left"/>
      <w:lvlText w:val="-"/>
      <w:numFmt w:val="bullet"/>
      <w:start w:val="1"/>
    </w:lvl>
  </w:abstractNum>
  <w:abstractNum w:abstractNumId="141">
    <w:nsid w:val="F819E7F"/>
    <w:multiLevelType w:val="hybridMultilevel"/>
    <w:lvl w:ilvl="0">
      <w:lvlJc w:val="left"/>
      <w:lvlText w:val="-"/>
      <w:numFmt w:val="bullet"/>
      <w:start w:val="1"/>
    </w:lvl>
    <w:lvl w:ilvl="1">
      <w:lvlJc w:val="left"/>
      <w:lvlText w:val="-"/>
      <w:numFmt w:val="bullet"/>
      <w:start w:val="1"/>
    </w:lvl>
  </w:abstractNum>
  <w:abstractNum w:abstractNumId="142">
    <w:nsid w:val="57C7D42D"/>
    <w:multiLevelType w:val="hybridMultilevel"/>
    <w:lvl w:ilvl="0">
      <w:lvlJc w:val="left"/>
      <w:lvlText w:val="(%1)"/>
      <w:numFmt w:val="lowerRoman"/>
      <w:start w:val="2"/>
    </w:lvl>
  </w:abstractNum>
  <w:abstractNum w:abstractNumId="143">
    <w:nsid w:val="312167AD"/>
    <w:multiLevelType w:val="hybridMultilevel"/>
    <w:lvl w:ilvl="0">
      <w:lvlJc w:val="left"/>
      <w:lvlText w:val="%1)"/>
      <w:numFmt w:val="lowerLetter"/>
      <w:start w:val="1"/>
    </w:lvl>
  </w:abstractNum>
  <w:abstractNum w:abstractNumId="144">
    <w:nsid w:val="631B64D4"/>
    <w:multiLevelType w:val="hybridMultilevel"/>
    <w:lvl w:ilvl="0">
      <w:lvlJc w:val="left"/>
      <w:lvlText w:val="(%1)"/>
      <w:numFmt w:val="lowerRoman"/>
      <w:start w:val="1"/>
    </w:lvl>
  </w:abstractNum>
  <w:abstractNum w:abstractNumId="145">
    <w:nsid w:val="78B5E776"/>
    <w:multiLevelType w:val="hybridMultilevel"/>
    <w:lvl w:ilvl="0">
      <w:lvlJc w:val="left"/>
      <w:lvlText w:val="(%1)"/>
      <w:numFmt w:val="lowerRoman"/>
      <w:start w:val="1"/>
    </w:lvl>
    <w:lvl w:ilvl="1">
      <w:lvlJc w:val="left"/>
      <w:lvlText w:val="-"/>
      <w:numFmt w:val="bullet"/>
      <w:start w:val="1"/>
    </w:lvl>
  </w:abstractNum>
  <w:abstractNum w:abstractNumId="146">
    <w:nsid w:val="75486E47"/>
    <w:multiLevelType w:val="hybridMultilevel"/>
    <w:lvl w:ilvl="0">
      <w:lvlJc w:val="left"/>
      <w:lvlText w:val="(%1)"/>
      <w:numFmt w:val="lowerRoman"/>
      <w:start w:val="2"/>
    </w:lvl>
  </w:abstractNum>
  <w:abstractNum w:abstractNumId="147">
    <w:nsid w:val="6E534CDE"/>
    <w:multiLevelType w:val="hybridMultilevel"/>
    <w:lvl w:ilvl="0">
      <w:lvlJc w:val="left"/>
      <w:lvlText w:val="%1)"/>
      <w:numFmt w:val="lowerRoman"/>
      <w:start w:val="1"/>
    </w:lvl>
    <w:lvl w:ilvl="1">
      <w:lvlJc w:val="left"/>
      <w:lvlText w:val="-"/>
      <w:numFmt w:val="bullet"/>
      <w:start w:val="1"/>
    </w:lvl>
  </w:abstractNum>
  <w:abstractNum w:abstractNumId="148">
    <w:nsid w:val="1A0DDE32"/>
    <w:multiLevelType w:val="hybridMultilevel"/>
    <w:lvl w:ilvl="0">
      <w:lvlJc w:val="left"/>
      <w:lvlText w:val="%1)"/>
      <w:numFmt w:val="lowerRoman"/>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2019-12-06T04:04:38Z</dcterms:created>
  <dcterms:modified xsi:type="dcterms:W3CDTF">2019-12-06T04:04:38Z</dcterms:modified>
</cp:coreProperties>
</file>