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FORM 6-K</w:t>
      </w:r>
    </w:p>
    <w:p>
      <w:pPr>
        <w:spacing w:after="0" w:line="23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January 2023</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Commission File Number: 001-14014</w:t>
      </w:r>
    </w:p>
    <w:p>
      <w:pPr>
        <w:spacing w:after="0" w:line="196" w:lineRule="exact"/>
        <w:rPr>
          <w:sz w:val="24"/>
          <w:szCs w:val="24"/>
          <w:color w:val="auto"/>
        </w:rPr>
      </w:pPr>
    </w:p>
    <w:p>
      <w:pPr>
        <w:jc w:val="center"/>
        <w:ind w:right="-1100"/>
        <w:spacing w:after="0"/>
        <w:rPr>
          <w:sz w:val="20"/>
          <w:szCs w:val="20"/>
          <w:color w:val="auto"/>
        </w:rPr>
      </w:pPr>
      <w:r>
        <w:rPr>
          <w:rFonts w:ascii="Arial" w:cs="Arial" w:eastAsia="Arial" w:hAnsi="Arial"/>
          <w:sz w:val="43"/>
          <w:szCs w:val="43"/>
          <w:b w:val="1"/>
          <w:bCs w:val="1"/>
          <w:color w:val="auto"/>
        </w:rPr>
        <w:t>CREDICORP LTD.</w:t>
      </w:r>
    </w:p>
    <w:p>
      <w:pPr>
        <w:spacing w:after="0" w:line="50"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 xml:space="preserve">Lima 12, Peru </w:t>
      </w: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5"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5"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77415"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177415" cy="445770"/>
                    </a:xfrm>
                    <a:prstGeom prst="rect">
                      <a:avLst/>
                    </a:prstGeom>
                    <a:noFill/>
                  </pic:spPr>
                </pic:pic>
              </a:graphicData>
            </a:graphic>
          </wp:anchor>
        </w:drawing>
        <w:t>January 26,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Credicorp Ltd. (‘Credicorp’) notifies you as a Material Event that, in its session held on January 26, 2023, Credicorp’s Board of Directors unanimously agreed on the following:</w:t>
      </w:r>
    </w:p>
    <w:p>
      <w:pPr>
        <w:spacing w:after="0" w:line="170" w:lineRule="exact"/>
        <w:rPr>
          <w:sz w:val="20"/>
          <w:szCs w:val="20"/>
          <w:color w:val="auto"/>
        </w:rPr>
      </w:pPr>
    </w:p>
    <w:p>
      <w:pPr>
        <w:jc w:val="both"/>
        <w:ind w:left="340" w:hanging="332"/>
        <w:spacing w:after="0" w:line="26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set the date for the Annual General Meeting of Shareholders for Monday, March 27, 2023, at 3:00 p. m. (Peru time), in a pure virtual meeting through a web portal. In accordance with Credicorp’s Bye-Laws, if the required quorum is not met in the first instance, the meeting will be postponed until Monday, April 3, 2023, at the same place (web portal) and time.</w:t>
      </w:r>
    </w:p>
    <w:p>
      <w:pPr>
        <w:spacing w:after="0" w:line="183" w:lineRule="exact"/>
        <w:rPr>
          <w:rFonts w:ascii="Arial" w:cs="Arial" w:eastAsia="Arial" w:hAnsi="Arial"/>
          <w:sz w:val="18"/>
          <w:szCs w:val="18"/>
          <w:color w:val="auto"/>
        </w:rPr>
      </w:pPr>
    </w:p>
    <w:p>
      <w:pPr>
        <w:ind w:left="340" w:right="20"/>
        <w:spacing w:after="0" w:line="277" w:lineRule="auto"/>
        <w:rPr>
          <w:rFonts w:ascii="Arial" w:cs="Arial" w:eastAsia="Arial" w:hAnsi="Arial"/>
          <w:sz w:val="18"/>
          <w:szCs w:val="18"/>
          <w:color w:val="auto"/>
        </w:rPr>
      </w:pPr>
      <w:r>
        <w:rPr>
          <w:rFonts w:ascii="Arial" w:cs="Arial" w:eastAsia="Arial" w:hAnsi="Arial"/>
          <w:sz w:val="18"/>
          <w:szCs w:val="18"/>
          <w:color w:val="auto"/>
        </w:rPr>
        <w:t>The Board has established that those shareholders who are officially registered as shareholders of Credicorp as of Friday, February 10, 2023 (‘Record Date’) will be entitled to attend and vote in the above-mentioned meeting.</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Agenda defined for such Annual General Meeting of Shareholders will address the following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6"/>
          <w:szCs w:val="16"/>
          <w:color w:val="auto"/>
        </w:rPr>
      </w:pPr>
      <w:r>
        <w:rPr>
          <w:rFonts w:ascii="Arial" w:cs="Arial" w:eastAsia="Arial" w:hAnsi="Arial"/>
          <w:sz w:val="16"/>
          <w:szCs w:val="16"/>
          <w:color w:val="auto"/>
        </w:rPr>
        <w:t>Presentation by the Chairman of the Board of the Annual and Sustainability Report of Credicorp for the financial year ended December 31, 2022</w:t>
      </w:r>
    </w:p>
    <w:p>
      <w:pPr>
        <w:spacing w:after="0" w:line="46" w:lineRule="exact"/>
        <w:rPr>
          <w:rFonts w:ascii="Arial" w:cs="Arial" w:eastAsia="Arial" w:hAnsi="Arial"/>
          <w:sz w:val="16"/>
          <w:szCs w:val="16"/>
          <w:color w:val="auto"/>
        </w:rPr>
      </w:pPr>
    </w:p>
    <w:p>
      <w:pPr>
        <w:ind w:left="660" w:hanging="328"/>
        <w:spacing w:after="0" w:line="250"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Presentation by the Chairman of the Board of the audited consolidated financial statements of Credicorp and its subsidiaries for the financial year ended December 31, 2022, including the report of the external auditors of Credicorp thereon</w:t>
      </w: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Appointment of Directors and approval of their remuneration</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Appointment of the external auditors of Credicorp to perform such services for the 2023 financial year and delegation of the power to set and approve fees for such audit services to the Board of Directors (for further delegation to the Audit Committee thereof.)</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January 26, 2023</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Miriam Böttger</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21"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2023-01-27T05:16:58Z</dcterms:created>
  <dcterms:modified xsi:type="dcterms:W3CDTF">2023-01-27T05:16:58Z</dcterms:modified>
</cp:coreProperties>
</file>