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211455</wp:posOffset>
            </wp:positionH>
            <wp:positionV relativeFrom="page">
              <wp:posOffset>154305</wp:posOffset>
            </wp:positionV>
            <wp:extent cx="71577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274320</wp:posOffset>
            </wp:positionV>
            <wp:extent cx="7157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 this Form 6-K (including any </w:t>
      </w:r>
      <w:r>
        <w:rPr>
          <w:rFonts w:ascii="Times New Roman" w:cs="Times New Roman" w:eastAsia="Times New Roman" w:hAnsi="Times New Roman"/>
          <w:sz w:val="18"/>
          <w:szCs w:val="18"/>
          <w:u w:val="single" w:color="auto"/>
          <w:color w:val="0000EE"/>
        </w:rPr>
        <w:t>exhibit</w:t>
      </w:r>
      <w:r>
        <w:rPr>
          <w:rFonts w:ascii="Times New Roman" w:cs="Times New Roman" w:eastAsia="Times New Roman" w:hAnsi="Times New Roman"/>
          <w:sz w:val="18"/>
          <w:szCs w:val="18"/>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183515</wp:posOffset>
            </wp:positionV>
            <wp:extent cx="7157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71577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414655</wp:posOffset>
            </wp:positionV>
            <wp:extent cx="71577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497" w:right="318" w:bottom="1440" w:gutter="0" w:footer="0" w:header="0"/>
        </w:sectPr>
      </w:pPr>
    </w:p>
    <w:bookmarkStart w:id="1" w:name="page2"/>
    <w:bookmarkEnd w:id="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17, 2025</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17145</wp:posOffset>
            </wp:positionV>
            <wp:extent cx="2392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045" cy="1714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340360</wp:posOffset>
            </wp:positionV>
            <wp:extent cx="71577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0800"/>
          </w:cols>
          <w:pgMar w:left="340" w:top="112" w:right="778" w:bottom="1440" w:gutter="0" w:footer="0" w:header="0"/>
        </w:sectPr>
      </w:pPr>
    </w:p>
    <w:bookmarkStart w:id="2" w:name="page3"/>
    <w:bookmarkEnd w:id="2"/>
    <w:p>
      <w:pPr>
        <w:ind w:left="92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211455</wp:posOffset>
            </wp:positionH>
            <wp:positionV relativeFrom="page">
              <wp:posOffset>137160</wp:posOffset>
            </wp:positionV>
            <wp:extent cx="71577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135890</wp:posOffset>
            </wp:positionV>
            <wp:extent cx="7157720" cy="6806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6806565"/>
                    </a:xfrm>
                    <a:prstGeom prst="rect">
                      <a:avLst/>
                    </a:prstGeom>
                    <a:noFill/>
                  </pic:spPr>
                </pic:pic>
              </a:graphicData>
            </a:graphic>
          </wp:anchor>
        </w:drawing>
      </w:r>
    </w:p>
    <w:p>
      <w:pPr>
        <w:sectPr>
          <w:pgSz w:w="11920" w:h="16838" w:orient="portrait"/>
          <w:cols w:equalWidth="0" w:num="1">
            <w:col w:w="10160"/>
          </w:cols>
          <w:pgMar w:left="1440" w:top="330" w:right="318" w:bottom="1440" w:gutter="0" w:footer="0" w:header="0"/>
        </w:sectPr>
      </w:pPr>
    </w:p>
    <w:bookmarkStart w:id="3" w:name="page4"/>
    <w:bookmarkEnd w:id="3"/>
    <w:p>
      <w:pPr>
        <w:ind w:left="2680"/>
        <w:spacing w:after="0"/>
        <w:tabs>
          <w:tab w:leader="none" w:pos="3000" w:val="left"/>
          <w:tab w:leader="none" w:pos="9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49"/>
          <w:szCs w:val="49"/>
          <w:b w:val="1"/>
          <w:bCs w:val="1"/>
          <w:color w:val="2AD2C8"/>
        </w:rPr>
        <w:t>Table of Contents</w:t>
      </w: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305"/>
        </w:trPr>
        <w:tc>
          <w:tcPr>
            <w:tcW w:w="7540" w:type="dxa"/>
            <w:vAlign w:val="bottom"/>
          </w:tcPr>
          <w:p>
            <w:pPr>
              <w:spacing w:after="0"/>
              <w:rPr>
                <w:sz w:val="20"/>
                <w:szCs w:val="20"/>
                <w:color w:val="auto"/>
              </w:rPr>
            </w:pPr>
            <w:r>
              <w:rPr>
                <w:rFonts w:ascii="Arial" w:cs="Arial" w:eastAsia="Arial" w:hAnsi="Arial"/>
                <w:sz w:val="22"/>
                <w:szCs w:val="22"/>
                <w:b w:val="1"/>
                <w:bCs w:val="1"/>
                <w:color w:val="A6A6A6"/>
              </w:rPr>
              <w:t>Operating and Financial Highlights</w:t>
            </w:r>
          </w:p>
        </w:tc>
        <w:tc>
          <w:tcPr>
            <w:tcW w:w="2820" w:type="dxa"/>
            <w:vAlign w:val="bottom"/>
          </w:tcPr>
          <w:p>
            <w:pPr>
              <w:jc w:val="right"/>
              <w:spacing w:after="0"/>
              <w:rPr>
                <w:sz w:val="20"/>
                <w:szCs w:val="20"/>
                <w:color w:val="auto"/>
              </w:rPr>
            </w:pPr>
            <w:r>
              <w:rPr>
                <w:rFonts w:ascii="Arial" w:cs="Arial" w:eastAsia="Arial" w:hAnsi="Arial"/>
                <w:sz w:val="22"/>
                <w:szCs w:val="22"/>
                <w:color w:val="auto"/>
              </w:rPr>
              <w:t>03</w:t>
            </w:r>
          </w:p>
        </w:tc>
      </w:tr>
      <w:tr>
        <w:trPr>
          <w:trHeight w:val="486"/>
        </w:trPr>
        <w:tc>
          <w:tcPr>
            <w:tcW w:w="7540" w:type="dxa"/>
            <w:vAlign w:val="bottom"/>
          </w:tcPr>
          <w:p>
            <w:pPr>
              <w:spacing w:after="0"/>
              <w:rPr>
                <w:sz w:val="20"/>
                <w:szCs w:val="20"/>
                <w:color w:val="auto"/>
              </w:rPr>
            </w:pPr>
            <w:r>
              <w:rPr>
                <w:rFonts w:ascii="Arial" w:cs="Arial" w:eastAsia="Arial" w:hAnsi="Arial"/>
                <w:sz w:val="22"/>
                <w:szCs w:val="22"/>
                <w:b w:val="1"/>
                <w:bCs w:val="1"/>
                <w:color w:val="A6A6A6"/>
              </w:rPr>
              <w:t>Senior Management Quotes</w:t>
            </w:r>
          </w:p>
        </w:tc>
        <w:tc>
          <w:tcPr>
            <w:tcW w:w="2820" w:type="dxa"/>
            <w:vAlign w:val="bottom"/>
          </w:tcPr>
          <w:p>
            <w:pPr>
              <w:jc w:val="right"/>
              <w:spacing w:after="0"/>
              <w:rPr>
                <w:sz w:val="20"/>
                <w:szCs w:val="20"/>
                <w:color w:val="auto"/>
              </w:rPr>
            </w:pPr>
            <w:r>
              <w:rPr>
                <w:rFonts w:ascii="Arial" w:cs="Arial" w:eastAsia="Arial" w:hAnsi="Arial"/>
                <w:sz w:val="22"/>
                <w:szCs w:val="22"/>
                <w:color w:val="auto"/>
              </w:rPr>
              <w:t>04</w:t>
            </w:r>
          </w:p>
        </w:tc>
      </w:tr>
      <w:tr>
        <w:trPr>
          <w:trHeight w:val="486"/>
        </w:trPr>
        <w:tc>
          <w:tcPr>
            <w:tcW w:w="7540" w:type="dxa"/>
            <w:vAlign w:val="bottom"/>
          </w:tcPr>
          <w:p>
            <w:pPr>
              <w:spacing w:after="0"/>
              <w:rPr>
                <w:sz w:val="20"/>
                <w:szCs w:val="20"/>
                <w:color w:val="auto"/>
              </w:rPr>
            </w:pPr>
            <w:r>
              <w:rPr>
                <w:rFonts w:ascii="Arial" w:cs="Arial" w:eastAsia="Arial" w:hAnsi="Arial"/>
                <w:sz w:val="22"/>
                <w:szCs w:val="22"/>
                <w:b w:val="1"/>
                <w:bCs w:val="1"/>
                <w:color w:val="A6A6A6"/>
              </w:rPr>
              <w:t>Fourth Quarter 2025 Earnings Conference Call</w:t>
            </w:r>
          </w:p>
        </w:tc>
        <w:tc>
          <w:tcPr>
            <w:tcW w:w="2820" w:type="dxa"/>
            <w:vAlign w:val="bottom"/>
          </w:tcPr>
          <w:p>
            <w:pPr>
              <w:jc w:val="right"/>
              <w:spacing w:after="0"/>
              <w:rPr>
                <w:sz w:val="20"/>
                <w:szCs w:val="20"/>
                <w:color w:val="auto"/>
              </w:rPr>
            </w:pPr>
            <w:r>
              <w:rPr>
                <w:rFonts w:ascii="Arial" w:cs="Arial" w:eastAsia="Arial" w:hAnsi="Arial"/>
                <w:sz w:val="22"/>
                <w:szCs w:val="22"/>
                <w:color w:val="auto"/>
              </w:rPr>
              <w:t>05</w:t>
            </w:r>
          </w:p>
        </w:tc>
      </w:tr>
      <w:tr>
        <w:trPr>
          <w:trHeight w:val="486"/>
        </w:trPr>
        <w:tc>
          <w:tcPr>
            <w:tcW w:w="7540" w:type="dxa"/>
            <w:vAlign w:val="bottom"/>
          </w:tcPr>
          <w:p>
            <w:pPr>
              <w:spacing w:after="0"/>
              <w:rPr>
                <w:sz w:val="20"/>
                <w:szCs w:val="20"/>
                <w:color w:val="auto"/>
              </w:rPr>
            </w:pPr>
            <w:r>
              <w:rPr>
                <w:rFonts w:ascii="Arial" w:cs="Arial" w:eastAsia="Arial" w:hAnsi="Arial"/>
                <w:sz w:val="22"/>
                <w:szCs w:val="22"/>
                <w:b w:val="1"/>
                <w:bCs w:val="1"/>
                <w:color w:val="A6A6A6"/>
              </w:rPr>
              <w:t>Summary of Financial Performance and Outlook</w:t>
            </w:r>
          </w:p>
        </w:tc>
        <w:tc>
          <w:tcPr>
            <w:tcW w:w="2820" w:type="dxa"/>
            <w:vAlign w:val="bottom"/>
          </w:tcPr>
          <w:p>
            <w:pPr>
              <w:jc w:val="right"/>
              <w:spacing w:after="0"/>
              <w:rPr>
                <w:sz w:val="20"/>
                <w:szCs w:val="20"/>
                <w:color w:val="auto"/>
              </w:rPr>
            </w:pPr>
            <w:r>
              <w:rPr>
                <w:rFonts w:ascii="Arial" w:cs="Arial" w:eastAsia="Arial" w:hAnsi="Arial"/>
                <w:sz w:val="22"/>
                <w:szCs w:val="22"/>
                <w:color w:val="auto"/>
              </w:rPr>
              <w:t>06</w:t>
            </w:r>
          </w:p>
        </w:tc>
      </w:tr>
      <w:tr>
        <w:trPr>
          <w:trHeight w:val="486"/>
        </w:trPr>
        <w:tc>
          <w:tcPr>
            <w:tcW w:w="7540" w:type="dxa"/>
            <w:vAlign w:val="bottom"/>
          </w:tcPr>
          <w:p>
            <w:pPr>
              <w:spacing w:after="0"/>
              <w:rPr>
                <w:sz w:val="20"/>
                <w:szCs w:val="20"/>
                <w:color w:val="auto"/>
              </w:rPr>
            </w:pPr>
            <w:r>
              <w:rPr>
                <w:rFonts w:ascii="Arial" w:cs="Arial" w:eastAsia="Arial" w:hAnsi="Arial"/>
                <w:sz w:val="22"/>
                <w:szCs w:val="22"/>
                <w:b w:val="1"/>
                <w:bCs w:val="1"/>
                <w:color w:val="A6A6A6"/>
              </w:rPr>
              <w:t>Financial Overview</w:t>
            </w:r>
          </w:p>
        </w:tc>
        <w:tc>
          <w:tcPr>
            <w:tcW w:w="28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7540" w:type="dxa"/>
            <w:vAlign w:val="bottom"/>
          </w:tcPr>
          <w:p>
            <w:pPr>
              <w:spacing w:after="0"/>
              <w:rPr>
                <w:sz w:val="20"/>
                <w:szCs w:val="20"/>
                <w:color w:val="auto"/>
              </w:rPr>
            </w:pPr>
            <w:r>
              <w:rPr>
                <w:rFonts w:ascii="Arial" w:cs="Arial" w:eastAsia="Arial" w:hAnsi="Arial"/>
                <w:sz w:val="22"/>
                <w:szCs w:val="22"/>
                <w:b w:val="1"/>
                <w:bCs w:val="1"/>
                <w:color w:val="A6A6A6"/>
              </w:rPr>
              <w:t>Credicorp’s Strategy Update</w:t>
            </w:r>
          </w:p>
        </w:tc>
        <w:tc>
          <w:tcPr>
            <w:tcW w:w="28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6"/>
        </w:trPr>
        <w:tc>
          <w:tcPr>
            <w:tcW w:w="7540" w:type="dxa"/>
            <w:vAlign w:val="bottom"/>
          </w:tcPr>
          <w:p>
            <w:pPr>
              <w:spacing w:after="0"/>
              <w:rPr>
                <w:sz w:val="20"/>
                <w:szCs w:val="20"/>
                <w:color w:val="auto"/>
              </w:rPr>
            </w:pPr>
            <w:r>
              <w:rPr>
                <w:rFonts w:ascii="Arial" w:cs="Arial" w:eastAsia="Arial" w:hAnsi="Arial"/>
                <w:sz w:val="22"/>
                <w:szCs w:val="22"/>
                <w:b w:val="1"/>
                <w:bCs w:val="1"/>
                <w:color w:val="A6A6A6"/>
              </w:rPr>
              <w:t>Analysis of 4Q25 Consolidated Results</w:t>
            </w:r>
          </w:p>
        </w:tc>
        <w:tc>
          <w:tcPr>
            <w:tcW w:w="2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-2021840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-1713230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-1404620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-1096010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-787400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-478790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-170180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20" w:h="16838" w:orient="portrait"/>
          <w:cols w:equalWidth="0" w:num="1">
            <w:col w:w="11260"/>
          </w:cols>
          <w:pgMar w:left="340" w:top="481" w:right="318" w:bottom="1440" w:gutter="0" w:footer="0" w:header="0"/>
        </w:sectPr>
      </w:pPr>
    </w:p>
    <w:p>
      <w:pPr>
        <w:spacing w:after="0" w:line="131"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01</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02</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03</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04</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05</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06</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07</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08</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09</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10</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11</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E93BAC"/>
        </w:rPr>
        <w:t>12</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1"/>
        </w:trPr>
        <w:tc>
          <w:tcPr>
            <w:tcW w:w="7240" w:type="dxa"/>
            <w:vAlign w:val="bottom"/>
          </w:tcPr>
          <w:p>
            <w:pPr>
              <w:spacing w:after="0"/>
              <w:rPr>
                <w:sz w:val="20"/>
                <w:szCs w:val="20"/>
                <w:color w:val="auto"/>
              </w:rPr>
            </w:pPr>
            <w:r>
              <w:rPr>
                <w:rFonts w:ascii="Arial" w:cs="Arial" w:eastAsia="Arial" w:hAnsi="Arial"/>
                <w:sz w:val="22"/>
                <w:szCs w:val="22"/>
                <w:color w:val="E93BAC"/>
              </w:rPr>
              <w:t>Loan Portfolio</w:t>
            </w:r>
          </w:p>
        </w:tc>
        <w:tc>
          <w:tcPr>
            <w:tcW w:w="20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553"/>
        </w:trPr>
        <w:tc>
          <w:tcPr>
            <w:tcW w:w="7240" w:type="dxa"/>
            <w:vAlign w:val="bottom"/>
          </w:tcPr>
          <w:p>
            <w:pPr>
              <w:spacing w:after="0"/>
              <w:rPr>
                <w:sz w:val="20"/>
                <w:szCs w:val="20"/>
                <w:color w:val="auto"/>
              </w:rPr>
            </w:pPr>
            <w:r>
              <w:rPr>
                <w:rFonts w:ascii="Arial" w:cs="Arial" w:eastAsia="Arial" w:hAnsi="Arial"/>
                <w:sz w:val="22"/>
                <w:szCs w:val="22"/>
                <w:color w:val="E93BAC"/>
              </w:rPr>
              <w:t>Deposits</w:t>
            </w:r>
          </w:p>
        </w:tc>
        <w:tc>
          <w:tcPr>
            <w:tcW w:w="20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553"/>
        </w:trPr>
        <w:tc>
          <w:tcPr>
            <w:tcW w:w="7240" w:type="dxa"/>
            <w:vAlign w:val="bottom"/>
          </w:tcPr>
          <w:p>
            <w:pPr>
              <w:spacing w:after="0"/>
              <w:rPr>
                <w:sz w:val="20"/>
                <w:szCs w:val="20"/>
                <w:color w:val="auto"/>
              </w:rPr>
            </w:pPr>
            <w:r>
              <w:rPr>
                <w:rFonts w:ascii="Arial" w:cs="Arial" w:eastAsia="Arial" w:hAnsi="Arial"/>
                <w:sz w:val="22"/>
                <w:szCs w:val="22"/>
                <w:color w:val="E93BAC"/>
              </w:rPr>
              <w:t>Interest Earning Assets and Funding</w:t>
            </w:r>
          </w:p>
        </w:tc>
        <w:tc>
          <w:tcPr>
            <w:tcW w:w="20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554"/>
        </w:trPr>
        <w:tc>
          <w:tcPr>
            <w:tcW w:w="7240" w:type="dxa"/>
            <w:vAlign w:val="bottom"/>
          </w:tcPr>
          <w:p>
            <w:pPr>
              <w:spacing w:after="0"/>
              <w:rPr>
                <w:sz w:val="20"/>
                <w:szCs w:val="20"/>
                <w:color w:val="auto"/>
              </w:rPr>
            </w:pPr>
            <w:r>
              <w:rPr>
                <w:rFonts w:ascii="Arial" w:cs="Arial" w:eastAsia="Arial" w:hAnsi="Arial"/>
                <w:sz w:val="22"/>
                <w:szCs w:val="22"/>
                <w:color w:val="E93BAC"/>
              </w:rPr>
              <w:t>Net Interest Income (NII)</w:t>
            </w:r>
          </w:p>
        </w:tc>
        <w:tc>
          <w:tcPr>
            <w:tcW w:w="20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553"/>
        </w:trPr>
        <w:tc>
          <w:tcPr>
            <w:tcW w:w="7240" w:type="dxa"/>
            <w:vAlign w:val="bottom"/>
          </w:tcPr>
          <w:p>
            <w:pPr>
              <w:spacing w:after="0"/>
              <w:rPr>
                <w:sz w:val="20"/>
                <w:szCs w:val="20"/>
                <w:color w:val="auto"/>
              </w:rPr>
            </w:pPr>
            <w:r>
              <w:rPr>
                <w:rFonts w:ascii="Arial" w:cs="Arial" w:eastAsia="Arial" w:hAnsi="Arial"/>
                <w:sz w:val="22"/>
                <w:szCs w:val="22"/>
                <w:color w:val="E93BAC"/>
              </w:rPr>
              <w:t>Portfolio Quality and Provisions</w:t>
            </w:r>
          </w:p>
        </w:tc>
        <w:tc>
          <w:tcPr>
            <w:tcW w:w="20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53"/>
        </w:trPr>
        <w:tc>
          <w:tcPr>
            <w:tcW w:w="7240" w:type="dxa"/>
            <w:vAlign w:val="bottom"/>
          </w:tcPr>
          <w:p>
            <w:pPr>
              <w:spacing w:after="0"/>
              <w:rPr>
                <w:sz w:val="20"/>
                <w:szCs w:val="20"/>
                <w:color w:val="auto"/>
              </w:rPr>
            </w:pPr>
            <w:r>
              <w:rPr>
                <w:rFonts w:ascii="Arial" w:cs="Arial" w:eastAsia="Arial" w:hAnsi="Arial"/>
                <w:sz w:val="22"/>
                <w:szCs w:val="22"/>
                <w:color w:val="E93BAC"/>
              </w:rPr>
              <w:t>Other Income</w:t>
            </w:r>
          </w:p>
        </w:tc>
        <w:tc>
          <w:tcPr>
            <w:tcW w:w="20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554"/>
        </w:trPr>
        <w:tc>
          <w:tcPr>
            <w:tcW w:w="7240" w:type="dxa"/>
            <w:vAlign w:val="bottom"/>
          </w:tcPr>
          <w:p>
            <w:pPr>
              <w:spacing w:after="0"/>
              <w:rPr>
                <w:sz w:val="20"/>
                <w:szCs w:val="20"/>
                <w:color w:val="auto"/>
              </w:rPr>
            </w:pPr>
            <w:r>
              <w:rPr>
                <w:rFonts w:ascii="Arial" w:cs="Arial" w:eastAsia="Arial" w:hAnsi="Arial"/>
                <w:sz w:val="22"/>
                <w:szCs w:val="22"/>
                <w:color w:val="E93BAC"/>
              </w:rPr>
              <w:t>Insurance Underwriting Results and for Medical Services</w:t>
            </w:r>
          </w:p>
        </w:tc>
        <w:tc>
          <w:tcPr>
            <w:tcW w:w="20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553"/>
        </w:trPr>
        <w:tc>
          <w:tcPr>
            <w:tcW w:w="7240" w:type="dxa"/>
            <w:vAlign w:val="bottom"/>
          </w:tcPr>
          <w:p>
            <w:pPr>
              <w:spacing w:after="0"/>
              <w:rPr>
                <w:sz w:val="20"/>
                <w:szCs w:val="20"/>
                <w:color w:val="auto"/>
              </w:rPr>
            </w:pPr>
            <w:r>
              <w:rPr>
                <w:rFonts w:ascii="Arial" w:cs="Arial" w:eastAsia="Arial" w:hAnsi="Arial"/>
                <w:sz w:val="22"/>
                <w:szCs w:val="22"/>
                <w:color w:val="E93BAC"/>
              </w:rPr>
              <w:t>Operating Expenses</w:t>
            </w:r>
          </w:p>
        </w:tc>
        <w:tc>
          <w:tcPr>
            <w:tcW w:w="20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553"/>
        </w:trPr>
        <w:tc>
          <w:tcPr>
            <w:tcW w:w="7240" w:type="dxa"/>
            <w:vAlign w:val="bottom"/>
          </w:tcPr>
          <w:p>
            <w:pPr>
              <w:spacing w:after="0"/>
              <w:rPr>
                <w:sz w:val="20"/>
                <w:szCs w:val="20"/>
                <w:color w:val="auto"/>
              </w:rPr>
            </w:pPr>
            <w:r>
              <w:rPr>
                <w:rFonts w:ascii="Arial" w:cs="Arial" w:eastAsia="Arial" w:hAnsi="Arial"/>
                <w:sz w:val="22"/>
                <w:szCs w:val="22"/>
                <w:color w:val="E93BAC"/>
              </w:rPr>
              <w:t>Operating Efficiency</w:t>
            </w:r>
          </w:p>
        </w:tc>
        <w:tc>
          <w:tcPr>
            <w:tcW w:w="20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554"/>
        </w:trPr>
        <w:tc>
          <w:tcPr>
            <w:tcW w:w="7240" w:type="dxa"/>
            <w:vAlign w:val="bottom"/>
          </w:tcPr>
          <w:p>
            <w:pPr>
              <w:spacing w:after="0"/>
              <w:rPr>
                <w:sz w:val="20"/>
                <w:szCs w:val="20"/>
                <w:color w:val="auto"/>
              </w:rPr>
            </w:pPr>
            <w:r>
              <w:rPr>
                <w:rFonts w:ascii="Arial" w:cs="Arial" w:eastAsia="Arial" w:hAnsi="Arial"/>
                <w:sz w:val="22"/>
                <w:szCs w:val="22"/>
                <w:color w:val="E93BAC"/>
              </w:rPr>
              <w:t>Regulatory Capital</w:t>
            </w:r>
          </w:p>
        </w:tc>
        <w:tc>
          <w:tcPr>
            <w:tcW w:w="20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553"/>
        </w:trPr>
        <w:tc>
          <w:tcPr>
            <w:tcW w:w="7240" w:type="dxa"/>
            <w:vAlign w:val="bottom"/>
          </w:tcPr>
          <w:p>
            <w:pPr>
              <w:spacing w:after="0"/>
              <w:rPr>
                <w:sz w:val="20"/>
                <w:szCs w:val="20"/>
                <w:color w:val="auto"/>
              </w:rPr>
            </w:pPr>
            <w:r>
              <w:rPr>
                <w:rFonts w:ascii="Arial" w:cs="Arial" w:eastAsia="Arial" w:hAnsi="Arial"/>
                <w:sz w:val="22"/>
                <w:szCs w:val="22"/>
                <w:color w:val="E93BAC"/>
              </w:rPr>
              <w:t>Economic Outlook</w:t>
            </w:r>
          </w:p>
        </w:tc>
        <w:tc>
          <w:tcPr>
            <w:tcW w:w="20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554"/>
        </w:trPr>
        <w:tc>
          <w:tcPr>
            <w:tcW w:w="7240" w:type="dxa"/>
            <w:vAlign w:val="bottom"/>
          </w:tcPr>
          <w:p>
            <w:pPr>
              <w:spacing w:after="0"/>
              <w:rPr>
                <w:sz w:val="20"/>
                <w:szCs w:val="20"/>
                <w:color w:val="auto"/>
              </w:rPr>
            </w:pPr>
            <w:r>
              <w:rPr>
                <w:rFonts w:ascii="Arial" w:cs="Arial" w:eastAsia="Arial" w:hAnsi="Arial"/>
                <w:sz w:val="22"/>
                <w:szCs w:val="22"/>
                <w:color w:val="E93BAC"/>
              </w:rPr>
              <w:t>Appendix</w:t>
            </w:r>
          </w:p>
        </w:tc>
        <w:tc>
          <w:tcPr>
            <w:tcW w:w="2060" w:type="dxa"/>
            <w:vAlign w:val="bottom"/>
          </w:tcPr>
          <w:p>
            <w:pPr>
              <w:jc w:val="right"/>
              <w:spacing w:after="0"/>
              <w:rPr>
                <w:sz w:val="20"/>
                <w:szCs w:val="20"/>
                <w:color w:val="auto"/>
              </w:rPr>
            </w:pPr>
            <w:r>
              <w:rPr>
                <w:rFonts w:ascii="Arial" w:cs="Arial" w:eastAsia="Arial" w:hAnsi="Arial"/>
                <w:sz w:val="22"/>
                <w:szCs w:val="22"/>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308610</wp:posOffset>
            </wp:positionV>
            <wp:extent cx="71577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2">
            <w:col w:w="1400" w:space="540"/>
            <w:col w:w="9320"/>
          </w:cols>
          <w:pgMar w:left="340" w:top="481" w:right="318" w:bottom="1440" w:gutter="0" w:footer="0" w:header="0"/>
          <w:type w:val="continuous"/>
        </w:sectPr>
      </w:pPr>
    </w:p>
    <w:bookmarkStart w:id="4" w:name="page5"/>
    <w:bookmarkEnd w:id="4"/>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r>
        <w:trPr>
          <w:trHeight w:val="297"/>
        </w:trPr>
        <w:tc>
          <w:tcPr>
            <w:tcW w:w="2970" w:type="dxa"/>
            <w:vAlign w:val="bottom"/>
            <w:shd w:val="clear" w:color="auto" w:fill="2AD2C8"/>
          </w:tcPr>
          <w:p>
            <w:pPr>
              <w:spacing w:after="0"/>
              <w:rPr>
                <w:sz w:val="24"/>
                <w:szCs w:val="24"/>
                <w:color w:val="auto"/>
              </w:rPr>
            </w:pPr>
          </w:p>
        </w:tc>
        <w:tc>
          <w:tcPr>
            <w:tcW w:w="4690" w:type="dxa"/>
            <w:vAlign w:val="bottom"/>
            <w:shd w:val="clear" w:color="auto" w:fill="2AD2C8"/>
          </w:tcPr>
          <w:p>
            <w:pPr>
              <w:spacing w:after="0"/>
              <w:rPr>
                <w:sz w:val="24"/>
                <w:szCs w:val="24"/>
                <w:color w:val="auto"/>
              </w:rPr>
            </w:pPr>
          </w:p>
        </w:tc>
        <w:tc>
          <w:tcPr>
            <w:tcW w:w="3600" w:type="dxa"/>
            <w:vAlign w:val="bottom"/>
            <w:shd w:val="clear" w:color="auto" w:fill="2AD2C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-548005</wp:posOffset>
            </wp:positionV>
            <wp:extent cx="9512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144" w:lineRule="exact"/>
        <w:rPr>
          <w:sz w:val="20"/>
          <w:szCs w:val="20"/>
          <w:color w:val="auto"/>
        </w:rPr>
      </w:pPr>
    </w:p>
    <w:p>
      <w:pPr>
        <w:ind w:left="2867"/>
        <w:spacing w:after="0"/>
        <w:rPr>
          <w:sz w:val="20"/>
          <w:szCs w:val="20"/>
          <w:color w:val="auto"/>
        </w:rPr>
      </w:pPr>
      <w:r>
        <w:rPr>
          <w:rFonts w:ascii="Arial" w:cs="Arial" w:eastAsia="Arial" w:hAnsi="Arial"/>
          <w:sz w:val="18"/>
          <w:szCs w:val="18"/>
          <w:b w:val="1"/>
          <w:bCs w:val="1"/>
          <w:color w:val="auto"/>
        </w:rPr>
        <w:t>Credicorp Ltd. Reports Financial and Operating Results for 4Q25</w:t>
      </w:r>
    </w:p>
    <w:p>
      <w:pPr>
        <w:spacing w:after="0" w:line="160" w:lineRule="exact"/>
        <w:rPr>
          <w:sz w:val="20"/>
          <w:szCs w:val="20"/>
          <w:color w:val="auto"/>
        </w:rPr>
      </w:pPr>
    </w:p>
    <w:p>
      <w:pPr>
        <w:ind w:left="67"/>
        <w:spacing w:after="0"/>
        <w:rPr>
          <w:sz w:val="20"/>
          <w:szCs w:val="20"/>
          <w:color w:val="auto"/>
        </w:rPr>
      </w:pPr>
      <w:r>
        <w:rPr>
          <w:rFonts w:ascii="Arial" w:cs="Arial" w:eastAsia="Arial" w:hAnsi="Arial"/>
          <w:sz w:val="18"/>
          <w:szCs w:val="18"/>
          <w:color w:val="auto"/>
        </w:rPr>
        <w:t>Credicorp’s ecosystem continued to perform strongly, supported by expanding lending activity, improving asset quality, and higher fee-based</w:t>
      </w:r>
    </w:p>
    <w:p>
      <w:pPr>
        <w:spacing w:after="0" w:line="18" w:lineRule="exact"/>
        <w:rPr>
          <w:sz w:val="20"/>
          <w:szCs w:val="20"/>
          <w:color w:val="auto"/>
        </w:rPr>
      </w:pPr>
    </w:p>
    <w:p>
      <w:pPr>
        <w:ind w:left="4627"/>
        <w:spacing w:after="0"/>
        <w:rPr>
          <w:sz w:val="20"/>
          <w:szCs w:val="20"/>
          <w:color w:val="auto"/>
        </w:rPr>
      </w:pPr>
      <w:r>
        <w:rPr>
          <w:rFonts w:ascii="Arial" w:cs="Arial" w:eastAsia="Arial" w:hAnsi="Arial"/>
          <w:sz w:val="18"/>
          <w:szCs w:val="18"/>
          <w:color w:val="auto"/>
        </w:rPr>
        <w:t>and transactional income</w:t>
      </w:r>
    </w:p>
    <w:p>
      <w:pPr>
        <w:spacing w:after="0" w:line="82" w:lineRule="exact"/>
        <w:rPr>
          <w:sz w:val="20"/>
          <w:szCs w:val="20"/>
          <w:color w:val="auto"/>
        </w:rPr>
      </w:pPr>
    </w:p>
    <w:p>
      <w:pPr>
        <w:ind w:left="207"/>
        <w:spacing w:after="0"/>
        <w:rPr>
          <w:sz w:val="20"/>
          <w:szCs w:val="20"/>
          <w:color w:val="auto"/>
        </w:rPr>
      </w:pPr>
      <w:r>
        <w:rPr>
          <w:rFonts w:ascii="Arial" w:cs="Arial" w:eastAsia="Arial" w:hAnsi="Arial"/>
          <w:sz w:val="18"/>
          <w:szCs w:val="18"/>
          <w:color w:val="auto"/>
        </w:rPr>
        <w:t>Risk-Adjusted NIM reached a record high of 5.55%, reflecting a lower cost of risk, improved funding conditions, and stable asset margins</w:t>
      </w:r>
    </w:p>
    <w:p>
      <w:pPr>
        <w:spacing w:after="0" w:line="104" w:lineRule="exact"/>
        <w:rPr>
          <w:sz w:val="20"/>
          <w:szCs w:val="20"/>
          <w:color w:val="auto"/>
        </w:rPr>
      </w:pPr>
    </w:p>
    <w:p>
      <w:pPr>
        <w:ind w:left="127"/>
        <w:spacing w:after="0"/>
        <w:rPr>
          <w:sz w:val="20"/>
          <w:szCs w:val="20"/>
          <w:color w:val="auto"/>
        </w:rPr>
      </w:pPr>
      <w:r>
        <w:rPr>
          <w:rFonts w:ascii="Arial" w:cs="Arial" w:eastAsia="Arial" w:hAnsi="Arial"/>
          <w:sz w:val="18"/>
          <w:szCs w:val="18"/>
          <w:color w:val="auto"/>
        </w:rPr>
        <w:t>Innovation portfolio accounted for 8.1% of risk-adjusted revenues, advancing decoupling strategy and reinforcing progress toward the 10%</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target by 2026</w:t>
      </w:r>
    </w:p>
    <w:p>
      <w:pPr>
        <w:spacing w:after="0" w:line="8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ROE at 16.9% in 4Q25 and at 19.0% for FY25, supported by solid operating momentum and growing contribution of the innovation portfolio</w:t>
      </w:r>
    </w:p>
    <w:p>
      <w:pPr>
        <w:spacing w:after="0" w:line="14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Credicorp signed an agreement to acquire 100% of Helm Bank: A strategic step to reinforce cross-border value creation</w:t>
      </w:r>
    </w:p>
    <w:p>
      <w:pPr>
        <w:spacing w:after="0" w:line="156" w:lineRule="exact"/>
        <w:rPr>
          <w:sz w:val="20"/>
          <w:szCs w:val="20"/>
          <w:color w:val="auto"/>
        </w:rPr>
      </w:pPr>
    </w:p>
    <w:p>
      <w:pPr>
        <w:jc w:val="both"/>
        <w:ind w:left="7"/>
        <w:spacing w:after="0" w:line="256" w:lineRule="auto"/>
        <w:rPr>
          <w:sz w:val="20"/>
          <w:szCs w:val="20"/>
          <w:color w:val="auto"/>
        </w:rPr>
      </w:pPr>
      <w:r>
        <w:rPr>
          <w:rFonts w:ascii="Arial" w:cs="Arial" w:eastAsia="Arial" w:hAnsi="Arial"/>
          <w:sz w:val="18"/>
          <w:szCs w:val="18"/>
          <w:b w:val="1"/>
          <w:bCs w:val="1"/>
          <w:color w:val="auto"/>
        </w:rPr>
        <w:t>Lima, Peru – February 12, 2026 – Credicorp Ltd. (“Credicorp” or “the Company”) (NYSE: BAP | BVL: BAP)</w:t>
      </w:r>
      <w:r>
        <w:rPr>
          <w:rFonts w:ascii="Arial" w:cs="Arial" w:eastAsia="Arial" w:hAnsi="Arial"/>
          <w:sz w:val="18"/>
          <w:szCs w:val="18"/>
          <w:color w:val="auto"/>
        </w:rPr>
        <w:t>, the leading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holding company in Peru with a presence in Chile, Colombia, Bolivia, and Panama today reported its unaudited results for the three-and twelve-months ended December 31, 2025. Financial results are expressed in Soles and are presented in accordance with IFRS.</w:t>
      </w:r>
    </w:p>
    <w:p>
      <w:pPr>
        <w:spacing w:after="0" w:line="9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4Q25 OPERATING AND FINANCIAL HIGHLIGHTS</w:t>
      </w:r>
    </w:p>
    <w:p>
      <w:pPr>
        <w:spacing w:after="0" w:line="158" w:lineRule="exact"/>
        <w:rPr>
          <w:sz w:val="20"/>
          <w:szCs w:val="20"/>
          <w:color w:val="auto"/>
        </w:rPr>
      </w:pPr>
    </w:p>
    <w:p>
      <w:pPr>
        <w:ind w:left="327" w:hanging="327"/>
        <w:spacing w:after="0" w:line="278"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attributable to Credicorp increased 40.9% YoY and decreased 8.7% QoQ to stand at S/1,587.0 million, with ROE at 16.9%</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contributions from all lines of business.</w:t>
      </w:r>
    </w:p>
    <w:p>
      <w:pPr>
        <w:spacing w:after="0" w:line="38" w:lineRule="exact"/>
        <w:rPr>
          <w:rFonts w:ascii="Arial" w:cs="Arial" w:eastAsia="Arial" w:hAnsi="Arial"/>
          <w:sz w:val="16"/>
          <w:szCs w:val="16"/>
          <w:color w:val="auto"/>
        </w:rPr>
      </w:pPr>
    </w:p>
    <w:p>
      <w:pPr>
        <w:jc w:val="both"/>
        <w:ind w:left="327" w:hanging="327"/>
        <w:spacing w:after="0" w:line="262"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Total Loans </w:t>
      </w:r>
      <w:r>
        <w:rPr>
          <w:rFonts w:ascii="Arial" w:cs="Arial" w:eastAsia="Arial" w:hAnsi="Arial"/>
          <w:sz w:val="16"/>
          <w:szCs w:val="16"/>
          <w:color w:val="auto"/>
        </w:rPr>
        <w:t>measured in quarter-end balances increased 2.9% YoY. Excluding the impact of both, a non-cash accounting adjustment at BCP Bolivia</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depreciation of the USD against PEN, loan balances increased 8.5% YoY, driven by growth at BCP across Retail Banking - particularly Mortgages and Consumer Loans - and Wholesale Banking, as well as continued expansion at Mibanco. QoQ, Total Loans up 3.6% (+3.1% excluding aforementioned impacts), led by BCP across Retail and Wholesale Banking and sustained momentum at Mibanco.</w:t>
      </w:r>
    </w:p>
    <w:p>
      <w:pPr>
        <w:spacing w:after="0" w:line="60" w:lineRule="exact"/>
        <w:rPr>
          <w:rFonts w:ascii="Arial" w:cs="Arial" w:eastAsia="Arial" w:hAnsi="Arial"/>
          <w:sz w:val="16"/>
          <w:szCs w:val="16"/>
          <w:color w:val="auto"/>
        </w:rPr>
      </w:pPr>
    </w:p>
    <w:p>
      <w:pPr>
        <w:jc w:val="both"/>
        <w:ind w:left="327" w:hanging="327"/>
        <w:spacing w:after="0" w:line="270"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Total Deposits </w:t>
      </w:r>
      <w:r>
        <w:rPr>
          <w:rFonts w:ascii="Arial" w:cs="Arial" w:eastAsia="Arial" w:hAnsi="Arial"/>
          <w:sz w:val="16"/>
          <w:szCs w:val="16"/>
          <w:color w:val="auto"/>
        </w:rPr>
        <w:t>up 5.3% YoY and 7.6% QoQ. Excluding the impact of both, a non-cash accounting adjustment at BCP Bolivia and the depreciation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USD against PEN, deposits up 12.2% YoY and 7.0% QoQ, primarily reflecting growth in low-cost deposits. Deposit mix continued to improve with Low-cost deposits accounting for 73.0% of total deposits and 61.4% of the total funding base.</w:t>
      </w:r>
    </w:p>
    <w:p>
      <w:pPr>
        <w:spacing w:after="0" w:line="40" w:lineRule="exact"/>
        <w:rPr>
          <w:rFonts w:ascii="Arial" w:cs="Arial" w:eastAsia="Arial" w:hAnsi="Arial"/>
          <w:sz w:val="16"/>
          <w:szCs w:val="16"/>
          <w:color w:val="auto"/>
        </w:rPr>
      </w:pPr>
    </w:p>
    <w:p>
      <w:pPr>
        <w:ind w:left="327" w:hanging="327"/>
        <w:spacing w:after="0" w:line="304"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income (NII) </w:t>
      </w:r>
      <w:r>
        <w:rPr>
          <w:rFonts w:ascii="Arial" w:cs="Arial" w:eastAsia="Arial" w:hAnsi="Arial"/>
          <w:sz w:val="16"/>
          <w:szCs w:val="16"/>
          <w:color w:val="auto"/>
        </w:rPr>
        <w:t>rose 5.8% YoY, supported by loan growth, a more favorable mix of interest-earning assets and lower funding costs; and rose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4.2% QoQ. </w:t>
      </w:r>
      <w:r>
        <w:rPr>
          <w:rFonts w:ascii="Arial" w:cs="Arial" w:eastAsia="Arial" w:hAnsi="Arial"/>
          <w:sz w:val="16"/>
          <w:szCs w:val="16"/>
          <w:b w:val="1"/>
          <w:bCs w:val="1"/>
          <w:color w:val="auto"/>
        </w:rPr>
        <w:t>Net Interest Margin (NIM)</w:t>
      </w:r>
      <w:r>
        <w:rPr>
          <w:rFonts w:ascii="Arial" w:cs="Arial" w:eastAsia="Arial" w:hAnsi="Arial"/>
          <w:sz w:val="16"/>
          <w:szCs w:val="16"/>
          <w:color w:val="auto"/>
        </w:rPr>
        <w:t xml:space="preserve"> reached 6.62%, increasing 28 bps YoY and 5 bps QoQ.</w:t>
      </w:r>
    </w:p>
    <w:p>
      <w:pPr>
        <w:spacing w:after="0" w:line="33" w:lineRule="exact"/>
        <w:rPr>
          <w:rFonts w:ascii="Arial" w:cs="Arial" w:eastAsia="Arial" w:hAnsi="Arial"/>
          <w:sz w:val="16"/>
          <w:szCs w:val="16"/>
          <w:color w:val="auto"/>
        </w:rPr>
      </w:pPr>
    </w:p>
    <w:p>
      <w:pPr>
        <w:ind w:left="327" w:hanging="327"/>
        <w:spacing w:after="0" w:line="294"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Asset quality </w:t>
      </w:r>
      <w:r>
        <w:rPr>
          <w:rFonts w:ascii="Arial" w:cs="Arial" w:eastAsia="Arial" w:hAnsi="Arial"/>
          <w:sz w:val="16"/>
          <w:szCs w:val="16"/>
          <w:color w:val="auto"/>
        </w:rPr>
        <w:t>improved across the portfolio, with the</w:t>
      </w:r>
      <w:r>
        <w:rPr>
          <w:rFonts w:ascii="Arial" w:cs="Arial" w:eastAsia="Arial" w:hAnsi="Arial"/>
          <w:sz w:val="16"/>
          <w:szCs w:val="16"/>
          <w:b w:val="1"/>
          <w:bCs w:val="1"/>
          <w:color w:val="auto"/>
        </w:rPr>
        <w:t xml:space="preserve"> NPL ratio </w:t>
      </w:r>
      <w:r>
        <w:rPr>
          <w:rFonts w:ascii="Arial" w:cs="Arial" w:eastAsia="Arial" w:hAnsi="Arial"/>
          <w:sz w:val="16"/>
          <w:szCs w:val="16"/>
          <w:color w:val="auto"/>
        </w:rPr>
        <w:t>declining 71 bps YoY to 4.5%, reflecting better payment performance and debt</w:t>
      </w:r>
      <w:r>
        <w:rPr>
          <w:rFonts w:ascii="Arial" w:cs="Arial" w:eastAsia="Arial" w:hAnsi="Arial"/>
          <w:sz w:val="16"/>
          <w:szCs w:val="16"/>
          <w:b w:val="1"/>
          <w:bCs w:val="1"/>
          <w:color w:val="auto"/>
        </w:rPr>
        <w:t xml:space="preserve"> </w:t>
      </w:r>
      <w:r>
        <w:rPr>
          <w:rFonts w:ascii="Arial" w:cs="Arial" w:eastAsia="Arial" w:hAnsi="Arial"/>
          <w:sz w:val="16"/>
          <w:szCs w:val="16"/>
          <w:color w:val="auto"/>
        </w:rPr>
        <w:t>repayments, particularly at BCP. QoQ, the NPL ratio improved by 26 bps.</w:t>
      </w:r>
    </w:p>
    <w:p>
      <w:pPr>
        <w:spacing w:after="0" w:line="35" w:lineRule="exact"/>
        <w:rPr>
          <w:rFonts w:ascii="Arial" w:cs="Arial" w:eastAsia="Arial" w:hAnsi="Arial"/>
          <w:sz w:val="16"/>
          <w:szCs w:val="16"/>
          <w:color w:val="auto"/>
        </w:rPr>
      </w:pPr>
    </w:p>
    <w:p>
      <w:pPr>
        <w:jc w:val="both"/>
        <w:ind w:left="327" w:hanging="327"/>
        <w:spacing w:after="0" w:line="275"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Provisions </w:t>
      </w:r>
      <w:r>
        <w:rPr>
          <w:rFonts w:ascii="Arial" w:cs="Arial" w:eastAsia="Arial" w:hAnsi="Arial"/>
          <w:sz w:val="16"/>
          <w:szCs w:val="16"/>
          <w:color w:val="auto"/>
        </w:rPr>
        <w:t>declined 13.1% YoY, driven by (i) BCP, which registered a base effect generated by enhanced discriminatory capacity of our risk models,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particularly in Consumer and Credit Cards, and by (ii) Mibanco QoQ, provisions increased 7.2%. </w:t>
      </w:r>
      <w:r>
        <w:rPr>
          <w:rFonts w:ascii="Arial" w:cs="Arial" w:eastAsia="Arial" w:hAnsi="Arial"/>
          <w:sz w:val="16"/>
          <w:szCs w:val="16"/>
          <w:b w:val="1"/>
          <w:bCs w:val="1"/>
          <w:color w:val="auto"/>
        </w:rPr>
        <w:t>Cost of Risk</w:t>
      </w:r>
      <w:r>
        <w:rPr>
          <w:rFonts w:ascii="Arial" w:cs="Arial" w:eastAsia="Arial" w:hAnsi="Arial"/>
          <w:sz w:val="16"/>
          <w:szCs w:val="16"/>
          <w:color w:val="auto"/>
        </w:rPr>
        <w:t xml:space="preserve"> declined 31 bps YoY to 1.8%, while </w:t>
      </w:r>
      <w:r>
        <w:rPr>
          <w:rFonts w:ascii="Arial" w:cs="Arial" w:eastAsia="Arial" w:hAnsi="Arial"/>
          <w:sz w:val="16"/>
          <w:szCs w:val="16"/>
          <w:b w:val="1"/>
          <w:bCs w:val="1"/>
          <w:color w:val="auto"/>
        </w:rPr>
        <w:t xml:space="preserve">Risk-Adjusted NIM </w:t>
      </w:r>
      <w:r>
        <w:rPr>
          <w:rFonts w:ascii="Arial" w:cs="Arial" w:eastAsia="Arial" w:hAnsi="Arial"/>
          <w:sz w:val="16"/>
          <w:szCs w:val="16"/>
          <w:color w:val="auto"/>
        </w:rPr>
        <w:t>remained at a record-high 5.55%.</w:t>
      </w:r>
    </w:p>
    <w:p>
      <w:pPr>
        <w:spacing w:after="0" w:line="42" w:lineRule="exact"/>
        <w:rPr>
          <w:rFonts w:ascii="Arial" w:cs="Arial" w:eastAsia="Arial" w:hAnsi="Arial"/>
          <w:sz w:val="16"/>
          <w:szCs w:val="16"/>
          <w:color w:val="auto"/>
        </w:rPr>
      </w:pPr>
    </w:p>
    <w:p>
      <w:pPr>
        <w:jc w:val="both"/>
        <w:ind w:left="327" w:hanging="327"/>
        <w:spacing w:after="0" w:line="270"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Other Core Income </w:t>
      </w:r>
      <w:r>
        <w:rPr>
          <w:rFonts w:ascii="Arial" w:cs="Arial" w:eastAsia="Arial" w:hAnsi="Arial"/>
          <w:sz w:val="16"/>
          <w:szCs w:val="16"/>
          <w:color w:val="auto"/>
        </w:rPr>
        <w:t>up 13.7% YoY, underpinned by solid performance across core banking and transactional businesses, reflecting the 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execution of our revenue diversification and decoupling from macroeconomic factors strategy. </w:t>
      </w:r>
      <w:r>
        <w:rPr>
          <w:rFonts w:ascii="Arial" w:cs="Arial" w:eastAsia="Arial" w:hAnsi="Arial"/>
          <w:sz w:val="16"/>
          <w:szCs w:val="16"/>
          <w:b w:val="1"/>
          <w:bCs w:val="1"/>
          <w:color w:val="auto"/>
        </w:rPr>
        <w:t>Other Non-Core Income</w:t>
      </w:r>
      <w:r>
        <w:rPr>
          <w:rFonts w:ascii="Arial" w:cs="Arial" w:eastAsia="Arial" w:hAnsi="Arial"/>
          <w:sz w:val="16"/>
          <w:szCs w:val="16"/>
          <w:color w:val="auto"/>
        </w:rPr>
        <w:t xml:space="preserve"> increased 13.5% YoY, reflecting better performance at Pacifico and BCP.</w:t>
      </w:r>
    </w:p>
    <w:p>
      <w:pPr>
        <w:spacing w:after="0" w:line="54" w:lineRule="exact"/>
        <w:rPr>
          <w:rFonts w:ascii="Arial" w:cs="Arial" w:eastAsia="Arial" w:hAnsi="Arial"/>
          <w:sz w:val="16"/>
          <w:szCs w:val="16"/>
          <w:color w:val="auto"/>
        </w:rPr>
      </w:pPr>
    </w:p>
    <w:p>
      <w:pPr>
        <w:jc w:val="both"/>
        <w:ind w:left="327" w:hanging="327"/>
        <w:spacing w:after="0" w:line="254" w:lineRule="auto"/>
        <w:tabs>
          <w:tab w:leader="none" w:pos="327"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 xml:space="preserve">Insurance Underwriting Results </w:t>
      </w:r>
      <w:r>
        <w:rPr>
          <w:rFonts w:ascii="Arial" w:cs="Arial" w:eastAsia="Arial" w:hAnsi="Arial"/>
          <w:sz w:val="16"/>
          <w:szCs w:val="16"/>
          <w:color w:val="auto"/>
        </w:rPr>
        <w:t>rose 2.6% YoY, boosted by the Corporate Health business, reflecting the consolidation of Banmédica’s operations,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solid results in P&amp;C. QoQ, results declined 17.4%, mainly due to normalization in the D&amp;S business which registered a base effect for favorable extraordinary reversals last quarter; excluding this business, underlying insurance performance remained stable.</w:t>
      </w:r>
    </w:p>
    <w:p>
      <w:pPr>
        <w:spacing w:after="0" w:line="66" w:lineRule="exact"/>
        <w:rPr>
          <w:rFonts w:ascii="Arial" w:cs="Arial" w:eastAsia="Arial" w:hAnsi="Arial"/>
          <w:sz w:val="18"/>
          <w:szCs w:val="18"/>
          <w:color w:val="auto"/>
        </w:rPr>
      </w:pPr>
    </w:p>
    <w:p>
      <w:pPr>
        <w:ind w:left="327" w:right="540" w:hanging="327"/>
        <w:spacing w:after="0" w:line="294"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Yape </w:t>
      </w:r>
      <w:r>
        <w:rPr>
          <w:rFonts w:ascii="Arial" w:cs="Arial" w:eastAsia="Arial" w:hAnsi="Arial"/>
          <w:sz w:val="16"/>
          <w:szCs w:val="16"/>
          <w:color w:val="auto"/>
        </w:rPr>
        <w:t>continued to scale in 4Q25, reaching 15.9 million Monthly Active Users (MAU), further improving operating leverage and generating 7.2%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Credicorp’s risk-adjusted revenue. Lending represented 23% of revenues for the quarter, up from 12% in 4Q24.</w:t>
      </w:r>
    </w:p>
    <w:p>
      <w:pPr>
        <w:spacing w:after="0" w:line="35" w:lineRule="exact"/>
        <w:rPr>
          <w:rFonts w:ascii="Arial" w:cs="Arial" w:eastAsia="Arial" w:hAnsi="Arial"/>
          <w:sz w:val="16"/>
          <w:szCs w:val="16"/>
          <w:color w:val="auto"/>
        </w:rPr>
      </w:pPr>
    </w:p>
    <w:p>
      <w:pPr>
        <w:ind w:left="327" w:right="180" w:hanging="327"/>
        <w:spacing w:after="0" w:line="294" w:lineRule="auto"/>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Efficiency ratio </w:t>
      </w:r>
      <w:r>
        <w:rPr>
          <w:rFonts w:ascii="Arial" w:cs="Arial" w:eastAsia="Arial" w:hAnsi="Arial"/>
          <w:sz w:val="16"/>
          <w:szCs w:val="16"/>
          <w:color w:val="auto"/>
        </w:rPr>
        <w:t>at 46.6% for FY25, in line with full-year guidance.</w:t>
      </w:r>
      <w:r>
        <w:rPr>
          <w:rFonts w:ascii="Arial" w:cs="Arial" w:eastAsia="Arial" w:hAnsi="Arial"/>
          <w:sz w:val="16"/>
          <w:szCs w:val="16"/>
          <w:b w:val="1"/>
          <w:bCs w:val="1"/>
          <w:color w:val="auto"/>
        </w:rPr>
        <w:t xml:space="preserve"> Operating Expenses </w:t>
      </w:r>
      <w:r>
        <w:rPr>
          <w:rFonts w:ascii="Arial" w:cs="Arial" w:eastAsia="Arial" w:hAnsi="Arial"/>
          <w:sz w:val="16"/>
          <w:szCs w:val="16"/>
          <w:color w:val="auto"/>
        </w:rPr>
        <w:t>increased 12% YoY, reflecting continued investment in BCP’s</w:t>
      </w:r>
      <w:r>
        <w:rPr>
          <w:rFonts w:ascii="Arial" w:cs="Arial" w:eastAsia="Arial" w:hAnsi="Arial"/>
          <w:sz w:val="16"/>
          <w:szCs w:val="16"/>
          <w:b w:val="1"/>
          <w:bCs w:val="1"/>
          <w:color w:val="auto"/>
        </w:rPr>
        <w:t xml:space="preserve"> </w:t>
      </w:r>
      <w:r>
        <w:rPr>
          <w:rFonts w:ascii="Arial" w:cs="Arial" w:eastAsia="Arial" w:hAnsi="Arial"/>
          <w:sz w:val="16"/>
          <w:szCs w:val="16"/>
          <w:color w:val="auto"/>
        </w:rPr>
        <w:t>core business and the innovation portfolio, while maintaining disciplined cost management.</w:t>
      </w:r>
    </w:p>
    <w:p>
      <w:pPr>
        <w:spacing w:after="0" w:line="35" w:lineRule="exact"/>
        <w:rPr>
          <w:rFonts w:ascii="Arial" w:cs="Arial" w:eastAsia="Arial" w:hAnsi="Arial"/>
          <w:sz w:val="16"/>
          <w:szCs w:val="16"/>
          <w:color w:val="auto"/>
        </w:rPr>
      </w:pPr>
    </w:p>
    <w:p>
      <w:pPr>
        <w:ind w:left="327" w:hanging="327"/>
        <w:spacing w:after="0"/>
        <w:tabs>
          <w:tab w:leader="none" w:pos="32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IFRS CET1 ratio </w:t>
      </w:r>
      <w:r>
        <w:rPr>
          <w:rFonts w:ascii="Arial" w:cs="Arial" w:eastAsia="Arial" w:hAnsi="Arial"/>
          <w:sz w:val="16"/>
          <w:szCs w:val="16"/>
          <w:color w:val="auto"/>
        </w:rPr>
        <w:t>stood at 13.99% for BCP and 17.30% for Mibanco.</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Subsequent Events</w:t>
      </w:r>
    </w:p>
    <w:p>
      <w:pPr>
        <w:spacing w:after="0" w:line="102" w:lineRule="exact"/>
        <w:rPr>
          <w:sz w:val="20"/>
          <w:szCs w:val="20"/>
          <w:color w:val="auto"/>
        </w:rPr>
      </w:pPr>
    </w:p>
    <w:p>
      <w:pPr>
        <w:ind w:left="327" w:right="440" w:hanging="327"/>
        <w:spacing w:after="0" w:line="291" w:lineRule="auto"/>
        <w:tabs>
          <w:tab w:leader="none" w:pos="327"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Subsequent to quarter-end, Tenpo reached an important milestone in Chile, surpassing 2.5 million clients and becoming the country’s first neobank following the approval of its banking license in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808355</wp:posOffset>
            </wp:positionV>
            <wp:extent cx="71577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88265</wp:posOffset>
            </wp:positionV>
            <wp:extent cx="6789420"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89420" cy="617220"/>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r>
        <w:trPr>
          <w:trHeight w:val="297"/>
        </w:trPr>
        <w:tc>
          <w:tcPr>
            <w:tcW w:w="2970" w:type="dxa"/>
            <w:vAlign w:val="bottom"/>
            <w:shd w:val="clear" w:color="auto" w:fill="2AD2C8"/>
          </w:tcPr>
          <w:p>
            <w:pPr>
              <w:spacing w:after="0"/>
              <w:rPr>
                <w:sz w:val="24"/>
                <w:szCs w:val="24"/>
                <w:color w:val="auto"/>
              </w:rPr>
            </w:pPr>
          </w:p>
        </w:tc>
        <w:tc>
          <w:tcPr>
            <w:tcW w:w="4690" w:type="dxa"/>
            <w:vAlign w:val="bottom"/>
            <w:shd w:val="clear" w:color="auto" w:fill="2AD2C8"/>
          </w:tcPr>
          <w:p>
            <w:pPr>
              <w:spacing w:after="0"/>
              <w:rPr>
                <w:sz w:val="24"/>
                <w:szCs w:val="24"/>
                <w:color w:val="auto"/>
              </w:rPr>
            </w:pPr>
          </w:p>
        </w:tc>
        <w:tc>
          <w:tcPr>
            <w:tcW w:w="3600" w:type="dxa"/>
            <w:vAlign w:val="bottom"/>
            <w:shd w:val="clear" w:color="auto" w:fill="2AD2C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-548005</wp:posOffset>
            </wp:positionV>
            <wp:extent cx="951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6414770</wp:posOffset>
            </wp:positionV>
            <wp:extent cx="71577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131445</wp:posOffset>
            </wp:positionV>
            <wp:extent cx="6780530" cy="6180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0530" cy="618045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577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20574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-359410</wp:posOffset>
            </wp:positionV>
            <wp:extent cx="951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Fourth Quarter 2025 Earnings Conference Call</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Fourth 2025 EARNINGS CONFERENCE CALL</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121212"/>
        </w:rPr>
        <w:t xml:space="preserve">Date: </w:t>
      </w:r>
      <w:r>
        <w:rPr>
          <w:rFonts w:ascii="Arial" w:cs="Arial" w:eastAsia="Arial" w:hAnsi="Arial"/>
          <w:sz w:val="20"/>
          <w:szCs w:val="20"/>
          <w:color w:val="121212"/>
        </w:rPr>
        <w:t>Friday, February 13</w:t>
      </w:r>
      <w:r>
        <w:rPr>
          <w:rFonts w:ascii="Arial" w:cs="Arial" w:eastAsia="Arial" w:hAnsi="Arial"/>
          <w:sz w:val="32"/>
          <w:szCs w:val="32"/>
          <w:color w:val="121212"/>
          <w:vertAlign w:val="superscript"/>
        </w:rPr>
        <w:t>th</w:t>
      </w:r>
      <w:r>
        <w:rPr>
          <w:rFonts w:ascii="Arial" w:cs="Arial" w:eastAsia="Arial" w:hAnsi="Arial"/>
          <w:sz w:val="20"/>
          <w:szCs w:val="20"/>
          <w:color w:val="121212"/>
        </w:rPr>
        <w:t>, 2026</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121212"/>
        </w:rPr>
        <w:t xml:space="preserve">Time: </w:t>
      </w:r>
      <w:r>
        <w:rPr>
          <w:rFonts w:ascii="Arial" w:cs="Arial" w:eastAsia="Arial" w:hAnsi="Arial"/>
          <w:sz w:val="20"/>
          <w:szCs w:val="20"/>
          <w:color w:val="121212"/>
        </w:rPr>
        <w:t>9:30 am E.T. (9:30 am Lima, Perú)</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121212"/>
        </w:rPr>
        <w:t xml:space="preserve">Hosts: </w:t>
      </w:r>
      <w:r>
        <w:rPr>
          <w:rFonts w:ascii="Arial" w:cs="Arial" w:eastAsia="Arial" w:hAnsi="Arial"/>
          <w:sz w:val="20"/>
          <w:szCs w:val="20"/>
          <w:color w:val="121212"/>
        </w:rPr>
        <w:t>Gianfranco Ferrari – Chief Executive Officer, - Alejandro Perez Reyes - Chief Financial Officer, Francesca Raffo – Chief</w:t>
      </w:r>
      <w:r>
        <w:rPr>
          <w:rFonts w:ascii="Arial" w:cs="Arial" w:eastAsia="Arial" w:hAnsi="Arial"/>
          <w:sz w:val="20"/>
          <w:szCs w:val="20"/>
          <w:b w:val="1"/>
          <w:bCs w:val="1"/>
          <w:color w:val="121212"/>
        </w:rPr>
        <w:t xml:space="preserve"> </w:t>
      </w:r>
      <w:r>
        <w:rPr>
          <w:rFonts w:ascii="Arial" w:cs="Arial" w:eastAsia="Arial" w:hAnsi="Arial"/>
          <w:sz w:val="20"/>
          <w:szCs w:val="20"/>
          <w:color w:val="121212"/>
        </w:rPr>
        <w:t>Innovation Officer, Cesar Rios - Chief Risk Officer, Piero Travezan - Pacifico CFO, Rocio Benavides - Mibanco CFO and Investor Relations Team.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To pre-register for the listen-only webcast presentation use the following link:</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https://dpregister.com/DiamondPassRegistration/register?confirmationNumber=10204236&amp;linkSecurityString=10040c 5080c</w:t>
      </w:r>
    </w:p>
    <w:p>
      <w:pPr>
        <w:spacing w:after="0" w:line="95" w:lineRule="exact"/>
        <w:rPr>
          <w:sz w:val="20"/>
          <w:szCs w:val="20"/>
          <w:color w:val="auto"/>
        </w:rPr>
      </w:pPr>
    </w:p>
    <w:p>
      <w:pPr>
        <w:ind w:right="260"/>
        <w:spacing w:after="0" w:line="266" w:lineRule="auto"/>
        <w:rPr>
          <w:sz w:val="20"/>
          <w:szCs w:val="20"/>
          <w:color w:val="auto"/>
        </w:rPr>
      </w:pPr>
      <w:r>
        <w:rPr>
          <w:rFonts w:ascii="Arial" w:cs="Arial" w:eastAsia="Arial" w:hAnsi="Arial"/>
          <w:sz w:val="20"/>
          <w:szCs w:val="20"/>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121212"/>
        </w:rPr>
        <w:t>Those unable to pre-register may dial in by calling:</w:t>
      </w:r>
    </w:p>
    <w:p>
      <w:pPr>
        <w:spacing w:after="0" w:line="237" w:lineRule="auto"/>
        <w:rPr>
          <w:sz w:val="20"/>
          <w:szCs w:val="20"/>
          <w:color w:val="auto"/>
        </w:rPr>
      </w:pPr>
      <w:r>
        <w:rPr>
          <w:rFonts w:ascii="Arial" w:cs="Arial" w:eastAsia="Arial" w:hAnsi="Arial"/>
          <w:sz w:val="20"/>
          <w:szCs w:val="20"/>
          <w:b w:val="1"/>
          <w:bCs w:val="1"/>
          <w:color w:val="121212"/>
        </w:rPr>
        <w:t xml:space="preserve">1 844 435 0321 </w:t>
      </w:r>
      <w:r>
        <w:rPr>
          <w:rFonts w:ascii="Arial" w:cs="Arial" w:eastAsia="Arial" w:hAnsi="Arial"/>
          <w:sz w:val="20"/>
          <w:szCs w:val="20"/>
          <w:color w:val="121212"/>
        </w:rPr>
        <w:t>(U.S. toll free)</w:t>
      </w:r>
    </w:p>
    <w:p>
      <w:pPr>
        <w:spacing w:after="0" w:line="226" w:lineRule="auto"/>
        <w:rPr>
          <w:sz w:val="20"/>
          <w:szCs w:val="20"/>
          <w:color w:val="auto"/>
        </w:rPr>
      </w:pPr>
      <w:r>
        <w:rPr>
          <w:rFonts w:ascii="Arial" w:cs="Arial" w:eastAsia="Arial" w:hAnsi="Arial"/>
          <w:sz w:val="20"/>
          <w:szCs w:val="20"/>
          <w:b w:val="1"/>
          <w:bCs w:val="1"/>
          <w:color w:val="121212"/>
        </w:rPr>
        <w:t xml:space="preserve">1 412 317 5615 </w:t>
      </w:r>
      <w:r>
        <w:rPr>
          <w:rFonts w:ascii="Arial" w:cs="Arial" w:eastAsia="Arial" w:hAnsi="Arial"/>
          <w:sz w:val="20"/>
          <w:szCs w:val="20"/>
          <w:color w:val="121212"/>
        </w:rPr>
        <w:t>(International)</w:t>
      </w:r>
    </w:p>
    <w:p>
      <w:pPr>
        <w:spacing w:after="0" w:line="225" w:lineRule="auto"/>
        <w:rPr>
          <w:sz w:val="20"/>
          <w:szCs w:val="20"/>
          <w:color w:val="auto"/>
        </w:rPr>
      </w:pPr>
      <w:r>
        <w:rPr>
          <w:rFonts w:ascii="Arial" w:cs="Arial" w:eastAsia="Arial" w:hAnsi="Arial"/>
          <w:sz w:val="20"/>
          <w:szCs w:val="20"/>
          <w:b w:val="1"/>
          <w:bCs w:val="1"/>
          <w:color w:val="121212"/>
        </w:rPr>
        <w:t xml:space="preserve">Participant Web Phone: </w:t>
      </w:r>
      <w:r>
        <w:rPr>
          <w:rFonts w:ascii="Arial" w:cs="Arial" w:eastAsia="Arial" w:hAnsi="Arial"/>
          <w:sz w:val="20"/>
          <w:szCs w:val="20"/>
          <w:u w:val="single" w:color="auto"/>
          <w:color w:val="000000"/>
        </w:rPr>
        <w:t>Click here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121212"/>
        </w:rPr>
        <w:t>Conference ID: Credicorp Conference Call</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21212"/>
        </w:rPr>
        <w:t>The webcast will be archived for one year on our investor relations website at: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https://credicorp.gcs-web.com/events-and-presentations/upcoming-events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121212"/>
        </w:rPr>
        <w:t>For a full version of Credicorp´s Third Quarter 2025 Earnings Release, please visit: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https://credicorp.gcs-web.com/company-reports/quarterly-materials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782320</wp:posOffset>
            </wp:positionV>
            <wp:extent cx="71577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113665</wp:posOffset>
            </wp:positionV>
            <wp:extent cx="6789420" cy="565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89420" cy="56578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-359410</wp:posOffset>
            </wp:positionV>
            <wp:extent cx="9512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Loans in Quarter-end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loans (measured in quarter-end balances) expanded 3.6%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QoQ and 2.9% YoY.</w:t>
      </w:r>
    </w:p>
    <w:p>
      <w:pPr>
        <w:spacing w:after="0" w:line="136" w:lineRule="exact"/>
        <w:rPr>
          <w:sz w:val="20"/>
          <w:szCs w:val="20"/>
          <w:color w:val="auto"/>
        </w:rPr>
      </w:pPr>
    </w:p>
    <w:p>
      <w:pPr>
        <w:jc w:val="both"/>
        <w:ind w:right="5860"/>
        <w:spacing w:after="0" w:line="208" w:lineRule="auto"/>
        <w:rPr>
          <w:sz w:val="20"/>
          <w:szCs w:val="20"/>
          <w:color w:val="auto"/>
        </w:rPr>
      </w:pPr>
      <w:r>
        <w:rPr>
          <w:rFonts w:ascii="Arial" w:cs="Arial" w:eastAsia="Arial" w:hAnsi="Arial"/>
          <w:sz w:val="18"/>
          <w:szCs w:val="18"/>
          <w:color w:val="auto"/>
        </w:rPr>
        <w:t>Excluding the impact of both, a non-cash accounting adjustment at BCP Bolivia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the depreciation of the USD against PEN, loan balances increased 3.1% QoQ and 8.5%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-318770</wp:posOffset>
            </wp:positionV>
            <wp:extent cx="2786380" cy="180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86380" cy="1800225"/>
                    </a:xfrm>
                    <a:prstGeom prst="rect">
                      <a:avLst/>
                    </a:prstGeom>
                    <a:noFill/>
                  </pic:spPr>
                </pic:pic>
              </a:graphicData>
            </a:graphic>
          </wp:anchor>
        </w:drawing>
      </w:r>
    </w:p>
    <w:p>
      <w:pPr>
        <w:spacing w:after="0" w:line="88" w:lineRule="exact"/>
        <w:rPr>
          <w:sz w:val="20"/>
          <w:szCs w:val="20"/>
          <w:color w:val="auto"/>
        </w:rPr>
      </w:pPr>
    </w:p>
    <w:p>
      <w:pPr>
        <w:jc w:val="both"/>
        <w:ind w:left="320" w:right="5860"/>
        <w:spacing w:after="0" w:line="239" w:lineRule="auto"/>
        <w:rPr>
          <w:sz w:val="20"/>
          <w:szCs w:val="20"/>
          <w:color w:val="auto"/>
        </w:rPr>
      </w:pPr>
      <w:r>
        <w:rPr>
          <w:rFonts w:ascii="Arial" w:cs="Arial" w:eastAsia="Arial" w:hAnsi="Arial"/>
          <w:sz w:val="18"/>
          <w:szCs w:val="18"/>
          <w:color w:val="auto"/>
        </w:rPr>
        <w:t>QoQ growth was primarily driven by: (i) Retail Banking, where growth was led by an uptick in negotiable invoices and working capital loans in SMEs; an increase in demand in the Mortgage segment, which was fueled by a more favorable macroeconomic environment; and Consumer, which reported growth in disbursements through BCP and Yape; (ii) Wholesale Banking, where Corporate Banking drove expansion through an increase in medium term and long-term loans, and (iii) Mibanco, which reported a new record high in disbursements in the month of October.</w:t>
      </w:r>
    </w:p>
    <w:p>
      <w:pPr>
        <w:spacing w:after="0" w:line="99" w:lineRule="exact"/>
        <w:rPr>
          <w:sz w:val="20"/>
          <w:szCs w:val="20"/>
          <w:color w:val="auto"/>
        </w:rPr>
      </w:pPr>
    </w:p>
    <w:p>
      <w:pPr>
        <w:jc w:val="both"/>
        <w:ind w:left="320" w:right="5860"/>
        <w:spacing w:after="0"/>
        <w:rPr>
          <w:sz w:val="20"/>
          <w:szCs w:val="20"/>
          <w:color w:val="auto"/>
        </w:rPr>
      </w:pPr>
      <w:r>
        <w:rPr>
          <w:rFonts w:ascii="Arial" w:cs="Arial" w:eastAsia="Arial" w:hAnsi="Arial"/>
          <w:sz w:val="18"/>
          <w:szCs w:val="18"/>
          <w:color w:val="auto"/>
        </w:rPr>
        <w:t>YoY, loan growth was mainly supported by: (i) Retail Banking, led by Mortgage via the same dynamics in play QoQ, and Consumer, which reported growth in disbursements mainly through BCP which was driven by an increase in businesses’ risk appetite; (ii) Wholesale Banking, through an uptick in disbursements of medium and long-term loans, which was driven by an increase in businesses’ appetite for borrowing in a more favorable economic environment and by an improvement in private investment.</w:t>
      </w:r>
    </w:p>
    <w:p>
      <w:pPr>
        <w:spacing w:after="0" w:line="97"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Deposits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balance for total deposits (measured in quarter-end balances)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expanded 7.6% QoQ and 5.3%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6350</wp:posOffset>
            </wp:positionV>
            <wp:extent cx="2846070" cy="1714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00"/>
                    </a:xfrm>
                    <a:prstGeom prst="rect">
                      <a:avLst/>
                    </a:prstGeom>
                    <a:noFill/>
                  </pic:spPr>
                </pic:pic>
              </a:graphicData>
            </a:graphic>
          </wp:anchor>
        </w:drawing>
      </w:r>
    </w:p>
    <w:p>
      <w:pPr>
        <w:spacing w:after="0" w:line="102" w:lineRule="exact"/>
        <w:rPr>
          <w:sz w:val="20"/>
          <w:szCs w:val="20"/>
          <w:color w:val="auto"/>
        </w:rPr>
      </w:pPr>
    </w:p>
    <w:p>
      <w:pPr>
        <w:jc w:val="both"/>
        <w:ind w:right="5860"/>
        <w:spacing w:after="0" w:line="208" w:lineRule="auto"/>
        <w:rPr>
          <w:sz w:val="20"/>
          <w:szCs w:val="20"/>
          <w:color w:val="auto"/>
        </w:rPr>
      </w:pPr>
      <w:r>
        <w:rPr>
          <w:rFonts w:ascii="Arial" w:cs="Arial" w:eastAsia="Arial" w:hAnsi="Arial"/>
          <w:sz w:val="18"/>
          <w:szCs w:val="18"/>
          <w:color w:val="auto"/>
        </w:rPr>
        <w:t>Excluding the impact of both, a non-cash accounting adjustment at BCP Bolivia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the depreciation of the USD against PEN, deposits balances increased 7.0% QoQ and 12.2% YoY:</w:t>
      </w:r>
    </w:p>
    <w:p>
      <w:pPr>
        <w:spacing w:after="0" w:line="108" w:lineRule="exact"/>
        <w:rPr>
          <w:sz w:val="20"/>
          <w:szCs w:val="20"/>
          <w:color w:val="auto"/>
        </w:rPr>
      </w:pPr>
    </w:p>
    <w:p>
      <w:pPr>
        <w:jc w:val="both"/>
        <w:ind w:left="320" w:right="5860"/>
        <w:spacing w:after="0" w:line="220" w:lineRule="auto"/>
        <w:rPr>
          <w:sz w:val="20"/>
          <w:szCs w:val="20"/>
          <w:color w:val="auto"/>
        </w:rPr>
      </w:pPr>
      <w:r>
        <w:rPr>
          <w:rFonts w:ascii="Arial" w:cs="Arial" w:eastAsia="Arial" w:hAnsi="Arial"/>
          <w:sz w:val="18"/>
          <w:szCs w:val="18"/>
          <w:color w:val="auto"/>
        </w:rPr>
        <w:t>QoQ growth was driven by growth in the balances of Low-Cost Deposits, which was fueled mainly by inflows from the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pension fund withdrawal. YoY, the evolution was propelled by growth in the balances of Low-Cost Deposits, which grew 17.9% and represented 73.0% of our total deposits at quarter-end.</w:t>
      </w:r>
    </w:p>
    <w:p>
      <w:pPr>
        <w:spacing w:after="0" w:line="96" w:lineRule="exact"/>
        <w:rPr>
          <w:sz w:val="20"/>
          <w:szCs w:val="20"/>
          <w:color w:val="auto"/>
        </w:rPr>
      </w:pPr>
    </w:p>
    <w:p>
      <w:pPr>
        <w:jc w:val="both"/>
        <w:ind w:right="5860"/>
        <w:spacing w:after="0" w:line="245" w:lineRule="auto"/>
        <w:rPr>
          <w:sz w:val="20"/>
          <w:szCs w:val="20"/>
          <w:color w:val="auto"/>
        </w:rPr>
      </w:pPr>
      <w:r>
        <w:rPr>
          <w:rFonts w:ascii="Arial" w:cs="Arial" w:eastAsia="Arial" w:hAnsi="Arial"/>
          <w:sz w:val="18"/>
          <w:szCs w:val="18"/>
          <w:color w:val="auto"/>
        </w:rPr>
        <w:t>AT BCP, the Liquidity Coverage Ratio (LCR) in PEN at 30 days stood at 168.2% under regulatory standards and 137.3% according to stricter internal standards. The LCR in USD at 30 days stood at 224.2% under regulatory standards and at 148.9% under stricter internal standards.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Accounting revaluations throughout 2025 applied exchange rates that were better aligned with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843280</wp:posOffset>
            </wp:positionV>
            <wp:extent cx="71577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106045</wp:posOffset>
            </wp:positionV>
            <wp:extent cx="6780530" cy="634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0530" cy="63436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bookmarkStart w:id="8" w:name="page9"/>
    <w:bookmarkEnd w:id="8"/>
    <w:p>
      <w:pPr>
        <w:ind w:left="2680"/>
        <w:spacing w:after="0"/>
        <w:tabs>
          <w:tab w:leader="none" w:pos="30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Net Interest Income (NII) and Margin (NIM)</w:t>
      </w:r>
    </w:p>
    <w:p>
      <w:pPr>
        <w:spacing w:after="0" w:line="176" w:lineRule="exact"/>
        <w:rPr>
          <w:sz w:val="20"/>
          <w:szCs w:val="20"/>
          <w:color w:val="auto"/>
        </w:rPr>
      </w:pPr>
    </w:p>
    <w:p>
      <w:pPr>
        <w:jc w:val="both"/>
        <w:ind w:right="3340"/>
        <w:spacing w:after="0" w:line="247" w:lineRule="auto"/>
        <w:rPr>
          <w:sz w:val="20"/>
          <w:szCs w:val="20"/>
          <w:color w:val="auto"/>
        </w:rPr>
      </w:pPr>
      <w:r>
        <w:rPr>
          <w:rFonts w:ascii="Arial" w:cs="Arial" w:eastAsia="Arial" w:hAnsi="Arial"/>
          <w:sz w:val="20"/>
          <w:szCs w:val="20"/>
          <w:color w:val="auto"/>
        </w:rPr>
        <w:t xml:space="preserve">NII rose </w:t>
      </w:r>
      <w:r>
        <w:rPr>
          <w:rFonts w:ascii="Arial" w:cs="Arial" w:eastAsia="Arial" w:hAnsi="Arial"/>
          <w:sz w:val="17"/>
          <w:szCs w:val="17"/>
          <w:color w:val="auto"/>
        </w:rPr>
        <w:t>4.2% QoQ, fueled mainly by growth in Interest and Similar</w:t>
      </w:r>
      <w:r>
        <w:rPr>
          <w:rFonts w:ascii="Arial" w:cs="Arial" w:eastAsia="Arial" w:hAnsi="Arial"/>
          <w:sz w:val="20"/>
          <w:szCs w:val="20"/>
          <w:color w:val="auto"/>
        </w:rPr>
        <w:t xml:space="preserve"> </w:t>
      </w:r>
      <w:r>
        <w:rPr>
          <w:rFonts w:ascii="Arial" w:cs="Arial" w:eastAsia="Arial" w:hAnsi="Arial"/>
          <w:sz w:val="17"/>
          <w:szCs w:val="17"/>
          <w:color w:val="auto"/>
        </w:rPr>
        <w:t>Income, which rose on the back of loan expansion and the consequent shift in the mix toward IEAs that generate higher yields. A decrease in Interest and Similar Expenses also drove the increase in NII, albeit to a lesser extent, after low-cost deposit captures rose on the back of ample liquidity and dependence on more expensive sources such as time deposits and BCRP Instruments fell, subsequently reducing the funding cost. In this scenario, NIM stood at 6.62% at quarter-end, compared to 6.57% in 3Q25 and 6.34% in 4Q24.</w:t>
      </w:r>
    </w:p>
    <w:p>
      <w:pPr>
        <w:spacing w:after="0" w:line="272" w:lineRule="exact"/>
        <w:rPr>
          <w:sz w:val="20"/>
          <w:szCs w:val="20"/>
          <w:color w:val="auto"/>
        </w:rPr>
      </w:pPr>
    </w:p>
    <w:p>
      <w:pPr>
        <w:jc w:val="both"/>
        <w:ind w:right="3340"/>
        <w:spacing w:after="0" w:line="245" w:lineRule="auto"/>
        <w:rPr>
          <w:sz w:val="20"/>
          <w:szCs w:val="20"/>
          <w:color w:val="auto"/>
        </w:rPr>
      </w:pPr>
      <w:r>
        <w:rPr>
          <w:rFonts w:ascii="Arial" w:cs="Arial" w:eastAsia="Arial" w:hAnsi="Arial"/>
          <w:sz w:val="18"/>
          <w:szCs w:val="18"/>
          <w:color w:val="auto"/>
        </w:rPr>
        <w:t>YoY, NII rose 5.8%, driven mainly by growth in Interest and Similar Income, which increased through the same dynamics seen QoQ. Interest and Similar Expenses, in turn, dropped due to lower rates and to an increase in low-cost deposits’ share of our funding base. In this context, NIM increased 28 bps YoY.</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Portfolio Quality and Cost of Risk</w:t>
      </w:r>
    </w:p>
    <w:p>
      <w:pPr>
        <w:spacing w:after="0" w:line="264" w:lineRule="exact"/>
        <w:rPr>
          <w:sz w:val="20"/>
          <w:szCs w:val="20"/>
          <w:color w:val="auto"/>
        </w:rPr>
      </w:pPr>
    </w:p>
    <w:p>
      <w:pPr>
        <w:jc w:val="both"/>
        <w:ind w:right="3340"/>
        <w:spacing w:after="0" w:line="248" w:lineRule="auto"/>
        <w:rPr>
          <w:sz w:val="20"/>
          <w:szCs w:val="20"/>
          <w:color w:val="auto"/>
        </w:rPr>
      </w:pPr>
      <w:r>
        <w:rPr>
          <w:rFonts w:ascii="Arial" w:cs="Arial" w:eastAsia="Arial" w:hAnsi="Arial"/>
          <w:sz w:val="18"/>
          <w:szCs w:val="18"/>
          <w:color w:val="auto"/>
        </w:rPr>
        <w:t>Portfolio quality and cost of risk indicators improved significantly over the year and continue to strengthen thanks to more robust risk management; improvements in payment behavior; and a more favorable macroeconomic environment.</w:t>
      </w:r>
    </w:p>
    <w:p>
      <w:pPr>
        <w:spacing w:after="0" w:line="101" w:lineRule="exact"/>
        <w:rPr>
          <w:sz w:val="20"/>
          <w:szCs w:val="20"/>
          <w:color w:val="auto"/>
        </w:rPr>
      </w:pPr>
    </w:p>
    <w:p>
      <w:pPr>
        <w:jc w:val="both"/>
        <w:ind w:right="3340"/>
        <w:spacing w:after="0" w:line="241" w:lineRule="auto"/>
        <w:rPr>
          <w:sz w:val="20"/>
          <w:szCs w:val="20"/>
          <w:color w:val="auto"/>
        </w:rPr>
      </w:pPr>
      <w:r>
        <w:rPr>
          <w:rFonts w:ascii="Arial" w:cs="Arial" w:eastAsia="Arial" w:hAnsi="Arial"/>
          <w:sz w:val="18"/>
          <w:szCs w:val="18"/>
          <w:color w:val="auto"/>
        </w:rPr>
        <w:t xml:space="preserve">QoQ, NPLs dropped 2.1%, driven mainly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the decline was fueled mainly by</w:t>
      </w:r>
      <w:r>
        <w:rPr>
          <w:rFonts w:ascii="Arial" w:cs="Arial" w:eastAsia="Arial" w:hAnsi="Arial"/>
          <w:sz w:val="18"/>
          <w:szCs w:val="18"/>
          <w:b w:val="1"/>
          <w:bCs w:val="1"/>
          <w:color w:val="auto"/>
        </w:rPr>
        <w:t xml:space="preserve"> Wholesale, </w:t>
      </w:r>
      <w:r>
        <w:rPr>
          <w:rFonts w:ascii="Arial" w:cs="Arial" w:eastAsia="Arial" w:hAnsi="Arial"/>
          <w:sz w:val="18"/>
          <w:szCs w:val="18"/>
          <w:color w:val="auto"/>
        </w:rPr>
        <w:t>which reported debt repayments by two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clients in the Construction and Transportation sectors, and secondarily by </w:t>
      </w:r>
      <w:r>
        <w:rPr>
          <w:rFonts w:ascii="Arial" w:cs="Arial" w:eastAsia="Arial" w:hAnsi="Arial"/>
          <w:sz w:val="18"/>
          <w:szCs w:val="18"/>
          <w:b w:val="1"/>
          <w:bCs w:val="1"/>
          <w:color w:val="auto"/>
        </w:rPr>
        <w:t>Retail</w:t>
      </w:r>
      <w:r>
        <w:rPr>
          <w:rFonts w:ascii="Arial" w:cs="Arial" w:eastAsia="Arial" w:hAnsi="Arial"/>
          <w:sz w:val="18"/>
          <w:szCs w:val="18"/>
          <w:color w:val="auto"/>
        </w:rPr>
        <w:t xml:space="preserve">, which registered higher write-offs and debt repayments by clients with loans under judicial recovery in </w:t>
      </w:r>
      <w:r>
        <w:rPr>
          <w:rFonts w:ascii="Arial" w:cs="Arial" w:eastAsia="Arial" w:hAnsi="Arial"/>
          <w:sz w:val="18"/>
          <w:szCs w:val="18"/>
          <w:b w:val="1"/>
          <w:bCs w:val="1"/>
          <w:color w:val="auto"/>
        </w:rPr>
        <w:t>SME-Pyme</w:t>
      </w:r>
      <w:r>
        <w:rPr>
          <w:rFonts w:ascii="Arial" w:cs="Arial" w:eastAsia="Arial" w:hAnsi="Arial"/>
          <w:sz w:val="18"/>
          <w:szCs w:val="18"/>
          <w:color w:val="auto"/>
        </w:rPr>
        <w:t>. At</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the drop in NPLS was driven by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overdue loans.</w:t>
      </w:r>
    </w:p>
    <w:p>
      <w:pPr>
        <w:spacing w:after="0" w:line="92" w:lineRule="exact"/>
        <w:rPr>
          <w:sz w:val="20"/>
          <w:szCs w:val="20"/>
          <w:color w:val="auto"/>
        </w:rPr>
      </w:pPr>
    </w:p>
    <w:p>
      <w:pPr>
        <w:jc w:val="both"/>
        <w:ind w:right="3340"/>
        <w:spacing w:after="0" w:line="242" w:lineRule="auto"/>
        <w:rPr>
          <w:sz w:val="20"/>
          <w:szCs w:val="20"/>
          <w:color w:val="auto"/>
        </w:rPr>
      </w:pPr>
      <w:r>
        <w:rPr>
          <w:rFonts w:ascii="Arial" w:cs="Arial" w:eastAsia="Arial" w:hAnsi="Arial"/>
          <w:sz w:val="18"/>
          <w:szCs w:val="18"/>
          <w:color w:val="auto"/>
        </w:rPr>
        <w:t xml:space="preserve">YoY, NPLs decreased 11.0%, fueled by </w:t>
      </w:r>
      <w:r>
        <w:rPr>
          <w:rFonts w:ascii="Arial" w:cs="Arial" w:eastAsia="Arial" w:hAnsi="Arial"/>
          <w:sz w:val="18"/>
          <w:szCs w:val="18"/>
          <w:b w:val="1"/>
          <w:bCs w:val="1"/>
          <w:color w:val="auto"/>
        </w:rPr>
        <w:t>BCP Stand-alone and</w:t>
      </w:r>
      <w:r>
        <w:rPr>
          <w:rFonts w:ascii="Arial" w:cs="Arial" w:eastAsia="Arial" w:hAnsi="Arial"/>
          <w:sz w:val="18"/>
          <w:szCs w:val="18"/>
          <w:color w:val="auto"/>
        </w:rPr>
        <w:t xml:space="preserve"> </w:t>
      </w:r>
      <w:r>
        <w:rPr>
          <w:rFonts w:ascii="Arial" w:cs="Arial" w:eastAsia="Arial" w:hAnsi="Arial"/>
          <w:sz w:val="18"/>
          <w:szCs w:val="18"/>
          <w:b w:val="1"/>
          <w:bCs w:val="1"/>
          <w:color w:val="auto"/>
        </w:rPr>
        <w:t>Mibanco</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the reduction was mainly driven by</w:t>
      </w:r>
      <w:r>
        <w:rPr>
          <w:rFonts w:ascii="Arial" w:cs="Arial" w:eastAsia="Arial" w:hAnsi="Arial"/>
          <w:sz w:val="18"/>
          <w:szCs w:val="18"/>
          <w:b w:val="1"/>
          <w:bCs w:val="1"/>
          <w:color w:val="auto"/>
        </w:rPr>
        <w:t xml:space="preserve"> Wholesale</w:t>
      </w:r>
      <w:r>
        <w:rPr>
          <w:rFonts w:ascii="Arial" w:cs="Arial" w:eastAsia="Arial" w:hAnsi="Arial"/>
          <w:sz w:val="18"/>
          <w:szCs w:val="18"/>
          <w:color w:val="auto"/>
        </w:rPr>
        <w:t>, mainly through the same dynamics seen QoQ,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secondarily by </w:t>
      </w:r>
      <w:r>
        <w:rPr>
          <w:rFonts w:ascii="Arial" w:cs="Arial" w:eastAsia="Arial" w:hAnsi="Arial"/>
          <w:sz w:val="18"/>
          <w:szCs w:val="18"/>
          <w:b w:val="1"/>
          <w:bCs w:val="1"/>
          <w:color w:val="auto"/>
        </w:rPr>
        <w:t>Retail,</w:t>
      </w:r>
      <w:r>
        <w:rPr>
          <w:rFonts w:ascii="Arial" w:cs="Arial" w:eastAsia="Arial" w:hAnsi="Arial"/>
          <w:sz w:val="18"/>
          <w:szCs w:val="18"/>
          <w:color w:val="auto"/>
        </w:rPr>
        <w:t xml:space="preserve"> led by (i)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through the same dynamics in play QoQ, and (ii)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which registered a drop in debt refinancing.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the reduction in NPLs was driven by the same dynamics seen QoQ.</w:t>
      </w:r>
    </w:p>
    <w:p>
      <w:pPr>
        <w:spacing w:after="0" w:line="107" w:lineRule="exact"/>
        <w:rPr>
          <w:sz w:val="20"/>
          <w:szCs w:val="20"/>
          <w:color w:val="auto"/>
        </w:rPr>
      </w:pPr>
    </w:p>
    <w:p>
      <w:pPr>
        <w:jc w:val="both"/>
        <w:ind w:right="3340"/>
        <w:spacing w:after="0" w:line="276" w:lineRule="auto"/>
        <w:rPr>
          <w:sz w:val="20"/>
          <w:szCs w:val="20"/>
          <w:color w:val="auto"/>
        </w:rPr>
      </w:pPr>
      <w:r>
        <w:rPr>
          <w:rFonts w:ascii="Arial" w:cs="Arial" w:eastAsia="Arial" w:hAnsi="Arial"/>
          <w:sz w:val="18"/>
          <w:szCs w:val="18"/>
          <w:color w:val="auto"/>
        </w:rPr>
        <w:t>In this context, the NPL ratio dropped 26 bps QoQ and 71 bps YoY to stand at 4.5% at quarter-end.</w:t>
      </w:r>
    </w:p>
    <w:p>
      <w:pPr>
        <w:spacing w:after="0" w:line="75" w:lineRule="exact"/>
        <w:rPr>
          <w:sz w:val="20"/>
          <w:szCs w:val="20"/>
          <w:color w:val="auto"/>
        </w:rPr>
      </w:pPr>
    </w:p>
    <w:p>
      <w:pPr>
        <w:jc w:val="both"/>
        <w:ind w:right="3340"/>
        <w:spacing w:after="0" w:line="239" w:lineRule="auto"/>
        <w:rPr>
          <w:sz w:val="20"/>
          <w:szCs w:val="20"/>
          <w:color w:val="auto"/>
        </w:rPr>
      </w:pPr>
      <w:r>
        <w:rPr>
          <w:rFonts w:ascii="Arial" w:cs="Arial" w:eastAsia="Arial" w:hAnsi="Arial"/>
          <w:sz w:val="18"/>
          <w:szCs w:val="18"/>
          <w:color w:val="auto"/>
        </w:rPr>
        <w:t xml:space="preserve">Provisions rose 7.2% QoQ, driven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partially offset by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growth in provisions was triggered by the dynamics of </w:t>
      </w:r>
      <w:r>
        <w:rPr>
          <w:rFonts w:ascii="Arial" w:cs="Arial" w:eastAsia="Arial" w:hAnsi="Arial"/>
          <w:sz w:val="18"/>
          <w:szCs w:val="18"/>
          <w:b w:val="1"/>
          <w:bCs w:val="1"/>
          <w:color w:val="auto"/>
        </w:rPr>
        <w:t>Retail Banking</w:t>
      </w:r>
      <w:r>
        <w:rPr>
          <w:rFonts w:ascii="Arial" w:cs="Arial" w:eastAsia="Arial" w:hAnsi="Arial"/>
          <w:sz w:val="18"/>
          <w:szCs w:val="18"/>
          <w:color w:val="auto"/>
        </w:rPr>
        <w:t xml:space="preserve"> and by specific impacts 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In </w:t>
      </w:r>
      <w:r>
        <w:rPr>
          <w:rFonts w:ascii="Arial" w:cs="Arial" w:eastAsia="Arial" w:hAnsi="Arial"/>
          <w:sz w:val="18"/>
          <w:szCs w:val="18"/>
          <w:b w:val="1"/>
          <w:bCs w:val="1"/>
          <w:color w:val="auto"/>
        </w:rPr>
        <w:t>Retail,</w:t>
      </w:r>
      <w:r>
        <w:rPr>
          <w:rFonts w:ascii="Arial" w:cs="Arial" w:eastAsia="Arial" w:hAnsi="Arial"/>
          <w:sz w:val="18"/>
          <w:szCs w:val="18"/>
          <w:color w:val="auto"/>
        </w:rPr>
        <w:t xml:space="preserve"> provisions in the </w:t>
      </w:r>
      <w:r>
        <w:rPr>
          <w:rFonts w:ascii="Arial" w:cs="Arial" w:eastAsia="Arial" w:hAnsi="Arial"/>
          <w:sz w:val="18"/>
          <w:szCs w:val="18"/>
          <w:b w:val="1"/>
          <w:bCs w:val="1"/>
          <w:color w:val="auto"/>
        </w:rPr>
        <w:t xml:space="preserve">Individuals </w:t>
      </w:r>
      <w:r>
        <w:rPr>
          <w:rFonts w:ascii="Arial" w:cs="Arial" w:eastAsia="Arial" w:hAnsi="Arial"/>
          <w:sz w:val="18"/>
          <w:szCs w:val="18"/>
          <w:color w:val="auto"/>
        </w:rPr>
        <w:t>segment remained stable but grew for</w:t>
      </w:r>
      <w:r>
        <w:rPr>
          <w:rFonts w:ascii="Arial" w:cs="Arial" w:eastAsia="Arial" w:hAnsi="Arial"/>
          <w:sz w:val="18"/>
          <w:szCs w:val="18"/>
          <w:b w:val="1"/>
          <w:bCs w:val="1"/>
          <w:color w:val="auto"/>
        </w:rPr>
        <w:t xml:space="preserve"> SMEs </w:t>
      </w:r>
      <w:r>
        <w:rPr>
          <w:rFonts w:ascii="Arial" w:cs="Arial" w:eastAsia="Arial" w:hAnsi="Arial"/>
          <w:sz w:val="18"/>
          <w:szCs w:val="18"/>
          <w:color w:val="auto"/>
        </w:rPr>
        <w:t>after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write-offs were registered in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with stable underlying risk. In </w:t>
      </w:r>
      <w:r>
        <w:rPr>
          <w:rFonts w:ascii="Arial" w:cs="Arial" w:eastAsia="Arial" w:hAnsi="Arial"/>
          <w:sz w:val="18"/>
          <w:szCs w:val="18"/>
          <w:b w:val="1"/>
          <w:bCs w:val="1"/>
          <w:color w:val="auto"/>
        </w:rPr>
        <w:t>Wholesale,</w:t>
      </w:r>
      <w:r>
        <w:rPr>
          <w:rFonts w:ascii="Arial" w:cs="Arial" w:eastAsia="Arial" w:hAnsi="Arial"/>
          <w:sz w:val="18"/>
          <w:szCs w:val="18"/>
          <w:color w:val="auto"/>
        </w:rPr>
        <w:t xml:space="preserve"> provisions rose due to an increase in risk at indirect exposure related to specific clients in the construction sector. At </w:t>
      </w:r>
      <w:r>
        <w:rPr>
          <w:rFonts w:ascii="Arial" w:cs="Arial" w:eastAsia="Arial" w:hAnsi="Arial"/>
          <w:sz w:val="18"/>
          <w:szCs w:val="18"/>
          <w:b w:val="1"/>
          <w:bCs w:val="1"/>
          <w:color w:val="auto"/>
        </w:rPr>
        <w:t>Mibanco</w:t>
      </w:r>
      <w:r>
        <w:rPr>
          <w:rFonts w:ascii="Arial" w:cs="Arial" w:eastAsia="Arial" w:hAnsi="Arial"/>
          <w:sz w:val="18"/>
          <w:szCs w:val="18"/>
          <w:color w:val="auto"/>
        </w:rPr>
        <w:t>, the drop in provisions was driven by an improvement in payment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841375</wp:posOffset>
            </wp:positionV>
            <wp:extent cx="71577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113030</wp:posOffset>
            </wp:positionV>
            <wp:extent cx="6789420" cy="626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9420"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728980</wp:posOffset>
            </wp:positionV>
            <wp:extent cx="2760345" cy="1569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0345" cy="1569085"/>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3378200</wp:posOffset>
            </wp:positionV>
            <wp:extent cx="2777490" cy="175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77490" cy="1757680"/>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6095365</wp:posOffset>
            </wp:positionV>
            <wp:extent cx="2571750" cy="130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1750" cy="1303020"/>
                    </a:xfrm>
                    <a:prstGeom prst="rect">
                      <a:avLst/>
                    </a:prstGeom>
                    <a:noFill/>
                  </pic:spPr>
                </pic:pic>
              </a:graphicData>
            </a:graphic>
          </wp:anchor>
        </w:drawing>
      </w:r>
    </w:p>
    <w:p>
      <w:pPr>
        <w:sectPr>
          <w:pgSz w:w="11920" w:h="16838" w:orient="portrait"/>
          <w:cols w:equalWidth="0" w:num="2">
            <w:col w:w="8740" w:space="720"/>
            <w:col w:w="1760"/>
          </w:cols>
          <w:pgMar w:left="340" w:top="481" w:right="358" w:bottom="1440" w:gutter="0" w:footer="0" w:header="0"/>
        </w:sectPr>
      </w:pPr>
    </w:p>
    <w:bookmarkStart w:id="9" w:name="page10"/>
    <w:bookmarkEnd w:id="9"/>
    <w:p>
      <w:pPr>
        <w:ind w:left="2680"/>
        <w:spacing w:after="0"/>
        <w:tabs>
          <w:tab w:leader="none" w:pos="30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p>
    <w:p>
      <w:pPr>
        <w:spacing w:after="0" w:line="200" w:lineRule="exact"/>
        <w:rPr>
          <w:sz w:val="20"/>
          <w:szCs w:val="20"/>
          <w:color w:val="auto"/>
        </w:rPr>
      </w:pPr>
    </w:p>
    <w:p>
      <w:pPr>
        <w:spacing w:after="0" w:line="352"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 xml:space="preserve">YoY, provisions fell 13.1%, driven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partially offset by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the decline in provisions was led by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and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which registered a base effect generated by enhanced discriminatory capacity of our risk models.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growth was fueled by an increase in loans. On a full-year basis, provisions fell 31.6%, driven by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 impacted by improvements in payment performance in a context of economic recovery and by an uptick in lower-risk vintages’ share of total loans.</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Other Income</w:t>
      </w:r>
    </w:p>
    <w:p>
      <w:pPr>
        <w:spacing w:after="0" w:line="222" w:lineRule="exact"/>
        <w:rPr>
          <w:sz w:val="20"/>
          <w:szCs w:val="20"/>
          <w:color w:val="auto"/>
        </w:rPr>
      </w:pPr>
    </w:p>
    <w:p>
      <w:pPr>
        <w:jc w:val="both"/>
        <w:ind w:right="280"/>
        <w:spacing w:after="0" w:line="242" w:lineRule="auto"/>
        <w:rPr>
          <w:sz w:val="20"/>
          <w:szCs w:val="20"/>
          <w:color w:val="auto"/>
        </w:rPr>
      </w:pPr>
      <w:r>
        <w:rPr>
          <w:rFonts w:ascii="Arial" w:cs="Arial" w:eastAsia="Arial" w:hAnsi="Arial"/>
          <w:sz w:val="18"/>
          <w:szCs w:val="18"/>
          <w:b w:val="1"/>
          <w:bCs w:val="1"/>
          <w:color w:val="auto"/>
        </w:rPr>
        <w:t xml:space="preserve">Other Core Income </w:t>
      </w:r>
      <w:r>
        <w:rPr>
          <w:rFonts w:ascii="Arial" w:cs="Arial" w:eastAsia="Arial" w:hAnsi="Arial"/>
          <w:sz w:val="18"/>
          <w:szCs w:val="18"/>
          <w:color w:val="auto"/>
        </w:rPr>
        <w:t>hit a record high this quarter, growing 6.0%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QoQ, and was up 13.7% YoY and 12.2% on a full-year basis, driven by the solid performance of our core banking business at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Stand-alone </w:t>
      </w:r>
      <w:r>
        <w:rPr>
          <w:rFonts w:ascii="Arial" w:cs="Arial" w:eastAsia="Arial" w:hAnsi="Arial"/>
          <w:sz w:val="18"/>
          <w:szCs w:val="18"/>
          <w:color w:val="auto"/>
        </w:rPr>
        <w:t>and dynamic transactional growth at</w:t>
      </w:r>
      <w:r>
        <w:rPr>
          <w:rFonts w:ascii="Arial" w:cs="Arial" w:eastAsia="Arial" w:hAnsi="Arial"/>
          <w:sz w:val="18"/>
          <w:szCs w:val="18"/>
          <w:b w:val="1"/>
          <w:bCs w:val="1"/>
          <w:color w:val="auto"/>
        </w:rPr>
        <w:t xml:space="preserve"> Yape</w:t>
      </w:r>
      <w:r>
        <w:rPr>
          <w:rFonts w:ascii="Arial" w:cs="Arial" w:eastAsia="Arial" w:hAnsi="Arial"/>
          <w:sz w:val="18"/>
          <w:szCs w:val="18"/>
          <w:color w:val="auto"/>
        </w:rPr>
        <w:t>. This result</w:t>
      </w:r>
      <w:r>
        <w:rPr>
          <w:rFonts w:ascii="Arial" w:cs="Arial" w:eastAsia="Arial" w:hAnsi="Arial"/>
          <w:sz w:val="18"/>
          <w:szCs w:val="18"/>
          <w:b w:val="1"/>
          <w:bCs w:val="1"/>
          <w:color w:val="auto"/>
        </w:rPr>
        <w:t xml:space="preserve"> </w:t>
      </w:r>
      <w:r>
        <w:rPr>
          <w:rFonts w:ascii="Arial" w:cs="Arial" w:eastAsia="Arial" w:hAnsi="Arial"/>
          <w:sz w:val="18"/>
          <w:szCs w:val="18"/>
          <w:color w:val="auto"/>
        </w:rPr>
        <w:t>reflects our consistent execution of a strategy to diversify income sources and decouple from the macroeconomy as we strengthen the resilience of our model.</w:t>
      </w:r>
    </w:p>
    <w:p>
      <w:pPr>
        <w:spacing w:after="0" w:line="92"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b w:val="1"/>
          <w:bCs w:val="1"/>
          <w:color w:val="auto"/>
        </w:rPr>
        <w:t xml:space="preserve">Other Non-Core Income </w:t>
      </w:r>
      <w:r>
        <w:rPr>
          <w:rFonts w:ascii="Arial" w:cs="Arial" w:eastAsia="Arial" w:hAnsi="Arial"/>
          <w:sz w:val="18"/>
          <w:szCs w:val="18"/>
          <w:color w:val="auto"/>
        </w:rPr>
        <w:t>rose 29.4% QoQ and 13.5% YoY,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back of improved performance at </w:t>
      </w:r>
      <w:r>
        <w:rPr>
          <w:rFonts w:ascii="Arial" w:cs="Arial" w:eastAsia="Arial" w:hAnsi="Arial"/>
          <w:sz w:val="18"/>
          <w:szCs w:val="18"/>
          <w:b w:val="1"/>
          <w:bCs w:val="1"/>
          <w:color w:val="auto"/>
        </w:rPr>
        <w:t>Pacifico</w:t>
      </w:r>
      <w:r>
        <w:rPr>
          <w:rFonts w:ascii="Arial" w:cs="Arial" w:eastAsia="Arial" w:hAnsi="Arial"/>
          <w:sz w:val="18"/>
          <w:szCs w:val="18"/>
          <w:color w:val="auto"/>
        </w:rPr>
        <w:t xml:space="preserve"> and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On a full-year basis, income rose 8.8% bolstered by gains from the consolidation of Banmedica’s operations and a sovereign bond exchange at </w:t>
      </w:r>
      <w:r>
        <w:rPr>
          <w:rFonts w:ascii="Arial" w:cs="Arial" w:eastAsia="Arial" w:hAnsi="Arial"/>
          <w:sz w:val="18"/>
          <w:szCs w:val="18"/>
          <w:b w:val="1"/>
          <w:bCs w:val="1"/>
          <w:color w:val="auto"/>
        </w:rPr>
        <w:t>BCP Stand-alone</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Insurance Underwriting Result</w:t>
      </w:r>
    </w:p>
    <w:p>
      <w:pPr>
        <w:spacing w:after="0" w:line="170" w:lineRule="exact"/>
        <w:rPr>
          <w:sz w:val="20"/>
          <w:szCs w:val="20"/>
          <w:color w:val="auto"/>
        </w:rPr>
      </w:pPr>
    </w:p>
    <w:p>
      <w:pPr>
        <w:jc w:val="both"/>
        <w:ind w:right="280"/>
        <w:spacing w:after="0" w:line="241" w:lineRule="auto"/>
        <w:rPr>
          <w:sz w:val="20"/>
          <w:szCs w:val="20"/>
          <w:color w:val="auto"/>
        </w:rPr>
      </w:pPr>
      <w:r>
        <w:rPr>
          <w:rFonts w:ascii="Arial" w:cs="Arial" w:eastAsia="Arial" w:hAnsi="Arial"/>
          <w:sz w:val="18"/>
          <w:szCs w:val="18"/>
          <w:color w:val="auto"/>
        </w:rPr>
        <w:t>The Insurance Underwriting result dropped 17.4% QoQ, driven mainly by the Life business, mainly reflecting normalization in the Disability &amp; Survivorship line of the Life Business, which registered a base effect for favorable extraordinary reversals last quarter. If we exclude this business line, the underlying performance of our insurance operations in 4Q25 remained solid and the Insurance Underwriting Result remained relatively stable.</w:t>
      </w:r>
    </w:p>
    <w:p>
      <w:pPr>
        <w:spacing w:after="0" w:line="152" w:lineRule="exact"/>
        <w:rPr>
          <w:sz w:val="20"/>
          <w:szCs w:val="20"/>
          <w:color w:val="auto"/>
        </w:rPr>
      </w:pPr>
    </w:p>
    <w:p>
      <w:pPr>
        <w:jc w:val="both"/>
        <w:ind w:right="280"/>
        <w:spacing w:after="0" w:line="276" w:lineRule="auto"/>
        <w:rPr>
          <w:sz w:val="20"/>
          <w:szCs w:val="20"/>
          <w:color w:val="auto"/>
        </w:rPr>
      </w:pPr>
      <w:r>
        <w:rPr>
          <w:rFonts w:ascii="Arial" w:cs="Arial" w:eastAsia="Arial" w:hAnsi="Arial"/>
          <w:sz w:val="18"/>
          <w:szCs w:val="18"/>
          <w:color w:val="auto"/>
        </w:rPr>
        <w:t>YoY, results increased 2.6%, driven by (i) Corporate Health, due to the consolidation of Banmedica’s operations, and (ii) P &amp; C.</w:t>
      </w:r>
    </w:p>
    <w:p>
      <w:pPr>
        <w:spacing w:after="0" w:line="118"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On a full-year basis, results rose 15.9%, mainly fueled by Corporate Health. If we exclude the consolidation of Banmedica’s operations, the underwriting result rose 7.8%. Nonetheless, this was impacted by the contraction of the D&amp;S line, which did not actively operate in 2025. Excluding this line, the underwriting result of the ongoing operating business rose 14.6% was driven mainly by the Life business through a favorable performance in Credit and Individual lines, and by the P&amp;C business, particularly through better results in Personal Lines and 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889000</wp:posOffset>
            </wp:positionV>
            <wp:extent cx="71577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177800</wp:posOffset>
            </wp:positionV>
            <wp:extent cx="6789420" cy="608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9420" cy="608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1689100</wp:posOffset>
            </wp:positionV>
            <wp:extent cx="2734310" cy="1945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3431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Insurance Underwriting Result*</w:t>
      </w:r>
    </w:p>
    <w:p>
      <w:pPr>
        <w:spacing w:after="0" w:line="109"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10160</wp:posOffset>
            </wp:positionV>
            <wp:extent cx="2434590" cy="1851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3459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*Totals may differ from the sum of the parts due to eliminations in PGA consolidation.</w:t>
      </w:r>
    </w:p>
    <w:p>
      <w:pPr>
        <w:sectPr>
          <w:pgSz w:w="11920" w:h="16838" w:orient="portrait"/>
          <w:cols w:equalWidth="0" w:num="2">
            <w:col w:w="5680" w:space="720"/>
            <w:col w:w="4820"/>
          </w:cols>
          <w:pgMar w:left="340" w:top="481" w:right="358" w:bottom="1440" w:gutter="0" w:footer="0" w:header="0"/>
        </w:sectPr>
      </w:pPr>
    </w:p>
    <w:bookmarkStart w:id="10" w:name="page11"/>
    <w:bookmarkEnd w:id="10"/>
    <w:p>
      <w:pPr>
        <w:ind w:left="2680"/>
        <w:spacing w:after="0"/>
        <w:tabs>
          <w:tab w:leader="none" w:pos="30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Efficiency</w:t>
      </w:r>
    </w:p>
    <w:p>
      <w:pPr>
        <w:spacing w:after="0" w:line="210" w:lineRule="exact"/>
        <w:rPr>
          <w:sz w:val="20"/>
          <w:szCs w:val="20"/>
          <w:color w:val="auto"/>
        </w:rPr>
      </w:pPr>
    </w:p>
    <w:p>
      <w:pPr>
        <w:jc w:val="both"/>
        <w:ind w:right="3340"/>
        <w:spacing w:after="0" w:line="248" w:lineRule="auto"/>
        <w:rPr>
          <w:sz w:val="20"/>
          <w:szCs w:val="20"/>
          <w:color w:val="auto"/>
        </w:rPr>
      </w:pPr>
      <w:r>
        <w:rPr>
          <w:rFonts w:ascii="Arial" w:cs="Arial" w:eastAsia="Arial" w:hAnsi="Arial"/>
          <w:sz w:val="18"/>
          <w:szCs w:val="18"/>
          <w:color w:val="auto"/>
        </w:rPr>
        <w:t>Operating Expenses rose 12.0% on a full-year basis, driven mainly by the core business at BCP Stand-alone and initiatives in the innovation portfolio at the Credicorp level. Operating income increased 8.3% over the same period.</w:t>
      </w:r>
    </w:p>
    <w:p>
      <w:pPr>
        <w:spacing w:after="0" w:line="103" w:lineRule="exact"/>
        <w:rPr>
          <w:sz w:val="20"/>
          <w:szCs w:val="20"/>
          <w:color w:val="auto"/>
        </w:rPr>
      </w:pPr>
    </w:p>
    <w:p>
      <w:pPr>
        <w:jc w:val="both"/>
        <w:ind w:right="3340"/>
        <w:spacing w:after="0" w:line="276" w:lineRule="auto"/>
        <w:rPr>
          <w:sz w:val="20"/>
          <w:szCs w:val="20"/>
          <w:color w:val="auto"/>
        </w:rPr>
      </w:pPr>
      <w:r>
        <w:rPr>
          <w:rFonts w:ascii="Arial" w:cs="Arial" w:eastAsia="Arial" w:hAnsi="Arial"/>
          <w:sz w:val="18"/>
          <w:szCs w:val="18"/>
          <w:color w:val="auto"/>
        </w:rPr>
        <w:t>In this scenario, the Efficiency Ratio stood at 46.6% for 2025, in line with guidance for the year.</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2AD2C8"/>
        </w:rPr>
        <w:t>Net income attributable to Credicorp</w:t>
      </w:r>
    </w:p>
    <w:p>
      <w:pPr>
        <w:spacing w:after="0" w:line="224" w:lineRule="exact"/>
        <w:rPr>
          <w:sz w:val="20"/>
          <w:szCs w:val="20"/>
          <w:color w:val="auto"/>
        </w:rPr>
      </w:pPr>
    </w:p>
    <w:p>
      <w:pPr>
        <w:jc w:val="both"/>
        <w:ind w:right="3340"/>
        <w:spacing w:after="0" w:line="245" w:lineRule="auto"/>
        <w:rPr>
          <w:sz w:val="20"/>
          <w:szCs w:val="20"/>
          <w:color w:val="auto"/>
        </w:rPr>
      </w:pPr>
      <w:r>
        <w:rPr>
          <w:rFonts w:ascii="Arial" w:cs="Arial" w:eastAsia="Arial" w:hAnsi="Arial"/>
          <w:sz w:val="18"/>
          <w:szCs w:val="18"/>
          <w:color w:val="auto"/>
        </w:rPr>
        <w:t>In 4Q25, Credicorp reported attributable new income of S/1,587.0 million (-8.7% QoQ and +40.9% YoY), backed by solid results in all our lines of business. Net Shareholders’ Equity stood at S/38,367 million (+4.9% QoQ and +11.7% YoY). In this scenario, ROE stood at 16.9%.</w:t>
      </w:r>
    </w:p>
    <w:p>
      <w:pPr>
        <w:spacing w:after="0" w:line="91" w:lineRule="exact"/>
        <w:rPr>
          <w:sz w:val="20"/>
          <w:szCs w:val="20"/>
          <w:color w:val="auto"/>
        </w:rPr>
      </w:pPr>
    </w:p>
    <w:p>
      <w:pPr>
        <w:jc w:val="both"/>
        <w:ind w:right="3340"/>
        <w:spacing w:after="0" w:line="245" w:lineRule="auto"/>
        <w:rPr>
          <w:sz w:val="20"/>
          <w:szCs w:val="20"/>
          <w:color w:val="auto"/>
        </w:rPr>
      </w:pPr>
      <w:r>
        <w:rPr>
          <w:rFonts w:ascii="Arial" w:cs="Arial" w:eastAsia="Arial" w:hAnsi="Arial"/>
          <w:sz w:val="18"/>
          <w:szCs w:val="18"/>
          <w:color w:val="auto"/>
        </w:rPr>
        <w:t>On a full-year basis, net income attributable to Credicorp rose 25.9% and stood at S/6,925.4 million. Consequently, ROE for 2025 was 19.0%. If we exclude the effects of extraordinary gains associated with the Empresas Banmédica transaction, ROE stands at 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835025</wp:posOffset>
            </wp:positionV>
            <wp:extent cx="71577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140970</wp:posOffset>
            </wp:positionV>
            <wp:extent cx="6780530" cy="591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80530" cy="591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368935</wp:posOffset>
            </wp:positionV>
            <wp:extent cx="2700655" cy="2983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0655" cy="2983230"/>
                    </a:xfrm>
                    <a:prstGeom prst="rect">
                      <a:avLst/>
                    </a:prstGeom>
                    <a:noFill/>
                  </pic:spPr>
                </pic:pic>
              </a:graphicData>
            </a:graphic>
          </wp:anchor>
        </w:drawing>
      </w:r>
    </w:p>
    <w:p>
      <w:pPr>
        <w:sectPr>
          <w:pgSz w:w="11920" w:h="16838" w:orient="portrait"/>
          <w:cols w:equalWidth="0" w:num="2">
            <w:col w:w="8740" w:space="720"/>
            <w:col w:w="1760"/>
          </w:cols>
          <w:pgMar w:left="340" w:top="481" w:right="358" w:bottom="1440" w:gutter="0" w:footer="0" w:header="0"/>
        </w:sectPr>
      </w:pPr>
    </w:p>
    <w:bookmarkStart w:id="11" w:name="page12"/>
    <w:bookmarkEnd w:id="11"/>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135" w:lineRule="exact"/>
        <w:rPr>
          <w:sz w:val="20"/>
          <w:szCs w:val="20"/>
          <w:color w:val="auto"/>
        </w:rPr>
      </w:pPr>
    </w:p>
    <w:p>
      <w:pPr>
        <w:jc w:val="center"/>
        <w:ind w:right="233"/>
        <w:spacing w:after="0"/>
        <w:rPr>
          <w:sz w:val="20"/>
          <w:szCs w:val="20"/>
          <w:color w:val="auto"/>
        </w:rPr>
      </w:pPr>
      <w:r>
        <w:rPr>
          <w:rFonts w:ascii="Arial" w:cs="Arial" w:eastAsia="Arial" w:hAnsi="Arial"/>
          <w:sz w:val="25"/>
          <w:szCs w:val="25"/>
          <w:b w:val="1"/>
          <w:bCs w:val="1"/>
          <w:color w:val="2AD2C8"/>
        </w:rPr>
        <w:t>Contributions and ROE by subsidiary in 4Q25</w:t>
      </w:r>
    </w:p>
    <w:p>
      <w:pPr>
        <w:spacing w:after="0" w:line="71" w:lineRule="exact"/>
        <w:rPr>
          <w:sz w:val="20"/>
          <w:szCs w:val="20"/>
          <w:color w:val="auto"/>
        </w:rPr>
      </w:pPr>
    </w:p>
    <w:p>
      <w:pPr>
        <w:jc w:val="center"/>
        <w:ind w:right="213"/>
        <w:spacing w:after="0"/>
        <w:rPr>
          <w:sz w:val="20"/>
          <w:szCs w:val="20"/>
          <w:color w:val="auto"/>
        </w:rPr>
      </w:pPr>
      <w:r>
        <w:rPr>
          <w:rFonts w:ascii="Arial" w:cs="Arial" w:eastAsia="Arial" w:hAnsi="Arial"/>
          <w:sz w:val="16"/>
          <w:szCs w:val="16"/>
          <w:b w:val="1"/>
          <w:bCs w:val="1"/>
          <w:color w:val="2A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123825</wp:posOffset>
            </wp:positionV>
            <wp:extent cx="5589270" cy="2665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927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7" w:hanging="167"/>
        <w:spacing w:after="0"/>
        <w:tabs>
          <w:tab w:leader="none" w:pos="16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BCP Stand-alone, the figure is lower than the net profit since the contribution eliminates investment gains in other subsidiaries of Credicorp (Mibanco).</w:t>
      </w:r>
    </w:p>
    <w:p>
      <w:pPr>
        <w:spacing w:after="0" w:line="11" w:lineRule="exact"/>
        <w:rPr>
          <w:rFonts w:ascii="Arial" w:cs="Arial" w:eastAsia="Arial" w:hAnsi="Arial"/>
          <w:sz w:val="12"/>
          <w:szCs w:val="12"/>
          <w:color w:val="auto"/>
        </w:rPr>
      </w:pPr>
    </w:p>
    <w:p>
      <w:pPr>
        <w:ind w:left="167" w:hanging="167"/>
        <w:spacing w:after="0" w:line="234" w:lineRule="auto"/>
        <w:tabs>
          <w:tab w:leader="none" w:pos="167"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Mibanco, the figure is less than the net profit because Credicorp owns (directly and indirectly) 99.921% of Mibanco.</w:t>
      </w:r>
    </w:p>
    <w:p>
      <w:pPr>
        <w:ind w:left="167" w:hanging="167"/>
        <w:spacing w:after="0"/>
        <w:tabs>
          <w:tab w:leader="none" w:pos="16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contribution for Grupo Pacifico presented here is greater than the profit of Pacifico Seguros since 100% of Crediseguros is being included (including 48% under Grupo Crédito).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810895</wp:posOffset>
            </wp:positionV>
            <wp:extent cx="71577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116840</wp:posOffset>
            </wp:positionV>
            <wp:extent cx="6780530" cy="591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80530" cy="59118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57720" cy="462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6291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-359410</wp:posOffset>
            </wp:positionV>
            <wp:extent cx="9512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376" w:lineRule="exact"/>
        <w:rPr>
          <w:sz w:val="20"/>
          <w:szCs w:val="20"/>
          <w:color w:val="auto"/>
        </w:rPr>
      </w:pPr>
    </w:p>
    <w:p>
      <w:pPr>
        <w:ind w:left="1760"/>
        <w:spacing w:after="0"/>
        <w:tabs>
          <w:tab w:leader="none" w:pos="7880" w:val="left"/>
        </w:tabs>
        <w:rPr>
          <w:sz w:val="20"/>
          <w:szCs w:val="20"/>
          <w:color w:val="auto"/>
        </w:rPr>
      </w:pPr>
      <w:r>
        <w:rPr>
          <w:rFonts w:ascii="Arial" w:cs="Arial" w:eastAsia="Arial" w:hAnsi="Arial"/>
          <w:sz w:val="22"/>
          <w:szCs w:val="22"/>
          <w:b w:val="1"/>
          <w:bCs w:val="1"/>
          <w:color w:val="FFFFFF"/>
        </w:rPr>
        <w:t>Universal Banking</w:t>
      </w:r>
      <w:r>
        <w:rPr>
          <w:sz w:val="20"/>
          <w:szCs w:val="20"/>
          <w:color w:val="auto"/>
        </w:rPr>
        <w:tab/>
      </w:r>
      <w:r>
        <w:rPr>
          <w:rFonts w:ascii="Arial" w:cs="Arial" w:eastAsia="Arial" w:hAnsi="Arial"/>
          <w:sz w:val="21"/>
          <w:szCs w:val="21"/>
          <w:b w:val="1"/>
          <w:bCs w:val="1"/>
          <w:color w:val="FFFFFF"/>
        </w:rPr>
        <w:t>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7162165" cy="17354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173545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both"/>
        <w:ind w:left="60"/>
        <w:spacing w:after="0" w:line="230" w:lineRule="auto"/>
        <w:rPr>
          <w:sz w:val="20"/>
          <w:szCs w:val="20"/>
          <w:color w:val="auto"/>
        </w:rPr>
      </w:pPr>
      <w:r>
        <w:rPr>
          <w:rFonts w:ascii="Arial" w:cs="Arial" w:eastAsia="Arial" w:hAnsi="Arial"/>
          <w:sz w:val="20"/>
          <w:szCs w:val="20"/>
          <w:color w:val="auto"/>
        </w:rPr>
        <w:t>BCP reported solid profitability of nearly 25% in 2025, supported by growing margins; revenue stream diversification; and fortified risk management. The bank’s Risk-Adjusted NIM, which was sustained by a shift in the loan mix towards retail loans; the solidness of transactional funding; and an improvement in payment performance in a more favorable economic context. Core income rose 6.4%, buoyed by transactional services and an uptick in the principality of our clients. BCP continued to invfest in developing transformation and innovation capacities with an eye on generating positive operating leverage over the next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3437255" cy="462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3725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both"/>
        <w:ind w:right="60"/>
        <w:spacing w:after="0"/>
        <w:rPr>
          <w:sz w:val="20"/>
          <w:szCs w:val="20"/>
          <w:color w:val="auto"/>
        </w:rPr>
      </w:pPr>
      <w:r>
        <w:rPr>
          <w:rFonts w:ascii="Arial" w:cs="Arial" w:eastAsia="Arial" w:hAnsi="Arial"/>
          <w:sz w:val="19"/>
          <w:szCs w:val="19"/>
          <w:color w:val="auto"/>
        </w:rPr>
        <w:t>Profitability at Mibanco registered recovery throughout 2025 and came close to reaching the mid-term target for an ROE in the low 20s. The results were driven by growth in disbursements; fortified risk management; efficacious pricing strategies; and a lower funding cost. These factors led Risk-Adjusted NIM to grow. The total fee level also grew at a faster pace this year, in line with our strategy to diversify revenue streams. Mibanco Colombia’s results continued to improve, bolstered by restructuring efforts this past year and an improvement in the economic environment for the microfinance sector. Growth at the bank remains stable and risk levels are controlled.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130810</wp:posOffset>
            </wp:positionV>
            <wp:extent cx="3437255" cy="617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37255" cy="617220"/>
                    </a:xfrm>
                    <a:prstGeom prst="rect">
                      <a:avLst/>
                    </a:prstGeom>
                    <a:noFill/>
                  </pic:spPr>
                </pic:pic>
              </a:graphicData>
            </a:graphic>
          </wp:anchor>
        </w:drawing>
      </w:r>
    </w:p>
    <w:p>
      <w:pPr>
        <w:spacing w:after="0" w:line="212" w:lineRule="exact"/>
        <w:rPr>
          <w:sz w:val="20"/>
          <w:szCs w:val="20"/>
          <w:color w:val="auto"/>
        </w:rPr>
      </w:pPr>
    </w:p>
    <w:p>
      <w:pPr>
        <w:sectPr>
          <w:pgSz w:w="11920" w:h="16838" w:orient="portrait"/>
          <w:cols w:equalWidth="0" w:num="2">
            <w:col w:w="5340" w:space="580"/>
            <w:col w:w="5340"/>
          </w:cols>
          <w:pgMar w:left="340" w:top="135" w:right="318" w:bottom="1440" w:gutter="0" w:footer="0" w:header="0"/>
          <w:type w:val="continuous"/>
        </w:sectPr>
      </w:pPr>
    </w:p>
    <w:p>
      <w:pPr>
        <w:spacing w:after="0" w:line="199"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FFFFFF"/>
        </w:rPr>
        <w:t>Insurance and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3441700" cy="1324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41700" cy="132461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60"/>
        <w:spacing w:after="0" w:line="242" w:lineRule="auto"/>
        <w:rPr>
          <w:sz w:val="20"/>
          <w:szCs w:val="20"/>
          <w:color w:val="auto"/>
        </w:rPr>
      </w:pPr>
      <w:r>
        <w:rPr>
          <w:rFonts w:ascii="Arial" w:cs="Arial" w:eastAsia="Arial" w:hAnsi="Arial"/>
          <w:sz w:val="19"/>
          <w:szCs w:val="19"/>
          <w:color w:val="auto"/>
        </w:rPr>
        <w:t>Grupo Pacífico reported solid results for its underlying business once again this year, supported by strong commercial dynamics across LoBs and the consolidation of Empresas Banmédica’s operations. The Insurance Underwriting Result was boosted by extraordinary reversals in D&amp;S. Notwithstanding, if we exclude this business line, the result remains robust and is trending upward. These positive dynamics were partially offset by the impact of a credit downgrade for a couple of assets in the investment portfolio.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FFFFFF"/>
        </w:rPr>
        <w:t>Investment Management and</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FFFFFF"/>
        </w:rPr>
        <w:t>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244475</wp:posOffset>
            </wp:positionV>
            <wp:extent cx="3441700" cy="1256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41700" cy="125603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both"/>
        <w:ind w:right="60"/>
        <w:spacing w:after="0" w:line="243" w:lineRule="auto"/>
        <w:rPr>
          <w:sz w:val="20"/>
          <w:szCs w:val="20"/>
          <w:color w:val="auto"/>
        </w:rPr>
      </w:pPr>
      <w:r>
        <w:rPr>
          <w:rFonts w:ascii="Arial" w:cs="Arial" w:eastAsia="Arial" w:hAnsi="Arial"/>
          <w:sz w:val="19"/>
          <w:szCs w:val="19"/>
          <w:color w:val="auto"/>
        </w:rPr>
        <w:t>Operating profitability in the Investment Management and Advisory business remained at healthy levels. Core businesses reported solid results, reflecting strong commercial dynamics in the Capital Markets and Asset Management lines, which registered record highs for income. These dynamics helped offset an uptick in operating expenses. The Asset Management and Wealth Management lines reported significant growth in AUMs.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243205</wp:posOffset>
            </wp:positionV>
            <wp:extent cx="7162165" cy="1030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1030605"/>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5340" w:space="580"/>
            <w:col w:w="5340"/>
          </w:cols>
          <w:pgMar w:left="340" w:top="135" w:right="318"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Outlook</w:t>
      </w:r>
    </w:p>
    <w:p>
      <w:pPr>
        <w:spacing w:after="0" w:line="200" w:lineRule="exact"/>
        <w:rPr>
          <w:sz w:val="20"/>
          <w:szCs w:val="20"/>
          <w:color w:val="auto"/>
        </w:rPr>
      </w:pPr>
    </w:p>
    <w:p>
      <w:pPr>
        <w:spacing w:after="0" w:line="266" w:lineRule="exact"/>
        <w:rPr>
          <w:sz w:val="20"/>
          <w:szCs w:val="20"/>
          <w:color w:val="auto"/>
        </w:rPr>
      </w:pPr>
    </w:p>
    <w:p>
      <w:pPr>
        <w:jc w:val="center"/>
        <w:ind w:left="80" w:right="80"/>
        <w:spacing w:after="0" w:line="277" w:lineRule="auto"/>
        <w:rPr>
          <w:sz w:val="20"/>
          <w:szCs w:val="20"/>
          <w:color w:val="auto"/>
        </w:rPr>
      </w:pPr>
      <w:r>
        <w:rPr>
          <w:rFonts w:ascii="Arial" w:cs="Arial" w:eastAsia="Arial" w:hAnsi="Arial"/>
          <w:sz w:val="19"/>
          <w:szCs w:val="19"/>
          <w:color w:val="auto"/>
        </w:rPr>
        <w:t>We expect to close 2026 with an ROE around 19.5%. We believe this result will be driven by: (i) an acceleration in the pace of growth of our loan portfolio, particularly in the retail segment, (ii) an increase in our NIM, and (iii) a controlled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952500</wp:posOffset>
            </wp:positionV>
            <wp:extent cx="71577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249555</wp:posOffset>
            </wp:positionV>
            <wp:extent cx="6780530" cy="6000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80530" cy="60007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type w:val="continuous"/>
        </w:sectPr>
      </w:pPr>
    </w:p>
    <w:bookmarkStart w:id="13" w:name="page14"/>
    <w:bookmarkEnd w:id="13"/>
    <w:p>
      <w:pPr>
        <w:ind w:left="2687"/>
        <w:spacing w:after="0"/>
        <w:tabs>
          <w:tab w:leader="none" w:pos="3007" w:val="left"/>
          <w:tab w:leader="none" w:pos="9447"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5772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205740"/>
                    </a:xfrm>
                    <a:prstGeom prst="rect">
                      <a:avLst/>
                    </a:prstGeom>
                    <a:noFill/>
                  </pic:spPr>
                </pic:pic>
              </a:graphicData>
            </a:graphic>
          </wp:anchor>
        </w:drawing>
      </w:r>
    </w:p>
    <w:p>
      <w:pPr>
        <w:spacing w:after="0" w:line="390" w:lineRule="exact"/>
        <w:rPr>
          <w:sz w:val="20"/>
          <w:szCs w:val="20"/>
          <w:color w:val="auto"/>
        </w:rPr>
      </w:pPr>
    </w:p>
    <w:p>
      <w:pPr>
        <w:ind w:left="47"/>
        <w:spacing w:after="0"/>
        <w:rPr>
          <w:sz w:val="20"/>
          <w:szCs w:val="20"/>
          <w:color w:val="auto"/>
        </w:rPr>
      </w:pPr>
      <w:r>
        <w:rPr>
          <w:rFonts w:ascii="Arial" w:cs="Arial" w:eastAsia="Arial" w:hAnsi="Arial"/>
          <w:sz w:val="20"/>
          <w:szCs w:val="20"/>
          <w:b w:val="1"/>
          <w:bCs w:val="1"/>
          <w:color w:val="FFFFFF"/>
        </w:rPr>
        <w:t>Financial Overview</w:t>
      </w:r>
    </w:p>
    <w:p>
      <w:pPr>
        <w:spacing w:after="0" w:line="241" w:lineRule="exact"/>
        <w:rPr>
          <w:sz w:val="20"/>
          <w:szCs w:val="20"/>
          <w:color w:val="auto"/>
        </w:rPr>
      </w:pPr>
    </w:p>
    <w:tbl>
      <w:tblPr>
        <w:tblLayout w:type="fixed"/>
        <w:tblInd w:w="17" w:type="dxa"/>
        <w:tblCellMar>
          <w:top w:w="0" w:type="dxa"/>
          <w:left w:w="0" w:type="dxa"/>
          <w:bottom w:w="0" w:type="dxa"/>
          <w:right w:w="0" w:type="dxa"/>
        </w:tblCellMar>
      </w:tblPr>
      <w:tr>
        <w:trPr>
          <w:trHeight w:val="179"/>
        </w:trPr>
        <w:tc>
          <w:tcPr>
            <w:tcW w:w="3180" w:type="dxa"/>
            <w:vAlign w:val="bottom"/>
            <w:tcBorders>
              <w:top w:val="single" w:sz="8" w:color="auto"/>
              <w:left w:val="single" w:sz="8" w:color="auto"/>
              <w:right w:val="single" w:sz="8" w:color="auto"/>
            </w:tcBorders>
            <w:shd w:val="clear" w:color="auto" w:fill="2AD2C8"/>
          </w:tcPr>
          <w:p>
            <w:pPr>
              <w:spacing w:after="0"/>
              <w:rPr>
                <w:sz w:val="20"/>
                <w:szCs w:val="20"/>
                <w:color w:val="auto"/>
              </w:rPr>
            </w:pPr>
            <w:r>
              <w:rPr>
                <w:rFonts w:ascii="Arial" w:cs="Arial" w:eastAsia="Arial" w:hAnsi="Arial"/>
                <w:sz w:val="13"/>
                <w:szCs w:val="13"/>
                <w:b w:val="1"/>
                <w:bCs w:val="1"/>
                <w:color w:val="FFFFFF"/>
              </w:rPr>
              <w:t>Credicorp Ltd.</w:t>
            </w:r>
          </w:p>
        </w:tc>
        <w:tc>
          <w:tcPr>
            <w:tcW w:w="980" w:type="dxa"/>
            <w:vAlign w:val="bottom"/>
            <w:tcBorders>
              <w:top w:val="single" w:sz="8" w:color="auto"/>
            </w:tcBorders>
            <w:shd w:val="clear" w:color="auto" w:fill="2AD2C8"/>
          </w:tcPr>
          <w:p>
            <w:pPr>
              <w:spacing w:after="0"/>
              <w:rPr>
                <w:sz w:val="15"/>
                <w:szCs w:val="15"/>
                <w:color w:val="auto"/>
              </w:rPr>
            </w:pPr>
          </w:p>
        </w:tc>
        <w:tc>
          <w:tcPr>
            <w:tcW w:w="1000" w:type="dxa"/>
            <w:vAlign w:val="bottom"/>
            <w:tcBorders>
              <w:top w:val="single" w:sz="8" w:color="auto"/>
            </w:tcBorders>
            <w:shd w:val="clear" w:color="auto" w:fill="2AD2C8"/>
          </w:tcPr>
          <w:p>
            <w:pPr>
              <w:ind w:left="280"/>
              <w:spacing w:after="0"/>
              <w:rPr>
                <w:sz w:val="20"/>
                <w:szCs w:val="20"/>
                <w:color w:val="auto"/>
              </w:rPr>
            </w:pPr>
            <w:r>
              <w:rPr>
                <w:rFonts w:ascii="Arial" w:cs="Arial" w:eastAsia="Arial" w:hAnsi="Arial"/>
                <w:sz w:val="13"/>
                <w:szCs w:val="13"/>
                <w:b w:val="1"/>
                <w:bCs w:val="1"/>
                <w:color w:val="FFFFFF"/>
              </w:rPr>
              <w:t>Quarter</w:t>
            </w:r>
          </w:p>
        </w:tc>
        <w:tc>
          <w:tcPr>
            <w:tcW w:w="1040" w:type="dxa"/>
            <w:vAlign w:val="bottom"/>
            <w:tcBorders>
              <w:top w:val="single" w:sz="8" w:color="auto"/>
              <w:right w:val="single" w:sz="8" w:color="auto"/>
            </w:tcBorders>
            <w:shd w:val="clear" w:color="auto" w:fill="2AD2C8"/>
          </w:tcPr>
          <w:p>
            <w:pPr>
              <w:spacing w:after="0"/>
              <w:rPr>
                <w:sz w:val="15"/>
                <w:szCs w:val="15"/>
                <w:color w:val="auto"/>
              </w:rPr>
            </w:pPr>
          </w:p>
        </w:tc>
        <w:tc>
          <w:tcPr>
            <w:tcW w:w="2020" w:type="dxa"/>
            <w:vAlign w:val="bottom"/>
            <w:tcBorders>
              <w:top w:val="single" w:sz="8" w:color="auto"/>
              <w:right w:val="single" w:sz="8" w:color="auto"/>
            </w:tcBorders>
            <w:gridSpan w:val="2"/>
            <w:shd w:val="clear" w:color="auto" w:fill="2AD2C8"/>
          </w:tcPr>
          <w:p>
            <w:pPr>
              <w:ind w:left="700"/>
              <w:spacing w:after="0"/>
              <w:rPr>
                <w:sz w:val="20"/>
                <w:szCs w:val="20"/>
                <w:color w:val="auto"/>
              </w:rPr>
            </w:pPr>
            <w:r>
              <w:rPr>
                <w:rFonts w:ascii="Arial" w:cs="Arial" w:eastAsia="Arial" w:hAnsi="Arial"/>
                <w:sz w:val="13"/>
                <w:szCs w:val="13"/>
                <w:b w:val="1"/>
                <w:bCs w:val="1"/>
                <w:color w:val="FFFFFF"/>
              </w:rPr>
              <w:t>% change</w:t>
            </w:r>
          </w:p>
        </w:tc>
        <w:tc>
          <w:tcPr>
            <w:tcW w:w="840" w:type="dxa"/>
            <w:vAlign w:val="bottom"/>
            <w:tcBorders>
              <w:top w:val="single" w:sz="8" w:color="auto"/>
            </w:tcBorders>
            <w:shd w:val="clear" w:color="auto" w:fill="2AD2C8"/>
          </w:tcPr>
          <w:p>
            <w:pPr>
              <w:spacing w:after="0"/>
              <w:rPr>
                <w:sz w:val="15"/>
                <w:szCs w:val="15"/>
                <w:color w:val="auto"/>
              </w:rPr>
            </w:pPr>
          </w:p>
        </w:tc>
        <w:tc>
          <w:tcPr>
            <w:tcW w:w="1200" w:type="dxa"/>
            <w:vAlign w:val="bottom"/>
            <w:tcBorders>
              <w:top w:val="single" w:sz="8" w:color="auto"/>
              <w:right w:val="single" w:sz="8" w:color="auto"/>
            </w:tcBorders>
            <w:shd w:val="clear" w:color="auto" w:fill="2AD2C8"/>
          </w:tcPr>
          <w:p>
            <w:pPr>
              <w:spacing w:after="0"/>
              <w:rPr>
                <w:sz w:val="20"/>
                <w:szCs w:val="20"/>
                <w:color w:val="auto"/>
              </w:rPr>
            </w:pPr>
            <w:r>
              <w:rPr>
                <w:rFonts w:ascii="Arial" w:cs="Arial" w:eastAsia="Arial" w:hAnsi="Arial"/>
                <w:sz w:val="13"/>
                <w:szCs w:val="13"/>
                <w:b w:val="1"/>
                <w:bCs w:val="1"/>
                <w:color w:val="FFFFFF"/>
              </w:rPr>
              <w:t>Up to</w:t>
            </w:r>
          </w:p>
        </w:tc>
        <w:tc>
          <w:tcPr>
            <w:tcW w:w="1020" w:type="dxa"/>
            <w:vAlign w:val="bottom"/>
            <w:tcBorders>
              <w:top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5"/>
              </w:rPr>
              <w:t>% change</w:t>
            </w:r>
          </w:p>
        </w:tc>
        <w:tc>
          <w:tcPr>
            <w:tcW w:w="0" w:type="dxa"/>
            <w:vAlign w:val="bottom"/>
          </w:tcPr>
          <w:p>
            <w:pPr>
              <w:spacing w:after="0"/>
              <w:rPr>
                <w:sz w:val="1"/>
                <w:szCs w:val="1"/>
                <w:color w:val="auto"/>
              </w:rPr>
            </w:pPr>
          </w:p>
        </w:tc>
      </w:tr>
      <w:tr>
        <w:trPr>
          <w:trHeight w:val="159"/>
        </w:trPr>
        <w:tc>
          <w:tcPr>
            <w:tcW w:w="3180" w:type="dxa"/>
            <w:vAlign w:val="bottom"/>
            <w:tcBorders>
              <w:left w:val="single" w:sz="8" w:color="auto"/>
              <w:bottom w:val="single" w:sz="8" w:color="auto"/>
              <w:right w:val="single" w:sz="8" w:color="auto"/>
            </w:tcBorders>
            <w:shd w:val="clear" w:color="auto" w:fill="2AD2C8"/>
          </w:tcPr>
          <w:p>
            <w:pPr>
              <w:spacing w:after="0"/>
              <w:rPr>
                <w:sz w:val="20"/>
                <w:szCs w:val="20"/>
                <w:color w:val="auto"/>
              </w:rPr>
            </w:pPr>
            <w:r>
              <w:rPr>
                <w:rFonts w:ascii="Arial" w:cs="Arial" w:eastAsia="Arial" w:hAnsi="Arial"/>
                <w:sz w:val="13"/>
                <w:szCs w:val="13"/>
                <w:b w:val="1"/>
                <w:bCs w:val="1"/>
                <w:color w:val="FFFFFF"/>
              </w:rPr>
              <w:t>S/ 000</w:t>
            </w:r>
          </w:p>
        </w:tc>
        <w:tc>
          <w:tcPr>
            <w:tcW w:w="98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4Q24</w:t>
            </w:r>
          </w:p>
        </w:tc>
        <w:tc>
          <w:tcPr>
            <w:tcW w:w="10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3Q25</w:t>
            </w:r>
          </w:p>
        </w:tc>
        <w:tc>
          <w:tcPr>
            <w:tcW w:w="104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4"/>
              </w:rPr>
              <w:t>4Q25</w:t>
            </w:r>
          </w:p>
        </w:tc>
        <w:tc>
          <w:tcPr>
            <w:tcW w:w="10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w w:val="94"/>
              </w:rPr>
              <w:t>YoY</w:t>
            </w:r>
          </w:p>
        </w:tc>
        <w:tc>
          <w:tcPr>
            <w:tcW w:w="840" w:type="dxa"/>
            <w:vAlign w:val="bottom"/>
            <w:tcBorders>
              <w:bottom w:val="single" w:sz="8" w:color="auto"/>
            </w:tcBorders>
            <w:shd w:val="clear" w:color="auto" w:fill="2AD2C8"/>
          </w:tcPr>
          <w:p>
            <w:pPr>
              <w:ind w:left="300"/>
              <w:spacing w:after="0"/>
              <w:rPr>
                <w:sz w:val="20"/>
                <w:szCs w:val="20"/>
                <w:color w:val="auto"/>
              </w:rPr>
            </w:pPr>
            <w:r>
              <w:rPr>
                <w:rFonts w:ascii="Arial" w:cs="Arial" w:eastAsia="Arial" w:hAnsi="Arial"/>
                <w:sz w:val="13"/>
                <w:szCs w:val="13"/>
                <w:b w:val="1"/>
                <w:bCs w:val="1"/>
                <w:color w:val="FFFFFF"/>
              </w:rPr>
              <w:t>Dec 24</w:t>
            </w:r>
          </w:p>
        </w:tc>
        <w:tc>
          <w:tcPr>
            <w:tcW w:w="1200" w:type="dxa"/>
            <w:vAlign w:val="bottom"/>
            <w:tcBorders>
              <w:bottom w:val="single" w:sz="8" w:color="auto"/>
              <w:right w:val="single" w:sz="8" w:color="auto"/>
            </w:tcBorders>
            <w:shd w:val="clear" w:color="auto" w:fill="2AD2C8"/>
          </w:tcPr>
          <w:p>
            <w:pPr>
              <w:ind w:left="460"/>
              <w:spacing w:after="0"/>
              <w:rPr>
                <w:sz w:val="20"/>
                <w:szCs w:val="20"/>
                <w:color w:val="auto"/>
              </w:rPr>
            </w:pPr>
            <w:r>
              <w:rPr>
                <w:rFonts w:ascii="Arial" w:cs="Arial" w:eastAsia="Arial" w:hAnsi="Arial"/>
                <w:sz w:val="13"/>
                <w:szCs w:val="13"/>
                <w:b w:val="1"/>
                <w:bCs w:val="1"/>
                <w:color w:val="FFFFFF"/>
              </w:rPr>
              <w:t>Dec 25</w:t>
            </w:r>
          </w:p>
        </w:tc>
        <w:tc>
          <w:tcPr>
            <w:tcW w:w="1020" w:type="dxa"/>
            <w:vAlign w:val="bottom"/>
            <w:tcBorders>
              <w:bottom w:val="single" w:sz="8" w:color="auto"/>
              <w:right w:val="single" w:sz="8" w:color="auto"/>
            </w:tcBorders>
            <w:shd w:val="clear" w:color="auto" w:fill="2AD2C8"/>
          </w:tcPr>
          <w:p>
            <w:pPr>
              <w:ind w:left="40"/>
              <w:spacing w:after="0"/>
              <w:rPr>
                <w:sz w:val="20"/>
                <w:szCs w:val="20"/>
                <w:color w:val="auto"/>
              </w:rPr>
            </w:pPr>
            <w:r>
              <w:rPr>
                <w:rFonts w:ascii="Arial" w:cs="Arial" w:eastAsia="Arial" w:hAnsi="Arial"/>
                <w:sz w:val="13"/>
                <w:szCs w:val="13"/>
                <w:b w:val="1"/>
                <w:bCs w:val="1"/>
                <w:color w:val="FFFFFF"/>
                <w:w w:val="99"/>
              </w:rPr>
              <w:t>Dec 25 / Dec 24</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tcPr>
          <w:p>
            <w:pPr>
              <w:spacing w:after="0" w:line="130" w:lineRule="exact"/>
              <w:rPr>
                <w:sz w:val="20"/>
                <w:szCs w:val="20"/>
                <w:color w:val="auto"/>
              </w:rPr>
            </w:pPr>
            <w:r>
              <w:rPr>
                <w:rFonts w:ascii="Arial" w:cs="Arial" w:eastAsia="Arial" w:hAnsi="Arial"/>
                <w:sz w:val="12"/>
                <w:szCs w:val="12"/>
                <w:color w:val="auto"/>
              </w:rPr>
              <w:t>Net interest, similar income and expenses</w:t>
            </w:r>
          </w:p>
        </w:tc>
        <w:tc>
          <w:tcPr>
            <w:tcW w:w="980" w:type="dxa"/>
            <w:vAlign w:val="bottom"/>
          </w:tcPr>
          <w:p>
            <w:pPr>
              <w:jc w:val="center"/>
              <w:spacing w:after="0" w:line="130" w:lineRule="exact"/>
              <w:rPr>
                <w:sz w:val="20"/>
                <w:szCs w:val="20"/>
                <w:color w:val="auto"/>
              </w:rPr>
            </w:pPr>
            <w:r>
              <w:rPr>
                <w:rFonts w:ascii="Arial" w:cs="Arial" w:eastAsia="Arial" w:hAnsi="Arial"/>
                <w:sz w:val="12"/>
                <w:szCs w:val="12"/>
                <w:color w:val="auto"/>
                <w:w w:val="97"/>
              </w:rPr>
              <w:t>3,629,794</w:t>
            </w:r>
          </w:p>
        </w:tc>
        <w:tc>
          <w:tcPr>
            <w:tcW w:w="1000" w:type="dxa"/>
            <w:vAlign w:val="bottom"/>
          </w:tcPr>
          <w:p>
            <w:pPr>
              <w:jc w:val="center"/>
              <w:spacing w:after="0" w:line="130" w:lineRule="exact"/>
              <w:rPr>
                <w:sz w:val="20"/>
                <w:szCs w:val="20"/>
                <w:color w:val="auto"/>
              </w:rPr>
            </w:pPr>
            <w:r>
              <w:rPr>
                <w:rFonts w:ascii="Arial" w:cs="Arial" w:eastAsia="Arial" w:hAnsi="Arial"/>
                <w:sz w:val="12"/>
                <w:szCs w:val="12"/>
                <w:color w:val="auto"/>
                <w:w w:val="97"/>
              </w:rPr>
              <w:t>3,687,829</w:t>
            </w:r>
          </w:p>
        </w:tc>
        <w:tc>
          <w:tcPr>
            <w:tcW w:w="10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7"/>
              </w:rPr>
              <w:t>3,841,267</w:t>
            </w:r>
          </w:p>
        </w:tc>
        <w:tc>
          <w:tcPr>
            <w:tcW w:w="1000" w:type="dxa"/>
            <w:vAlign w:val="bottom"/>
          </w:tcPr>
          <w:p>
            <w:pPr>
              <w:jc w:val="right"/>
              <w:ind w:right="321"/>
              <w:spacing w:after="0" w:line="130" w:lineRule="exact"/>
              <w:rPr>
                <w:sz w:val="20"/>
                <w:szCs w:val="20"/>
                <w:color w:val="auto"/>
              </w:rPr>
            </w:pPr>
            <w:r>
              <w:rPr>
                <w:rFonts w:ascii="Arial" w:cs="Arial" w:eastAsia="Arial" w:hAnsi="Arial"/>
                <w:sz w:val="12"/>
                <w:szCs w:val="12"/>
                <w:color w:val="auto"/>
              </w:rPr>
              <w:t>4.2%</w:t>
            </w:r>
          </w:p>
        </w:tc>
        <w:tc>
          <w:tcPr>
            <w:tcW w:w="10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color w:val="auto"/>
              </w:rPr>
              <w:t>5.8%</w:t>
            </w:r>
          </w:p>
        </w:tc>
        <w:tc>
          <w:tcPr>
            <w:tcW w:w="840" w:type="dxa"/>
            <w:vAlign w:val="bottom"/>
          </w:tcPr>
          <w:p>
            <w:pPr>
              <w:jc w:val="center"/>
              <w:ind w:left="121"/>
              <w:spacing w:after="0" w:line="130" w:lineRule="exact"/>
              <w:rPr>
                <w:sz w:val="20"/>
                <w:szCs w:val="20"/>
                <w:color w:val="auto"/>
              </w:rPr>
            </w:pPr>
            <w:r>
              <w:rPr>
                <w:rFonts w:ascii="Arial" w:cs="Arial" w:eastAsia="Arial" w:hAnsi="Arial"/>
                <w:sz w:val="12"/>
                <w:szCs w:val="12"/>
                <w:color w:val="auto"/>
                <w:w w:val="96"/>
              </w:rPr>
              <w:t>14,115,131</w:t>
            </w:r>
          </w:p>
        </w:tc>
        <w:tc>
          <w:tcPr>
            <w:tcW w:w="1200" w:type="dxa"/>
            <w:vAlign w:val="bottom"/>
            <w:tcBorders>
              <w:right w:val="single" w:sz="8" w:color="auto"/>
            </w:tcBorders>
          </w:tcPr>
          <w:p>
            <w:pPr>
              <w:jc w:val="center"/>
              <w:ind w:left="81"/>
              <w:spacing w:after="0" w:line="130" w:lineRule="exact"/>
              <w:rPr>
                <w:sz w:val="20"/>
                <w:szCs w:val="20"/>
                <w:color w:val="auto"/>
              </w:rPr>
            </w:pPr>
            <w:r>
              <w:rPr>
                <w:rFonts w:ascii="Arial" w:cs="Arial" w:eastAsia="Arial" w:hAnsi="Arial"/>
                <w:sz w:val="12"/>
                <w:szCs w:val="12"/>
                <w:color w:val="auto"/>
                <w:w w:val="96"/>
              </w:rPr>
              <w:t>14,716,479</w:t>
            </w:r>
          </w:p>
        </w:tc>
        <w:tc>
          <w:tcPr>
            <w:tcW w:w="10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4"/>
              </w:rPr>
              <w:t>4.3%</w:t>
            </w: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Provision for credit losses on loan portfolio, net of</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97"/>
              </w:rPr>
              <w:t>(743,296)</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97"/>
              </w:rPr>
              <w:t>(602,918)</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7"/>
              </w:rPr>
              <w:t>(646,286)</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94"/>
              </w:rPr>
              <w:t>7.2%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-13.1%</w:t>
            </w:r>
          </w:p>
        </w:tc>
        <w:tc>
          <w:tcPr>
            <w:tcW w:w="840" w:type="dxa"/>
            <w:vAlign w:val="bottom"/>
            <w:vMerge w:val="restart"/>
          </w:tcPr>
          <w:p>
            <w:pPr>
              <w:jc w:val="center"/>
              <w:ind w:left="101"/>
              <w:spacing w:after="0"/>
              <w:rPr>
                <w:sz w:val="20"/>
                <w:szCs w:val="20"/>
                <w:color w:val="auto"/>
              </w:rPr>
            </w:pPr>
            <w:r>
              <w:rPr>
                <w:rFonts w:ascii="Arial" w:cs="Arial" w:eastAsia="Arial" w:hAnsi="Arial"/>
                <w:sz w:val="12"/>
                <w:szCs w:val="12"/>
                <w:color w:val="auto"/>
                <w:w w:val="97"/>
              </w:rPr>
              <w:t>(3,519,447)</w:t>
            </w:r>
          </w:p>
        </w:tc>
        <w:tc>
          <w:tcPr>
            <w:tcW w:w="1200" w:type="dxa"/>
            <w:vAlign w:val="bottom"/>
            <w:tcBorders>
              <w:right w:val="single" w:sz="8" w:color="auto"/>
            </w:tcBorders>
            <w:vMerge w:val="restart"/>
          </w:tcPr>
          <w:p>
            <w:pPr>
              <w:jc w:val="center"/>
              <w:ind w:left="101"/>
              <w:spacing w:after="0"/>
              <w:rPr>
                <w:sz w:val="20"/>
                <w:szCs w:val="20"/>
                <w:color w:val="auto"/>
              </w:rPr>
            </w:pPr>
            <w:r>
              <w:rPr>
                <w:rFonts w:ascii="Arial" w:cs="Arial" w:eastAsia="Arial" w:hAnsi="Arial"/>
                <w:sz w:val="12"/>
                <w:szCs w:val="12"/>
                <w:color w:val="auto"/>
                <w:w w:val="97"/>
              </w:rPr>
              <w:t>(2,406,256)</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-31.6%</w:t>
            </w:r>
          </w:p>
        </w:tc>
        <w:tc>
          <w:tcPr>
            <w:tcW w:w="0" w:type="dxa"/>
            <w:vAlign w:val="bottom"/>
          </w:tcPr>
          <w:p>
            <w:pPr>
              <w:spacing w:after="0"/>
              <w:rPr>
                <w:sz w:val="1"/>
                <w:szCs w:val="1"/>
                <w:color w:val="auto"/>
              </w:rPr>
            </w:pPr>
          </w:p>
        </w:tc>
      </w:tr>
      <w:tr>
        <w:trPr>
          <w:trHeight w:val="68"/>
        </w:trPr>
        <w:tc>
          <w:tcPr>
            <w:tcW w:w="31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2"/>
                <w:szCs w:val="12"/>
                <w:color w:val="auto"/>
              </w:rPr>
              <w:t>recoveries</w:t>
            </w:r>
          </w:p>
        </w:tc>
        <w:tc>
          <w:tcPr>
            <w:tcW w:w="9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40" w:type="dxa"/>
            <w:vAlign w:val="bottom"/>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180" w:type="dxa"/>
            <w:vAlign w:val="bottom"/>
            <w:tcBorders>
              <w:left w:val="single" w:sz="8" w:color="auto"/>
              <w:right w:val="single" w:sz="8" w:color="auto"/>
            </w:tcBorders>
            <w:vMerge w:val="continue"/>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interest, similar income and expenses, after</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2,886,498</w:t>
            </w: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3,084,911</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7"/>
              </w:rPr>
              <w:t>3,194,981</w:t>
            </w: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3.6%</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10.7%</w:t>
            </w:r>
          </w:p>
        </w:tc>
        <w:tc>
          <w:tcPr>
            <w:tcW w:w="840" w:type="dxa"/>
            <w:vAlign w:val="bottom"/>
            <w:vMerge w:val="restart"/>
          </w:tcPr>
          <w:p>
            <w:pPr>
              <w:jc w:val="center"/>
              <w:ind w:left="121"/>
              <w:spacing w:after="0"/>
              <w:rPr>
                <w:sz w:val="20"/>
                <w:szCs w:val="20"/>
                <w:color w:val="auto"/>
              </w:rPr>
            </w:pPr>
            <w:r>
              <w:rPr>
                <w:rFonts w:ascii="Arial" w:cs="Arial" w:eastAsia="Arial" w:hAnsi="Arial"/>
                <w:sz w:val="12"/>
                <w:szCs w:val="12"/>
                <w:b w:val="1"/>
                <w:bCs w:val="1"/>
                <w:color w:val="auto"/>
                <w:w w:val="96"/>
              </w:rPr>
              <w:t>10,595,684</w:t>
            </w:r>
          </w:p>
        </w:tc>
        <w:tc>
          <w:tcPr>
            <w:tcW w:w="1200" w:type="dxa"/>
            <w:vAlign w:val="bottom"/>
            <w:tcBorders>
              <w:right w:val="single" w:sz="8" w:color="auto"/>
            </w:tcBorders>
            <w:vMerge w:val="restart"/>
          </w:tcPr>
          <w:p>
            <w:pPr>
              <w:jc w:val="center"/>
              <w:ind w:left="81"/>
              <w:spacing w:after="0"/>
              <w:rPr>
                <w:sz w:val="20"/>
                <w:szCs w:val="20"/>
                <w:color w:val="auto"/>
              </w:rPr>
            </w:pPr>
            <w:r>
              <w:rPr>
                <w:rFonts w:ascii="Arial" w:cs="Arial" w:eastAsia="Arial" w:hAnsi="Arial"/>
                <w:sz w:val="12"/>
                <w:szCs w:val="12"/>
                <w:b w:val="1"/>
                <w:bCs w:val="1"/>
                <w:color w:val="auto"/>
                <w:w w:val="96"/>
              </w:rPr>
              <w:t>12,310,223</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9"/>
              </w:rPr>
              <w:t>16.2%</w:t>
            </w:r>
          </w:p>
        </w:tc>
        <w:tc>
          <w:tcPr>
            <w:tcW w:w="0" w:type="dxa"/>
            <w:vAlign w:val="bottom"/>
          </w:tcPr>
          <w:p>
            <w:pPr>
              <w:spacing w:after="0"/>
              <w:rPr>
                <w:sz w:val="1"/>
                <w:szCs w:val="1"/>
                <w:color w:val="auto"/>
              </w:rPr>
            </w:pPr>
          </w:p>
        </w:tc>
      </w:tr>
      <w:tr>
        <w:trPr>
          <w:trHeight w:val="83"/>
        </w:trPr>
        <w:tc>
          <w:tcPr>
            <w:tcW w:w="31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2"/>
                <w:szCs w:val="12"/>
                <w:b w:val="1"/>
                <w:bCs w:val="1"/>
                <w:color w:val="auto"/>
              </w:rPr>
              <w:t>provision for credit losses on loan portfolio</w:t>
            </w:r>
          </w:p>
        </w:tc>
        <w:tc>
          <w:tcPr>
            <w:tcW w:w="9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180" w:type="dxa"/>
            <w:vAlign w:val="bottom"/>
            <w:tcBorders>
              <w:left w:val="single" w:sz="8" w:color="auto"/>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Other income</w:t>
            </w:r>
          </w:p>
        </w:tc>
        <w:tc>
          <w:tcPr>
            <w:tcW w:w="980" w:type="dxa"/>
            <w:vAlign w:val="bottom"/>
          </w:tcPr>
          <w:p>
            <w:pPr>
              <w:jc w:val="center"/>
              <w:spacing w:after="0" w:line="135" w:lineRule="exact"/>
              <w:rPr>
                <w:sz w:val="20"/>
                <w:szCs w:val="20"/>
                <w:color w:val="auto"/>
              </w:rPr>
            </w:pPr>
            <w:r>
              <w:rPr>
                <w:rFonts w:ascii="Arial" w:cs="Arial" w:eastAsia="Arial" w:hAnsi="Arial"/>
                <w:sz w:val="12"/>
                <w:szCs w:val="12"/>
                <w:color w:val="auto"/>
                <w:w w:val="97"/>
              </w:rPr>
              <w:t>1,582,733</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7"/>
              </w:rPr>
              <w:t>1,654,191</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1,799,499</w:t>
            </w:r>
          </w:p>
        </w:tc>
        <w:tc>
          <w:tcPr>
            <w:tcW w:w="1000" w:type="dxa"/>
            <w:vAlign w:val="bottom"/>
          </w:tcPr>
          <w:p>
            <w:pPr>
              <w:jc w:val="center"/>
              <w:spacing w:after="0" w:line="135" w:lineRule="exact"/>
              <w:rPr>
                <w:sz w:val="20"/>
                <w:szCs w:val="20"/>
                <w:color w:val="auto"/>
              </w:rPr>
            </w:pPr>
            <w:r>
              <w:rPr>
                <w:rFonts w:ascii="Arial" w:cs="Arial" w:eastAsia="Arial" w:hAnsi="Arial"/>
                <w:sz w:val="12"/>
                <w:szCs w:val="12"/>
                <w:color w:val="auto"/>
                <w:w w:val="94"/>
              </w:rPr>
              <w:t>8.8%</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3"/>
              </w:rPr>
              <w:t>13.7%</w:t>
            </w:r>
          </w:p>
        </w:tc>
        <w:tc>
          <w:tcPr>
            <w:tcW w:w="840" w:type="dxa"/>
            <w:vAlign w:val="bottom"/>
          </w:tcPr>
          <w:p>
            <w:pPr>
              <w:jc w:val="center"/>
              <w:ind w:left="121"/>
              <w:spacing w:after="0" w:line="135" w:lineRule="exact"/>
              <w:rPr>
                <w:sz w:val="20"/>
                <w:szCs w:val="20"/>
                <w:color w:val="auto"/>
              </w:rPr>
            </w:pPr>
            <w:r>
              <w:rPr>
                <w:rFonts w:ascii="Arial" w:cs="Arial" w:eastAsia="Arial" w:hAnsi="Arial"/>
                <w:sz w:val="12"/>
                <w:szCs w:val="12"/>
                <w:color w:val="auto"/>
                <w:w w:val="93"/>
              </w:rPr>
              <w:t>6,111,966</w:t>
            </w:r>
          </w:p>
        </w:tc>
        <w:tc>
          <w:tcPr>
            <w:tcW w:w="1200" w:type="dxa"/>
            <w:vAlign w:val="bottom"/>
            <w:tcBorders>
              <w:right w:val="single" w:sz="8" w:color="auto"/>
            </w:tcBorders>
          </w:tcPr>
          <w:p>
            <w:pPr>
              <w:jc w:val="center"/>
              <w:ind w:left="101"/>
              <w:spacing w:after="0" w:line="135" w:lineRule="exact"/>
              <w:rPr>
                <w:sz w:val="20"/>
                <w:szCs w:val="20"/>
                <w:color w:val="auto"/>
              </w:rPr>
            </w:pPr>
            <w:r>
              <w:rPr>
                <w:rFonts w:ascii="Arial" w:cs="Arial" w:eastAsia="Arial" w:hAnsi="Arial"/>
                <w:sz w:val="12"/>
                <w:szCs w:val="12"/>
                <w:color w:val="auto"/>
                <w:w w:val="97"/>
              </w:rPr>
              <w:t>6,821,279</w:t>
            </w: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11.6%</w:t>
            </w:r>
          </w:p>
        </w:tc>
        <w:tc>
          <w:tcPr>
            <w:tcW w:w="0" w:type="dxa"/>
            <w:vAlign w:val="bottom"/>
          </w:tcPr>
          <w:p>
            <w:pPr>
              <w:spacing w:after="0"/>
              <w:rPr>
                <w:sz w:val="1"/>
                <w:szCs w:val="1"/>
                <w:color w:val="auto"/>
              </w:rPr>
            </w:pPr>
          </w:p>
        </w:tc>
      </w:tr>
      <w:tr>
        <w:trPr>
          <w:trHeight w:val="162"/>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Insurance underwriting result</w:t>
            </w:r>
          </w:p>
        </w:tc>
        <w:tc>
          <w:tcPr>
            <w:tcW w:w="980" w:type="dxa"/>
            <w:vAlign w:val="bottom"/>
          </w:tcPr>
          <w:p>
            <w:pPr>
              <w:jc w:val="center"/>
              <w:spacing w:after="0"/>
              <w:rPr>
                <w:sz w:val="20"/>
                <w:szCs w:val="20"/>
                <w:color w:val="auto"/>
              </w:rPr>
            </w:pPr>
            <w:r>
              <w:rPr>
                <w:rFonts w:ascii="Arial" w:cs="Arial" w:eastAsia="Arial" w:hAnsi="Arial"/>
                <w:sz w:val="12"/>
                <w:szCs w:val="12"/>
                <w:color w:val="auto"/>
              </w:rPr>
              <w:t>312,682</w:t>
            </w:r>
          </w:p>
        </w:tc>
        <w:tc>
          <w:tcPr>
            <w:tcW w:w="1000" w:type="dxa"/>
            <w:vAlign w:val="bottom"/>
          </w:tcPr>
          <w:p>
            <w:pPr>
              <w:jc w:val="center"/>
              <w:spacing w:after="0"/>
              <w:rPr>
                <w:sz w:val="20"/>
                <w:szCs w:val="20"/>
                <w:color w:val="auto"/>
              </w:rPr>
            </w:pPr>
            <w:r>
              <w:rPr>
                <w:rFonts w:ascii="Arial" w:cs="Arial" w:eastAsia="Arial" w:hAnsi="Arial"/>
                <w:sz w:val="12"/>
                <w:szCs w:val="12"/>
                <w:color w:val="auto"/>
                <w:w w:val="96"/>
              </w:rPr>
              <w:t>388,350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320,843</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-17.4%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2.6%</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7"/>
              </w:rPr>
              <w:t>1,199,020</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7"/>
              </w:rPr>
              <w:t>1,389,200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15.9%</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Medical services result</w:t>
            </w:r>
          </w:p>
        </w:tc>
        <w:tc>
          <w:tcPr>
            <w:tcW w:w="9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1000" w:type="dxa"/>
            <w:vAlign w:val="bottom"/>
          </w:tcPr>
          <w:p>
            <w:pPr>
              <w:jc w:val="center"/>
              <w:spacing w:after="0"/>
              <w:rPr>
                <w:sz w:val="20"/>
                <w:szCs w:val="20"/>
                <w:color w:val="auto"/>
              </w:rPr>
            </w:pPr>
            <w:r>
              <w:rPr>
                <w:rFonts w:ascii="Arial" w:cs="Arial" w:eastAsia="Arial" w:hAnsi="Arial"/>
                <w:sz w:val="12"/>
                <w:szCs w:val="12"/>
                <w:color w:val="auto"/>
                <w:w w:val="96"/>
              </w:rPr>
              <w:t>123,953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124,673</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0.6%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n.a.</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8"/>
              </w:rPr>
              <w:t>-</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6"/>
              </w:rPr>
              <w:t>414,634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n.a.</w:t>
            </w:r>
          </w:p>
        </w:tc>
        <w:tc>
          <w:tcPr>
            <w:tcW w:w="0" w:type="dxa"/>
            <w:vAlign w:val="bottom"/>
          </w:tcPr>
          <w:p>
            <w:pPr>
              <w:spacing w:after="0"/>
              <w:rPr>
                <w:sz w:val="1"/>
                <w:szCs w:val="1"/>
                <w:color w:val="auto"/>
              </w:rPr>
            </w:pPr>
          </w:p>
        </w:tc>
      </w:tr>
      <w:tr>
        <w:trPr>
          <w:trHeight w:val="148"/>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Total expenses</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(3,026,227)</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(2,744,642)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(3,079,957)</w:t>
            </w:r>
          </w:p>
        </w:tc>
        <w:tc>
          <w:tcPr>
            <w:tcW w:w="1000" w:type="dxa"/>
            <w:vAlign w:val="bottom"/>
          </w:tcPr>
          <w:p>
            <w:pPr>
              <w:jc w:val="right"/>
              <w:ind w:right="301"/>
              <w:spacing w:after="0"/>
              <w:rPr>
                <w:sz w:val="20"/>
                <w:szCs w:val="20"/>
                <w:color w:val="auto"/>
              </w:rPr>
            </w:pPr>
            <w:r>
              <w:rPr>
                <w:rFonts w:ascii="Arial" w:cs="Arial" w:eastAsia="Arial" w:hAnsi="Arial"/>
                <w:sz w:val="12"/>
                <w:szCs w:val="12"/>
                <w:color w:val="auto"/>
              </w:rPr>
              <w:t>12.2%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1.8%</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6"/>
              </w:rPr>
              <w:t>(10,082,143)</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6"/>
              </w:rPr>
              <w:t>(10,987,783)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9.0%</w:t>
            </w:r>
          </w:p>
        </w:tc>
        <w:tc>
          <w:tcPr>
            <w:tcW w:w="0" w:type="dxa"/>
            <w:vAlign w:val="bottom"/>
          </w:tcPr>
          <w:p>
            <w:pPr>
              <w:spacing w:after="0"/>
              <w:rPr>
                <w:sz w:val="1"/>
                <w:szCs w:val="1"/>
                <w:color w:val="auto"/>
              </w:rPr>
            </w:pPr>
          </w:p>
        </w:tc>
      </w:tr>
      <w:tr>
        <w:trPr>
          <w:trHeight w:val="148"/>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Profit before income tax</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7"/>
              </w:rPr>
              <w:t>1,755,686</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2,506,763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2,360,039</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5"/>
              </w:rPr>
              <w:t>-5.9%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34.4%</w:t>
            </w:r>
          </w:p>
        </w:tc>
        <w:tc>
          <w:tcPr>
            <w:tcW w:w="840" w:type="dxa"/>
            <w:vAlign w:val="bottom"/>
          </w:tcPr>
          <w:p>
            <w:pPr>
              <w:jc w:val="center"/>
              <w:ind w:left="101"/>
              <w:spacing w:after="0"/>
              <w:rPr>
                <w:sz w:val="20"/>
                <w:szCs w:val="20"/>
                <w:color w:val="auto"/>
              </w:rPr>
            </w:pPr>
            <w:r>
              <w:rPr>
                <w:rFonts w:ascii="Arial" w:cs="Arial" w:eastAsia="Arial" w:hAnsi="Arial"/>
                <w:sz w:val="12"/>
                <w:szCs w:val="12"/>
                <w:b w:val="1"/>
                <w:bCs w:val="1"/>
                <w:color w:val="auto"/>
                <w:w w:val="97"/>
              </w:rPr>
              <w:t>7,824,527</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b w:val="1"/>
                <w:bCs w:val="1"/>
                <w:color w:val="auto"/>
                <w:w w:val="97"/>
              </w:rPr>
              <w:t>9,947,553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27.1%</w:t>
            </w:r>
          </w:p>
        </w:tc>
        <w:tc>
          <w:tcPr>
            <w:tcW w:w="0" w:type="dxa"/>
            <w:vAlign w:val="bottom"/>
          </w:tcPr>
          <w:p>
            <w:pPr>
              <w:spacing w:after="0"/>
              <w:rPr>
                <w:sz w:val="1"/>
                <w:szCs w:val="1"/>
                <w:color w:val="auto"/>
              </w:rPr>
            </w:pPr>
          </w:p>
        </w:tc>
      </w:tr>
      <w:tr>
        <w:trPr>
          <w:trHeight w:val="148"/>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Income tax</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(598,348)</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(728,308)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(735,153)</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0.9%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22.9%</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7"/>
              </w:rPr>
              <w:t>(2,201,275)</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7"/>
              </w:rPr>
              <w:t>(2,864,899)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30.1%</w:t>
            </w:r>
          </w:p>
        </w:tc>
        <w:tc>
          <w:tcPr>
            <w:tcW w:w="0" w:type="dxa"/>
            <w:vAlign w:val="bottom"/>
          </w:tcPr>
          <w:p>
            <w:pPr>
              <w:spacing w:after="0"/>
              <w:rPr>
                <w:sz w:val="1"/>
                <w:szCs w:val="1"/>
                <w:color w:val="auto"/>
              </w:rPr>
            </w:pPr>
          </w:p>
        </w:tc>
      </w:tr>
      <w:tr>
        <w:trPr>
          <w:trHeight w:val="162"/>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profit</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7"/>
              </w:rPr>
              <w:t>1,157,338</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1,778,455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1,624,886</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5"/>
              </w:rPr>
              <w:t>-8.6%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40.4%</w:t>
            </w:r>
          </w:p>
        </w:tc>
        <w:tc>
          <w:tcPr>
            <w:tcW w:w="840" w:type="dxa"/>
            <w:vAlign w:val="bottom"/>
          </w:tcPr>
          <w:p>
            <w:pPr>
              <w:jc w:val="center"/>
              <w:ind w:left="101"/>
              <w:spacing w:after="0"/>
              <w:rPr>
                <w:sz w:val="20"/>
                <w:szCs w:val="20"/>
                <w:color w:val="auto"/>
              </w:rPr>
            </w:pPr>
            <w:r>
              <w:rPr>
                <w:rFonts w:ascii="Arial" w:cs="Arial" w:eastAsia="Arial" w:hAnsi="Arial"/>
                <w:sz w:val="12"/>
                <w:szCs w:val="12"/>
                <w:b w:val="1"/>
                <w:bCs w:val="1"/>
                <w:color w:val="auto"/>
                <w:w w:val="97"/>
              </w:rPr>
              <w:t>5,623,252</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b w:val="1"/>
                <w:bCs w:val="1"/>
                <w:color w:val="auto"/>
                <w:w w:val="97"/>
              </w:rPr>
              <w:t>7,082,654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26.0%</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Non-controlling interest</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30,625</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39,800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37,876</w:t>
            </w:r>
          </w:p>
        </w:tc>
        <w:tc>
          <w:tcPr>
            <w:tcW w:w="1000" w:type="dxa"/>
            <w:vAlign w:val="bottom"/>
          </w:tcPr>
          <w:p>
            <w:pPr>
              <w:jc w:val="center"/>
              <w:spacing w:after="0"/>
              <w:rPr>
                <w:sz w:val="20"/>
                <w:szCs w:val="20"/>
                <w:color w:val="auto"/>
              </w:rPr>
            </w:pPr>
            <w:r>
              <w:rPr>
                <w:rFonts w:ascii="Arial" w:cs="Arial" w:eastAsia="Arial" w:hAnsi="Arial"/>
                <w:sz w:val="12"/>
                <w:szCs w:val="12"/>
                <w:color w:val="auto"/>
                <w:w w:val="95"/>
              </w:rPr>
              <w:t>-4.8%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23.7%</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6"/>
              </w:rPr>
              <w:t>121,998</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6"/>
              </w:rPr>
              <w:t>157,277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28.9%</w:t>
            </w:r>
          </w:p>
        </w:tc>
        <w:tc>
          <w:tcPr>
            <w:tcW w:w="0" w:type="dxa"/>
            <w:vAlign w:val="bottom"/>
          </w:tcPr>
          <w:p>
            <w:pPr>
              <w:spacing w:after="0"/>
              <w:rPr>
                <w:sz w:val="1"/>
                <w:szCs w:val="1"/>
                <w:color w:val="auto"/>
              </w:rPr>
            </w:pPr>
          </w:p>
        </w:tc>
      </w:tr>
      <w:tr>
        <w:trPr>
          <w:trHeight w:val="142"/>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profit attributable to Credicorp</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7"/>
              </w:rPr>
              <w:t>1,126,713</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7"/>
              </w:rPr>
              <w:t>1,738,655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1,587,010</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5"/>
              </w:rPr>
              <w:t>-8.7%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40.9%</w:t>
            </w:r>
          </w:p>
        </w:tc>
        <w:tc>
          <w:tcPr>
            <w:tcW w:w="840" w:type="dxa"/>
            <w:vAlign w:val="bottom"/>
          </w:tcPr>
          <w:p>
            <w:pPr>
              <w:jc w:val="center"/>
              <w:ind w:left="101"/>
              <w:spacing w:after="0"/>
              <w:rPr>
                <w:sz w:val="20"/>
                <w:szCs w:val="20"/>
                <w:color w:val="auto"/>
              </w:rPr>
            </w:pPr>
            <w:r>
              <w:rPr>
                <w:rFonts w:ascii="Arial" w:cs="Arial" w:eastAsia="Arial" w:hAnsi="Arial"/>
                <w:sz w:val="12"/>
                <w:szCs w:val="12"/>
                <w:b w:val="1"/>
                <w:bCs w:val="1"/>
                <w:color w:val="auto"/>
                <w:w w:val="97"/>
              </w:rPr>
              <w:t>5,501,254</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b w:val="1"/>
                <w:bCs w:val="1"/>
                <w:color w:val="auto"/>
                <w:w w:val="97"/>
              </w:rPr>
              <w:t>6,925,377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25.9%</w:t>
            </w:r>
          </w:p>
        </w:tc>
        <w:tc>
          <w:tcPr>
            <w:tcW w:w="0" w:type="dxa"/>
            <w:vAlign w:val="bottom"/>
          </w:tcPr>
          <w:p>
            <w:pPr>
              <w:spacing w:after="0"/>
              <w:rPr>
                <w:sz w:val="1"/>
                <w:szCs w:val="1"/>
                <w:color w:val="auto"/>
              </w:rPr>
            </w:pPr>
          </w:p>
        </w:tc>
      </w:tr>
      <w:tr>
        <w:trPr>
          <w:trHeight w:val="195"/>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Dividends paid to third parties</w:t>
            </w:r>
          </w:p>
        </w:tc>
        <w:tc>
          <w:tcPr>
            <w:tcW w:w="9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n.a.</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7"/>
              </w:rPr>
              <w:t>3,667,644</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7"/>
              </w:rPr>
              <w:t>3,181,440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-13.3%</w:t>
            </w:r>
          </w:p>
        </w:tc>
        <w:tc>
          <w:tcPr>
            <w:tcW w:w="0" w:type="dxa"/>
            <w:vAlign w:val="bottom"/>
          </w:tcPr>
          <w:p>
            <w:pPr>
              <w:spacing w:after="0"/>
              <w:rPr>
                <w:sz w:val="1"/>
                <w:szCs w:val="1"/>
                <w:color w:val="auto"/>
              </w:rPr>
            </w:pPr>
          </w:p>
        </w:tc>
      </w:tr>
      <w:tr>
        <w:trPr>
          <w:trHeight w:val="156"/>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Net income / share (S/)</w:t>
            </w:r>
          </w:p>
        </w:tc>
        <w:tc>
          <w:tcPr>
            <w:tcW w:w="980" w:type="dxa"/>
            <w:vAlign w:val="bottom"/>
          </w:tcPr>
          <w:p>
            <w:pPr>
              <w:jc w:val="center"/>
              <w:spacing w:after="0"/>
              <w:rPr>
                <w:sz w:val="20"/>
                <w:szCs w:val="20"/>
                <w:color w:val="auto"/>
              </w:rPr>
            </w:pPr>
            <w:r>
              <w:rPr>
                <w:rFonts w:ascii="Arial" w:cs="Arial" w:eastAsia="Arial" w:hAnsi="Arial"/>
                <w:sz w:val="12"/>
                <w:szCs w:val="12"/>
                <w:color w:val="auto"/>
              </w:rPr>
              <w:t>14.1</w:t>
            </w:r>
          </w:p>
        </w:tc>
        <w:tc>
          <w:tcPr>
            <w:tcW w:w="1000" w:type="dxa"/>
            <w:vAlign w:val="bottom"/>
          </w:tcPr>
          <w:p>
            <w:pPr>
              <w:jc w:val="center"/>
              <w:spacing w:after="0"/>
              <w:rPr>
                <w:sz w:val="20"/>
                <w:szCs w:val="20"/>
                <w:color w:val="auto"/>
              </w:rPr>
            </w:pPr>
            <w:r>
              <w:rPr>
                <w:rFonts w:ascii="Arial" w:cs="Arial" w:eastAsia="Arial" w:hAnsi="Arial"/>
                <w:sz w:val="12"/>
                <w:szCs w:val="12"/>
                <w:color w:val="auto"/>
              </w:rPr>
              <w:t>21.8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19.9</w:t>
            </w:r>
          </w:p>
        </w:tc>
        <w:tc>
          <w:tcPr>
            <w:tcW w:w="1000" w:type="dxa"/>
            <w:vAlign w:val="bottom"/>
          </w:tcPr>
          <w:p>
            <w:pPr>
              <w:jc w:val="center"/>
              <w:spacing w:after="0"/>
              <w:rPr>
                <w:sz w:val="20"/>
                <w:szCs w:val="20"/>
                <w:color w:val="auto"/>
              </w:rPr>
            </w:pPr>
            <w:r>
              <w:rPr>
                <w:rFonts w:ascii="Arial" w:cs="Arial" w:eastAsia="Arial" w:hAnsi="Arial"/>
                <w:sz w:val="12"/>
                <w:szCs w:val="12"/>
                <w:color w:val="auto"/>
                <w:w w:val="95"/>
              </w:rPr>
              <w:t>-8.7%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40.9%</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3"/>
              </w:rPr>
              <w:t>69.0</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3"/>
              </w:rPr>
              <w:t>86.8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25.9%</w:t>
            </w:r>
          </w:p>
        </w:tc>
        <w:tc>
          <w:tcPr>
            <w:tcW w:w="0" w:type="dxa"/>
            <w:vAlign w:val="bottom"/>
          </w:tcPr>
          <w:p>
            <w:pPr>
              <w:spacing w:after="0"/>
              <w:rPr>
                <w:sz w:val="1"/>
                <w:szCs w:val="1"/>
                <w:color w:val="auto"/>
              </w:rPr>
            </w:pPr>
          </w:p>
        </w:tc>
      </w:tr>
      <w:tr>
        <w:trPr>
          <w:trHeight w:val="207"/>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Dividends per Share (S/)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n.a.</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n.a.</w:t>
            </w:r>
          </w:p>
        </w:tc>
        <w:tc>
          <w:tcPr>
            <w:tcW w:w="840" w:type="dxa"/>
            <w:vAlign w:val="bottom"/>
            <w:tcBorders>
              <w:bottom w:val="single" w:sz="8" w:color="auto"/>
            </w:tcBorders>
          </w:tcPr>
          <w:p>
            <w:pPr>
              <w:jc w:val="center"/>
              <w:ind w:left="121"/>
              <w:spacing w:after="0"/>
              <w:rPr>
                <w:sz w:val="20"/>
                <w:szCs w:val="20"/>
                <w:color w:val="auto"/>
              </w:rPr>
            </w:pPr>
            <w:r>
              <w:rPr>
                <w:rFonts w:ascii="Arial" w:cs="Arial" w:eastAsia="Arial" w:hAnsi="Arial"/>
                <w:sz w:val="12"/>
                <w:szCs w:val="12"/>
                <w:color w:val="auto"/>
                <w:w w:val="93"/>
              </w:rPr>
              <w:t>46.0</w:t>
            </w:r>
          </w:p>
        </w:tc>
        <w:tc>
          <w:tcPr>
            <w:tcW w:w="120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2"/>
                <w:szCs w:val="12"/>
                <w:color w:val="auto"/>
                <w:w w:val="93"/>
              </w:rPr>
              <w:t>39.9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-13.3%</w:t>
            </w:r>
          </w:p>
        </w:tc>
        <w:tc>
          <w:tcPr>
            <w:tcW w:w="0" w:type="dxa"/>
            <w:vAlign w:val="bottom"/>
          </w:tcPr>
          <w:p>
            <w:pPr>
              <w:spacing w:after="0"/>
              <w:rPr>
                <w:sz w:val="1"/>
                <w:szCs w:val="1"/>
                <w:color w:val="auto"/>
              </w:rPr>
            </w:pPr>
          </w:p>
        </w:tc>
      </w:tr>
      <w:tr>
        <w:trPr>
          <w:trHeight w:val="144"/>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Loans</w:t>
            </w:r>
          </w:p>
        </w:tc>
        <w:tc>
          <w:tcPr>
            <w:tcW w:w="980" w:type="dxa"/>
            <w:vAlign w:val="bottom"/>
          </w:tcPr>
          <w:p>
            <w:pPr>
              <w:jc w:val="center"/>
              <w:spacing w:after="0"/>
              <w:rPr>
                <w:sz w:val="20"/>
                <w:szCs w:val="20"/>
                <w:color w:val="auto"/>
              </w:rPr>
            </w:pPr>
            <w:r>
              <w:rPr>
                <w:rFonts w:ascii="Arial" w:cs="Arial" w:eastAsia="Arial" w:hAnsi="Arial"/>
                <w:sz w:val="12"/>
                <w:szCs w:val="12"/>
                <w:color w:val="auto"/>
                <w:w w:val="95"/>
              </w:rPr>
              <w:t>145,732,273</w:t>
            </w:r>
          </w:p>
        </w:tc>
        <w:tc>
          <w:tcPr>
            <w:tcW w:w="1000" w:type="dxa"/>
            <w:vAlign w:val="bottom"/>
          </w:tcPr>
          <w:p>
            <w:pPr>
              <w:jc w:val="center"/>
              <w:spacing w:after="0"/>
              <w:rPr>
                <w:sz w:val="20"/>
                <w:szCs w:val="20"/>
                <w:color w:val="auto"/>
              </w:rPr>
            </w:pPr>
            <w:r>
              <w:rPr>
                <w:rFonts w:ascii="Arial" w:cs="Arial" w:eastAsia="Arial" w:hAnsi="Arial"/>
                <w:sz w:val="12"/>
                <w:szCs w:val="12"/>
                <w:color w:val="auto"/>
                <w:w w:val="95"/>
              </w:rPr>
              <w:t>144,752,254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149,984,954</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3.6%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2.9%</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5"/>
              </w:rPr>
              <w:t>145,732,273</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8"/>
              </w:rPr>
              <w:t>149,984,954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2.9%</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Deposits and obligations</w:t>
            </w:r>
          </w:p>
        </w:tc>
        <w:tc>
          <w:tcPr>
            <w:tcW w:w="980" w:type="dxa"/>
            <w:vAlign w:val="bottom"/>
          </w:tcPr>
          <w:p>
            <w:pPr>
              <w:jc w:val="center"/>
              <w:spacing w:after="0"/>
              <w:rPr>
                <w:sz w:val="20"/>
                <w:szCs w:val="20"/>
                <w:color w:val="auto"/>
              </w:rPr>
            </w:pPr>
            <w:r>
              <w:rPr>
                <w:rFonts w:ascii="Arial" w:cs="Arial" w:eastAsia="Arial" w:hAnsi="Arial"/>
                <w:sz w:val="12"/>
                <w:szCs w:val="12"/>
                <w:color w:val="auto"/>
                <w:w w:val="95"/>
              </w:rPr>
              <w:t>161,842,066</w:t>
            </w:r>
          </w:p>
        </w:tc>
        <w:tc>
          <w:tcPr>
            <w:tcW w:w="1000" w:type="dxa"/>
            <w:vAlign w:val="bottom"/>
          </w:tcPr>
          <w:p>
            <w:pPr>
              <w:jc w:val="center"/>
              <w:spacing w:after="0"/>
              <w:rPr>
                <w:sz w:val="20"/>
                <w:szCs w:val="20"/>
                <w:color w:val="auto"/>
              </w:rPr>
            </w:pPr>
            <w:r>
              <w:rPr>
                <w:rFonts w:ascii="Arial" w:cs="Arial" w:eastAsia="Arial" w:hAnsi="Arial"/>
                <w:sz w:val="12"/>
                <w:szCs w:val="12"/>
                <w:color w:val="auto"/>
                <w:w w:val="95"/>
              </w:rPr>
              <w:t>158,430,455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170,401,633</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5.3%</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5"/>
              </w:rPr>
              <w:t>161,842,066</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8"/>
              </w:rPr>
              <w:t>170,401,633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5.3%</w:t>
            </w:r>
          </w:p>
        </w:tc>
        <w:tc>
          <w:tcPr>
            <w:tcW w:w="0" w:type="dxa"/>
            <w:vAlign w:val="bottom"/>
          </w:tcPr>
          <w:p>
            <w:pPr>
              <w:spacing w:after="0"/>
              <w:rPr>
                <w:sz w:val="1"/>
                <w:szCs w:val="1"/>
                <w:color w:val="auto"/>
              </w:rPr>
            </w:pPr>
          </w:p>
        </w:tc>
      </w:tr>
      <w:tr>
        <w:trPr>
          <w:trHeight w:val="147"/>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Net equity</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34,346,451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36,560,502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38,366,950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4.9%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11.7%</w:t>
            </w:r>
          </w:p>
        </w:tc>
        <w:tc>
          <w:tcPr>
            <w:tcW w:w="840" w:type="dxa"/>
            <w:vAlign w:val="bottom"/>
            <w:tcBorders>
              <w:bottom w:val="single" w:sz="8" w:color="auto"/>
            </w:tcBorders>
          </w:tcPr>
          <w:p>
            <w:pPr>
              <w:jc w:val="center"/>
              <w:ind w:left="121"/>
              <w:spacing w:after="0"/>
              <w:rPr>
                <w:sz w:val="20"/>
                <w:szCs w:val="20"/>
                <w:color w:val="auto"/>
              </w:rPr>
            </w:pPr>
            <w:r>
              <w:rPr>
                <w:rFonts w:ascii="Arial" w:cs="Arial" w:eastAsia="Arial" w:hAnsi="Arial"/>
                <w:sz w:val="12"/>
                <w:szCs w:val="12"/>
                <w:color w:val="auto"/>
                <w:w w:val="96"/>
              </w:rPr>
              <w:t>34,346,451</w:t>
            </w:r>
          </w:p>
        </w:tc>
        <w:tc>
          <w:tcPr>
            <w:tcW w:w="120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2"/>
                <w:szCs w:val="12"/>
                <w:color w:val="auto"/>
                <w:w w:val="96"/>
              </w:rPr>
              <w:t>38,366,950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11.7%</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Profitability</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80" w:type="dxa"/>
            <w:vAlign w:val="bottom"/>
            <w:tcBorders>
              <w:left w:val="single" w:sz="8" w:color="auto"/>
              <w:right w:val="single" w:sz="8" w:color="auto"/>
            </w:tcBorders>
          </w:tcPr>
          <w:p>
            <w:pPr>
              <w:spacing w:after="0" w:line="175"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9"/>
                <w:szCs w:val="19"/>
                <w:color w:val="auto"/>
                <w:vertAlign w:val="superscript"/>
              </w:rPr>
              <w:t>(1)</w:t>
            </w:r>
          </w:p>
        </w:tc>
        <w:tc>
          <w:tcPr>
            <w:tcW w:w="980" w:type="dxa"/>
            <w:vAlign w:val="bottom"/>
          </w:tcPr>
          <w:p>
            <w:pPr>
              <w:jc w:val="center"/>
              <w:spacing w:after="0"/>
              <w:rPr>
                <w:sz w:val="20"/>
                <w:szCs w:val="20"/>
                <w:color w:val="auto"/>
              </w:rPr>
            </w:pPr>
            <w:r>
              <w:rPr>
                <w:rFonts w:ascii="Arial" w:cs="Arial" w:eastAsia="Arial" w:hAnsi="Arial"/>
                <w:sz w:val="12"/>
                <w:szCs w:val="12"/>
                <w:color w:val="auto"/>
              </w:rPr>
              <w:t>6.3%</w:t>
            </w:r>
          </w:p>
        </w:tc>
        <w:tc>
          <w:tcPr>
            <w:tcW w:w="1000" w:type="dxa"/>
            <w:vAlign w:val="bottom"/>
          </w:tcPr>
          <w:p>
            <w:pPr>
              <w:jc w:val="center"/>
              <w:spacing w:after="0"/>
              <w:rPr>
                <w:sz w:val="20"/>
                <w:szCs w:val="20"/>
                <w:color w:val="auto"/>
              </w:rPr>
            </w:pPr>
            <w:r>
              <w:rPr>
                <w:rFonts w:ascii="Arial" w:cs="Arial" w:eastAsia="Arial" w:hAnsi="Arial"/>
                <w:sz w:val="12"/>
                <w:szCs w:val="12"/>
                <w:color w:val="auto"/>
              </w:rPr>
              <w:t>6.6%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6.6%</w:t>
            </w:r>
          </w:p>
        </w:tc>
        <w:tc>
          <w:tcPr>
            <w:tcW w:w="1000" w:type="dxa"/>
            <w:vAlign w:val="bottom"/>
          </w:tcPr>
          <w:p>
            <w:pPr>
              <w:jc w:val="center"/>
              <w:spacing w:after="0"/>
              <w:rPr>
                <w:sz w:val="20"/>
                <w:szCs w:val="20"/>
                <w:color w:val="auto"/>
              </w:rPr>
            </w:pPr>
            <w:r>
              <w:rPr>
                <w:rFonts w:ascii="Arial" w:cs="Arial" w:eastAsia="Arial" w:hAnsi="Arial"/>
                <w:sz w:val="12"/>
                <w:szCs w:val="12"/>
                <w:color w:val="auto"/>
                <w:w w:val="95"/>
              </w:rPr>
              <w:t>5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28 bps</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4"/>
              </w:rPr>
              <w:t>6.3%</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6.3%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 bps</w:t>
            </w:r>
          </w:p>
        </w:tc>
        <w:tc>
          <w:tcPr>
            <w:tcW w:w="0" w:type="dxa"/>
            <w:vAlign w:val="bottom"/>
          </w:tcPr>
          <w:p>
            <w:pPr>
              <w:spacing w:after="0"/>
              <w:rPr>
                <w:sz w:val="1"/>
                <w:szCs w:val="1"/>
                <w:color w:val="auto"/>
              </w:rPr>
            </w:pPr>
          </w:p>
        </w:tc>
      </w:tr>
      <w:tr>
        <w:trPr>
          <w:trHeight w:val="141"/>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Risk-adjusted Net interest margin</w:t>
            </w:r>
          </w:p>
        </w:tc>
        <w:tc>
          <w:tcPr>
            <w:tcW w:w="980" w:type="dxa"/>
            <w:vAlign w:val="bottom"/>
          </w:tcPr>
          <w:p>
            <w:pPr>
              <w:jc w:val="center"/>
              <w:spacing w:after="0"/>
              <w:rPr>
                <w:sz w:val="20"/>
                <w:szCs w:val="20"/>
                <w:color w:val="auto"/>
              </w:rPr>
            </w:pPr>
            <w:r>
              <w:rPr>
                <w:rFonts w:ascii="Arial" w:cs="Arial" w:eastAsia="Arial" w:hAnsi="Arial"/>
                <w:sz w:val="12"/>
                <w:szCs w:val="12"/>
                <w:color w:val="auto"/>
              </w:rPr>
              <w:t>5.1%</w:t>
            </w:r>
          </w:p>
        </w:tc>
        <w:tc>
          <w:tcPr>
            <w:tcW w:w="1000" w:type="dxa"/>
            <w:vAlign w:val="bottom"/>
          </w:tcPr>
          <w:p>
            <w:pPr>
              <w:jc w:val="center"/>
              <w:spacing w:after="0"/>
              <w:rPr>
                <w:sz w:val="20"/>
                <w:szCs w:val="20"/>
                <w:color w:val="auto"/>
              </w:rPr>
            </w:pPr>
            <w:r>
              <w:rPr>
                <w:rFonts w:ascii="Arial" w:cs="Arial" w:eastAsia="Arial" w:hAnsi="Arial"/>
                <w:sz w:val="12"/>
                <w:szCs w:val="12"/>
                <w:color w:val="auto"/>
              </w:rPr>
              <w:t>5.5%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5.5%</w:t>
            </w:r>
          </w:p>
        </w:tc>
        <w:tc>
          <w:tcPr>
            <w:tcW w:w="1000" w:type="dxa"/>
            <w:vAlign w:val="bottom"/>
          </w:tcPr>
          <w:p>
            <w:pPr>
              <w:jc w:val="center"/>
              <w:spacing w:after="0"/>
              <w:rPr>
                <w:sz w:val="20"/>
                <w:szCs w:val="20"/>
                <w:color w:val="auto"/>
              </w:rPr>
            </w:pPr>
            <w:r>
              <w:rPr>
                <w:rFonts w:ascii="Arial" w:cs="Arial" w:eastAsia="Arial" w:hAnsi="Arial"/>
                <w:sz w:val="12"/>
                <w:szCs w:val="12"/>
                <w:color w:val="auto"/>
                <w:w w:val="95"/>
              </w:rPr>
              <w:t>2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47 bps</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4"/>
              </w:rPr>
              <w:t>4.8%</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5.3%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51 bps</w:t>
            </w:r>
          </w:p>
        </w:tc>
        <w:tc>
          <w:tcPr>
            <w:tcW w:w="0" w:type="dxa"/>
            <w:vAlign w:val="bottom"/>
          </w:tcPr>
          <w:p>
            <w:pPr>
              <w:spacing w:after="0"/>
              <w:rPr>
                <w:sz w:val="1"/>
                <w:szCs w:val="1"/>
                <w:color w:val="auto"/>
              </w:rPr>
            </w:pPr>
          </w:p>
        </w:tc>
      </w:tr>
      <w:tr>
        <w:trPr>
          <w:trHeight w:val="156"/>
        </w:trPr>
        <w:tc>
          <w:tcPr>
            <w:tcW w:w="3180" w:type="dxa"/>
            <w:vAlign w:val="bottom"/>
            <w:tcBorders>
              <w:left w:val="single" w:sz="8" w:color="auto"/>
              <w:right w:val="single" w:sz="8" w:color="auto"/>
            </w:tcBorders>
          </w:tcPr>
          <w:p>
            <w:pPr>
              <w:spacing w:after="0" w:line="156" w:lineRule="exact"/>
              <w:rPr>
                <w:sz w:val="20"/>
                <w:szCs w:val="20"/>
                <w:color w:val="auto"/>
              </w:rPr>
            </w:pPr>
            <w:r>
              <w:rPr>
                <w:rFonts w:ascii="Arial" w:cs="Arial" w:eastAsia="Arial" w:hAnsi="Arial"/>
                <w:sz w:val="11"/>
                <w:szCs w:val="11"/>
                <w:color w:val="auto"/>
              </w:rPr>
              <w:t xml:space="preserve">Funding cost </w:t>
            </w:r>
            <w:r>
              <w:rPr>
                <w:rFonts w:ascii="Arial" w:cs="Arial" w:eastAsia="Arial" w:hAnsi="Arial"/>
                <w:sz w:val="18"/>
                <w:szCs w:val="18"/>
                <w:color w:val="auto"/>
                <w:vertAlign w:val="superscript"/>
              </w:rPr>
              <w:t>(2)</w:t>
            </w:r>
          </w:p>
        </w:tc>
        <w:tc>
          <w:tcPr>
            <w:tcW w:w="980" w:type="dxa"/>
            <w:vAlign w:val="bottom"/>
          </w:tcPr>
          <w:p>
            <w:pPr>
              <w:jc w:val="center"/>
              <w:spacing w:after="0"/>
              <w:rPr>
                <w:sz w:val="20"/>
                <w:szCs w:val="20"/>
                <w:color w:val="auto"/>
              </w:rPr>
            </w:pPr>
            <w:r>
              <w:rPr>
                <w:rFonts w:ascii="Arial" w:cs="Arial" w:eastAsia="Arial" w:hAnsi="Arial"/>
                <w:sz w:val="12"/>
                <w:szCs w:val="12"/>
                <w:color w:val="auto"/>
              </w:rPr>
              <w:t>2.6%</w:t>
            </w:r>
          </w:p>
        </w:tc>
        <w:tc>
          <w:tcPr>
            <w:tcW w:w="1000" w:type="dxa"/>
            <w:vAlign w:val="bottom"/>
          </w:tcPr>
          <w:p>
            <w:pPr>
              <w:jc w:val="center"/>
              <w:spacing w:after="0"/>
              <w:rPr>
                <w:sz w:val="20"/>
                <w:szCs w:val="20"/>
                <w:color w:val="auto"/>
              </w:rPr>
            </w:pPr>
            <w:r>
              <w:rPr>
                <w:rFonts w:ascii="Arial" w:cs="Arial" w:eastAsia="Arial" w:hAnsi="Arial"/>
                <w:sz w:val="12"/>
                <w:szCs w:val="12"/>
                <w:color w:val="auto"/>
              </w:rPr>
              <w:t>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2.3%</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-12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-25 bps</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4"/>
              </w:rPr>
              <w:t>2.7%</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2.3%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-44 bps</w:t>
            </w:r>
          </w:p>
        </w:tc>
        <w:tc>
          <w:tcPr>
            <w:tcW w:w="0" w:type="dxa"/>
            <w:vAlign w:val="bottom"/>
          </w:tcPr>
          <w:p>
            <w:pPr>
              <w:spacing w:after="0"/>
              <w:rPr>
                <w:sz w:val="1"/>
                <w:szCs w:val="1"/>
                <w:color w:val="auto"/>
              </w:rPr>
            </w:pPr>
          </w:p>
        </w:tc>
      </w:tr>
      <w:tr>
        <w:trPr>
          <w:trHeight w:val="156"/>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ROAE</w:t>
            </w:r>
          </w:p>
        </w:tc>
        <w:tc>
          <w:tcPr>
            <w:tcW w:w="980" w:type="dxa"/>
            <w:vAlign w:val="bottom"/>
          </w:tcPr>
          <w:p>
            <w:pPr>
              <w:jc w:val="center"/>
              <w:spacing w:after="0"/>
              <w:rPr>
                <w:sz w:val="20"/>
                <w:szCs w:val="20"/>
                <w:color w:val="auto"/>
              </w:rPr>
            </w:pPr>
            <w:r>
              <w:rPr>
                <w:rFonts w:ascii="Arial" w:cs="Arial" w:eastAsia="Arial" w:hAnsi="Arial"/>
                <w:sz w:val="12"/>
                <w:szCs w:val="12"/>
                <w:color w:val="auto"/>
                <w:w w:val="93"/>
              </w:rPr>
              <w:t>13.3%</w:t>
            </w:r>
          </w:p>
        </w:tc>
        <w:tc>
          <w:tcPr>
            <w:tcW w:w="1000" w:type="dxa"/>
            <w:vAlign w:val="bottom"/>
          </w:tcPr>
          <w:p>
            <w:pPr>
              <w:jc w:val="center"/>
              <w:spacing w:after="0"/>
              <w:rPr>
                <w:sz w:val="20"/>
                <w:szCs w:val="20"/>
                <w:color w:val="auto"/>
              </w:rPr>
            </w:pPr>
            <w:r>
              <w:rPr>
                <w:rFonts w:ascii="Arial" w:cs="Arial" w:eastAsia="Arial" w:hAnsi="Arial"/>
                <w:sz w:val="12"/>
                <w:szCs w:val="12"/>
                <w:color w:val="auto"/>
                <w:w w:val="93"/>
              </w:rPr>
              <w:t>19.6%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16.9%</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-270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360 bps</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3"/>
              </w:rPr>
              <w:t>16.5%</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9"/>
              </w:rPr>
              <w:t>19.0%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250 bps</w:t>
            </w:r>
          </w:p>
        </w:tc>
        <w:tc>
          <w:tcPr>
            <w:tcW w:w="0" w:type="dxa"/>
            <w:vAlign w:val="bottom"/>
          </w:tcPr>
          <w:p>
            <w:pPr>
              <w:spacing w:after="0"/>
              <w:rPr>
                <w:sz w:val="1"/>
                <w:szCs w:val="1"/>
                <w:color w:val="auto"/>
              </w:rPr>
            </w:pPr>
          </w:p>
        </w:tc>
      </w:tr>
      <w:tr>
        <w:trPr>
          <w:trHeight w:val="153"/>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ROAA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2.8%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2.4%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-40 bps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60 bps</w:t>
            </w:r>
          </w:p>
        </w:tc>
        <w:tc>
          <w:tcPr>
            <w:tcW w:w="840" w:type="dxa"/>
            <w:vAlign w:val="bottom"/>
            <w:tcBorders>
              <w:bottom w:val="single" w:sz="8" w:color="auto"/>
            </w:tcBorders>
          </w:tcPr>
          <w:p>
            <w:pPr>
              <w:jc w:val="center"/>
              <w:ind w:left="121"/>
              <w:spacing w:after="0"/>
              <w:rPr>
                <w:sz w:val="20"/>
                <w:szCs w:val="20"/>
                <w:color w:val="auto"/>
              </w:rPr>
            </w:pPr>
            <w:r>
              <w:rPr>
                <w:rFonts w:ascii="Arial" w:cs="Arial" w:eastAsia="Arial" w:hAnsi="Arial"/>
                <w:sz w:val="12"/>
                <w:szCs w:val="12"/>
                <w:color w:val="auto"/>
                <w:w w:val="94"/>
              </w:rPr>
              <w:t>2.2%</w:t>
            </w:r>
          </w:p>
        </w:tc>
        <w:tc>
          <w:tcPr>
            <w:tcW w:w="120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2.6%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40 bps</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 portfolio quality</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80" w:type="dxa"/>
            <w:vAlign w:val="bottom"/>
            <w:tcBorders>
              <w:left w:val="single" w:sz="8" w:color="auto"/>
              <w:right w:val="single" w:sz="8" w:color="auto"/>
            </w:tcBorders>
          </w:tcPr>
          <w:p>
            <w:pPr>
              <w:spacing w:after="0" w:line="175" w:lineRule="exact"/>
              <w:rPr>
                <w:sz w:val="20"/>
                <w:szCs w:val="20"/>
                <w:color w:val="auto"/>
              </w:rPr>
            </w:pPr>
            <w:r>
              <w:rPr>
                <w:rFonts w:ascii="Arial" w:cs="Arial" w:eastAsia="Arial" w:hAnsi="Arial"/>
                <w:sz w:val="12"/>
                <w:szCs w:val="12"/>
                <w:color w:val="auto"/>
              </w:rPr>
              <w:t xml:space="preserve">Internal overdue ratio </w:t>
            </w:r>
            <w:r>
              <w:rPr>
                <w:rFonts w:ascii="Arial" w:cs="Arial" w:eastAsia="Arial" w:hAnsi="Arial"/>
                <w:sz w:val="19"/>
                <w:szCs w:val="19"/>
                <w:color w:val="auto"/>
                <w:vertAlign w:val="superscript"/>
              </w:rPr>
              <w:t>(3)</w:t>
            </w:r>
          </w:p>
        </w:tc>
        <w:tc>
          <w:tcPr>
            <w:tcW w:w="980" w:type="dxa"/>
            <w:vAlign w:val="bottom"/>
          </w:tcPr>
          <w:p>
            <w:pPr>
              <w:jc w:val="center"/>
              <w:spacing w:after="0"/>
              <w:rPr>
                <w:sz w:val="20"/>
                <w:szCs w:val="20"/>
                <w:color w:val="auto"/>
              </w:rPr>
            </w:pPr>
            <w:r>
              <w:rPr>
                <w:rFonts w:ascii="Arial" w:cs="Arial" w:eastAsia="Arial" w:hAnsi="Arial"/>
                <w:sz w:val="12"/>
                <w:szCs w:val="12"/>
                <w:color w:val="auto"/>
              </w:rPr>
              <w:t>3.7%</w:t>
            </w:r>
          </w:p>
        </w:tc>
        <w:tc>
          <w:tcPr>
            <w:tcW w:w="1000" w:type="dxa"/>
            <w:vAlign w:val="bottom"/>
          </w:tcPr>
          <w:p>
            <w:pPr>
              <w:jc w:val="center"/>
              <w:spacing w:after="0"/>
              <w:rPr>
                <w:sz w:val="20"/>
                <w:szCs w:val="20"/>
                <w:color w:val="auto"/>
              </w:rPr>
            </w:pPr>
            <w:r>
              <w:rPr>
                <w:rFonts w:ascii="Arial" w:cs="Arial" w:eastAsia="Arial" w:hAnsi="Arial"/>
                <w:sz w:val="12"/>
                <w:szCs w:val="12"/>
                <w:color w:val="auto"/>
              </w:rPr>
              <w:t>3.4%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3.2%</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-21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-51 bps</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4"/>
              </w:rPr>
              <w:t>3.7%</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3.2%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-51 bps</w:t>
            </w:r>
          </w:p>
        </w:tc>
        <w:tc>
          <w:tcPr>
            <w:tcW w:w="0" w:type="dxa"/>
            <w:vAlign w:val="bottom"/>
          </w:tcPr>
          <w:p>
            <w:pPr>
              <w:spacing w:after="0"/>
              <w:rPr>
                <w:sz w:val="1"/>
                <w:szCs w:val="1"/>
                <w:color w:val="auto"/>
              </w:rPr>
            </w:pPr>
          </w:p>
        </w:tc>
      </w:tr>
      <w:tr>
        <w:trPr>
          <w:trHeight w:val="141"/>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Internal overdue ratio over 90 days</w:t>
            </w:r>
          </w:p>
        </w:tc>
        <w:tc>
          <w:tcPr>
            <w:tcW w:w="980" w:type="dxa"/>
            <w:vAlign w:val="bottom"/>
          </w:tcPr>
          <w:p>
            <w:pPr>
              <w:jc w:val="center"/>
              <w:spacing w:after="0"/>
              <w:rPr>
                <w:sz w:val="20"/>
                <w:szCs w:val="20"/>
                <w:color w:val="auto"/>
              </w:rPr>
            </w:pPr>
            <w:r>
              <w:rPr>
                <w:rFonts w:ascii="Arial" w:cs="Arial" w:eastAsia="Arial" w:hAnsi="Arial"/>
                <w:sz w:val="12"/>
                <w:szCs w:val="12"/>
                <w:color w:val="auto"/>
              </w:rPr>
              <w:t>3.0%</w:t>
            </w:r>
          </w:p>
        </w:tc>
        <w:tc>
          <w:tcPr>
            <w:tcW w:w="1000" w:type="dxa"/>
            <w:vAlign w:val="bottom"/>
          </w:tcPr>
          <w:p>
            <w:pPr>
              <w:jc w:val="center"/>
              <w:spacing w:after="0"/>
              <w:rPr>
                <w:sz w:val="20"/>
                <w:szCs w:val="20"/>
                <w:color w:val="auto"/>
              </w:rPr>
            </w:pPr>
            <w:r>
              <w:rPr>
                <w:rFonts w:ascii="Arial" w:cs="Arial" w:eastAsia="Arial" w:hAnsi="Arial"/>
                <w:sz w:val="12"/>
                <w:szCs w:val="12"/>
                <w:color w:val="auto"/>
              </w:rPr>
              <w:t>2.9%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2.7%</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-14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-29 bps</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4"/>
              </w:rPr>
              <w:t>3.0%</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2.7%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-29 bps</w:t>
            </w:r>
          </w:p>
        </w:tc>
        <w:tc>
          <w:tcPr>
            <w:tcW w:w="0" w:type="dxa"/>
            <w:vAlign w:val="bottom"/>
          </w:tcPr>
          <w:p>
            <w:pPr>
              <w:spacing w:after="0"/>
              <w:rPr>
                <w:sz w:val="1"/>
                <w:szCs w:val="1"/>
                <w:color w:val="auto"/>
              </w:rPr>
            </w:pPr>
          </w:p>
        </w:tc>
      </w:tr>
      <w:tr>
        <w:trPr>
          <w:trHeight w:val="148"/>
        </w:trPr>
        <w:tc>
          <w:tcPr>
            <w:tcW w:w="318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1"/>
                <w:szCs w:val="11"/>
                <w:color w:val="auto"/>
              </w:rPr>
              <w:t xml:space="preserve">NPL ratio </w:t>
            </w:r>
            <w:r>
              <w:rPr>
                <w:rFonts w:ascii="Arial" w:cs="Arial" w:eastAsia="Arial" w:hAnsi="Arial"/>
                <w:sz w:val="17"/>
                <w:szCs w:val="17"/>
                <w:color w:val="auto"/>
                <w:vertAlign w:val="superscript"/>
              </w:rPr>
              <w:t>(4)</w:t>
            </w:r>
          </w:p>
        </w:tc>
        <w:tc>
          <w:tcPr>
            <w:tcW w:w="980" w:type="dxa"/>
            <w:vAlign w:val="bottom"/>
          </w:tcPr>
          <w:p>
            <w:pPr>
              <w:jc w:val="center"/>
              <w:spacing w:after="0"/>
              <w:rPr>
                <w:sz w:val="20"/>
                <w:szCs w:val="20"/>
                <w:color w:val="auto"/>
              </w:rPr>
            </w:pPr>
            <w:r>
              <w:rPr>
                <w:rFonts w:ascii="Arial" w:cs="Arial" w:eastAsia="Arial" w:hAnsi="Arial"/>
                <w:sz w:val="12"/>
                <w:szCs w:val="12"/>
                <w:color w:val="auto"/>
              </w:rPr>
              <w:t>5.3%</w:t>
            </w:r>
          </w:p>
        </w:tc>
        <w:tc>
          <w:tcPr>
            <w:tcW w:w="1000" w:type="dxa"/>
            <w:vAlign w:val="bottom"/>
          </w:tcPr>
          <w:p>
            <w:pPr>
              <w:jc w:val="center"/>
              <w:spacing w:after="0"/>
              <w:rPr>
                <w:sz w:val="20"/>
                <w:szCs w:val="20"/>
                <w:color w:val="auto"/>
              </w:rPr>
            </w:pPr>
            <w:r>
              <w:rPr>
                <w:rFonts w:ascii="Arial" w:cs="Arial" w:eastAsia="Arial" w:hAnsi="Arial"/>
                <w:sz w:val="12"/>
                <w:szCs w:val="12"/>
                <w:color w:val="auto"/>
              </w:rPr>
              <w:t>4.8%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4.5%</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-26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-71 bps</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4"/>
              </w:rPr>
              <w:t>5.3%</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4.5%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-71 bps</w:t>
            </w: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19"/>
                <w:szCs w:val="19"/>
                <w:color w:val="auto"/>
                <w:vertAlign w:val="superscript"/>
              </w:rPr>
              <w:t>(5)</w:t>
            </w:r>
          </w:p>
        </w:tc>
        <w:tc>
          <w:tcPr>
            <w:tcW w:w="980" w:type="dxa"/>
            <w:vAlign w:val="bottom"/>
          </w:tcPr>
          <w:p>
            <w:pPr>
              <w:jc w:val="center"/>
              <w:spacing w:after="0"/>
              <w:rPr>
                <w:sz w:val="20"/>
                <w:szCs w:val="20"/>
                <w:color w:val="auto"/>
              </w:rPr>
            </w:pPr>
            <w:r>
              <w:rPr>
                <w:rFonts w:ascii="Arial" w:cs="Arial" w:eastAsia="Arial" w:hAnsi="Arial"/>
                <w:sz w:val="12"/>
                <w:szCs w:val="12"/>
                <w:color w:val="auto"/>
              </w:rPr>
              <w:t>2.1%</w:t>
            </w:r>
          </w:p>
        </w:tc>
        <w:tc>
          <w:tcPr>
            <w:tcW w:w="1000" w:type="dxa"/>
            <w:vAlign w:val="bottom"/>
          </w:tcPr>
          <w:p>
            <w:pPr>
              <w:jc w:val="center"/>
              <w:spacing w:after="0"/>
              <w:rPr>
                <w:sz w:val="20"/>
                <w:szCs w:val="20"/>
                <w:color w:val="auto"/>
              </w:rPr>
            </w:pPr>
            <w:r>
              <w:rPr>
                <w:rFonts w:ascii="Arial" w:cs="Arial" w:eastAsia="Arial" w:hAnsi="Arial"/>
                <w:sz w:val="12"/>
                <w:szCs w:val="12"/>
                <w:color w:val="auto"/>
              </w:rPr>
              <w:t>1.7%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1.8%</w:t>
            </w:r>
          </w:p>
        </w:tc>
        <w:tc>
          <w:tcPr>
            <w:tcW w:w="1000" w:type="dxa"/>
            <w:vAlign w:val="bottom"/>
          </w:tcPr>
          <w:p>
            <w:pPr>
              <w:jc w:val="center"/>
              <w:spacing w:after="0"/>
              <w:rPr>
                <w:sz w:val="20"/>
                <w:szCs w:val="20"/>
                <w:color w:val="auto"/>
              </w:rPr>
            </w:pPr>
            <w:r>
              <w:rPr>
                <w:rFonts w:ascii="Arial" w:cs="Arial" w:eastAsia="Arial" w:hAnsi="Arial"/>
                <w:sz w:val="12"/>
                <w:szCs w:val="12"/>
                <w:color w:val="auto"/>
                <w:w w:val="95"/>
              </w:rPr>
              <w:t>6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-31 bps</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4"/>
              </w:rPr>
              <w:t>2.4%</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1.6%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-79 bps</w:t>
            </w:r>
          </w:p>
        </w:tc>
        <w:tc>
          <w:tcPr>
            <w:tcW w:w="0" w:type="dxa"/>
            <w:vAlign w:val="bottom"/>
          </w:tcPr>
          <w:p>
            <w:pPr>
              <w:spacing w:after="0"/>
              <w:rPr>
                <w:sz w:val="1"/>
                <w:szCs w:val="1"/>
                <w:color w:val="auto"/>
              </w:rPr>
            </w:pPr>
          </w:p>
        </w:tc>
      </w:tr>
      <w:tr>
        <w:trPr>
          <w:trHeight w:val="148"/>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Coverage ratio of IOLs</w:t>
            </w:r>
          </w:p>
        </w:tc>
        <w:tc>
          <w:tcPr>
            <w:tcW w:w="980" w:type="dxa"/>
            <w:vAlign w:val="bottom"/>
          </w:tcPr>
          <w:p>
            <w:pPr>
              <w:jc w:val="center"/>
              <w:spacing w:after="0"/>
              <w:rPr>
                <w:sz w:val="20"/>
                <w:szCs w:val="20"/>
                <w:color w:val="auto"/>
              </w:rPr>
            </w:pPr>
            <w:r>
              <w:rPr>
                <w:rFonts w:ascii="Arial" w:cs="Arial" w:eastAsia="Arial" w:hAnsi="Arial"/>
                <w:sz w:val="12"/>
                <w:szCs w:val="12"/>
                <w:color w:val="auto"/>
                <w:w w:val="98"/>
              </w:rPr>
              <w:t>147.4%</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154.9%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159.3%</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440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1190 bps</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8"/>
              </w:rPr>
              <w:t>147.4%</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8"/>
              </w:rPr>
              <w:t>159.3%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1190 bps</w:t>
            </w:r>
          </w:p>
        </w:tc>
        <w:tc>
          <w:tcPr>
            <w:tcW w:w="0" w:type="dxa"/>
            <w:vAlign w:val="bottom"/>
          </w:tcPr>
          <w:p>
            <w:pPr>
              <w:spacing w:after="0"/>
              <w:rPr>
                <w:sz w:val="1"/>
                <w:szCs w:val="1"/>
                <w:color w:val="auto"/>
              </w:rPr>
            </w:pPr>
          </w:p>
        </w:tc>
      </w:tr>
      <w:tr>
        <w:trPr>
          <w:trHeight w:val="147"/>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Coverage ratio of NPLs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104.3%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110.1%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112.4%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230 bps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810 bps</w:t>
            </w:r>
          </w:p>
        </w:tc>
        <w:tc>
          <w:tcPr>
            <w:tcW w:w="84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color w:val="auto"/>
                <w:w w:val="98"/>
              </w:rPr>
              <w:t>104.3%</w:t>
            </w:r>
          </w:p>
        </w:tc>
        <w:tc>
          <w:tcPr>
            <w:tcW w:w="120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2"/>
                <w:szCs w:val="12"/>
                <w:color w:val="auto"/>
                <w:w w:val="93"/>
              </w:rPr>
              <w:t>112.4%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810 bps</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Operating efficiency</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80" w:type="dxa"/>
            <w:vAlign w:val="bottom"/>
            <w:tcBorders>
              <w:left w:val="single" w:sz="8" w:color="auto"/>
              <w:right w:val="single" w:sz="8" w:color="auto"/>
            </w:tcBorders>
          </w:tcPr>
          <w:p>
            <w:pPr>
              <w:spacing w:after="0" w:line="168"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(6)</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5,396,202</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5,670,690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5,857,472</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3.3%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8.5%</w:t>
            </w:r>
          </w:p>
        </w:tc>
        <w:tc>
          <w:tcPr>
            <w:tcW w:w="840" w:type="dxa"/>
            <w:vAlign w:val="bottom"/>
          </w:tcPr>
          <w:p>
            <w:pPr>
              <w:jc w:val="center"/>
              <w:ind w:left="121"/>
              <w:spacing w:after="0"/>
              <w:rPr>
                <w:sz w:val="20"/>
                <w:szCs w:val="20"/>
                <w:color w:val="auto"/>
              </w:rPr>
            </w:pPr>
            <w:r>
              <w:rPr>
                <w:rFonts w:ascii="Arial" w:cs="Arial" w:eastAsia="Arial" w:hAnsi="Arial"/>
                <w:sz w:val="12"/>
                <w:szCs w:val="12"/>
                <w:color w:val="auto"/>
                <w:w w:val="96"/>
              </w:rPr>
              <w:t>20,684,226</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6"/>
              </w:rPr>
              <w:t>22,397,662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8.3%</w:t>
            </w:r>
          </w:p>
        </w:tc>
        <w:tc>
          <w:tcPr>
            <w:tcW w:w="0" w:type="dxa"/>
            <w:vAlign w:val="bottom"/>
          </w:tcPr>
          <w:p>
            <w:pPr>
              <w:spacing w:after="0"/>
              <w:rPr>
                <w:sz w:val="1"/>
                <w:szCs w:val="1"/>
                <w:color w:val="auto"/>
              </w:rPr>
            </w:pPr>
          </w:p>
        </w:tc>
      </w:tr>
      <w:tr>
        <w:trPr>
          <w:trHeight w:val="148"/>
        </w:trPr>
        <w:tc>
          <w:tcPr>
            <w:tcW w:w="318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1"/>
                <w:szCs w:val="11"/>
                <w:color w:val="auto"/>
              </w:rPr>
              <w:t xml:space="preserve">Operating expenses </w:t>
            </w:r>
            <w:r>
              <w:rPr>
                <w:rFonts w:ascii="Arial" w:cs="Arial" w:eastAsia="Arial" w:hAnsi="Arial"/>
                <w:sz w:val="17"/>
                <w:szCs w:val="17"/>
                <w:color w:val="auto"/>
                <w:vertAlign w:val="superscript"/>
              </w:rPr>
              <w:t>(7)</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2,612,878</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2,629,461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2,871,709</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9.2%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9.9%</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7"/>
              </w:rPr>
              <w:t>9,309,797</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6"/>
              </w:rPr>
              <w:t>10,426,752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12.0%</w:t>
            </w: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right w:val="single" w:sz="8" w:color="auto"/>
            </w:tcBorders>
          </w:tcPr>
          <w:p>
            <w:pPr>
              <w:spacing w:after="0" w:line="170" w:lineRule="exact"/>
              <w:rPr>
                <w:sz w:val="20"/>
                <w:szCs w:val="20"/>
                <w:color w:val="auto"/>
              </w:rPr>
            </w:pPr>
            <w:r>
              <w:rPr>
                <w:rFonts w:ascii="Arial" w:cs="Arial" w:eastAsia="Arial" w:hAnsi="Arial"/>
                <w:sz w:val="12"/>
                <w:szCs w:val="12"/>
                <w:color w:val="auto"/>
              </w:rPr>
              <w:t xml:space="preserve">Efficiency ratio </w:t>
            </w:r>
            <w:r>
              <w:rPr>
                <w:rFonts w:ascii="Arial" w:cs="Arial" w:eastAsia="Arial" w:hAnsi="Arial"/>
                <w:sz w:val="19"/>
                <w:szCs w:val="19"/>
                <w:color w:val="auto"/>
                <w:vertAlign w:val="superscript"/>
              </w:rPr>
              <w:t>(8)</w:t>
            </w:r>
          </w:p>
        </w:tc>
        <w:tc>
          <w:tcPr>
            <w:tcW w:w="980" w:type="dxa"/>
            <w:vAlign w:val="bottom"/>
          </w:tcPr>
          <w:p>
            <w:pPr>
              <w:jc w:val="center"/>
              <w:spacing w:after="0"/>
              <w:rPr>
                <w:sz w:val="20"/>
                <w:szCs w:val="20"/>
                <w:color w:val="auto"/>
              </w:rPr>
            </w:pPr>
            <w:r>
              <w:rPr>
                <w:rFonts w:ascii="Arial" w:cs="Arial" w:eastAsia="Arial" w:hAnsi="Arial"/>
                <w:sz w:val="12"/>
                <w:szCs w:val="12"/>
                <w:color w:val="auto"/>
                <w:w w:val="93"/>
              </w:rPr>
              <w:t>48.4%</w:t>
            </w:r>
          </w:p>
        </w:tc>
        <w:tc>
          <w:tcPr>
            <w:tcW w:w="1000" w:type="dxa"/>
            <w:vAlign w:val="bottom"/>
          </w:tcPr>
          <w:p>
            <w:pPr>
              <w:jc w:val="center"/>
              <w:spacing w:after="0"/>
              <w:rPr>
                <w:sz w:val="20"/>
                <w:szCs w:val="20"/>
                <w:color w:val="auto"/>
              </w:rPr>
            </w:pPr>
            <w:r>
              <w:rPr>
                <w:rFonts w:ascii="Arial" w:cs="Arial" w:eastAsia="Arial" w:hAnsi="Arial"/>
                <w:sz w:val="12"/>
                <w:szCs w:val="12"/>
                <w:color w:val="auto"/>
                <w:w w:val="93"/>
              </w:rPr>
              <w:t>46.4%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49.0%</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260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60 bps</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3"/>
              </w:rPr>
              <w:t>45.0%</w:t>
            </w:r>
          </w:p>
        </w:tc>
        <w:tc>
          <w:tcPr>
            <w:tcW w:w="1200" w:type="dxa"/>
            <w:vAlign w:val="bottom"/>
            <w:tcBorders>
              <w:right w:val="single" w:sz="8" w:color="auto"/>
            </w:tcBorders>
          </w:tcPr>
          <w:p>
            <w:pPr>
              <w:jc w:val="center"/>
              <w:ind w:left="81"/>
              <w:spacing w:after="0"/>
              <w:rPr>
                <w:sz w:val="20"/>
                <w:szCs w:val="20"/>
                <w:color w:val="auto"/>
              </w:rPr>
            </w:pPr>
            <w:r>
              <w:rPr>
                <w:rFonts w:ascii="Arial" w:cs="Arial" w:eastAsia="Arial" w:hAnsi="Arial"/>
                <w:sz w:val="12"/>
                <w:szCs w:val="12"/>
                <w:color w:val="auto"/>
                <w:w w:val="99"/>
              </w:rPr>
              <w:t>46.6%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160 bps</w:t>
            </w:r>
          </w:p>
        </w:tc>
        <w:tc>
          <w:tcPr>
            <w:tcW w:w="0" w:type="dxa"/>
            <w:vAlign w:val="bottom"/>
          </w:tcPr>
          <w:p>
            <w:pPr>
              <w:spacing w:after="0"/>
              <w:rPr>
                <w:sz w:val="1"/>
                <w:szCs w:val="1"/>
                <w:color w:val="auto"/>
              </w:rPr>
            </w:pPr>
          </w:p>
        </w:tc>
      </w:tr>
      <w:tr>
        <w:trPr>
          <w:trHeight w:val="147"/>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Operating expenses / Total average 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4.1%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4.2%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4.4%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20 bps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27 bps</w:t>
            </w:r>
          </w:p>
        </w:tc>
        <w:tc>
          <w:tcPr>
            <w:tcW w:w="840" w:type="dxa"/>
            <w:vAlign w:val="bottom"/>
            <w:tcBorders>
              <w:bottom w:val="single" w:sz="8" w:color="auto"/>
            </w:tcBorders>
          </w:tcPr>
          <w:p>
            <w:pPr>
              <w:jc w:val="center"/>
              <w:ind w:left="121"/>
              <w:spacing w:after="0"/>
              <w:rPr>
                <w:sz w:val="20"/>
                <w:szCs w:val="20"/>
                <w:color w:val="auto"/>
              </w:rPr>
            </w:pPr>
            <w:r>
              <w:rPr>
                <w:rFonts w:ascii="Arial" w:cs="Arial" w:eastAsia="Arial" w:hAnsi="Arial"/>
                <w:sz w:val="12"/>
                <w:szCs w:val="12"/>
                <w:color w:val="auto"/>
                <w:w w:val="94"/>
              </w:rPr>
              <w:t>3.8%</w:t>
            </w:r>
          </w:p>
        </w:tc>
        <w:tc>
          <w:tcPr>
            <w:tcW w:w="120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2"/>
                <w:szCs w:val="12"/>
                <w:color w:val="auto"/>
                <w:w w:val="94"/>
              </w:rPr>
              <w:t>4.0%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20 bps</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Capital adequacy - BCP Stand-alone</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80" w:type="dxa"/>
            <w:vAlign w:val="bottom"/>
            <w:tcBorders>
              <w:left w:val="single" w:sz="8" w:color="auto"/>
              <w:right w:val="single" w:sz="8" w:color="auto"/>
            </w:tcBorders>
          </w:tcPr>
          <w:p>
            <w:pPr>
              <w:spacing w:after="0" w:line="182" w:lineRule="exact"/>
              <w:rPr>
                <w:sz w:val="20"/>
                <w:szCs w:val="20"/>
                <w:color w:val="auto"/>
              </w:rPr>
            </w:pPr>
            <w:r>
              <w:rPr>
                <w:rFonts w:ascii="Arial" w:cs="Arial" w:eastAsia="Arial" w:hAnsi="Arial"/>
                <w:sz w:val="12"/>
                <w:szCs w:val="12"/>
                <w:color w:val="auto"/>
              </w:rPr>
              <w:t xml:space="preserve">Global Capital Ratio </w:t>
            </w:r>
            <w:r>
              <w:rPr>
                <w:rFonts w:ascii="Arial" w:cs="Arial" w:eastAsia="Arial" w:hAnsi="Arial"/>
                <w:sz w:val="19"/>
                <w:szCs w:val="19"/>
                <w:color w:val="auto"/>
                <w:vertAlign w:val="superscript"/>
              </w:rPr>
              <w:t>(9)</w:t>
            </w:r>
          </w:p>
        </w:tc>
        <w:tc>
          <w:tcPr>
            <w:tcW w:w="980" w:type="dxa"/>
            <w:vAlign w:val="bottom"/>
          </w:tcPr>
          <w:p>
            <w:pPr>
              <w:jc w:val="center"/>
              <w:spacing w:after="0"/>
              <w:rPr>
                <w:sz w:val="20"/>
                <w:szCs w:val="20"/>
                <w:color w:val="auto"/>
              </w:rPr>
            </w:pPr>
            <w:r>
              <w:rPr>
                <w:rFonts w:ascii="Arial" w:cs="Arial" w:eastAsia="Arial" w:hAnsi="Arial"/>
                <w:sz w:val="12"/>
                <w:szCs w:val="12"/>
                <w:color w:val="auto"/>
                <w:w w:val="98"/>
              </w:rPr>
              <w:t>18.71%</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17.72%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19.44%</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173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73 bps</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8"/>
              </w:rPr>
              <w:t>18.71%</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8"/>
              </w:rPr>
              <w:t>19.44%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73 bps</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1"/>
                <w:szCs w:val="11"/>
                <w:color w:val="auto"/>
              </w:rPr>
              <w:t xml:space="preserve">Ratio Tier 1 </w:t>
            </w:r>
            <w:r>
              <w:rPr>
                <w:rFonts w:ascii="Arial" w:cs="Arial" w:eastAsia="Arial" w:hAnsi="Arial"/>
                <w:sz w:val="17"/>
                <w:szCs w:val="17"/>
                <w:color w:val="auto"/>
                <w:vertAlign w:val="superscript"/>
              </w:rPr>
              <w:t>(10)</w:t>
            </w:r>
          </w:p>
        </w:tc>
        <w:tc>
          <w:tcPr>
            <w:tcW w:w="980" w:type="dxa"/>
            <w:vAlign w:val="bottom"/>
          </w:tcPr>
          <w:p>
            <w:pPr>
              <w:jc w:val="center"/>
              <w:spacing w:after="0"/>
              <w:rPr>
                <w:sz w:val="20"/>
                <w:szCs w:val="20"/>
                <w:color w:val="auto"/>
              </w:rPr>
            </w:pPr>
            <w:r>
              <w:rPr>
                <w:rFonts w:ascii="Arial" w:cs="Arial" w:eastAsia="Arial" w:hAnsi="Arial"/>
                <w:sz w:val="12"/>
                <w:szCs w:val="12"/>
                <w:color w:val="auto"/>
                <w:w w:val="98"/>
              </w:rPr>
              <w:t>13.08%</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12.82%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13.66%</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84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58 bps</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8"/>
              </w:rPr>
              <w:t>13.08%</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8"/>
              </w:rPr>
              <w:t>13.66%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58 bps</w:t>
            </w:r>
          </w:p>
        </w:tc>
        <w:tc>
          <w:tcPr>
            <w:tcW w:w="0" w:type="dxa"/>
            <w:vAlign w:val="bottom"/>
          </w:tcPr>
          <w:p>
            <w:pPr>
              <w:spacing w:after="0"/>
              <w:rPr>
                <w:sz w:val="1"/>
                <w:szCs w:val="1"/>
                <w:color w:val="auto"/>
              </w:rPr>
            </w:pPr>
          </w:p>
        </w:tc>
      </w:tr>
      <w:tr>
        <w:trPr>
          <w:trHeight w:val="154"/>
        </w:trPr>
        <w:tc>
          <w:tcPr>
            <w:tcW w:w="3180" w:type="dxa"/>
            <w:vAlign w:val="bottom"/>
            <w:tcBorders>
              <w:left w:val="single" w:sz="8" w:color="auto"/>
              <w:bottom w:val="single" w:sz="8" w:color="auto"/>
              <w:right w:val="single" w:sz="8" w:color="auto"/>
            </w:tcBorders>
          </w:tcPr>
          <w:p>
            <w:pPr>
              <w:spacing w:after="0" w:line="154" w:lineRule="exact"/>
              <w:rPr>
                <w:sz w:val="20"/>
                <w:szCs w:val="20"/>
                <w:color w:val="auto"/>
              </w:rPr>
            </w:pPr>
            <w:r>
              <w:rPr>
                <w:rFonts w:ascii="Arial" w:cs="Arial" w:eastAsia="Arial" w:hAnsi="Arial"/>
                <w:sz w:val="11"/>
                <w:szCs w:val="11"/>
                <w:color w:val="auto"/>
              </w:rPr>
              <w:t xml:space="preserve">Ratio common equity tier 1 </w:t>
            </w:r>
            <w:r>
              <w:rPr>
                <w:rFonts w:ascii="Arial" w:cs="Arial" w:eastAsia="Arial" w:hAnsi="Arial"/>
                <w:sz w:val="17"/>
                <w:szCs w:val="17"/>
                <w:color w:val="auto"/>
                <w:vertAlign w:val="superscript"/>
              </w:rPr>
              <w:t>(11) (13)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13.32%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13.17%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13.99%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82 bps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67 bps</w:t>
            </w:r>
          </w:p>
        </w:tc>
        <w:tc>
          <w:tcPr>
            <w:tcW w:w="84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color w:val="auto"/>
                <w:w w:val="98"/>
              </w:rPr>
              <w:t>13.32%</w:t>
            </w:r>
          </w:p>
        </w:tc>
        <w:tc>
          <w:tcPr>
            <w:tcW w:w="120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2"/>
                <w:szCs w:val="12"/>
                <w:color w:val="auto"/>
                <w:w w:val="98"/>
              </w:rPr>
              <w:t>13.99%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67 bps</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Capital adequacy - Mibanco</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80" w:type="dxa"/>
            <w:vAlign w:val="bottom"/>
            <w:tcBorders>
              <w:left w:val="single" w:sz="8" w:color="auto"/>
              <w:right w:val="single" w:sz="8" w:color="auto"/>
            </w:tcBorders>
          </w:tcPr>
          <w:p>
            <w:pPr>
              <w:spacing w:after="0" w:line="182" w:lineRule="exact"/>
              <w:rPr>
                <w:sz w:val="20"/>
                <w:szCs w:val="20"/>
                <w:color w:val="auto"/>
              </w:rPr>
            </w:pPr>
            <w:r>
              <w:rPr>
                <w:rFonts w:ascii="Arial" w:cs="Arial" w:eastAsia="Arial" w:hAnsi="Arial"/>
                <w:sz w:val="12"/>
                <w:szCs w:val="12"/>
                <w:color w:val="auto"/>
              </w:rPr>
              <w:t xml:space="preserve">Global Capital Ratio </w:t>
            </w:r>
            <w:r>
              <w:rPr>
                <w:rFonts w:ascii="Arial" w:cs="Arial" w:eastAsia="Arial" w:hAnsi="Arial"/>
                <w:sz w:val="19"/>
                <w:szCs w:val="19"/>
                <w:color w:val="auto"/>
                <w:vertAlign w:val="superscript"/>
              </w:rPr>
              <w:t>(9)</w:t>
            </w:r>
          </w:p>
        </w:tc>
        <w:tc>
          <w:tcPr>
            <w:tcW w:w="980" w:type="dxa"/>
            <w:vAlign w:val="bottom"/>
          </w:tcPr>
          <w:p>
            <w:pPr>
              <w:jc w:val="center"/>
              <w:spacing w:after="0"/>
              <w:rPr>
                <w:sz w:val="20"/>
                <w:szCs w:val="20"/>
                <w:color w:val="auto"/>
              </w:rPr>
            </w:pPr>
            <w:r>
              <w:rPr>
                <w:rFonts w:ascii="Arial" w:cs="Arial" w:eastAsia="Arial" w:hAnsi="Arial"/>
                <w:sz w:val="12"/>
                <w:szCs w:val="12"/>
                <w:color w:val="auto"/>
                <w:w w:val="98"/>
              </w:rPr>
              <w:t>19.42%</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21.13%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21.25%</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12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183 bps</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8"/>
              </w:rPr>
              <w:t>19.42%</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8"/>
              </w:rPr>
              <w:t>21.25%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183 bps</w:t>
            </w:r>
          </w:p>
        </w:tc>
        <w:tc>
          <w:tcPr>
            <w:tcW w:w="0" w:type="dxa"/>
            <w:vAlign w:val="bottom"/>
          </w:tcPr>
          <w:p>
            <w:pPr>
              <w:spacing w:after="0"/>
              <w:rPr>
                <w:sz w:val="1"/>
                <w:szCs w:val="1"/>
                <w:color w:val="auto"/>
              </w:rPr>
            </w:pPr>
          </w:p>
        </w:tc>
      </w:tr>
      <w:tr>
        <w:trPr>
          <w:trHeight w:val="162"/>
        </w:trPr>
        <w:tc>
          <w:tcPr>
            <w:tcW w:w="318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1"/>
                <w:szCs w:val="11"/>
                <w:color w:val="auto"/>
              </w:rPr>
              <w:t xml:space="preserve">Ratio Tier 1 </w:t>
            </w:r>
            <w:r>
              <w:rPr>
                <w:rFonts w:ascii="Arial" w:cs="Arial" w:eastAsia="Arial" w:hAnsi="Arial"/>
                <w:sz w:val="18"/>
                <w:szCs w:val="18"/>
                <w:color w:val="auto"/>
                <w:vertAlign w:val="superscript"/>
              </w:rPr>
              <w:t>(10)</w:t>
            </w:r>
          </w:p>
        </w:tc>
        <w:tc>
          <w:tcPr>
            <w:tcW w:w="980" w:type="dxa"/>
            <w:vAlign w:val="bottom"/>
          </w:tcPr>
          <w:p>
            <w:pPr>
              <w:jc w:val="center"/>
              <w:spacing w:after="0"/>
              <w:rPr>
                <w:sz w:val="20"/>
                <w:szCs w:val="20"/>
                <w:color w:val="auto"/>
              </w:rPr>
            </w:pPr>
            <w:r>
              <w:rPr>
                <w:rFonts w:ascii="Arial" w:cs="Arial" w:eastAsia="Arial" w:hAnsi="Arial"/>
                <w:sz w:val="12"/>
                <w:szCs w:val="12"/>
                <w:color w:val="auto"/>
                <w:w w:val="98"/>
              </w:rPr>
              <w:t>17.07%</w:t>
            </w:r>
          </w:p>
        </w:tc>
        <w:tc>
          <w:tcPr>
            <w:tcW w:w="1000" w:type="dxa"/>
            <w:vAlign w:val="bottom"/>
          </w:tcPr>
          <w:p>
            <w:pPr>
              <w:jc w:val="center"/>
              <w:spacing w:after="0"/>
              <w:rPr>
                <w:sz w:val="20"/>
                <w:szCs w:val="20"/>
                <w:color w:val="auto"/>
              </w:rPr>
            </w:pPr>
            <w:r>
              <w:rPr>
                <w:rFonts w:ascii="Arial" w:cs="Arial" w:eastAsia="Arial" w:hAnsi="Arial"/>
                <w:sz w:val="12"/>
                <w:szCs w:val="12"/>
                <w:color w:val="auto"/>
                <w:w w:val="98"/>
              </w:rPr>
              <w:t>17.13%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17.41%</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28 bps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34 bps</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8"/>
              </w:rPr>
              <w:t>17.07%</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8"/>
              </w:rPr>
              <w:t>17.41%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34 bps</w:t>
            </w:r>
          </w:p>
        </w:tc>
        <w:tc>
          <w:tcPr>
            <w:tcW w:w="0" w:type="dxa"/>
            <w:vAlign w:val="bottom"/>
          </w:tcPr>
          <w:p>
            <w:pPr>
              <w:spacing w:after="0"/>
              <w:rPr>
                <w:sz w:val="1"/>
                <w:szCs w:val="1"/>
                <w:color w:val="auto"/>
              </w:rPr>
            </w:pPr>
          </w:p>
        </w:tc>
      </w:tr>
      <w:tr>
        <w:trPr>
          <w:trHeight w:val="154"/>
        </w:trPr>
        <w:tc>
          <w:tcPr>
            <w:tcW w:w="3180" w:type="dxa"/>
            <w:vAlign w:val="bottom"/>
            <w:tcBorders>
              <w:left w:val="single" w:sz="8" w:color="auto"/>
              <w:bottom w:val="single" w:sz="8" w:color="auto"/>
              <w:right w:val="single" w:sz="8" w:color="auto"/>
            </w:tcBorders>
          </w:tcPr>
          <w:p>
            <w:pPr>
              <w:spacing w:after="0" w:line="154" w:lineRule="exact"/>
              <w:rPr>
                <w:sz w:val="20"/>
                <w:szCs w:val="20"/>
                <w:color w:val="auto"/>
              </w:rPr>
            </w:pPr>
            <w:r>
              <w:rPr>
                <w:rFonts w:ascii="Arial" w:cs="Arial" w:eastAsia="Arial" w:hAnsi="Arial"/>
                <w:sz w:val="11"/>
                <w:szCs w:val="11"/>
                <w:color w:val="auto"/>
              </w:rPr>
              <w:t xml:space="preserve">Ratio common equity tier 1 </w:t>
            </w:r>
            <w:r>
              <w:rPr>
                <w:rFonts w:ascii="Arial" w:cs="Arial" w:eastAsia="Arial" w:hAnsi="Arial"/>
                <w:sz w:val="17"/>
                <w:szCs w:val="17"/>
                <w:color w:val="auto"/>
                <w:vertAlign w:val="superscript"/>
              </w:rPr>
              <w:t>(11) (13)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17.53%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17.14%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17.30%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16 bps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-23 bps</w:t>
            </w:r>
          </w:p>
        </w:tc>
        <w:tc>
          <w:tcPr>
            <w:tcW w:w="84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color w:val="auto"/>
                <w:w w:val="98"/>
              </w:rPr>
              <w:t>17.53%</w:t>
            </w:r>
          </w:p>
        </w:tc>
        <w:tc>
          <w:tcPr>
            <w:tcW w:w="120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2"/>
                <w:szCs w:val="12"/>
                <w:color w:val="auto"/>
                <w:w w:val="98"/>
              </w:rPr>
              <w:t>17.30%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-23 bps</w:t>
            </w:r>
          </w:p>
        </w:tc>
        <w:tc>
          <w:tcPr>
            <w:tcW w:w="0" w:type="dxa"/>
            <w:vAlign w:val="bottom"/>
          </w:tcPr>
          <w:p>
            <w:pPr>
              <w:spacing w:after="0"/>
              <w:rPr>
                <w:sz w:val="1"/>
                <w:szCs w:val="1"/>
                <w:color w:val="auto"/>
              </w:rPr>
            </w:pPr>
          </w:p>
        </w:tc>
      </w:tr>
      <w:tr>
        <w:trPr>
          <w:trHeight w:val="142"/>
        </w:trPr>
        <w:tc>
          <w:tcPr>
            <w:tcW w:w="31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0"/>
                <w:szCs w:val="10"/>
                <w:b w:val="1"/>
                <w:bCs w:val="1"/>
                <w:color w:val="auto"/>
              </w:rPr>
              <w:t>Employees</w:t>
            </w:r>
            <w:r>
              <w:rPr>
                <w:rFonts w:ascii="Arial" w:cs="Arial" w:eastAsia="Arial" w:hAnsi="Arial"/>
                <w:sz w:val="16"/>
                <w:szCs w:val="16"/>
                <w:b w:val="1"/>
                <w:bCs w:val="1"/>
                <w:color w:val="auto"/>
                <w:vertAlign w:val="superscript"/>
              </w:rPr>
              <w:t>(14)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48,578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50,169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51,005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1.7%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27.4%</w:t>
            </w:r>
          </w:p>
        </w:tc>
        <w:tc>
          <w:tcPr>
            <w:tcW w:w="84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color w:val="auto"/>
                <w:w w:val="97"/>
              </w:rPr>
              <w:t>48,578</w:t>
            </w:r>
          </w:p>
        </w:tc>
        <w:tc>
          <w:tcPr>
            <w:tcW w:w="120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2"/>
                <w:szCs w:val="12"/>
                <w:color w:val="auto"/>
                <w:w w:val="97"/>
              </w:rPr>
              <w:t>51,005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27.4%</w:t>
            </w:r>
          </w:p>
        </w:tc>
        <w:tc>
          <w:tcPr>
            <w:tcW w:w="0" w:type="dxa"/>
            <w:vAlign w:val="bottom"/>
          </w:tcPr>
          <w:p>
            <w:pPr>
              <w:spacing w:after="0"/>
              <w:rPr>
                <w:sz w:val="1"/>
                <w:szCs w:val="1"/>
                <w:color w:val="auto"/>
              </w:rPr>
            </w:pPr>
          </w:p>
        </w:tc>
      </w:tr>
      <w:tr>
        <w:trPr>
          <w:trHeight w:val="136"/>
        </w:trPr>
        <w:tc>
          <w:tcPr>
            <w:tcW w:w="3180" w:type="dxa"/>
            <w:vAlign w:val="bottom"/>
            <w:tcBorders>
              <w:left w:val="single" w:sz="8" w:color="auto"/>
              <w:right w:val="single" w:sz="8" w:color="auto"/>
            </w:tcBorders>
          </w:tcPr>
          <w:p>
            <w:pPr>
              <w:spacing w:after="0" w:line="137" w:lineRule="exact"/>
              <w:rPr>
                <w:sz w:val="20"/>
                <w:szCs w:val="20"/>
                <w:color w:val="auto"/>
              </w:rPr>
            </w:pPr>
            <w:r>
              <w:rPr>
                <w:rFonts w:ascii="Arial" w:cs="Arial" w:eastAsia="Arial" w:hAnsi="Arial"/>
                <w:sz w:val="12"/>
                <w:szCs w:val="12"/>
                <w:b w:val="1"/>
                <w:bCs w:val="1"/>
                <w:color w:val="auto"/>
              </w:rPr>
              <w:t>Share Information</w:t>
            </w: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180" w:type="dxa"/>
            <w:vAlign w:val="bottom"/>
            <w:tcBorders>
              <w:left w:val="single" w:sz="8" w:color="auto"/>
              <w:right w:val="single" w:sz="8" w:color="auto"/>
            </w:tcBorders>
          </w:tcPr>
          <w:p>
            <w:pPr>
              <w:spacing w:after="0" w:line="156" w:lineRule="exact"/>
              <w:rPr>
                <w:sz w:val="20"/>
                <w:szCs w:val="20"/>
                <w:color w:val="auto"/>
              </w:rPr>
            </w:pPr>
            <w:r>
              <w:rPr>
                <w:rFonts w:ascii="Arial" w:cs="Arial" w:eastAsia="Arial" w:hAnsi="Arial"/>
                <w:sz w:val="11"/>
                <w:szCs w:val="11"/>
                <w:color w:val="auto"/>
              </w:rPr>
              <w:t xml:space="preserve">Issued Shares </w:t>
            </w:r>
            <w:r>
              <w:rPr>
                <w:rFonts w:ascii="Arial" w:cs="Arial" w:eastAsia="Arial" w:hAnsi="Arial"/>
                <w:sz w:val="18"/>
                <w:szCs w:val="18"/>
                <w:color w:val="auto"/>
                <w:vertAlign w:val="superscript"/>
              </w:rPr>
              <w:t>(14)</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94,382</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94,382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94,382</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0.0%</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7"/>
              </w:rPr>
              <w:t>94,382</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7"/>
              </w:rPr>
              <w:t>94,382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0.0%</w:t>
            </w:r>
          </w:p>
        </w:tc>
        <w:tc>
          <w:tcPr>
            <w:tcW w:w="0" w:type="dxa"/>
            <w:vAlign w:val="bottom"/>
          </w:tcPr>
          <w:p>
            <w:pPr>
              <w:spacing w:after="0"/>
              <w:rPr>
                <w:sz w:val="1"/>
                <w:szCs w:val="1"/>
                <w:color w:val="auto"/>
              </w:rPr>
            </w:pPr>
          </w:p>
        </w:tc>
      </w:tr>
      <w:tr>
        <w:trPr>
          <w:trHeight w:val="162"/>
        </w:trPr>
        <w:tc>
          <w:tcPr>
            <w:tcW w:w="318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1"/>
                <w:szCs w:val="11"/>
                <w:color w:val="auto"/>
              </w:rPr>
              <w:t xml:space="preserve">Treasury Shares </w:t>
            </w:r>
            <w:r>
              <w:rPr>
                <w:rFonts w:ascii="Arial" w:cs="Arial" w:eastAsia="Arial" w:hAnsi="Arial"/>
                <w:sz w:val="18"/>
                <w:szCs w:val="18"/>
                <w:color w:val="auto"/>
                <w:vertAlign w:val="superscript"/>
              </w:rPr>
              <w:t>(12)</w:t>
            </w:r>
          </w:p>
        </w:tc>
        <w:tc>
          <w:tcPr>
            <w:tcW w:w="980" w:type="dxa"/>
            <w:vAlign w:val="bottom"/>
          </w:tcPr>
          <w:p>
            <w:pPr>
              <w:jc w:val="center"/>
              <w:spacing w:after="0"/>
              <w:rPr>
                <w:sz w:val="20"/>
                <w:szCs w:val="20"/>
                <w:color w:val="auto"/>
              </w:rPr>
            </w:pPr>
            <w:r>
              <w:rPr>
                <w:rFonts w:ascii="Arial" w:cs="Arial" w:eastAsia="Arial" w:hAnsi="Arial"/>
                <w:sz w:val="12"/>
                <w:szCs w:val="12"/>
                <w:color w:val="auto"/>
                <w:w w:val="97"/>
              </w:rPr>
              <w:t>14,948</w:t>
            </w:r>
          </w:p>
        </w:tc>
        <w:tc>
          <w:tcPr>
            <w:tcW w:w="1000" w:type="dxa"/>
            <w:vAlign w:val="bottom"/>
          </w:tcPr>
          <w:p>
            <w:pPr>
              <w:jc w:val="center"/>
              <w:spacing w:after="0"/>
              <w:rPr>
                <w:sz w:val="20"/>
                <w:szCs w:val="20"/>
                <w:color w:val="auto"/>
              </w:rPr>
            </w:pPr>
            <w:r>
              <w:rPr>
                <w:rFonts w:ascii="Arial" w:cs="Arial" w:eastAsia="Arial" w:hAnsi="Arial"/>
                <w:sz w:val="12"/>
                <w:szCs w:val="12"/>
                <w:color w:val="auto"/>
                <w:w w:val="97"/>
              </w:rPr>
              <w:t>15,016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15,016</w:t>
            </w:r>
          </w:p>
        </w:tc>
        <w:tc>
          <w:tcPr>
            <w:tcW w:w="1000" w:type="dxa"/>
            <w:vAlign w:val="bottom"/>
          </w:tcPr>
          <w:p>
            <w:pPr>
              <w:jc w:val="center"/>
              <w:spacing w:after="0"/>
              <w:rPr>
                <w:sz w:val="20"/>
                <w:szCs w:val="20"/>
                <w:color w:val="auto"/>
              </w:rPr>
            </w:pPr>
            <w:r>
              <w:rPr>
                <w:rFonts w:ascii="Arial" w:cs="Arial" w:eastAsia="Arial" w:hAnsi="Arial"/>
                <w:sz w:val="12"/>
                <w:szCs w:val="12"/>
                <w:color w:val="auto"/>
                <w:w w:val="94"/>
              </w:rPr>
              <w:t>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0.5%</w:t>
            </w:r>
          </w:p>
        </w:tc>
        <w:tc>
          <w:tcPr>
            <w:tcW w:w="840" w:type="dxa"/>
            <w:vAlign w:val="bottom"/>
          </w:tcPr>
          <w:p>
            <w:pPr>
              <w:jc w:val="center"/>
              <w:ind w:left="101"/>
              <w:spacing w:after="0"/>
              <w:rPr>
                <w:sz w:val="20"/>
                <w:szCs w:val="20"/>
                <w:color w:val="auto"/>
              </w:rPr>
            </w:pPr>
            <w:r>
              <w:rPr>
                <w:rFonts w:ascii="Arial" w:cs="Arial" w:eastAsia="Arial" w:hAnsi="Arial"/>
                <w:sz w:val="12"/>
                <w:szCs w:val="12"/>
                <w:color w:val="auto"/>
                <w:w w:val="97"/>
              </w:rPr>
              <w:t>14,948</w:t>
            </w:r>
          </w:p>
        </w:tc>
        <w:tc>
          <w:tcPr>
            <w:tcW w:w="1200" w:type="dxa"/>
            <w:vAlign w:val="bottom"/>
            <w:tcBorders>
              <w:right w:val="single" w:sz="8" w:color="auto"/>
            </w:tcBorders>
          </w:tcPr>
          <w:p>
            <w:pPr>
              <w:jc w:val="center"/>
              <w:ind w:left="101"/>
              <w:spacing w:after="0"/>
              <w:rPr>
                <w:sz w:val="20"/>
                <w:szCs w:val="20"/>
                <w:color w:val="auto"/>
              </w:rPr>
            </w:pPr>
            <w:r>
              <w:rPr>
                <w:rFonts w:ascii="Arial" w:cs="Arial" w:eastAsia="Arial" w:hAnsi="Arial"/>
                <w:sz w:val="12"/>
                <w:szCs w:val="12"/>
                <w:color w:val="auto"/>
                <w:w w:val="97"/>
              </w:rPr>
              <w:t>15,016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0.5%</w:t>
            </w:r>
          </w:p>
        </w:tc>
        <w:tc>
          <w:tcPr>
            <w:tcW w:w="0" w:type="dxa"/>
            <w:vAlign w:val="bottom"/>
          </w:tcPr>
          <w:p>
            <w:pPr>
              <w:spacing w:after="0"/>
              <w:rPr>
                <w:sz w:val="1"/>
                <w:szCs w:val="1"/>
                <w:color w:val="auto"/>
              </w:rPr>
            </w:pPr>
          </w:p>
        </w:tc>
      </w:tr>
      <w:tr>
        <w:trPr>
          <w:trHeight w:val="147"/>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Outstanding Shares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79,434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79,366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79,366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-0.1%</w:t>
            </w:r>
          </w:p>
        </w:tc>
        <w:tc>
          <w:tcPr>
            <w:tcW w:w="840" w:type="dxa"/>
            <w:vAlign w:val="bottom"/>
            <w:tcBorders>
              <w:bottom w:val="single" w:sz="8" w:color="auto"/>
            </w:tcBorders>
          </w:tcPr>
          <w:p>
            <w:pPr>
              <w:jc w:val="center"/>
              <w:ind w:left="101"/>
              <w:spacing w:after="0"/>
              <w:rPr>
                <w:sz w:val="20"/>
                <w:szCs w:val="20"/>
                <w:color w:val="auto"/>
              </w:rPr>
            </w:pPr>
            <w:r>
              <w:rPr>
                <w:rFonts w:ascii="Arial" w:cs="Arial" w:eastAsia="Arial" w:hAnsi="Arial"/>
                <w:sz w:val="12"/>
                <w:szCs w:val="12"/>
                <w:color w:val="auto"/>
                <w:w w:val="97"/>
              </w:rPr>
              <w:t>79,434</w:t>
            </w:r>
          </w:p>
        </w:tc>
        <w:tc>
          <w:tcPr>
            <w:tcW w:w="120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2"/>
                <w:szCs w:val="12"/>
                <w:color w:val="auto"/>
                <w:w w:val="97"/>
              </w:rPr>
              <w:t>79,366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-0.1%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67" w:hanging="167"/>
        <w:spacing w:after="0"/>
        <w:tabs>
          <w:tab w:leader="none" w:pos="167"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Interest Margin = Net Interest Income (Excluding Net Insurance Financial Expenses) / Average Interest Earning Assets</w:t>
      </w:r>
    </w:p>
    <w:p>
      <w:pPr>
        <w:spacing w:after="0" w:line="11" w:lineRule="exact"/>
        <w:rPr>
          <w:rFonts w:ascii="Arial" w:cs="Arial" w:eastAsia="Arial" w:hAnsi="Arial"/>
          <w:sz w:val="12"/>
          <w:szCs w:val="12"/>
          <w:color w:val="auto"/>
        </w:rPr>
      </w:pPr>
    </w:p>
    <w:p>
      <w:pPr>
        <w:ind w:left="167" w:hanging="167"/>
        <w:spacing w:after="0" w:line="234" w:lineRule="auto"/>
        <w:tabs>
          <w:tab w:leader="none" w:pos="167" w:val="left"/>
        </w:tabs>
        <w:numPr>
          <w:ilvl w:val="0"/>
          <w:numId w:val="4"/>
        </w:numPr>
        <w:rPr>
          <w:rFonts w:ascii="Arial" w:cs="Arial" w:eastAsia="Arial" w:hAnsi="Arial"/>
          <w:sz w:val="12"/>
          <w:szCs w:val="12"/>
          <w:color w:val="auto"/>
        </w:rPr>
      </w:pPr>
      <w:r>
        <w:rPr>
          <w:rFonts w:ascii="Arial" w:cs="Arial" w:eastAsia="Arial" w:hAnsi="Arial"/>
          <w:sz w:val="12"/>
          <w:szCs w:val="12"/>
          <w:color w:val="auto"/>
        </w:rPr>
        <w:t>Funding Cost = Interest Expense (Does not include Net Insurance Financial Expenses) / Average Funding</w:t>
      </w:r>
    </w:p>
    <w:p>
      <w:pPr>
        <w:ind w:left="167" w:hanging="167"/>
        <w:spacing w:after="0" w:line="234" w:lineRule="auto"/>
        <w:tabs>
          <w:tab w:leader="none" w:pos="167"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Internal Overdue Loans: includes overdue loans and loans under legal collection, according to our internal policy for overdue loans. Internal Overdue Ratio: Internal overdue loans/ Total loans</w:t>
      </w:r>
    </w:p>
    <w:p>
      <w:pPr>
        <w:ind w:left="167" w:hanging="167"/>
        <w:spacing w:after="0" w:line="234" w:lineRule="auto"/>
        <w:tabs>
          <w:tab w:leader="none" w:pos="167"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Non-performing loans (NPL): Internal overdue loans + Refinanced loans. NPL ratio: NPL / Total loans.</w:t>
      </w:r>
    </w:p>
    <w:p>
      <w:pPr>
        <w:ind w:left="167" w:hanging="167"/>
        <w:spacing w:after="0" w:line="234" w:lineRule="auto"/>
        <w:tabs>
          <w:tab w:leader="none" w:pos="167"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 of risk = Annualized provision for loan losses, net of recoveries/ Total loans.</w:t>
      </w:r>
    </w:p>
    <w:p>
      <w:pPr>
        <w:ind w:left="7" w:right="40" w:hanging="7"/>
        <w:spacing w:after="0" w:line="234"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Operating Income = Net interest, similar income and expenses + Fee Income+ Net gain on foreign exchange transactions + Net Gain From associates + Net gain on derivatives held for trading + Result on exchange differences + Insurance Underwriting Result + Results for Medical Services</w:t>
      </w:r>
    </w:p>
    <w:p>
      <w:pPr>
        <w:ind w:left="167" w:hanging="167"/>
        <w:spacing w:after="0" w:line="234" w:lineRule="auto"/>
        <w:tabs>
          <w:tab w:leader="none" w:pos="167" w:val="left"/>
        </w:tabs>
        <w:numPr>
          <w:ilvl w:val="0"/>
          <w:numId w:val="4"/>
        </w:numPr>
        <w:rPr>
          <w:rFonts w:ascii="Arial" w:cs="Arial" w:eastAsia="Arial" w:hAnsi="Arial"/>
          <w:sz w:val="12"/>
          <w:szCs w:val="12"/>
          <w:color w:val="auto"/>
        </w:rPr>
      </w:pPr>
      <w:r>
        <w:rPr>
          <w:rFonts w:ascii="Arial" w:cs="Arial" w:eastAsia="Arial" w:hAnsi="Arial"/>
          <w:sz w:val="12"/>
          <w:szCs w:val="12"/>
          <w:color w:val="auto"/>
        </w:rPr>
        <w:t>Operating Expenses = Salaries and employee benefits + Administrative expenses + Depreciation and amortization + Association in participation</w:t>
      </w:r>
    </w:p>
    <w:p>
      <w:pPr>
        <w:ind w:left="7" w:hanging="7"/>
        <w:spacing w:after="0" w:line="234" w:lineRule="auto"/>
        <w:tabs>
          <w:tab w:leader="none" w:pos="181" w:val="left"/>
        </w:tabs>
        <w:numPr>
          <w:ilvl w:val="0"/>
          <w:numId w:val="4"/>
        </w:numPr>
        <w:rPr>
          <w:rFonts w:ascii="Arial" w:cs="Arial" w:eastAsia="Arial" w:hAnsi="Arial"/>
          <w:sz w:val="12"/>
          <w:szCs w:val="12"/>
          <w:color w:val="auto"/>
        </w:rPr>
      </w:pPr>
      <w:r>
        <w:rPr>
          <w:rFonts w:ascii="Arial" w:cs="Arial" w:eastAsia="Arial" w:hAnsi="Arial"/>
          <w:sz w:val="12"/>
          <w:szCs w:val="12"/>
          <w:color w:val="auto"/>
        </w:rPr>
        <w:t>Efficiency Ratio = (Salaries and employee benefits + Administrative expenses + Depreciation and amortization + Association in participation) / (Net interest, similar income and expenses + Fee Income+ Net gain on foreign exchange transactions + Net Gain From associates + Net gain on derivatives held for trading + Result on exchange differences + Insurance Underwriting Result + Results for Medical Services)</w:t>
      </w:r>
    </w:p>
    <w:p>
      <w:pPr>
        <w:ind w:left="167" w:hanging="167"/>
        <w:spacing w:after="0" w:line="234" w:lineRule="auto"/>
        <w:tabs>
          <w:tab w:leader="none" w:pos="167" w:val="left"/>
        </w:tabs>
        <w:numPr>
          <w:ilvl w:val="0"/>
          <w:numId w:val="4"/>
        </w:numPr>
        <w:rPr>
          <w:rFonts w:ascii="Arial" w:cs="Arial" w:eastAsia="Arial" w:hAnsi="Arial"/>
          <w:sz w:val="12"/>
          <w:szCs w:val="12"/>
          <w:color w:val="auto"/>
        </w:rPr>
      </w:pPr>
      <w:r>
        <w:rPr>
          <w:rFonts w:ascii="Arial" w:cs="Arial" w:eastAsia="Arial" w:hAnsi="Arial"/>
          <w:sz w:val="12"/>
          <w:szCs w:val="12"/>
          <w:color w:val="auto"/>
        </w:rPr>
        <w:t>Regulatory Capital/ Risk-weighted assets (legal minimum = 10% since July 2011).</w:t>
      </w:r>
    </w:p>
    <w:p>
      <w:pPr>
        <w:jc w:val="both"/>
        <w:ind w:left="7" w:hanging="7"/>
        <w:spacing w:after="0" w:line="234" w:lineRule="auto"/>
        <w:tabs>
          <w:tab w:leader="none" w:pos="248" w:val="left"/>
        </w:tabs>
        <w:numPr>
          <w:ilvl w:val="0"/>
          <w:numId w:val="4"/>
        </w:numPr>
        <w:rPr>
          <w:rFonts w:ascii="Arial" w:cs="Arial" w:eastAsia="Arial" w:hAnsi="Arial"/>
          <w:sz w:val="12"/>
          <w:szCs w:val="12"/>
          <w:color w:val="auto"/>
        </w:rPr>
      </w:pPr>
      <w:r>
        <w:rPr>
          <w:rFonts w:ascii="Arial" w:cs="Arial" w:eastAsia="Arial" w:hAnsi="Arial"/>
          <w:sz w:val="12"/>
          <w:szCs w:val="12"/>
          <w:color w:val="auto"/>
        </w:rPr>
        <w:t>Tier 1 = Capital + Legal and other capital reserves + Accumulated earnings with capitalization agreement + (0.5 x Unrealized profit and net income in subsidiaries) - Goodwill - (0.5 x Investment in subsidiaries) + Perpetual subordinated debt (the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2"/>
          <w:szCs w:val="12"/>
          <w:color w:val="auto"/>
        </w:rPr>
      </w:pPr>
    </w:p>
    <w:p>
      <w:pPr>
        <w:ind w:left="7" w:hanging="7"/>
        <w:spacing w:after="0" w:line="234" w:lineRule="auto"/>
        <w:tabs>
          <w:tab w:leader="none" w:pos="236"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Common Equity Tier I = Capital + Reserves – 100% of applicable deductions (investment in subsidiaries, goodwill, intangibles, and net deferred taxes that rely on future profitability) + retained earnings+ unrealized gains.</w:t>
      </w:r>
    </w:p>
    <w:p>
      <w:pPr>
        <w:ind w:left="247" w:hanging="247"/>
        <w:spacing w:after="0" w:line="234" w:lineRule="auto"/>
        <w:tabs>
          <w:tab w:leader="none" w:pos="247"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Consider shares held by Atlantic Security Holding Corporation (ASHC) and stock award.</w:t>
      </w:r>
    </w:p>
    <w:p>
      <w:pPr>
        <w:ind w:left="247" w:hanging="247"/>
        <w:spacing w:after="0" w:line="234" w:lineRule="auto"/>
        <w:tabs>
          <w:tab w:leader="none" w:pos="247"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Common Equity Tier I calculated based on IFRS Accounting.</w:t>
      </w:r>
    </w:p>
    <w:p>
      <w:pPr>
        <w:ind w:left="247" w:hanging="247"/>
        <w:spacing w:after="0"/>
        <w:tabs>
          <w:tab w:leader="none" w:pos="247"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Internal management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828040</wp:posOffset>
            </wp:positionV>
            <wp:extent cx="71577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116840</wp:posOffset>
            </wp:positionV>
            <wp:extent cx="6780530" cy="608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80530" cy="608965"/>
                    </a:xfrm>
                    <a:prstGeom prst="rect">
                      <a:avLst/>
                    </a:prstGeom>
                    <a:noFill/>
                  </pic:spPr>
                </pic:pic>
              </a:graphicData>
            </a:graphic>
          </wp:anchor>
        </w:drawing>
      </w:r>
    </w:p>
    <w:p>
      <w:pPr>
        <w:sectPr>
          <w:pgSz w:w="11920" w:h="16838" w:orient="portrait"/>
          <w:cols w:equalWidth="0" w:num="1">
            <w:col w:w="11267"/>
          </w:cols>
          <w:pgMar w:left="333" w:top="481" w:right="318" w:bottom="1440" w:gutter="0" w:footer="0" w:header="0"/>
        </w:sectPr>
      </w:pPr>
    </w:p>
    <w:bookmarkStart w:id="14" w:name="page15"/>
    <w:bookmarkEnd w:id="14"/>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772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47"/>
        <w:spacing w:after="0"/>
        <w:rPr>
          <w:sz w:val="20"/>
          <w:szCs w:val="20"/>
          <w:color w:val="auto"/>
        </w:rPr>
      </w:pPr>
      <w:r>
        <w:rPr>
          <w:rFonts w:ascii="Arial" w:cs="Arial" w:eastAsia="Arial" w:hAnsi="Arial"/>
          <w:sz w:val="22"/>
          <w:szCs w:val="22"/>
          <w:b w:val="1"/>
          <w:bCs w:val="1"/>
          <w:color w:val="FFFFFF"/>
        </w:rPr>
        <w:t>Credicorp’s Strategy Update</w:t>
      </w:r>
    </w:p>
    <w:p>
      <w:pPr>
        <w:spacing w:after="0" w:line="231" w:lineRule="exact"/>
        <w:rPr>
          <w:sz w:val="20"/>
          <w:szCs w:val="20"/>
          <w:color w:val="auto"/>
        </w:rPr>
      </w:pPr>
    </w:p>
    <w:p>
      <w:pPr>
        <w:ind w:left="7"/>
        <w:spacing w:after="0"/>
        <w:rPr>
          <w:sz w:val="20"/>
          <w:szCs w:val="20"/>
          <w:color w:val="auto"/>
        </w:rPr>
      </w:pPr>
      <w:r>
        <w:rPr>
          <w:rFonts w:ascii="Arial" w:cs="Arial" w:eastAsia="Arial" w:hAnsi="Arial"/>
          <w:sz w:val="32"/>
          <w:szCs w:val="32"/>
          <w:color w:val="E93BAC"/>
        </w:rPr>
        <w:t>Credicorp’s Strategy</w:t>
      </w:r>
    </w:p>
    <w:p>
      <w:pPr>
        <w:spacing w:after="0" w:line="79" w:lineRule="exact"/>
        <w:rPr>
          <w:sz w:val="20"/>
          <w:szCs w:val="20"/>
          <w:color w:val="auto"/>
        </w:rPr>
      </w:pPr>
    </w:p>
    <w:p>
      <w:pPr>
        <w:jc w:val="both"/>
        <w:ind w:left="7"/>
        <w:spacing w:after="0" w:line="248" w:lineRule="auto"/>
        <w:rPr>
          <w:sz w:val="20"/>
          <w:szCs w:val="20"/>
          <w:color w:val="auto"/>
        </w:rPr>
      </w:pPr>
      <w:r>
        <w:rPr>
          <w:rFonts w:ascii="Arial" w:cs="Arial" w:eastAsia="Arial" w:hAnsi="Arial"/>
          <w:sz w:val="18"/>
          <w:szCs w:val="18"/>
          <w:color w:val="auto"/>
        </w:rPr>
        <w:t>Credicorp has consolidated its leadership in the Andean financial sector through a strategy built on four fronts: (i) talent with an innovative mindset, (ii) disciplined execution, (iii) robust risk management, and (iv) governance aligned with global best practices and sustainability. Reaffirmed on the 30th anniversary of our NYSE listing, this vision has enabled us to decouple from the macro and operate as an ecosystem, delivering an annualized shareholder return above 14%, consistently outperforming the market.</w:t>
      </w:r>
    </w:p>
    <w:p>
      <w:pPr>
        <w:spacing w:after="0" w:line="103" w:lineRule="exact"/>
        <w:rPr>
          <w:sz w:val="20"/>
          <w:szCs w:val="20"/>
          <w:color w:val="auto"/>
        </w:rPr>
      </w:pPr>
    </w:p>
    <w:p>
      <w:pPr>
        <w:jc w:val="both"/>
        <w:ind w:left="7"/>
        <w:spacing w:after="0" w:line="223" w:lineRule="exact"/>
        <w:rPr>
          <w:sz w:val="20"/>
          <w:szCs w:val="20"/>
          <w:color w:val="auto"/>
        </w:rPr>
      </w:pPr>
      <w:r>
        <w:rPr>
          <w:rFonts w:ascii="Arial" w:cs="Arial" w:eastAsia="Arial" w:hAnsi="Arial"/>
          <w:sz w:val="18"/>
          <w:szCs w:val="18"/>
          <w:color w:val="auto"/>
        </w:rPr>
        <w:t>Credicorp’s strategy brings together the differentiated execution of its subsidiaries with a set of shared capabilities—such as technology, risk management, innovation, and sustainability—that act as cross</w:t>
      </w:r>
      <w:r>
        <w:rPr>
          <w:rFonts w:ascii="MS PGothic" w:cs="MS PGothic" w:eastAsia="MS PGothic" w:hAnsi="MS PGothic"/>
          <w:sz w:val="18"/>
          <w:szCs w:val="18"/>
          <w:color w:val="auto"/>
        </w:rPr>
        <w:t>‑</w:t>
      </w:r>
      <w:r>
        <w:rPr>
          <w:rFonts w:ascii="Arial" w:cs="Arial" w:eastAsia="Arial" w:hAnsi="Arial"/>
          <w:sz w:val="18"/>
          <w:szCs w:val="18"/>
          <w:color w:val="auto"/>
        </w:rPr>
        <w:t>cutting engines of growth. This model combines a clear strategic focus within each business with a common platform that generates synergies, scales solutions, and articulates an integrated ecosystem, enabling value creation beyond the sum of its parts. In Universal Banking, BCP reinforced its leadership through an improved customer experience and stronger digital capabilities. In Microfinance, Mibanco profitability was restored by deepening the hybrid model—combining in</w:t>
      </w:r>
      <w:r>
        <w:rPr>
          <w:rFonts w:ascii="MS PGothic" w:cs="MS PGothic" w:eastAsia="MS PGothic" w:hAnsi="MS PGothic"/>
          <w:sz w:val="18"/>
          <w:szCs w:val="18"/>
          <w:color w:val="auto"/>
        </w:rPr>
        <w:t>‑</w:t>
      </w:r>
      <w:r>
        <w:rPr>
          <w:rFonts w:ascii="Arial" w:cs="Arial" w:eastAsia="Arial" w:hAnsi="Arial"/>
          <w:sz w:val="18"/>
          <w:szCs w:val="18"/>
          <w:color w:val="auto"/>
        </w:rPr>
        <w:t>person</w:t>
      </w:r>
    </w:p>
    <w:p>
      <w:pPr>
        <w:jc w:val="both"/>
        <w:ind w:left="7"/>
        <w:spacing w:after="0" w:line="213" w:lineRule="exact"/>
        <w:rPr>
          <w:sz w:val="20"/>
          <w:szCs w:val="20"/>
          <w:color w:val="auto"/>
        </w:rPr>
      </w:pPr>
      <w:r>
        <w:rPr>
          <w:rFonts w:ascii="Arial" w:cs="Arial" w:eastAsia="Arial" w:hAnsi="Arial"/>
          <w:sz w:val="17"/>
          <w:szCs w:val="17"/>
          <w:color w:val="auto"/>
        </w:rPr>
        <w:t>advisory, digital tools, and AI</w:t>
      </w:r>
      <w:r>
        <w:rPr>
          <w:rFonts w:ascii="MS PGothic" w:cs="MS PGothic" w:eastAsia="MS PGothic" w:hAnsi="MS PGothic"/>
          <w:sz w:val="17"/>
          <w:szCs w:val="17"/>
          <w:color w:val="auto"/>
        </w:rPr>
        <w:t>‑</w:t>
      </w:r>
      <w:r>
        <w:rPr>
          <w:rFonts w:ascii="Arial" w:cs="Arial" w:eastAsia="Arial" w:hAnsi="Arial"/>
          <w:sz w:val="17"/>
          <w:szCs w:val="17"/>
          <w:color w:val="auto"/>
        </w:rPr>
        <w:t>driven risk analytics—while building a more resilient and sustainable business through income diversification and a stronger funding base. In Insurance and Pensions, Pacifico leveraged its product factory to deliver personalized solutions at scale through the ecosystem distributions, while Prima advanced in digital adoption, efficiency, and client experience, improving NPS by 18 points. In IM&amp;A, the diversified portfolio and strategic transformation delivered solid results. Finally, our Innovation portfolio complements both current</w:t>
      </w:r>
    </w:p>
    <w:p>
      <w:pPr>
        <w:jc w:val="both"/>
        <w:ind w:left="7"/>
        <w:spacing w:after="0" w:line="223" w:lineRule="exact"/>
        <w:rPr>
          <w:sz w:val="20"/>
          <w:szCs w:val="20"/>
          <w:color w:val="auto"/>
        </w:rPr>
      </w:pPr>
      <w:r>
        <w:rPr>
          <w:rFonts w:ascii="Arial" w:cs="Arial" w:eastAsia="Arial" w:hAnsi="Arial"/>
          <w:sz w:val="18"/>
          <w:szCs w:val="18"/>
          <w:color w:val="auto"/>
        </w:rPr>
        <w:t>and future businesses. By 4Q25, the portfolio accounted for 8.1% of Credicorp’s risk</w:t>
      </w:r>
      <w:r>
        <w:rPr>
          <w:rFonts w:ascii="MS PGothic" w:cs="MS PGothic" w:eastAsia="MS PGothic" w:hAnsi="MS PGothic"/>
          <w:sz w:val="18"/>
          <w:szCs w:val="18"/>
          <w:color w:val="auto"/>
        </w:rPr>
        <w:t>‑</w:t>
      </w:r>
      <w:r>
        <w:rPr>
          <w:rFonts w:ascii="Arial" w:cs="Arial" w:eastAsia="Arial" w:hAnsi="Arial"/>
          <w:sz w:val="18"/>
          <w:szCs w:val="18"/>
          <w:color w:val="auto"/>
        </w:rPr>
        <w:t>adjusted revenues, progressing toward our 10% ambition. In Chile, Tenpo reached a key milestone, surpassing 2.5 million clients and becoming the country’s first neobank following the approval of its banking license in January.</w:t>
      </w:r>
    </w:p>
    <w:p>
      <w:pPr>
        <w:spacing w:after="0" w:line="96" w:lineRule="exact"/>
        <w:rPr>
          <w:sz w:val="20"/>
          <w:szCs w:val="20"/>
          <w:color w:val="auto"/>
        </w:rPr>
      </w:pPr>
    </w:p>
    <w:p>
      <w:pPr>
        <w:jc w:val="both"/>
        <w:ind w:left="7"/>
        <w:spacing w:after="0" w:line="246" w:lineRule="auto"/>
        <w:rPr>
          <w:sz w:val="20"/>
          <w:szCs w:val="20"/>
          <w:color w:val="auto"/>
        </w:rPr>
      </w:pPr>
      <w:r>
        <w:rPr>
          <w:rFonts w:ascii="Arial" w:cs="Arial" w:eastAsia="Arial" w:hAnsi="Arial"/>
          <w:sz w:val="18"/>
          <w:szCs w:val="18"/>
          <w:color w:val="auto"/>
        </w:rPr>
        <w:t>Aligned with our strategy to strengthen capabilities and enhance our value proposition, we executed key M&amp;A initiatives in 2025. We completed the full acquisition of Banmedica, demonstrating strong strategic fit and disciplined execution that reinforces our insurance</w:t>
      </w:r>
    </w:p>
    <w:p>
      <w:pPr>
        <w:jc w:val="both"/>
        <w:ind w:left="7"/>
        <w:spacing w:after="0" w:line="233" w:lineRule="exact"/>
        <w:rPr>
          <w:sz w:val="20"/>
          <w:szCs w:val="20"/>
          <w:color w:val="auto"/>
        </w:rPr>
      </w:pPr>
      <w:r>
        <w:rPr>
          <w:rFonts w:ascii="Arial" w:cs="Arial" w:eastAsia="Arial" w:hAnsi="Arial"/>
          <w:sz w:val="18"/>
          <w:szCs w:val="18"/>
          <w:color w:val="auto"/>
        </w:rPr>
        <w:t>business. More recently, we announced an agreement to acquire Helm Bank in the U.S., reinforcing Credicorp’s cross</w:t>
      </w:r>
      <w:r>
        <w:rPr>
          <w:rFonts w:ascii="MS PGothic" w:cs="MS PGothic" w:eastAsia="MS PGothic" w:hAnsi="MS PGothic"/>
          <w:sz w:val="18"/>
          <w:szCs w:val="18"/>
          <w:color w:val="auto"/>
        </w:rPr>
        <w:t>‑</w:t>
      </w:r>
      <w:r>
        <w:rPr>
          <w:rFonts w:ascii="Arial" w:cs="Arial" w:eastAsia="Arial" w:hAnsi="Arial"/>
          <w:sz w:val="18"/>
          <w:szCs w:val="18"/>
          <w:color w:val="auto"/>
        </w:rPr>
        <w:t>border capabilities through a focused, niche approach without pursuing a universal banking model in that market.</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Main KPIs of Credicorp’s Strategy</w:t>
      </w:r>
    </w:p>
    <w:p>
      <w:pPr>
        <w:spacing w:after="0" w:line="34" w:lineRule="exact"/>
        <w:rPr>
          <w:sz w:val="20"/>
          <w:szCs w:val="20"/>
          <w:color w:val="auto"/>
        </w:rPr>
      </w:pPr>
    </w:p>
    <w:tbl>
      <w:tblPr>
        <w:tblLayout w:type="fixed"/>
        <w:tblInd w:w="1137" w:type="dxa"/>
        <w:tblCellMar>
          <w:top w:w="0" w:type="dxa"/>
          <w:left w:w="0" w:type="dxa"/>
          <w:bottom w:w="0" w:type="dxa"/>
          <w:right w:w="0" w:type="dxa"/>
        </w:tblCellMar>
      </w:tblPr>
      <w:tr>
        <w:trPr>
          <w:trHeight w:val="156"/>
        </w:trPr>
        <w:tc>
          <w:tcPr>
            <w:tcW w:w="4100" w:type="dxa"/>
            <w:vAlign w:val="bottom"/>
            <w:tcBorders>
              <w:top w:val="single" w:sz="8" w:color="auto"/>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4"/>
                <w:szCs w:val="14"/>
                <w:b w:val="1"/>
                <w:bCs w:val="1"/>
                <w:color w:val="FFFFFF"/>
              </w:rPr>
              <w:t xml:space="preserve">Core Businesses Transformation </w:t>
            </w:r>
            <w:r>
              <w:rPr>
                <w:rFonts w:ascii="Arial" w:cs="Arial" w:eastAsia="Arial" w:hAnsi="Arial"/>
                <w:sz w:val="23"/>
                <w:szCs w:val="23"/>
                <w:b w:val="1"/>
                <w:bCs w:val="1"/>
                <w:color w:val="FFFFFF"/>
                <w:vertAlign w:val="superscript"/>
              </w:rPr>
              <w:t>(1)</w:t>
            </w:r>
          </w:p>
        </w:tc>
        <w:tc>
          <w:tcPr>
            <w:tcW w:w="960" w:type="dxa"/>
            <w:vAlign w:val="bottom"/>
            <w:tcBorders>
              <w:top w:val="single" w:sz="8" w:color="auto"/>
            </w:tcBorders>
            <w:shd w:val="clear" w:color="auto" w:fill="33CCCC"/>
          </w:tcPr>
          <w:p>
            <w:pPr>
              <w:spacing w:after="0"/>
              <w:rPr>
                <w:sz w:val="13"/>
                <w:szCs w:val="13"/>
                <w:color w:val="auto"/>
              </w:rPr>
            </w:pPr>
          </w:p>
        </w:tc>
        <w:tc>
          <w:tcPr>
            <w:tcW w:w="1040" w:type="dxa"/>
            <w:vAlign w:val="bottom"/>
            <w:tcBorders>
              <w:top w:val="single" w:sz="8" w:color="auto"/>
            </w:tcBorders>
            <w:shd w:val="clear" w:color="auto" w:fill="33CCCC"/>
          </w:tcPr>
          <w:p>
            <w:pPr>
              <w:ind w:left="260"/>
              <w:spacing w:after="0" w:line="155" w:lineRule="exact"/>
              <w:rPr>
                <w:sz w:val="20"/>
                <w:szCs w:val="20"/>
                <w:color w:val="auto"/>
              </w:rPr>
            </w:pPr>
            <w:r>
              <w:rPr>
                <w:rFonts w:ascii="Arial" w:cs="Arial" w:eastAsia="Arial" w:hAnsi="Arial"/>
                <w:sz w:val="14"/>
                <w:szCs w:val="14"/>
                <w:b w:val="1"/>
                <w:bCs w:val="1"/>
                <w:color w:val="FFFFFF"/>
              </w:rPr>
              <w:t>Quarter</w:t>
            </w:r>
          </w:p>
        </w:tc>
        <w:tc>
          <w:tcPr>
            <w:tcW w:w="960" w:type="dxa"/>
            <w:vAlign w:val="bottom"/>
            <w:tcBorders>
              <w:top w:val="single" w:sz="8" w:color="auto"/>
              <w:right w:val="single" w:sz="8" w:color="auto"/>
            </w:tcBorders>
            <w:shd w:val="clear" w:color="auto" w:fill="33CCCC"/>
          </w:tcPr>
          <w:p>
            <w:pPr>
              <w:spacing w:after="0"/>
              <w:rPr>
                <w:sz w:val="13"/>
                <w:szCs w:val="13"/>
                <w:color w:val="auto"/>
              </w:rPr>
            </w:pPr>
          </w:p>
        </w:tc>
        <w:tc>
          <w:tcPr>
            <w:tcW w:w="740" w:type="dxa"/>
            <w:vAlign w:val="bottom"/>
            <w:tcBorders>
              <w:top w:val="single" w:sz="8" w:color="auto"/>
            </w:tcBorders>
            <w:shd w:val="clear" w:color="auto" w:fill="33CCCC"/>
          </w:tcPr>
          <w:p>
            <w:pPr>
              <w:spacing w:after="0"/>
              <w:rPr>
                <w:sz w:val="13"/>
                <w:szCs w:val="13"/>
                <w:color w:val="auto"/>
              </w:rPr>
            </w:pPr>
          </w:p>
        </w:tc>
        <w:tc>
          <w:tcPr>
            <w:tcW w:w="1240" w:type="dxa"/>
            <w:vAlign w:val="bottom"/>
            <w:tcBorders>
              <w:top w:val="single" w:sz="8" w:color="auto"/>
              <w:right w:val="single" w:sz="8" w:color="auto"/>
            </w:tcBorders>
            <w:shd w:val="clear" w:color="auto" w:fill="33CCCC"/>
          </w:tcPr>
          <w:p>
            <w:pPr>
              <w:ind w:left="40"/>
              <w:spacing w:after="0" w:line="155" w:lineRule="exact"/>
              <w:rPr>
                <w:sz w:val="20"/>
                <w:szCs w:val="20"/>
                <w:color w:val="auto"/>
              </w:rPr>
            </w:pPr>
            <w:r>
              <w:rPr>
                <w:rFonts w:ascii="Arial" w:cs="Arial" w:eastAsia="Arial" w:hAnsi="Arial"/>
                <w:sz w:val="14"/>
                <w:szCs w:val="14"/>
                <w:b w:val="1"/>
                <w:bCs w:val="1"/>
                <w:color w:val="FFFFFF"/>
              </w:rPr>
              <w:t>Up to</w:t>
            </w:r>
          </w:p>
        </w:tc>
        <w:tc>
          <w:tcPr>
            <w:tcW w:w="0" w:type="dxa"/>
            <w:vAlign w:val="bottom"/>
          </w:tcPr>
          <w:p>
            <w:pPr>
              <w:spacing w:after="0"/>
              <w:rPr>
                <w:sz w:val="1"/>
                <w:szCs w:val="1"/>
                <w:color w:val="auto"/>
              </w:rPr>
            </w:pPr>
          </w:p>
        </w:tc>
      </w:tr>
      <w:tr>
        <w:trPr>
          <w:trHeight w:val="162"/>
        </w:trPr>
        <w:tc>
          <w:tcPr>
            <w:tcW w:w="4100" w:type="dxa"/>
            <w:vAlign w:val="bottom"/>
            <w:tcBorders>
              <w:left w:val="single" w:sz="8" w:color="auto"/>
              <w:bottom w:val="single" w:sz="8" w:color="33CCCC"/>
              <w:right w:val="single" w:sz="8" w:color="auto"/>
            </w:tcBorders>
            <w:vMerge w:val="continue"/>
            <w:shd w:val="clear" w:color="auto" w:fill="33CCCC"/>
          </w:tcPr>
          <w:p>
            <w:pPr>
              <w:spacing w:after="0"/>
              <w:rPr>
                <w:sz w:val="14"/>
                <w:szCs w:val="14"/>
                <w:color w:val="auto"/>
              </w:rPr>
            </w:pPr>
          </w:p>
        </w:tc>
        <w:tc>
          <w:tcPr>
            <w:tcW w:w="96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4Q24</w:t>
            </w:r>
          </w:p>
        </w:tc>
        <w:tc>
          <w:tcPr>
            <w:tcW w:w="104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3Q25</w:t>
            </w:r>
          </w:p>
        </w:tc>
        <w:tc>
          <w:tcPr>
            <w:tcW w:w="960" w:type="dxa"/>
            <w:vAlign w:val="bottom"/>
            <w:tcBorders>
              <w:bottom w:val="single" w:sz="8" w:color="33CCCC"/>
              <w:right w:val="single" w:sz="8" w:color="auto"/>
            </w:tcBorders>
            <w:shd w:val="clear" w:color="auto" w:fill="33CCCC"/>
          </w:tcPr>
          <w:p>
            <w:pPr>
              <w:jc w:val="center"/>
              <w:ind w:right="8"/>
              <w:spacing w:after="0"/>
              <w:rPr>
                <w:sz w:val="20"/>
                <w:szCs w:val="20"/>
                <w:color w:val="auto"/>
              </w:rPr>
            </w:pPr>
            <w:r>
              <w:rPr>
                <w:rFonts w:ascii="Arial" w:cs="Arial" w:eastAsia="Arial" w:hAnsi="Arial"/>
                <w:sz w:val="14"/>
                <w:szCs w:val="14"/>
                <w:b w:val="1"/>
                <w:bCs w:val="1"/>
                <w:color w:val="FFFFFF"/>
              </w:rPr>
              <w:t>4Q25</w:t>
            </w:r>
          </w:p>
        </w:tc>
        <w:tc>
          <w:tcPr>
            <w:tcW w:w="740" w:type="dxa"/>
            <w:vAlign w:val="bottom"/>
            <w:tcBorders>
              <w:bottom w:val="single" w:sz="8" w:color="33CCCC"/>
            </w:tcBorders>
            <w:shd w:val="clear" w:color="auto" w:fill="33CCCC"/>
          </w:tcPr>
          <w:p>
            <w:pPr>
              <w:ind w:left="240"/>
              <w:spacing w:after="0"/>
              <w:rPr>
                <w:sz w:val="20"/>
                <w:szCs w:val="20"/>
                <w:color w:val="auto"/>
              </w:rPr>
            </w:pPr>
            <w:r>
              <w:rPr>
                <w:rFonts w:ascii="Arial" w:cs="Arial" w:eastAsia="Arial" w:hAnsi="Arial"/>
                <w:sz w:val="14"/>
                <w:szCs w:val="14"/>
                <w:b w:val="1"/>
                <w:bCs w:val="1"/>
                <w:color w:val="FFFFFF"/>
              </w:rPr>
              <w:t>Dec 24</w:t>
            </w:r>
          </w:p>
        </w:tc>
        <w:tc>
          <w:tcPr>
            <w:tcW w:w="1240" w:type="dxa"/>
            <w:vAlign w:val="bottom"/>
            <w:tcBorders>
              <w:bottom w:val="single" w:sz="8" w:color="33CCCC"/>
              <w:right w:val="single" w:sz="8" w:color="auto"/>
            </w:tcBorders>
            <w:shd w:val="clear" w:color="auto" w:fill="33CCCC"/>
          </w:tcPr>
          <w:p>
            <w:pPr>
              <w:ind w:left="480"/>
              <w:spacing w:after="0"/>
              <w:rPr>
                <w:sz w:val="20"/>
                <w:szCs w:val="20"/>
                <w:color w:val="auto"/>
              </w:rPr>
            </w:pPr>
            <w:r>
              <w:rPr>
                <w:rFonts w:ascii="Arial" w:cs="Arial" w:eastAsia="Arial" w:hAnsi="Arial"/>
                <w:sz w:val="14"/>
                <w:szCs w:val="14"/>
                <w:b w:val="1"/>
                <w:bCs w:val="1"/>
                <w:color w:val="FFFFFF"/>
              </w:rPr>
              <w:t>Dec 25</w:t>
            </w:r>
          </w:p>
        </w:tc>
        <w:tc>
          <w:tcPr>
            <w:tcW w:w="0" w:type="dxa"/>
            <w:vAlign w:val="bottom"/>
          </w:tcPr>
          <w:p>
            <w:pPr>
              <w:spacing w:after="0"/>
              <w:rPr>
                <w:sz w:val="1"/>
                <w:szCs w:val="1"/>
                <w:color w:val="auto"/>
              </w:rPr>
            </w:pPr>
          </w:p>
        </w:tc>
      </w:tr>
      <w:tr>
        <w:trPr>
          <w:trHeight w:val="129"/>
        </w:trPr>
        <w:tc>
          <w:tcPr>
            <w:tcW w:w="4100" w:type="dxa"/>
            <w:vAlign w:val="bottom"/>
            <w:tcBorders>
              <w:top w:val="single" w:sz="8" w:color="auto"/>
              <w:left w:val="single" w:sz="8" w:color="auto"/>
              <w:right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Credicorp</w:t>
            </w:r>
          </w:p>
        </w:tc>
        <w:tc>
          <w:tcPr>
            <w:tcW w:w="9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3"/>
                <w:szCs w:val="13"/>
                <w:color w:val="auto"/>
              </w:rPr>
              <w:t xml:space="preserve">Innovation Portfolio Risk-Adjusted Revenue Share </w:t>
            </w:r>
            <w:r>
              <w:rPr>
                <w:rFonts w:ascii="Arial" w:cs="Arial" w:eastAsia="Arial" w:hAnsi="Arial"/>
                <w:sz w:val="20"/>
                <w:szCs w:val="20"/>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4"/>
                <w:szCs w:val="14"/>
                <w:color w:val="auto"/>
              </w:rPr>
              <w:t>5.6%</w:t>
            </w:r>
          </w:p>
        </w:tc>
        <w:tc>
          <w:tcPr>
            <w:tcW w:w="1040" w:type="dxa"/>
            <w:vAlign w:val="bottom"/>
          </w:tcPr>
          <w:p>
            <w:pPr>
              <w:jc w:val="center"/>
              <w:spacing w:after="0"/>
              <w:rPr>
                <w:sz w:val="20"/>
                <w:szCs w:val="20"/>
                <w:color w:val="auto"/>
              </w:rPr>
            </w:pPr>
            <w:r>
              <w:rPr>
                <w:rFonts w:ascii="Arial" w:cs="Arial" w:eastAsia="Arial" w:hAnsi="Arial"/>
                <w:sz w:val="14"/>
                <w:szCs w:val="14"/>
                <w:color w:val="auto"/>
              </w:rPr>
              <w:t>7.4%</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8.1%</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rPr>
              <w:t>4.2%</w:t>
            </w:r>
          </w:p>
        </w:tc>
        <w:tc>
          <w:tcPr>
            <w:tcW w:w="1240" w:type="dxa"/>
            <w:vAlign w:val="bottom"/>
            <w:tcBorders>
              <w:right w:val="single" w:sz="8" w:color="auto"/>
            </w:tcBorders>
          </w:tcPr>
          <w:p>
            <w:pPr>
              <w:jc w:val="center"/>
              <w:ind w:left="1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50"/>
        </w:trPr>
        <w:tc>
          <w:tcPr>
            <w:tcW w:w="41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4"/>
                <w:szCs w:val="14"/>
                <w:b w:val="1"/>
                <w:bCs w:val="1"/>
                <w:color w:val="auto"/>
              </w:rPr>
              <w:t>BCP Stand-alone</w:t>
            </w: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2"/>
                <w:szCs w:val="12"/>
                <w:color w:val="auto"/>
              </w:rPr>
              <w:t xml:space="preserve">Digital clients </w:t>
            </w:r>
            <w:r>
              <w:rPr>
                <w:rFonts w:ascii="Arial" w:cs="Arial" w:eastAsia="Arial" w:hAnsi="Arial"/>
                <w:sz w:val="18"/>
                <w:szCs w:val="18"/>
                <w:color w:val="auto"/>
                <w:vertAlign w:val="superscript"/>
              </w:rPr>
              <w:t>(3)</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76%</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79%</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9"/>
              </w:rPr>
              <w:t>80%</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w w:val="99"/>
              </w:rPr>
              <w:t>73%</w:t>
            </w:r>
          </w:p>
        </w:tc>
        <w:tc>
          <w:tcPr>
            <w:tcW w:w="1240" w:type="dxa"/>
            <w:vAlign w:val="bottom"/>
            <w:tcBorders>
              <w:right w:val="single" w:sz="8" w:color="auto"/>
            </w:tcBorders>
          </w:tcPr>
          <w:p>
            <w:pPr>
              <w:jc w:val="center"/>
              <w:ind w:left="128"/>
              <w:spacing w:after="0"/>
              <w:rPr>
                <w:sz w:val="20"/>
                <w:szCs w:val="20"/>
                <w:color w:val="auto"/>
              </w:rPr>
            </w:pPr>
            <w:r>
              <w:rPr>
                <w:rFonts w:ascii="Arial" w:cs="Arial" w:eastAsia="Arial" w:hAnsi="Arial"/>
                <w:sz w:val="14"/>
                <w:szCs w:val="14"/>
                <w:color w:val="auto"/>
                <w:w w:val="99"/>
              </w:rPr>
              <w:t>78%</w:t>
            </w:r>
          </w:p>
        </w:tc>
        <w:tc>
          <w:tcPr>
            <w:tcW w:w="0" w:type="dxa"/>
            <w:vAlign w:val="bottom"/>
          </w:tcPr>
          <w:p>
            <w:pPr>
              <w:spacing w:after="0"/>
              <w:rPr>
                <w:sz w:val="1"/>
                <w:szCs w:val="1"/>
                <w:color w:val="auto"/>
              </w:rPr>
            </w:pPr>
          </w:p>
        </w:tc>
      </w:tr>
      <w:tr>
        <w:trPr>
          <w:trHeight w:val="162"/>
        </w:trPr>
        <w:tc>
          <w:tcPr>
            <w:tcW w:w="41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2"/>
                <w:szCs w:val="12"/>
                <w:color w:val="auto"/>
              </w:rPr>
              <w:t xml:space="preserve">Digital monetary transactions </w:t>
            </w:r>
            <w:r>
              <w:rPr>
                <w:rFonts w:ascii="Arial" w:cs="Arial" w:eastAsia="Arial" w:hAnsi="Arial"/>
                <w:sz w:val="18"/>
                <w:szCs w:val="18"/>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85%</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89%</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9"/>
              </w:rPr>
              <w:t>90%</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w w:val="99"/>
              </w:rPr>
              <w:t>83%</w:t>
            </w:r>
          </w:p>
        </w:tc>
        <w:tc>
          <w:tcPr>
            <w:tcW w:w="1240" w:type="dxa"/>
            <w:vAlign w:val="bottom"/>
            <w:tcBorders>
              <w:right w:val="single" w:sz="8" w:color="auto"/>
            </w:tcBorders>
          </w:tcPr>
          <w:p>
            <w:pPr>
              <w:jc w:val="center"/>
              <w:ind w:left="128"/>
              <w:spacing w:after="0"/>
              <w:rPr>
                <w:sz w:val="20"/>
                <w:szCs w:val="20"/>
                <w:color w:val="auto"/>
              </w:rPr>
            </w:pPr>
            <w:r>
              <w:rPr>
                <w:rFonts w:ascii="Arial" w:cs="Arial" w:eastAsia="Arial" w:hAnsi="Arial"/>
                <w:sz w:val="14"/>
                <w:szCs w:val="14"/>
                <w:color w:val="auto"/>
                <w:w w:val="99"/>
              </w:rPr>
              <w:t>89%</w:t>
            </w:r>
          </w:p>
        </w:tc>
        <w:tc>
          <w:tcPr>
            <w:tcW w:w="0" w:type="dxa"/>
            <w:vAlign w:val="bottom"/>
          </w:tcPr>
          <w:p>
            <w:pPr>
              <w:spacing w:after="0"/>
              <w:rPr>
                <w:sz w:val="1"/>
                <w:szCs w:val="1"/>
                <w:color w:val="auto"/>
              </w:rPr>
            </w:pPr>
          </w:p>
        </w:tc>
      </w:tr>
      <w:tr>
        <w:trPr>
          <w:trHeight w:val="174"/>
        </w:trPr>
        <w:tc>
          <w:tcPr>
            <w:tcW w:w="41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3"/>
                <w:szCs w:val="13"/>
                <w:color w:val="auto"/>
              </w:rPr>
              <w:t xml:space="preserve">Cashless transactions </w:t>
            </w:r>
            <w:r>
              <w:rPr>
                <w:rFonts w:ascii="Arial" w:cs="Arial" w:eastAsia="Arial" w:hAnsi="Arial"/>
                <w:sz w:val="20"/>
                <w:szCs w:val="20"/>
                <w:color w:val="auto"/>
                <w:vertAlign w:val="superscript"/>
              </w:rPr>
              <w:t>(5)</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63%</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65%</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9"/>
              </w:rPr>
              <w:t>68%</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w w:val="99"/>
              </w:rPr>
              <w:t>59%</w:t>
            </w:r>
          </w:p>
        </w:tc>
        <w:tc>
          <w:tcPr>
            <w:tcW w:w="1240" w:type="dxa"/>
            <w:vAlign w:val="bottom"/>
            <w:tcBorders>
              <w:right w:val="single" w:sz="8" w:color="auto"/>
            </w:tcBorders>
          </w:tcPr>
          <w:p>
            <w:pPr>
              <w:jc w:val="center"/>
              <w:ind w:left="128"/>
              <w:spacing w:after="0"/>
              <w:rPr>
                <w:sz w:val="20"/>
                <w:szCs w:val="20"/>
                <w:color w:val="auto"/>
              </w:rPr>
            </w:pPr>
            <w:r>
              <w:rPr>
                <w:rFonts w:ascii="Arial" w:cs="Arial" w:eastAsia="Arial" w:hAnsi="Arial"/>
                <w:sz w:val="14"/>
                <w:szCs w:val="14"/>
                <w:color w:val="auto"/>
                <w:w w:val="99"/>
              </w:rPr>
              <w:t>65%</w:t>
            </w:r>
          </w:p>
        </w:tc>
        <w:tc>
          <w:tcPr>
            <w:tcW w:w="0" w:type="dxa"/>
            <w:vAlign w:val="bottom"/>
          </w:tcPr>
          <w:p>
            <w:pPr>
              <w:spacing w:after="0"/>
              <w:rPr>
                <w:sz w:val="1"/>
                <w:szCs w:val="1"/>
                <w:color w:val="auto"/>
              </w:rPr>
            </w:pPr>
          </w:p>
        </w:tc>
      </w:tr>
      <w:tr>
        <w:trPr>
          <w:trHeight w:val="150"/>
        </w:trPr>
        <w:tc>
          <w:tcPr>
            <w:tcW w:w="41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4"/>
                <w:szCs w:val="14"/>
                <w:b w:val="1"/>
                <w:bCs w:val="1"/>
                <w:color w:val="auto"/>
              </w:rPr>
              <w:t>Mibanco</w:t>
            </w: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2"/>
                <w:szCs w:val="12"/>
                <w:color w:val="auto"/>
              </w:rPr>
              <w:t xml:space="preserve">Disbursements through leads </w:t>
            </w:r>
            <w:r>
              <w:rPr>
                <w:rFonts w:ascii="Arial" w:cs="Arial" w:eastAsia="Arial" w:hAnsi="Arial"/>
                <w:sz w:val="18"/>
                <w:szCs w:val="18"/>
                <w:color w:val="auto"/>
                <w:vertAlign w:val="superscript"/>
              </w:rPr>
              <w:t>(6)</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66%</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67%</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9"/>
              </w:rPr>
              <w:t>68%</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w w:val="99"/>
              </w:rPr>
              <w:t>68%</w:t>
            </w:r>
          </w:p>
        </w:tc>
        <w:tc>
          <w:tcPr>
            <w:tcW w:w="1240" w:type="dxa"/>
            <w:vAlign w:val="bottom"/>
            <w:tcBorders>
              <w:right w:val="single" w:sz="8" w:color="auto"/>
            </w:tcBorders>
          </w:tcPr>
          <w:p>
            <w:pPr>
              <w:jc w:val="center"/>
              <w:ind w:left="128"/>
              <w:spacing w:after="0"/>
              <w:rPr>
                <w:sz w:val="20"/>
                <w:szCs w:val="20"/>
                <w:color w:val="auto"/>
              </w:rPr>
            </w:pPr>
            <w:r>
              <w:rPr>
                <w:rFonts w:ascii="Arial" w:cs="Arial" w:eastAsia="Arial" w:hAnsi="Arial"/>
                <w:sz w:val="14"/>
                <w:szCs w:val="14"/>
                <w:color w:val="auto"/>
                <w:w w:val="99"/>
              </w:rPr>
              <w:t>68%</w:t>
            </w:r>
          </w:p>
        </w:tc>
        <w:tc>
          <w:tcPr>
            <w:tcW w:w="0" w:type="dxa"/>
            <w:vAlign w:val="bottom"/>
          </w:tcPr>
          <w:p>
            <w:pPr>
              <w:spacing w:after="0"/>
              <w:rPr>
                <w:sz w:val="1"/>
                <w:szCs w:val="1"/>
                <w:color w:val="auto"/>
              </w:rPr>
            </w:pPr>
          </w:p>
        </w:tc>
      </w:tr>
      <w:tr>
        <w:trPr>
          <w:trHeight w:val="162"/>
        </w:trPr>
        <w:tc>
          <w:tcPr>
            <w:tcW w:w="41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2"/>
                <w:szCs w:val="12"/>
                <w:color w:val="auto"/>
              </w:rPr>
              <w:t xml:space="preserve">Disbursements through alternative channels </w:t>
            </w:r>
            <w:r>
              <w:rPr>
                <w:rFonts w:ascii="Arial" w:cs="Arial" w:eastAsia="Arial" w:hAnsi="Arial"/>
                <w:sz w:val="18"/>
                <w:szCs w:val="18"/>
                <w:color w:val="auto"/>
                <w:vertAlign w:val="superscript"/>
              </w:rPr>
              <w:t>(7)</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9"/>
              </w:rPr>
              <w:t>11%</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w w:val="99"/>
              </w:rPr>
              <w:t>10%</w:t>
            </w:r>
          </w:p>
        </w:tc>
        <w:tc>
          <w:tcPr>
            <w:tcW w:w="1240" w:type="dxa"/>
            <w:vAlign w:val="bottom"/>
            <w:tcBorders>
              <w:right w:val="single" w:sz="8" w:color="auto"/>
            </w:tcBorders>
          </w:tcPr>
          <w:p>
            <w:pPr>
              <w:jc w:val="center"/>
              <w:ind w:left="128"/>
              <w:spacing w:after="0"/>
              <w:rPr>
                <w:sz w:val="20"/>
                <w:szCs w:val="20"/>
                <w:color w:val="auto"/>
              </w:rPr>
            </w:pPr>
            <w:r>
              <w:rPr>
                <w:rFonts w:ascii="Arial" w:cs="Arial" w:eastAsia="Arial" w:hAnsi="Arial"/>
                <w:sz w:val="14"/>
                <w:szCs w:val="14"/>
                <w:color w:val="auto"/>
                <w:w w:val="99"/>
              </w:rPr>
              <w:t>11%</w:t>
            </w:r>
          </w:p>
        </w:tc>
        <w:tc>
          <w:tcPr>
            <w:tcW w:w="0" w:type="dxa"/>
            <w:vAlign w:val="bottom"/>
          </w:tcPr>
          <w:p>
            <w:pPr>
              <w:spacing w:after="0"/>
              <w:rPr>
                <w:sz w:val="1"/>
                <w:szCs w:val="1"/>
                <w:color w:val="auto"/>
              </w:rPr>
            </w:pPr>
          </w:p>
        </w:tc>
      </w:tr>
      <w:tr>
        <w:trPr>
          <w:trHeight w:val="174"/>
        </w:trPr>
        <w:tc>
          <w:tcPr>
            <w:tcW w:w="41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3"/>
                <w:szCs w:val="13"/>
                <w:color w:val="auto"/>
              </w:rPr>
              <w:t xml:space="preserve">Relationship managers productivity </w:t>
            </w:r>
            <w:r>
              <w:rPr>
                <w:rFonts w:ascii="Arial" w:cs="Arial" w:eastAsia="Arial" w:hAnsi="Arial"/>
                <w:sz w:val="20"/>
                <w:szCs w:val="20"/>
                <w:color w:val="auto"/>
                <w:vertAlign w:val="superscript"/>
              </w:rPr>
              <w:t>(8)</w:t>
            </w:r>
          </w:p>
        </w:tc>
        <w:tc>
          <w:tcPr>
            <w:tcW w:w="960" w:type="dxa"/>
            <w:vAlign w:val="bottom"/>
          </w:tcPr>
          <w:p>
            <w:pPr>
              <w:jc w:val="center"/>
              <w:spacing w:after="0"/>
              <w:rPr>
                <w:sz w:val="20"/>
                <w:szCs w:val="20"/>
                <w:color w:val="auto"/>
              </w:rPr>
            </w:pPr>
            <w:r>
              <w:rPr>
                <w:rFonts w:ascii="Arial" w:cs="Arial" w:eastAsia="Arial" w:hAnsi="Arial"/>
                <w:sz w:val="14"/>
                <w:szCs w:val="14"/>
                <w:color w:val="auto"/>
              </w:rPr>
              <w:t>24.5</w:t>
            </w:r>
          </w:p>
        </w:tc>
        <w:tc>
          <w:tcPr>
            <w:tcW w:w="1040" w:type="dxa"/>
            <w:vAlign w:val="bottom"/>
          </w:tcPr>
          <w:p>
            <w:pPr>
              <w:jc w:val="center"/>
              <w:spacing w:after="0"/>
              <w:rPr>
                <w:sz w:val="20"/>
                <w:szCs w:val="20"/>
                <w:color w:val="auto"/>
              </w:rPr>
            </w:pPr>
            <w:r>
              <w:rPr>
                <w:rFonts w:ascii="Arial" w:cs="Arial" w:eastAsia="Arial" w:hAnsi="Arial"/>
                <w:sz w:val="14"/>
                <w:szCs w:val="14"/>
                <w:color w:val="auto"/>
              </w:rPr>
              <w:t>29.2</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29.7</w:t>
            </w:r>
          </w:p>
        </w:tc>
        <w:tc>
          <w:tcPr>
            <w:tcW w:w="740" w:type="dxa"/>
            <w:vAlign w:val="bottom"/>
          </w:tcPr>
          <w:p>
            <w:pPr>
              <w:jc w:val="center"/>
              <w:ind w:left="148"/>
              <w:spacing w:after="0"/>
              <w:rPr>
                <w:sz w:val="20"/>
                <w:szCs w:val="20"/>
                <w:color w:val="auto"/>
              </w:rPr>
            </w:pPr>
            <w:r>
              <w:rPr>
                <w:rFonts w:ascii="Arial" w:cs="Arial" w:eastAsia="Arial" w:hAnsi="Arial"/>
                <w:sz w:val="14"/>
                <w:szCs w:val="14"/>
                <w:color w:val="auto"/>
              </w:rPr>
              <w:t>23.7</w:t>
            </w:r>
          </w:p>
        </w:tc>
        <w:tc>
          <w:tcPr>
            <w:tcW w:w="1240" w:type="dxa"/>
            <w:vAlign w:val="bottom"/>
            <w:tcBorders>
              <w:right w:val="single" w:sz="8" w:color="auto"/>
            </w:tcBorders>
          </w:tcPr>
          <w:p>
            <w:pPr>
              <w:jc w:val="center"/>
              <w:ind w:left="12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50"/>
        </w:trPr>
        <w:tc>
          <w:tcPr>
            <w:tcW w:w="41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4"/>
                <w:szCs w:val="14"/>
                <w:b w:val="1"/>
                <w:bCs w:val="1"/>
                <w:color w:val="auto"/>
              </w:rPr>
              <w:t>Pacifico</w:t>
            </w: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10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3"/>
                <w:szCs w:val="13"/>
                <w:color w:val="auto"/>
              </w:rPr>
              <w:t xml:space="preserve">Digital Policies (thousands) </w:t>
            </w:r>
            <w:r>
              <w:rPr>
                <w:rFonts w:ascii="Arial" w:cs="Arial" w:eastAsia="Arial" w:hAnsi="Arial"/>
                <w:sz w:val="21"/>
                <w:szCs w:val="21"/>
                <w:color w:val="auto"/>
                <w:vertAlign w:val="superscript"/>
              </w:rPr>
              <w:t>(9)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713.1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580.7</w:t>
            </w:r>
          </w:p>
        </w:tc>
        <w:tc>
          <w:tcPr>
            <w:tcW w:w="9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597.2</w:t>
            </w:r>
          </w:p>
        </w:tc>
        <w:tc>
          <w:tcPr>
            <w:tcW w:w="7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2,473.9</w:t>
            </w:r>
          </w:p>
        </w:tc>
        <w:tc>
          <w:tcPr>
            <w:tcW w:w="1240" w:type="dxa"/>
            <w:vAlign w:val="bottom"/>
            <w:tcBorders>
              <w:bottom w:val="single" w:sz="8" w:color="auto"/>
              <w:right w:val="single" w:sz="8" w:color="auto"/>
            </w:tcBorders>
          </w:tcPr>
          <w:p>
            <w:pPr>
              <w:jc w:val="center"/>
              <w:ind w:left="128"/>
              <w:spacing w:after="0"/>
              <w:rPr>
                <w:sz w:val="20"/>
                <w:szCs w:val="20"/>
                <w:color w:val="auto"/>
              </w:rPr>
            </w:pPr>
            <w:r>
              <w:rPr>
                <w:rFonts w:ascii="Arial" w:cs="Arial" w:eastAsia="Arial" w:hAnsi="Arial"/>
                <w:sz w:val="14"/>
                <w:szCs w:val="14"/>
                <w:color w:val="auto"/>
              </w:rPr>
              <w:t>2,479.6</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67" w:hanging="167"/>
        <w:spacing w:after="0"/>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Management figures. Figures for December 2024, September 2025, and December 2025. Figures may differ from previously reported.</w:t>
      </w:r>
    </w:p>
    <w:p>
      <w:pPr>
        <w:spacing w:after="0" w:line="11" w:lineRule="exact"/>
        <w:rPr>
          <w:rFonts w:ascii="Arial" w:cs="Arial" w:eastAsia="Arial" w:hAnsi="Arial"/>
          <w:sz w:val="12"/>
          <w:szCs w:val="12"/>
          <w:color w:val="auto"/>
        </w:rPr>
      </w:pPr>
    </w:p>
    <w:p>
      <w:pPr>
        <w:ind w:left="167" w:hanging="167"/>
        <w:spacing w:after="0" w:line="234" w:lineRule="auto"/>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a percentage of Credicorp’s total Risk-Adjusted Revenue.</w:t>
      </w:r>
    </w:p>
    <w:p>
      <w:pPr>
        <w:ind w:left="167" w:hanging="167"/>
        <w:spacing w:after="0" w:line="234" w:lineRule="auto"/>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Retail clients that made 70%, or more, of their transactions through digital channels in the last 6 months (including Yape).</w:t>
      </w:r>
    </w:p>
    <w:p>
      <w:pPr>
        <w:ind w:left="167" w:hanging="167"/>
        <w:spacing w:after="0" w:line="234" w:lineRule="auto"/>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Monetary Transactions conducted through Mobile Banking, Internet Banking, Yape and Telecredito/Total Monetary Transactions in Retail Banking. Figures may differ from previously reported.</w:t>
      </w:r>
    </w:p>
    <w:p>
      <w:pPr>
        <w:ind w:left="167" w:hanging="167"/>
        <w:spacing w:after="0" w:line="234" w:lineRule="auto"/>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Amount transacted through Mobile Banking, Internet Banking, Yape y POS/Total amount transacted through Retail Banking. Figures may differ from previously reported.</w:t>
      </w:r>
    </w:p>
    <w:p>
      <w:pPr>
        <w:ind w:left="167" w:hanging="167"/>
        <w:spacing w:after="0" w:line="234" w:lineRule="auto"/>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Disbursements generated through leads/Total disbursements. Figures may differ from previously reported.</w:t>
      </w:r>
    </w:p>
    <w:p>
      <w:pPr>
        <w:ind w:left="167" w:hanging="167"/>
        <w:spacing w:after="0" w:line="234" w:lineRule="auto"/>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Disbursements conducted through alternative channels/Total disbursements. Figures differ from previously reported due to a methodological change.</w:t>
      </w:r>
    </w:p>
    <w:p>
      <w:pPr>
        <w:ind w:left="167" w:hanging="167"/>
        <w:spacing w:after="0" w:line="234" w:lineRule="auto"/>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Number of loans disbursed/Total relationship managers.</w:t>
      </w:r>
    </w:p>
    <w:p>
      <w:pPr>
        <w:ind w:left="167" w:hanging="167"/>
        <w:spacing w:after="0"/>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Number of insurance policies issued through digital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819785</wp:posOffset>
            </wp:positionV>
            <wp:extent cx="71577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116840</wp:posOffset>
            </wp:positionV>
            <wp:extent cx="6789420" cy="600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89420" cy="60007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15" w:name="page16"/>
    <w:bookmarkEnd w:id="15"/>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77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47"/>
        <w:spacing w:after="0"/>
        <w:rPr>
          <w:sz w:val="20"/>
          <w:szCs w:val="20"/>
          <w:color w:val="auto"/>
        </w:rPr>
      </w:pPr>
      <w:r>
        <w:rPr>
          <w:rFonts w:ascii="Arial" w:cs="Arial" w:eastAsia="Arial" w:hAnsi="Arial"/>
          <w:sz w:val="22"/>
          <w:szCs w:val="22"/>
          <w:b w:val="1"/>
          <w:bCs w:val="1"/>
          <w:color w:val="FFFFFF"/>
        </w:rPr>
        <w:t>Credicorp’s Strategy Update</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32"/>
          <w:szCs w:val="32"/>
          <w:color w:val="E93BAC"/>
        </w:rPr>
        <w:t>Yape</w:t>
      </w:r>
    </w:p>
    <w:p>
      <w:pPr>
        <w:spacing w:after="0" w:line="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Main Management Indicators</w:t>
      </w:r>
    </w:p>
    <w:p>
      <w:pPr>
        <w:spacing w:after="0" w:line="243" w:lineRule="exact"/>
        <w:rPr>
          <w:sz w:val="20"/>
          <w:szCs w:val="20"/>
          <w:color w:val="auto"/>
        </w:rPr>
      </w:pPr>
    </w:p>
    <w:tbl>
      <w:tblPr>
        <w:tblLayout w:type="fixed"/>
        <w:tblInd w:w="17" w:type="dxa"/>
        <w:tblCellMar>
          <w:top w:w="0" w:type="dxa"/>
          <w:left w:w="0" w:type="dxa"/>
          <w:bottom w:w="0" w:type="dxa"/>
          <w:right w:w="0" w:type="dxa"/>
        </w:tblCellMar>
      </w:tblPr>
      <w:tr>
        <w:trPr>
          <w:trHeight w:val="176"/>
        </w:trPr>
        <w:tc>
          <w:tcPr>
            <w:tcW w:w="2720" w:type="dxa"/>
            <w:vAlign w:val="bottom"/>
            <w:tcBorders>
              <w:top w:val="single" w:sz="8" w:color="auto"/>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4"/>
                <w:szCs w:val="14"/>
                <w:b w:val="1"/>
                <w:bCs w:val="1"/>
                <w:color w:val="FFFFFF"/>
              </w:rPr>
              <w:t xml:space="preserve">Management KPI’s </w:t>
            </w:r>
            <w:r>
              <w:rPr>
                <w:rFonts w:ascii="Arial" w:cs="Arial" w:eastAsia="Arial" w:hAnsi="Arial"/>
                <w:sz w:val="23"/>
                <w:szCs w:val="23"/>
                <w:b w:val="1"/>
                <w:bCs w:val="1"/>
                <w:color w:val="FFFFFF"/>
                <w:vertAlign w:val="superscript"/>
              </w:rPr>
              <w:t>(1)</w:t>
            </w:r>
          </w:p>
        </w:tc>
        <w:tc>
          <w:tcPr>
            <w:tcW w:w="1000" w:type="dxa"/>
            <w:vAlign w:val="bottom"/>
            <w:tcBorders>
              <w:top w:val="single" w:sz="8" w:color="auto"/>
            </w:tcBorders>
            <w:shd w:val="clear" w:color="auto" w:fill="33CCCC"/>
          </w:tcPr>
          <w:p>
            <w:pPr>
              <w:spacing w:after="0"/>
              <w:rPr>
                <w:sz w:val="15"/>
                <w:szCs w:val="15"/>
                <w:color w:val="auto"/>
              </w:rPr>
            </w:pPr>
          </w:p>
        </w:tc>
        <w:tc>
          <w:tcPr>
            <w:tcW w:w="104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4"/>
                <w:szCs w:val="14"/>
                <w:b w:val="1"/>
                <w:bCs w:val="1"/>
                <w:color w:val="FFFFFF"/>
              </w:rPr>
              <w:t>Quarter</w:t>
            </w:r>
          </w:p>
        </w:tc>
        <w:tc>
          <w:tcPr>
            <w:tcW w:w="1000" w:type="dxa"/>
            <w:vAlign w:val="bottom"/>
            <w:tcBorders>
              <w:top w:val="single" w:sz="8" w:color="auto"/>
              <w:right w:val="single" w:sz="8" w:color="auto"/>
            </w:tcBorders>
            <w:shd w:val="clear" w:color="auto" w:fill="33CCCC"/>
          </w:tcPr>
          <w:p>
            <w:pPr>
              <w:spacing w:after="0"/>
              <w:rPr>
                <w:sz w:val="15"/>
                <w:szCs w:val="15"/>
                <w:color w:val="auto"/>
              </w:rPr>
            </w:pPr>
          </w:p>
        </w:tc>
        <w:tc>
          <w:tcPr>
            <w:tcW w:w="2020" w:type="dxa"/>
            <w:vAlign w:val="bottom"/>
            <w:tcBorders>
              <w:top w:val="single" w:sz="8" w:color="auto"/>
              <w:right w:val="single" w:sz="8" w:color="auto"/>
            </w:tcBorders>
            <w:gridSpan w:val="2"/>
            <w:shd w:val="clear" w:color="auto" w:fill="33CCCC"/>
          </w:tcPr>
          <w:p>
            <w:pPr>
              <w:ind w:left="640"/>
              <w:spacing w:after="0"/>
              <w:rPr>
                <w:sz w:val="20"/>
                <w:szCs w:val="20"/>
                <w:color w:val="auto"/>
              </w:rPr>
            </w:pPr>
            <w:r>
              <w:rPr>
                <w:rFonts w:ascii="Arial" w:cs="Arial" w:eastAsia="Arial" w:hAnsi="Arial"/>
                <w:sz w:val="14"/>
                <w:szCs w:val="14"/>
                <w:b w:val="1"/>
                <w:bCs w:val="1"/>
                <w:color w:val="FFFFFF"/>
              </w:rPr>
              <w:t>Change %</w:t>
            </w:r>
          </w:p>
        </w:tc>
        <w:tc>
          <w:tcPr>
            <w:tcW w:w="780" w:type="dxa"/>
            <w:vAlign w:val="bottom"/>
            <w:tcBorders>
              <w:top w:val="single" w:sz="8" w:color="auto"/>
            </w:tcBorders>
            <w:shd w:val="clear" w:color="auto" w:fill="33CCCC"/>
          </w:tcPr>
          <w:p>
            <w:pPr>
              <w:spacing w:after="0"/>
              <w:rPr>
                <w:sz w:val="15"/>
                <w:szCs w:val="15"/>
                <w:color w:val="auto"/>
              </w:rPr>
            </w:pPr>
          </w:p>
        </w:tc>
        <w:tc>
          <w:tcPr>
            <w:tcW w:w="126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4"/>
                <w:szCs w:val="14"/>
                <w:b w:val="1"/>
                <w:bCs w:val="1"/>
                <w:color w:val="FFFFFF"/>
              </w:rPr>
              <w:t>Up to</w:t>
            </w:r>
          </w:p>
        </w:tc>
        <w:tc>
          <w:tcPr>
            <w:tcW w:w="14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Change %</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bottom w:val="single" w:sz="8" w:color="33CCCC"/>
              <w:right w:val="single" w:sz="8" w:color="auto"/>
            </w:tcBorders>
            <w:vMerge w:val="continue"/>
            <w:shd w:val="clear" w:color="auto" w:fill="33CCCC"/>
          </w:tcPr>
          <w:p>
            <w:pPr>
              <w:spacing w:after="0"/>
              <w:rPr>
                <w:sz w:val="14"/>
                <w:szCs w:val="14"/>
                <w:color w:val="auto"/>
              </w:rPr>
            </w:pPr>
          </w:p>
        </w:tc>
        <w:tc>
          <w:tcPr>
            <w:tcW w:w="10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9"/>
              </w:rPr>
              <w:t>4Q24</w:t>
            </w:r>
          </w:p>
        </w:tc>
        <w:tc>
          <w:tcPr>
            <w:tcW w:w="104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3Q25</w:t>
            </w:r>
          </w:p>
        </w:tc>
        <w:tc>
          <w:tcPr>
            <w:tcW w:w="100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9"/>
              </w:rPr>
              <w:t>4Q25</w:t>
            </w:r>
          </w:p>
        </w:tc>
        <w:tc>
          <w:tcPr>
            <w:tcW w:w="9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8"/>
              </w:rPr>
              <w:t>QoQ</w:t>
            </w:r>
          </w:p>
        </w:tc>
        <w:tc>
          <w:tcPr>
            <w:tcW w:w="10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YoY</w:t>
            </w:r>
          </w:p>
        </w:tc>
        <w:tc>
          <w:tcPr>
            <w:tcW w:w="780" w:type="dxa"/>
            <w:vAlign w:val="bottom"/>
            <w:tcBorders>
              <w:bottom w:val="single" w:sz="8" w:color="33CCCC"/>
            </w:tcBorders>
            <w:shd w:val="clear" w:color="auto" w:fill="33CCCC"/>
          </w:tcPr>
          <w:p>
            <w:pPr>
              <w:ind w:left="260"/>
              <w:spacing w:after="0"/>
              <w:rPr>
                <w:sz w:val="20"/>
                <w:szCs w:val="20"/>
                <w:color w:val="auto"/>
              </w:rPr>
            </w:pPr>
            <w:r>
              <w:rPr>
                <w:rFonts w:ascii="Arial" w:cs="Arial" w:eastAsia="Arial" w:hAnsi="Arial"/>
                <w:sz w:val="14"/>
                <w:szCs w:val="14"/>
                <w:b w:val="1"/>
                <w:bCs w:val="1"/>
                <w:color w:val="FFFFFF"/>
              </w:rPr>
              <w:t>Dec 24</w:t>
            </w:r>
          </w:p>
        </w:tc>
        <w:tc>
          <w:tcPr>
            <w:tcW w:w="1260" w:type="dxa"/>
            <w:vAlign w:val="bottom"/>
            <w:tcBorders>
              <w:bottom w:val="single" w:sz="8" w:color="33CCCC"/>
              <w:right w:val="single" w:sz="8" w:color="auto"/>
            </w:tcBorders>
            <w:shd w:val="clear" w:color="auto" w:fill="33CCCC"/>
          </w:tcPr>
          <w:p>
            <w:pPr>
              <w:ind w:left="500"/>
              <w:spacing w:after="0"/>
              <w:rPr>
                <w:sz w:val="20"/>
                <w:szCs w:val="20"/>
                <w:color w:val="auto"/>
              </w:rPr>
            </w:pPr>
            <w:r>
              <w:rPr>
                <w:rFonts w:ascii="Arial" w:cs="Arial" w:eastAsia="Arial" w:hAnsi="Arial"/>
                <w:sz w:val="14"/>
                <w:szCs w:val="14"/>
                <w:b w:val="1"/>
                <w:bCs w:val="1"/>
                <w:color w:val="FFFFFF"/>
              </w:rPr>
              <w:t>Dec 25</w:t>
            </w:r>
          </w:p>
        </w:tc>
        <w:tc>
          <w:tcPr>
            <w:tcW w:w="14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25 / Dec 24</w:t>
            </w:r>
          </w:p>
        </w:tc>
        <w:tc>
          <w:tcPr>
            <w:tcW w:w="0" w:type="dxa"/>
            <w:vAlign w:val="bottom"/>
          </w:tcPr>
          <w:p>
            <w:pPr>
              <w:spacing w:after="0"/>
              <w:rPr>
                <w:sz w:val="1"/>
                <w:szCs w:val="1"/>
                <w:color w:val="auto"/>
              </w:rPr>
            </w:pPr>
          </w:p>
        </w:tc>
      </w:tr>
      <w:tr>
        <w:trPr>
          <w:trHeight w:val="142"/>
        </w:trPr>
        <w:tc>
          <w:tcPr>
            <w:tcW w:w="2720" w:type="dxa"/>
            <w:vAlign w:val="bottom"/>
            <w:tcBorders>
              <w:top w:val="single" w:sz="8" w:color="auto"/>
              <w:left w:val="single" w:sz="8" w:color="auto"/>
              <w:right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Users</w:t>
            </w:r>
          </w:p>
        </w:tc>
        <w:tc>
          <w:tcPr>
            <w:tcW w:w="10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Borders>
              <w:left w:val="single" w:sz="8" w:color="auto"/>
              <w:right w:val="single" w:sz="8" w:color="auto"/>
            </w:tcBorders>
          </w:tcPr>
          <w:p>
            <w:pPr>
              <w:spacing w:after="0" w:line="148" w:lineRule="exact"/>
              <w:rPr>
                <w:sz w:val="20"/>
                <w:szCs w:val="20"/>
                <w:color w:val="auto"/>
              </w:rPr>
            </w:pPr>
            <w:r>
              <w:rPr>
                <w:rFonts w:ascii="Arial" w:cs="Arial" w:eastAsia="Arial" w:hAnsi="Arial"/>
                <w:sz w:val="14"/>
                <w:szCs w:val="14"/>
                <w:color w:val="auto"/>
              </w:rPr>
              <w:t>Users (millions)</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17.3</w:t>
            </w:r>
          </w:p>
        </w:tc>
        <w:tc>
          <w:tcPr>
            <w:tcW w:w="1040" w:type="dxa"/>
            <w:vAlign w:val="bottom"/>
          </w:tcPr>
          <w:p>
            <w:pPr>
              <w:jc w:val="center"/>
              <w:spacing w:after="0" w:line="148" w:lineRule="exact"/>
              <w:rPr>
                <w:sz w:val="20"/>
                <w:szCs w:val="20"/>
                <w:color w:val="auto"/>
              </w:rPr>
            </w:pPr>
            <w:r>
              <w:rPr>
                <w:rFonts w:ascii="Arial" w:cs="Arial" w:eastAsia="Arial" w:hAnsi="Arial"/>
                <w:sz w:val="14"/>
                <w:szCs w:val="14"/>
                <w:color w:val="auto"/>
              </w:rPr>
              <w:t>18.7</w:t>
            </w:r>
          </w:p>
        </w:tc>
        <w:tc>
          <w:tcPr>
            <w:tcW w:w="10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19.1</w:t>
            </w:r>
          </w:p>
        </w:tc>
        <w:tc>
          <w:tcPr>
            <w:tcW w:w="980" w:type="dxa"/>
            <w:vAlign w:val="bottom"/>
          </w:tcPr>
          <w:p>
            <w:pPr>
              <w:jc w:val="center"/>
              <w:spacing w:after="0" w:line="148" w:lineRule="exact"/>
              <w:rPr>
                <w:sz w:val="20"/>
                <w:szCs w:val="20"/>
                <w:color w:val="auto"/>
              </w:rPr>
            </w:pPr>
            <w:r>
              <w:rPr>
                <w:rFonts w:ascii="Arial" w:cs="Arial" w:eastAsia="Arial" w:hAnsi="Arial"/>
                <w:sz w:val="14"/>
                <w:szCs w:val="14"/>
                <w:color w:val="auto"/>
              </w:rPr>
              <w:t>1.9%</w:t>
            </w:r>
          </w:p>
        </w:tc>
        <w:tc>
          <w:tcPr>
            <w:tcW w:w="1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10.2%</w:t>
            </w:r>
          </w:p>
        </w:tc>
        <w:tc>
          <w:tcPr>
            <w:tcW w:w="780" w:type="dxa"/>
            <w:vAlign w:val="bottom"/>
          </w:tcPr>
          <w:p>
            <w:pPr>
              <w:jc w:val="center"/>
              <w:ind w:left="148"/>
              <w:spacing w:after="0" w:line="148" w:lineRule="exact"/>
              <w:rPr>
                <w:sz w:val="20"/>
                <w:szCs w:val="20"/>
                <w:color w:val="auto"/>
              </w:rPr>
            </w:pPr>
            <w:r>
              <w:rPr>
                <w:rFonts w:ascii="Arial" w:cs="Arial" w:eastAsia="Arial" w:hAnsi="Arial"/>
                <w:sz w:val="14"/>
                <w:szCs w:val="14"/>
                <w:color w:val="auto"/>
              </w:rPr>
              <w:t>17.3</w:t>
            </w:r>
          </w:p>
        </w:tc>
        <w:tc>
          <w:tcPr>
            <w:tcW w:w="1260" w:type="dxa"/>
            <w:vAlign w:val="bottom"/>
            <w:tcBorders>
              <w:right w:val="single" w:sz="8" w:color="auto"/>
            </w:tcBorders>
          </w:tcPr>
          <w:p>
            <w:pPr>
              <w:jc w:val="center"/>
              <w:ind w:left="108"/>
              <w:spacing w:after="0" w:line="148" w:lineRule="exact"/>
              <w:rPr>
                <w:sz w:val="20"/>
                <w:szCs w:val="20"/>
                <w:color w:val="auto"/>
              </w:rPr>
            </w:pPr>
            <w:r>
              <w:rPr>
                <w:rFonts w:ascii="Arial" w:cs="Arial" w:eastAsia="Arial" w:hAnsi="Arial"/>
                <w:sz w:val="14"/>
                <w:szCs w:val="14"/>
                <w:color w:val="auto"/>
              </w:rPr>
              <w:t>19.1</w:t>
            </w:r>
          </w:p>
        </w:tc>
        <w:tc>
          <w:tcPr>
            <w:tcW w:w="14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3"/>
                <w:szCs w:val="13"/>
                <w:color w:val="auto"/>
              </w:rPr>
              <w:t xml:space="preserve">Monthly Active Users (MAU) (millions) </w:t>
            </w:r>
            <w:r>
              <w:rPr>
                <w:rFonts w:ascii="Arial" w:cs="Arial" w:eastAsia="Arial" w:hAnsi="Arial"/>
                <w:sz w:val="20"/>
                <w:szCs w:val="20"/>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13.7</w:t>
            </w:r>
          </w:p>
        </w:tc>
        <w:tc>
          <w:tcPr>
            <w:tcW w:w="1040" w:type="dxa"/>
            <w:vAlign w:val="bottom"/>
          </w:tcPr>
          <w:p>
            <w:pPr>
              <w:jc w:val="center"/>
              <w:spacing w:after="0"/>
              <w:rPr>
                <w:sz w:val="20"/>
                <w:szCs w:val="20"/>
                <w:color w:val="auto"/>
              </w:rPr>
            </w:pPr>
            <w:r>
              <w:rPr>
                <w:rFonts w:ascii="Arial" w:cs="Arial" w:eastAsia="Arial" w:hAnsi="Arial"/>
                <w:sz w:val="14"/>
                <w:szCs w:val="14"/>
                <w:color w:val="auto"/>
              </w:rPr>
              <w:t>15.5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15.9</w:t>
            </w:r>
          </w:p>
        </w:tc>
        <w:tc>
          <w:tcPr>
            <w:tcW w:w="980" w:type="dxa"/>
            <w:vAlign w:val="bottom"/>
          </w:tcPr>
          <w:p>
            <w:pPr>
              <w:jc w:val="center"/>
              <w:spacing w:after="0"/>
              <w:rPr>
                <w:sz w:val="20"/>
                <w:szCs w:val="20"/>
                <w:color w:val="auto"/>
              </w:rPr>
            </w:pPr>
            <w:r>
              <w:rPr>
                <w:rFonts w:ascii="Arial" w:cs="Arial" w:eastAsia="Arial" w:hAnsi="Arial"/>
                <w:sz w:val="14"/>
                <w:szCs w:val="14"/>
                <w:color w:val="auto"/>
              </w:rPr>
              <w:t>2.9%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15.9%</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13.7</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15.9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5"/>
        </w:trPr>
        <w:tc>
          <w:tcPr>
            <w:tcW w:w="2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Revenue Generating MAU (millions)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11.4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22.6%</w:t>
            </w:r>
          </w:p>
        </w:tc>
        <w:tc>
          <w:tcPr>
            <w:tcW w:w="7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11.4</w:t>
            </w:r>
          </w:p>
        </w:tc>
        <w:tc>
          <w:tcPr>
            <w:tcW w:w="12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rPr>
              <w:t>14.0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2"/>
        </w:trPr>
        <w:tc>
          <w:tcPr>
            <w:tcW w:w="2720" w:type="dxa"/>
            <w:vAlign w:val="bottom"/>
            <w:tcBorders>
              <w:left w:val="single" w:sz="8" w:color="auto"/>
              <w:right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Engagement</w:t>
            </w: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 Transactions (millions)</w:t>
            </w:r>
          </w:p>
        </w:tc>
        <w:tc>
          <w:tcPr>
            <w:tcW w:w="1000" w:type="dxa"/>
            <w:vAlign w:val="bottom"/>
          </w:tcPr>
          <w:p>
            <w:pPr>
              <w:jc w:val="center"/>
              <w:spacing w:after="0"/>
              <w:rPr>
                <w:sz w:val="20"/>
                <w:szCs w:val="20"/>
                <w:color w:val="auto"/>
              </w:rPr>
            </w:pPr>
            <w:r>
              <w:rPr>
                <w:rFonts w:ascii="Arial" w:cs="Arial" w:eastAsia="Arial" w:hAnsi="Arial"/>
                <w:sz w:val="14"/>
                <w:szCs w:val="14"/>
                <w:color w:val="auto"/>
              </w:rPr>
              <w:t>1,953</w:t>
            </w:r>
          </w:p>
        </w:tc>
        <w:tc>
          <w:tcPr>
            <w:tcW w:w="1040" w:type="dxa"/>
            <w:vAlign w:val="bottom"/>
          </w:tcPr>
          <w:p>
            <w:pPr>
              <w:jc w:val="center"/>
              <w:spacing w:after="0"/>
              <w:rPr>
                <w:sz w:val="20"/>
                <w:szCs w:val="20"/>
                <w:color w:val="auto"/>
              </w:rPr>
            </w:pPr>
            <w:r>
              <w:rPr>
                <w:rFonts w:ascii="Arial" w:cs="Arial" w:eastAsia="Arial" w:hAnsi="Arial"/>
                <w:sz w:val="14"/>
                <w:szCs w:val="14"/>
                <w:color w:val="auto"/>
              </w:rPr>
              <w:t>2,640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2,989</w:t>
            </w:r>
          </w:p>
        </w:tc>
        <w:tc>
          <w:tcPr>
            <w:tcW w:w="980" w:type="dxa"/>
            <w:vAlign w:val="bottom"/>
          </w:tcPr>
          <w:p>
            <w:pPr>
              <w:jc w:val="center"/>
              <w:spacing w:after="0"/>
              <w:rPr>
                <w:sz w:val="20"/>
                <w:szCs w:val="20"/>
                <w:color w:val="auto"/>
              </w:rPr>
            </w:pPr>
            <w:r>
              <w:rPr>
                <w:rFonts w:ascii="Arial" w:cs="Arial" w:eastAsia="Arial" w:hAnsi="Arial"/>
                <w:sz w:val="14"/>
                <w:szCs w:val="14"/>
                <w:color w:val="auto"/>
              </w:rPr>
              <w:t>13.2%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53.0%</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6,146</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10,039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 Revenue Generating Transactions</w:t>
            </w:r>
          </w:p>
        </w:tc>
        <w:tc>
          <w:tcPr>
            <w:tcW w:w="1000" w:type="dxa"/>
            <w:vAlign w:val="bottom"/>
          </w:tcPr>
          <w:p>
            <w:pPr>
              <w:jc w:val="center"/>
              <w:spacing w:after="0"/>
              <w:rPr>
                <w:sz w:val="20"/>
                <w:szCs w:val="20"/>
                <w:color w:val="auto"/>
              </w:rPr>
            </w:pPr>
            <w:r>
              <w:rPr>
                <w:rFonts w:ascii="Arial" w:cs="Arial" w:eastAsia="Arial" w:hAnsi="Arial"/>
                <w:sz w:val="14"/>
                <w:szCs w:val="14"/>
                <w:color w:val="auto"/>
              </w:rPr>
              <w:t>212</w:t>
            </w:r>
          </w:p>
        </w:tc>
        <w:tc>
          <w:tcPr>
            <w:tcW w:w="1040" w:type="dxa"/>
            <w:vAlign w:val="bottom"/>
          </w:tcPr>
          <w:p>
            <w:pPr>
              <w:jc w:val="center"/>
              <w:spacing w:after="0"/>
              <w:rPr>
                <w:sz w:val="20"/>
                <w:szCs w:val="20"/>
                <w:color w:val="auto"/>
              </w:rPr>
            </w:pPr>
            <w:r>
              <w:rPr>
                <w:rFonts w:ascii="Arial" w:cs="Arial" w:eastAsia="Arial" w:hAnsi="Arial"/>
                <w:sz w:val="14"/>
                <w:szCs w:val="14"/>
                <w:color w:val="auto"/>
              </w:rPr>
              <w:t>283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318</w:t>
            </w:r>
          </w:p>
        </w:tc>
        <w:tc>
          <w:tcPr>
            <w:tcW w:w="980" w:type="dxa"/>
            <w:vAlign w:val="bottom"/>
          </w:tcPr>
          <w:p>
            <w:pPr>
              <w:jc w:val="center"/>
              <w:spacing w:after="0"/>
              <w:rPr>
                <w:sz w:val="20"/>
                <w:szCs w:val="20"/>
                <w:color w:val="auto"/>
              </w:rPr>
            </w:pPr>
            <w:r>
              <w:rPr>
                <w:rFonts w:ascii="Arial" w:cs="Arial" w:eastAsia="Arial" w:hAnsi="Arial"/>
                <w:sz w:val="14"/>
                <w:szCs w:val="14"/>
                <w:color w:val="auto"/>
              </w:rPr>
              <w:t>12.3%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50.2%</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674</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1,088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(millions)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 Transactions / MAU</w:t>
            </w:r>
          </w:p>
        </w:tc>
        <w:tc>
          <w:tcPr>
            <w:tcW w:w="1000" w:type="dxa"/>
            <w:vAlign w:val="bottom"/>
          </w:tcPr>
          <w:p>
            <w:pPr>
              <w:jc w:val="center"/>
              <w:spacing w:after="0"/>
              <w:rPr>
                <w:sz w:val="20"/>
                <w:szCs w:val="20"/>
                <w:color w:val="auto"/>
              </w:rPr>
            </w:pPr>
            <w:r>
              <w:rPr>
                <w:rFonts w:ascii="Arial" w:cs="Arial" w:eastAsia="Arial" w:hAnsi="Arial"/>
                <w:sz w:val="14"/>
                <w:szCs w:val="14"/>
                <w:color w:val="auto"/>
              </w:rPr>
              <w:t>51</w:t>
            </w:r>
          </w:p>
        </w:tc>
        <w:tc>
          <w:tcPr>
            <w:tcW w:w="1040" w:type="dxa"/>
            <w:vAlign w:val="bottom"/>
          </w:tcPr>
          <w:p>
            <w:pPr>
              <w:jc w:val="center"/>
              <w:spacing w:after="0"/>
              <w:rPr>
                <w:sz w:val="20"/>
                <w:szCs w:val="20"/>
                <w:color w:val="auto"/>
              </w:rPr>
            </w:pPr>
            <w:r>
              <w:rPr>
                <w:rFonts w:ascii="Arial" w:cs="Arial" w:eastAsia="Arial" w:hAnsi="Arial"/>
                <w:sz w:val="14"/>
                <w:szCs w:val="14"/>
                <w:color w:val="auto"/>
              </w:rPr>
              <w:t>58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66</w:t>
            </w:r>
          </w:p>
        </w:tc>
        <w:tc>
          <w:tcPr>
            <w:tcW w:w="980" w:type="dxa"/>
            <w:vAlign w:val="bottom"/>
          </w:tcPr>
          <w:p>
            <w:pPr>
              <w:jc w:val="center"/>
              <w:spacing w:after="0"/>
              <w:rPr>
                <w:sz w:val="20"/>
                <w:szCs w:val="20"/>
                <w:color w:val="auto"/>
              </w:rPr>
            </w:pPr>
            <w:r>
              <w:rPr>
                <w:rFonts w:ascii="Arial" w:cs="Arial" w:eastAsia="Arial" w:hAnsi="Arial"/>
                <w:sz w:val="14"/>
                <w:szCs w:val="14"/>
                <w:color w:val="auto"/>
              </w:rPr>
              <w:t>13.7%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30.4%</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51</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 Average Functionalities / MAU</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2.8</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11.4%</w:t>
            </w:r>
          </w:p>
        </w:tc>
        <w:tc>
          <w:tcPr>
            <w:tcW w:w="7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2.6</w:t>
            </w:r>
          </w:p>
        </w:tc>
        <w:tc>
          <w:tcPr>
            <w:tcW w:w="12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rPr>
              <w:t>2.8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28"/>
        </w:trPr>
        <w:tc>
          <w:tcPr>
            <w:tcW w:w="2720" w:type="dxa"/>
            <w:vAlign w:val="bottom"/>
            <w:tcBorders>
              <w:left w:val="single" w:sz="8" w:color="auto"/>
              <w:right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Experience</w:t>
            </w: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bottom w:val="single" w:sz="8" w:color="auto"/>
              <w:right w:val="single" w:sz="8" w:color="auto"/>
            </w:tcBorders>
          </w:tcPr>
          <w:p>
            <w:pPr>
              <w:spacing w:after="0" w:line="189" w:lineRule="exact"/>
              <w:rPr>
                <w:sz w:val="20"/>
                <w:szCs w:val="20"/>
                <w:color w:val="auto"/>
              </w:rPr>
            </w:pPr>
            <w:r>
              <w:rPr>
                <w:rFonts w:ascii="Arial" w:cs="Arial" w:eastAsia="Arial" w:hAnsi="Arial"/>
                <w:sz w:val="13"/>
                <w:szCs w:val="13"/>
                <w:color w:val="auto"/>
              </w:rPr>
              <w:t xml:space="preserve">NPS </w:t>
            </w:r>
            <w:r>
              <w:rPr>
                <w:rFonts w:ascii="Arial" w:cs="Arial" w:eastAsia="Arial" w:hAnsi="Arial"/>
                <w:sz w:val="21"/>
                <w:szCs w:val="21"/>
                <w:color w:val="auto"/>
                <w:vertAlign w:val="superscript"/>
              </w:rPr>
              <w:t>(3)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76</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 p</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 p</w:t>
            </w:r>
          </w:p>
        </w:tc>
        <w:tc>
          <w:tcPr>
            <w:tcW w:w="7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79</w:t>
            </w:r>
          </w:p>
        </w:tc>
        <w:tc>
          <w:tcPr>
            <w:tcW w:w="12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rPr>
              <w:t>81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 p</w:t>
            </w:r>
          </w:p>
        </w:tc>
        <w:tc>
          <w:tcPr>
            <w:tcW w:w="0" w:type="dxa"/>
            <w:vAlign w:val="bottom"/>
          </w:tcPr>
          <w:p>
            <w:pPr>
              <w:spacing w:after="0"/>
              <w:rPr>
                <w:sz w:val="1"/>
                <w:szCs w:val="1"/>
                <w:color w:val="auto"/>
              </w:rPr>
            </w:pPr>
          </w:p>
        </w:tc>
      </w:tr>
      <w:tr>
        <w:trPr>
          <w:trHeight w:val="128"/>
        </w:trPr>
        <w:tc>
          <w:tcPr>
            <w:tcW w:w="2720" w:type="dxa"/>
            <w:vAlign w:val="bottom"/>
            <w:tcBorders>
              <w:left w:val="single" w:sz="8" w:color="auto"/>
              <w:right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Unit Economics</w:t>
            </w: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3"/>
                <w:szCs w:val="13"/>
                <w:b w:val="1"/>
                <w:bCs w:val="1"/>
                <w:color w:val="auto"/>
              </w:rPr>
              <w:t xml:space="preserve">Monthly Indicators </w:t>
            </w:r>
            <w:r>
              <w:rPr>
                <w:rFonts w:ascii="Arial" w:cs="Arial" w:eastAsia="Arial" w:hAnsi="Arial"/>
                <w:sz w:val="20"/>
                <w:szCs w:val="20"/>
                <w:b w:val="1"/>
                <w:bCs w:val="1"/>
                <w:color w:val="auto"/>
                <w:vertAlign w:val="superscript"/>
              </w:rPr>
              <w:t>(4)</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Revenues / MAU (S/)</w:t>
            </w:r>
          </w:p>
        </w:tc>
        <w:tc>
          <w:tcPr>
            <w:tcW w:w="1000" w:type="dxa"/>
            <w:vAlign w:val="bottom"/>
          </w:tcPr>
          <w:p>
            <w:pPr>
              <w:jc w:val="center"/>
              <w:spacing w:after="0"/>
              <w:rPr>
                <w:sz w:val="20"/>
                <w:szCs w:val="20"/>
                <w:color w:val="auto"/>
              </w:rPr>
            </w:pPr>
            <w:r>
              <w:rPr>
                <w:rFonts w:ascii="Arial" w:cs="Arial" w:eastAsia="Arial" w:hAnsi="Arial"/>
                <w:sz w:val="14"/>
                <w:szCs w:val="14"/>
                <w:color w:val="auto"/>
              </w:rPr>
              <w:t>6.1</w:t>
            </w:r>
          </w:p>
        </w:tc>
        <w:tc>
          <w:tcPr>
            <w:tcW w:w="1040" w:type="dxa"/>
            <w:vAlign w:val="bottom"/>
          </w:tcPr>
          <w:p>
            <w:pPr>
              <w:jc w:val="center"/>
              <w:spacing w:after="0"/>
              <w:rPr>
                <w:sz w:val="20"/>
                <w:szCs w:val="20"/>
                <w:color w:val="auto"/>
              </w:rPr>
            </w:pPr>
            <w:r>
              <w:rPr>
                <w:rFonts w:ascii="Arial" w:cs="Arial" w:eastAsia="Arial" w:hAnsi="Arial"/>
                <w:sz w:val="14"/>
                <w:szCs w:val="14"/>
                <w:color w:val="auto"/>
              </w:rPr>
              <w:t>7.4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w:t>
            </w:r>
          </w:p>
        </w:tc>
        <w:tc>
          <w:tcPr>
            <w:tcW w:w="980" w:type="dxa"/>
            <w:vAlign w:val="bottom"/>
          </w:tcPr>
          <w:p>
            <w:pPr>
              <w:jc w:val="center"/>
              <w:spacing w:after="0"/>
              <w:rPr>
                <w:sz w:val="20"/>
                <w:szCs w:val="20"/>
                <w:color w:val="auto"/>
              </w:rPr>
            </w:pPr>
            <w:r>
              <w:rPr>
                <w:rFonts w:ascii="Arial" w:cs="Arial" w:eastAsia="Arial" w:hAnsi="Arial"/>
                <w:sz w:val="14"/>
                <w:szCs w:val="14"/>
                <w:color w:val="auto"/>
              </w:rPr>
              <w:t>29.5%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56.2%</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6.1</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9.6</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Expenses / MAU (S/)</w:t>
            </w:r>
          </w:p>
        </w:tc>
        <w:tc>
          <w:tcPr>
            <w:tcW w:w="1000" w:type="dxa"/>
            <w:vAlign w:val="bottom"/>
          </w:tcPr>
          <w:p>
            <w:pPr>
              <w:jc w:val="center"/>
              <w:spacing w:after="0"/>
              <w:rPr>
                <w:sz w:val="20"/>
                <w:szCs w:val="20"/>
                <w:color w:val="auto"/>
              </w:rPr>
            </w:pPr>
            <w:r>
              <w:rPr>
                <w:rFonts w:ascii="Arial" w:cs="Arial" w:eastAsia="Arial" w:hAnsi="Arial"/>
                <w:sz w:val="14"/>
                <w:szCs w:val="14"/>
                <w:color w:val="auto"/>
              </w:rPr>
              <w:t>-5.0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980" w:type="dxa"/>
            <w:vAlign w:val="bottom"/>
          </w:tcPr>
          <w:p>
            <w:pPr>
              <w:jc w:val="center"/>
              <w:spacing w:after="0"/>
              <w:rPr>
                <w:sz w:val="20"/>
                <w:szCs w:val="20"/>
                <w:color w:val="auto"/>
              </w:rPr>
            </w:pPr>
            <w:r>
              <w:rPr>
                <w:rFonts w:ascii="Arial" w:cs="Arial" w:eastAsia="Arial" w:hAnsi="Arial"/>
                <w:sz w:val="14"/>
                <w:szCs w:val="14"/>
                <w:color w:val="auto"/>
              </w:rPr>
              <w:t>21.0%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21.7%</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w w:val="99"/>
              </w:rPr>
              <w:t>-5.0</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w w:val="99"/>
              </w:rPr>
              <w:t>-6.1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3"/>
                <w:szCs w:val="13"/>
                <w:b w:val="1"/>
                <w:bCs w:val="1"/>
                <w:color w:val="auto"/>
              </w:rPr>
              <w:t xml:space="preserve">Quarterly Indicators </w:t>
            </w:r>
            <w:r>
              <w:rPr>
                <w:rFonts w:ascii="Arial" w:cs="Arial" w:eastAsia="Arial" w:hAnsi="Arial"/>
                <w:sz w:val="20"/>
                <w:szCs w:val="20"/>
                <w:b w:val="1"/>
                <w:bCs w:val="1"/>
                <w:color w:val="auto"/>
                <w:vertAlign w:val="superscript"/>
              </w:rPr>
              <w:t>(5)</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Revenues / MAU (S/)</w:t>
            </w:r>
          </w:p>
        </w:tc>
        <w:tc>
          <w:tcPr>
            <w:tcW w:w="1000" w:type="dxa"/>
            <w:vAlign w:val="bottom"/>
          </w:tcPr>
          <w:p>
            <w:pPr>
              <w:jc w:val="center"/>
              <w:spacing w:after="0"/>
              <w:rPr>
                <w:sz w:val="20"/>
                <w:szCs w:val="20"/>
                <w:color w:val="auto"/>
              </w:rPr>
            </w:pPr>
            <w:r>
              <w:rPr>
                <w:rFonts w:ascii="Arial" w:cs="Arial" w:eastAsia="Arial" w:hAnsi="Arial"/>
                <w:sz w:val="14"/>
                <w:szCs w:val="14"/>
                <w:color w:val="auto"/>
              </w:rPr>
              <w:t>5.4</w:t>
            </w:r>
          </w:p>
        </w:tc>
        <w:tc>
          <w:tcPr>
            <w:tcW w:w="1040" w:type="dxa"/>
            <w:vAlign w:val="bottom"/>
          </w:tcPr>
          <w:p>
            <w:pPr>
              <w:jc w:val="center"/>
              <w:spacing w:after="0"/>
              <w:rPr>
                <w:sz w:val="20"/>
                <w:szCs w:val="20"/>
                <w:color w:val="auto"/>
              </w:rPr>
            </w:pPr>
            <w:r>
              <w:rPr>
                <w:rFonts w:ascii="Arial" w:cs="Arial" w:eastAsia="Arial" w:hAnsi="Arial"/>
                <w:sz w:val="14"/>
                <w:szCs w:val="14"/>
                <w:color w:val="auto"/>
              </w:rPr>
              <w:t>7.4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8.5</w:t>
            </w:r>
          </w:p>
        </w:tc>
        <w:tc>
          <w:tcPr>
            <w:tcW w:w="980" w:type="dxa"/>
            <w:vAlign w:val="bottom"/>
          </w:tcPr>
          <w:p>
            <w:pPr>
              <w:jc w:val="center"/>
              <w:spacing w:after="0"/>
              <w:rPr>
                <w:sz w:val="20"/>
                <w:szCs w:val="20"/>
                <w:color w:val="auto"/>
              </w:rPr>
            </w:pPr>
            <w:r>
              <w:rPr>
                <w:rFonts w:ascii="Arial" w:cs="Arial" w:eastAsia="Arial" w:hAnsi="Arial"/>
                <w:sz w:val="14"/>
                <w:szCs w:val="14"/>
                <w:color w:val="auto"/>
              </w:rPr>
              <w:t>14.0%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57.5%</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4.3</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7.0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Expenses / MAU (S/)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-4.8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17.0%</w:t>
            </w:r>
          </w:p>
        </w:tc>
        <w:tc>
          <w:tcPr>
            <w:tcW w:w="7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9"/>
              </w:rPr>
              <w:t>-4.2</w:t>
            </w:r>
          </w:p>
        </w:tc>
        <w:tc>
          <w:tcPr>
            <w:tcW w:w="12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99"/>
              </w:rPr>
              <w:t>-4.8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28"/>
        </w:trPr>
        <w:tc>
          <w:tcPr>
            <w:tcW w:w="2720" w:type="dxa"/>
            <w:vAlign w:val="bottom"/>
            <w:tcBorders>
              <w:left w:val="single" w:sz="8" w:color="auto"/>
              <w:right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Drivers Monetization</w:t>
            </w: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720" w:type="dxa"/>
            <w:vAlign w:val="bottom"/>
            <w:tcBorders>
              <w:left w:val="single" w:sz="8" w:color="auto"/>
              <w:right w:val="single" w:sz="8" w:color="auto"/>
            </w:tcBorders>
          </w:tcPr>
          <w:p>
            <w:pPr>
              <w:spacing w:after="0" w:line="201" w:lineRule="exact"/>
              <w:rPr>
                <w:sz w:val="20"/>
                <w:szCs w:val="20"/>
                <w:color w:val="auto"/>
              </w:rPr>
            </w:pPr>
            <w:r>
              <w:rPr>
                <w:rFonts w:ascii="Arial" w:cs="Arial" w:eastAsia="Arial" w:hAnsi="Arial"/>
                <w:sz w:val="14"/>
                <w:szCs w:val="14"/>
                <w:color w:val="auto"/>
              </w:rPr>
              <w:t xml:space="preserve">Total TPV (S/, billions) </w:t>
            </w:r>
            <w:r>
              <w:rPr>
                <w:rFonts w:ascii="Arial" w:cs="Arial" w:eastAsia="Arial" w:hAnsi="Arial"/>
                <w:sz w:val="23"/>
                <w:szCs w:val="23"/>
                <w:color w:val="auto"/>
                <w:vertAlign w:val="superscript"/>
              </w:rPr>
              <w:t>(6)</w:t>
            </w:r>
          </w:p>
        </w:tc>
        <w:tc>
          <w:tcPr>
            <w:tcW w:w="1000" w:type="dxa"/>
            <w:vAlign w:val="bottom"/>
          </w:tcPr>
          <w:p>
            <w:pPr>
              <w:jc w:val="center"/>
              <w:spacing w:after="0"/>
              <w:rPr>
                <w:sz w:val="20"/>
                <w:szCs w:val="20"/>
                <w:color w:val="auto"/>
              </w:rPr>
            </w:pPr>
            <w:r>
              <w:rPr>
                <w:rFonts w:ascii="Arial" w:cs="Arial" w:eastAsia="Arial" w:hAnsi="Arial"/>
                <w:sz w:val="14"/>
                <w:szCs w:val="14"/>
                <w:color w:val="auto"/>
              </w:rPr>
              <w:t>90.3</w:t>
            </w:r>
          </w:p>
        </w:tc>
        <w:tc>
          <w:tcPr>
            <w:tcW w:w="1040" w:type="dxa"/>
            <w:vAlign w:val="bottom"/>
          </w:tcPr>
          <w:p>
            <w:pPr>
              <w:jc w:val="center"/>
              <w:spacing w:after="0"/>
              <w:rPr>
                <w:sz w:val="20"/>
                <w:szCs w:val="20"/>
                <w:color w:val="auto"/>
              </w:rPr>
            </w:pPr>
            <w:r>
              <w:rPr>
                <w:rFonts w:ascii="Arial" w:cs="Arial" w:eastAsia="Arial" w:hAnsi="Arial"/>
                <w:sz w:val="14"/>
                <w:szCs w:val="14"/>
                <w:color w:val="auto"/>
              </w:rPr>
              <w:t>113.9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128.9</w:t>
            </w:r>
          </w:p>
        </w:tc>
        <w:tc>
          <w:tcPr>
            <w:tcW w:w="980" w:type="dxa"/>
            <w:vAlign w:val="bottom"/>
          </w:tcPr>
          <w:p>
            <w:pPr>
              <w:jc w:val="center"/>
              <w:spacing w:after="0"/>
              <w:rPr>
                <w:sz w:val="20"/>
                <w:szCs w:val="20"/>
                <w:color w:val="auto"/>
              </w:rPr>
            </w:pPr>
            <w:r>
              <w:rPr>
                <w:rFonts w:ascii="Arial" w:cs="Arial" w:eastAsia="Arial" w:hAnsi="Arial"/>
                <w:sz w:val="14"/>
                <w:szCs w:val="14"/>
                <w:color w:val="auto"/>
              </w:rPr>
              <w:t>13.2%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42.8%</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279.8</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437.7</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02"/>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Payments</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 Bill Payments transactions (millions)</w:t>
            </w:r>
          </w:p>
        </w:tc>
        <w:tc>
          <w:tcPr>
            <w:tcW w:w="1000" w:type="dxa"/>
            <w:vAlign w:val="bottom"/>
          </w:tcPr>
          <w:p>
            <w:pPr>
              <w:jc w:val="center"/>
              <w:spacing w:after="0"/>
              <w:rPr>
                <w:sz w:val="20"/>
                <w:szCs w:val="20"/>
                <w:color w:val="auto"/>
              </w:rPr>
            </w:pPr>
            <w:r>
              <w:rPr>
                <w:rFonts w:ascii="Arial" w:cs="Arial" w:eastAsia="Arial" w:hAnsi="Arial"/>
                <w:sz w:val="14"/>
                <w:szCs w:val="14"/>
                <w:color w:val="auto"/>
              </w:rPr>
              <w:t>40</w:t>
            </w:r>
          </w:p>
        </w:tc>
        <w:tc>
          <w:tcPr>
            <w:tcW w:w="1040" w:type="dxa"/>
            <w:vAlign w:val="bottom"/>
          </w:tcPr>
          <w:p>
            <w:pPr>
              <w:jc w:val="center"/>
              <w:spacing w:after="0"/>
              <w:rPr>
                <w:sz w:val="20"/>
                <w:szCs w:val="20"/>
                <w:color w:val="auto"/>
              </w:rPr>
            </w:pPr>
            <w:r>
              <w:rPr>
                <w:rFonts w:ascii="Arial" w:cs="Arial" w:eastAsia="Arial" w:hAnsi="Arial"/>
                <w:sz w:val="14"/>
                <w:szCs w:val="14"/>
                <w:color w:val="auto"/>
              </w:rPr>
              <w:t>56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980" w:type="dxa"/>
            <w:vAlign w:val="bottom"/>
          </w:tcPr>
          <w:p>
            <w:pPr>
              <w:jc w:val="center"/>
              <w:spacing w:after="0"/>
              <w:rPr>
                <w:sz w:val="20"/>
                <w:szCs w:val="20"/>
                <w:color w:val="auto"/>
              </w:rPr>
            </w:pPr>
            <w:r>
              <w:rPr>
                <w:rFonts w:ascii="Arial" w:cs="Arial" w:eastAsia="Arial" w:hAnsi="Arial"/>
                <w:sz w:val="14"/>
                <w:szCs w:val="14"/>
                <w:color w:val="auto"/>
              </w:rPr>
              <w:t>9.2%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51.5%</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127</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213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64"/>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Financials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 Loans Disbursements (thousands)</w:t>
            </w:r>
          </w:p>
        </w:tc>
        <w:tc>
          <w:tcPr>
            <w:tcW w:w="1000" w:type="dxa"/>
            <w:vAlign w:val="bottom"/>
          </w:tcPr>
          <w:p>
            <w:pPr>
              <w:jc w:val="center"/>
              <w:spacing w:after="0"/>
              <w:rPr>
                <w:sz w:val="20"/>
                <w:szCs w:val="20"/>
                <w:color w:val="auto"/>
              </w:rPr>
            </w:pPr>
            <w:r>
              <w:rPr>
                <w:rFonts w:ascii="Arial" w:cs="Arial" w:eastAsia="Arial" w:hAnsi="Arial"/>
                <w:sz w:val="14"/>
                <w:szCs w:val="14"/>
                <w:color w:val="auto"/>
              </w:rPr>
              <w:t>2,145</w:t>
            </w:r>
          </w:p>
        </w:tc>
        <w:tc>
          <w:tcPr>
            <w:tcW w:w="1040" w:type="dxa"/>
            <w:vAlign w:val="bottom"/>
          </w:tcPr>
          <w:p>
            <w:pPr>
              <w:jc w:val="center"/>
              <w:spacing w:after="0"/>
              <w:rPr>
                <w:sz w:val="20"/>
                <w:szCs w:val="20"/>
                <w:color w:val="auto"/>
              </w:rPr>
            </w:pPr>
            <w:r>
              <w:rPr>
                <w:rFonts w:ascii="Arial" w:cs="Arial" w:eastAsia="Arial" w:hAnsi="Arial"/>
                <w:sz w:val="14"/>
                <w:szCs w:val="14"/>
                <w:color w:val="auto"/>
              </w:rPr>
              <w:t>4,196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5,118</w:t>
            </w:r>
          </w:p>
        </w:tc>
        <w:tc>
          <w:tcPr>
            <w:tcW w:w="980" w:type="dxa"/>
            <w:vAlign w:val="bottom"/>
          </w:tcPr>
          <w:p>
            <w:pPr>
              <w:jc w:val="center"/>
              <w:spacing w:after="0"/>
              <w:rPr>
                <w:sz w:val="20"/>
                <w:szCs w:val="20"/>
                <w:color w:val="auto"/>
              </w:rPr>
            </w:pPr>
            <w:r>
              <w:rPr>
                <w:rFonts w:ascii="Arial" w:cs="Arial" w:eastAsia="Arial" w:hAnsi="Arial"/>
                <w:sz w:val="14"/>
                <w:szCs w:val="14"/>
                <w:color w:val="auto"/>
              </w:rPr>
              <w:t>22.0%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138.6%</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rPr>
              <w:t>4,705</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16,269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150"/>
        </w:trPr>
        <w:tc>
          <w:tcPr>
            <w:tcW w:w="2720" w:type="dxa"/>
            <w:vAlign w:val="bottom"/>
            <w:tcBorders>
              <w:left w:val="single" w:sz="8" w:color="auto"/>
              <w:right w:val="single" w:sz="8" w:color="auto"/>
            </w:tcBorders>
          </w:tcPr>
          <w:p>
            <w:pPr>
              <w:spacing w:after="0" w:line="150" w:lineRule="exact"/>
              <w:rPr>
                <w:sz w:val="20"/>
                <w:szCs w:val="20"/>
                <w:color w:val="auto"/>
              </w:rPr>
            </w:pPr>
            <w:r>
              <w:rPr>
                <w:rFonts w:ascii="Arial" w:cs="Arial" w:eastAsia="Arial" w:hAnsi="Arial"/>
                <w:sz w:val="14"/>
                <w:szCs w:val="14"/>
                <w:b w:val="1"/>
                <w:bCs w:val="1"/>
                <w:color w:val="auto"/>
              </w:rPr>
              <w:t>E-Commerce</w:t>
            </w: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bottom w:val="single" w:sz="8" w:color="auto"/>
              <w:right w:val="single" w:sz="8" w:color="auto"/>
            </w:tcBorders>
          </w:tcPr>
          <w:p>
            <w:pPr>
              <w:spacing w:after="0" w:line="216" w:lineRule="exact"/>
              <w:rPr>
                <w:sz w:val="20"/>
                <w:szCs w:val="20"/>
                <w:color w:val="auto"/>
              </w:rPr>
            </w:pPr>
            <w:r>
              <w:rPr>
                <w:rFonts w:ascii="Arial" w:cs="Arial" w:eastAsia="Arial" w:hAnsi="Arial"/>
                <w:sz w:val="14"/>
                <w:szCs w:val="14"/>
                <w:color w:val="auto"/>
              </w:rPr>
              <w:t xml:space="preserve">GMV (S/, millions) </w:t>
            </w:r>
            <w:r>
              <w:rPr>
                <w:rFonts w:ascii="Arial" w:cs="Arial" w:eastAsia="Arial" w:hAnsi="Arial"/>
                <w:sz w:val="23"/>
                <w:szCs w:val="23"/>
                <w:color w:val="auto"/>
                <w:vertAlign w:val="superscript"/>
              </w:rPr>
              <w:t>(7)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120.3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174.1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181.6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50.9%</w:t>
            </w:r>
          </w:p>
        </w:tc>
        <w:tc>
          <w:tcPr>
            <w:tcW w:w="7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364.5</w:t>
            </w:r>
          </w:p>
        </w:tc>
        <w:tc>
          <w:tcPr>
            <w:tcW w:w="12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rPr>
              <w:t>607.7</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67" w:hanging="167"/>
        <w:spacing w:after="0"/>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Management Figures. Figures may differ from previously reported.</w:t>
      </w:r>
    </w:p>
    <w:p>
      <w:pPr>
        <w:spacing w:after="0" w:line="11" w:lineRule="exact"/>
        <w:rPr>
          <w:rFonts w:ascii="Arial" w:cs="Arial" w:eastAsia="Arial" w:hAnsi="Arial"/>
          <w:sz w:val="12"/>
          <w:szCs w:val="12"/>
          <w:color w:val="auto"/>
        </w:rPr>
      </w:pPr>
    </w:p>
    <w:p>
      <w:pPr>
        <w:ind w:left="167" w:hanging="167"/>
        <w:spacing w:after="0" w:line="234" w:lineRule="auto"/>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Yape users that have made at least one outgoing transaction in the measurement month.</w:t>
      </w:r>
    </w:p>
    <w:p>
      <w:pPr>
        <w:ind w:left="167" w:hanging="167"/>
        <w:spacing w:after="0" w:line="234" w:lineRule="auto"/>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Net Promoter Score.</w:t>
      </w:r>
    </w:p>
    <w:p>
      <w:pPr>
        <w:ind w:left="167" w:hanging="167"/>
        <w:spacing w:after="0" w:line="234" w:lineRule="auto"/>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Monthly indicators consider the results of the last month of the quarter for the numerator and denominator.</w:t>
      </w:r>
    </w:p>
    <w:p>
      <w:pPr>
        <w:ind w:left="7" w:right="160" w:hanging="7"/>
        <w:spacing w:after="0" w:line="234" w:lineRule="auto"/>
        <w:tabs>
          <w:tab w:leader="none" w:pos="182" w:val="left"/>
        </w:tabs>
        <w:numPr>
          <w:ilvl w:val="0"/>
          <w:numId w:val="6"/>
        </w:numPr>
        <w:rPr>
          <w:rFonts w:ascii="Arial" w:cs="Arial" w:eastAsia="Arial" w:hAnsi="Arial"/>
          <w:sz w:val="12"/>
          <w:szCs w:val="12"/>
          <w:color w:val="auto"/>
        </w:rPr>
      </w:pPr>
      <w:r>
        <w:rPr>
          <w:rFonts w:ascii="Arial" w:cs="Arial" w:eastAsia="Arial" w:hAnsi="Arial"/>
          <w:sz w:val="12"/>
          <w:szCs w:val="12"/>
          <w:color w:val="auto"/>
        </w:rPr>
        <w:t>Quarterly indicators are calculated using the sum of the three months in the period for numerator accounts, and the average of the denominator—based on the last month’s data from both the current and previous quarters.</w:t>
      </w:r>
    </w:p>
    <w:p>
      <w:pPr>
        <w:ind w:left="167" w:hanging="167"/>
        <w:spacing w:after="0" w:line="234" w:lineRule="auto"/>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Payment Volume.</w:t>
      </w:r>
    </w:p>
    <w:p>
      <w:pPr>
        <w:ind w:left="167" w:hanging="167"/>
        <w:spacing w:after="0"/>
        <w:tabs>
          <w:tab w:leader="none" w:pos="167" w:val="left"/>
        </w:tabs>
        <w:numPr>
          <w:ilvl w:val="0"/>
          <w:numId w:val="6"/>
        </w:numPr>
        <w:rPr>
          <w:rFonts w:ascii="Arial" w:cs="Arial" w:eastAsia="Arial" w:hAnsi="Arial"/>
          <w:sz w:val="12"/>
          <w:szCs w:val="12"/>
          <w:color w:val="auto"/>
        </w:rPr>
      </w:pPr>
      <w:r>
        <w:rPr>
          <w:rFonts w:ascii="Arial" w:cs="Arial" w:eastAsia="Arial" w:hAnsi="Arial"/>
          <w:sz w:val="12"/>
          <w:szCs w:val="12"/>
          <w:color w:val="auto"/>
        </w:rPr>
        <w:t>Gross Merchant Volume, includes the following functionalities: Yape Promos, Yape Store, Ticketing, Gaming, Delivery, Buses, Insurance, Gas, Brand Solutions and Insurance.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Main Financial Results</w:t>
      </w:r>
    </w:p>
    <w:p>
      <w:pPr>
        <w:spacing w:after="0" w:line="189" w:lineRule="exact"/>
        <w:rPr>
          <w:sz w:val="20"/>
          <w:szCs w:val="20"/>
          <w:color w:val="auto"/>
        </w:rPr>
      </w:pPr>
    </w:p>
    <w:tbl>
      <w:tblPr>
        <w:tblLayout w:type="fixed"/>
        <w:tblInd w:w="17" w:type="dxa"/>
        <w:tblCellMar>
          <w:top w:w="0" w:type="dxa"/>
          <w:left w:w="0" w:type="dxa"/>
          <w:bottom w:w="0" w:type="dxa"/>
          <w:right w:w="0" w:type="dxa"/>
        </w:tblCellMar>
      </w:tblPr>
      <w:tr>
        <w:trPr>
          <w:trHeight w:val="176"/>
        </w:trPr>
        <w:tc>
          <w:tcPr>
            <w:tcW w:w="2720" w:type="dxa"/>
            <w:vAlign w:val="bottom"/>
            <w:tcBorders>
              <w:top w:val="single" w:sz="8" w:color="auto"/>
              <w:left w:val="single" w:sz="8" w:color="auto"/>
              <w:right w:val="single" w:sz="8" w:color="auto"/>
            </w:tcBorders>
            <w:shd w:val="clear" w:color="auto" w:fill="33CCCC"/>
          </w:tcPr>
          <w:p>
            <w:pPr>
              <w:spacing w:after="0" w:line="176" w:lineRule="exact"/>
              <w:rPr>
                <w:sz w:val="20"/>
                <w:szCs w:val="20"/>
                <w:color w:val="auto"/>
              </w:rPr>
            </w:pPr>
            <w:r>
              <w:rPr>
                <w:rFonts w:ascii="Arial" w:cs="Arial" w:eastAsia="Arial" w:hAnsi="Arial"/>
                <w:sz w:val="13"/>
                <w:szCs w:val="13"/>
                <w:b w:val="1"/>
                <w:bCs w:val="1"/>
                <w:color w:val="FFFFFF"/>
              </w:rPr>
              <w:t xml:space="preserve">Financial Results </w:t>
            </w:r>
            <w:r>
              <w:rPr>
                <w:rFonts w:ascii="Arial" w:cs="Arial" w:eastAsia="Arial" w:hAnsi="Arial"/>
                <w:sz w:val="20"/>
                <w:szCs w:val="20"/>
                <w:b w:val="1"/>
                <w:bCs w:val="1"/>
                <w:color w:val="FFFFFF"/>
                <w:vertAlign w:val="superscript"/>
              </w:rPr>
              <w:t>(1)</w:t>
            </w:r>
          </w:p>
        </w:tc>
        <w:tc>
          <w:tcPr>
            <w:tcW w:w="840" w:type="dxa"/>
            <w:vAlign w:val="bottom"/>
            <w:tcBorders>
              <w:top w:val="single" w:sz="8" w:color="auto"/>
            </w:tcBorders>
            <w:shd w:val="clear" w:color="auto" w:fill="33CCCC"/>
          </w:tcPr>
          <w:p>
            <w:pPr>
              <w:spacing w:after="0"/>
              <w:rPr>
                <w:sz w:val="15"/>
                <w:szCs w:val="15"/>
                <w:color w:val="auto"/>
              </w:rPr>
            </w:pPr>
          </w:p>
        </w:tc>
        <w:tc>
          <w:tcPr>
            <w:tcW w:w="1160" w:type="dxa"/>
            <w:vAlign w:val="bottom"/>
            <w:tcBorders>
              <w:top w:val="single" w:sz="8" w:color="auto"/>
            </w:tcBorders>
            <w:shd w:val="clear" w:color="auto" w:fill="33CCCC"/>
          </w:tcPr>
          <w:p>
            <w:pPr>
              <w:ind w:left="160"/>
              <w:spacing w:after="0"/>
              <w:rPr>
                <w:sz w:val="20"/>
                <w:szCs w:val="20"/>
                <w:color w:val="auto"/>
              </w:rPr>
            </w:pPr>
            <w:r>
              <w:rPr>
                <w:rFonts w:ascii="Arial" w:cs="Arial" w:eastAsia="Arial" w:hAnsi="Arial"/>
                <w:sz w:val="14"/>
                <w:szCs w:val="14"/>
                <w:b w:val="1"/>
                <w:bCs w:val="1"/>
                <w:color w:val="FFFFFF"/>
              </w:rPr>
              <w:t>Quarter</w:t>
            </w:r>
          </w:p>
        </w:tc>
        <w:tc>
          <w:tcPr>
            <w:tcW w:w="1040" w:type="dxa"/>
            <w:vAlign w:val="bottom"/>
            <w:tcBorders>
              <w:top w:val="single" w:sz="8" w:color="auto"/>
              <w:right w:val="single" w:sz="8" w:color="auto"/>
            </w:tcBorders>
            <w:shd w:val="clear" w:color="auto" w:fill="33CCCC"/>
          </w:tcPr>
          <w:p>
            <w:pPr>
              <w:spacing w:after="0"/>
              <w:rPr>
                <w:sz w:val="15"/>
                <w:szCs w:val="15"/>
                <w:color w:val="auto"/>
              </w:rPr>
            </w:pPr>
          </w:p>
        </w:tc>
        <w:tc>
          <w:tcPr>
            <w:tcW w:w="2020" w:type="dxa"/>
            <w:vAlign w:val="bottom"/>
            <w:tcBorders>
              <w:top w:val="single" w:sz="8" w:color="auto"/>
              <w:right w:val="single" w:sz="8" w:color="auto"/>
            </w:tcBorders>
            <w:gridSpan w:val="2"/>
            <w:shd w:val="clear" w:color="auto" w:fill="33CCCC"/>
          </w:tcPr>
          <w:p>
            <w:pPr>
              <w:ind w:left="640"/>
              <w:spacing w:after="0"/>
              <w:rPr>
                <w:sz w:val="20"/>
                <w:szCs w:val="20"/>
                <w:color w:val="auto"/>
              </w:rPr>
            </w:pPr>
            <w:r>
              <w:rPr>
                <w:rFonts w:ascii="Arial" w:cs="Arial" w:eastAsia="Arial" w:hAnsi="Arial"/>
                <w:sz w:val="14"/>
                <w:szCs w:val="14"/>
                <w:b w:val="1"/>
                <w:bCs w:val="1"/>
                <w:color w:val="FFFFFF"/>
              </w:rPr>
              <w:t>Change %</w:t>
            </w:r>
          </w:p>
        </w:tc>
        <w:tc>
          <w:tcPr>
            <w:tcW w:w="780" w:type="dxa"/>
            <w:vAlign w:val="bottom"/>
            <w:tcBorders>
              <w:top w:val="single" w:sz="8" w:color="auto"/>
            </w:tcBorders>
            <w:shd w:val="clear" w:color="auto" w:fill="33CCCC"/>
          </w:tcPr>
          <w:p>
            <w:pPr>
              <w:spacing w:after="0"/>
              <w:rPr>
                <w:sz w:val="15"/>
                <w:szCs w:val="15"/>
                <w:color w:val="auto"/>
              </w:rPr>
            </w:pPr>
          </w:p>
        </w:tc>
        <w:tc>
          <w:tcPr>
            <w:tcW w:w="126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4"/>
                <w:szCs w:val="14"/>
                <w:b w:val="1"/>
                <w:bCs w:val="1"/>
                <w:color w:val="FFFFFF"/>
              </w:rPr>
              <w:t>Up to</w:t>
            </w:r>
          </w:p>
        </w:tc>
        <w:tc>
          <w:tcPr>
            <w:tcW w:w="14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Change %</w:t>
            </w:r>
          </w:p>
        </w:tc>
      </w:tr>
      <w:tr>
        <w:trPr>
          <w:trHeight w:val="162"/>
        </w:trPr>
        <w:tc>
          <w:tcPr>
            <w:tcW w:w="272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4"/>
                <w:szCs w:val="14"/>
                <w:b w:val="1"/>
                <w:bCs w:val="1"/>
                <w:color w:val="FFFFFF"/>
              </w:rPr>
              <w:t>S/ millions</w:t>
            </w:r>
          </w:p>
        </w:tc>
        <w:tc>
          <w:tcPr>
            <w:tcW w:w="840" w:type="dxa"/>
            <w:vAlign w:val="bottom"/>
            <w:tcBorders>
              <w:bottom w:val="single" w:sz="8" w:color="auto"/>
            </w:tcBorders>
            <w:shd w:val="clear" w:color="auto" w:fill="33CCCC"/>
          </w:tcPr>
          <w:p>
            <w:pPr>
              <w:jc w:val="center"/>
              <w:ind w:left="72"/>
              <w:spacing w:after="0"/>
              <w:rPr>
                <w:sz w:val="20"/>
                <w:szCs w:val="20"/>
                <w:color w:val="auto"/>
              </w:rPr>
            </w:pPr>
            <w:r>
              <w:rPr>
                <w:rFonts w:ascii="Arial" w:cs="Arial" w:eastAsia="Arial" w:hAnsi="Arial"/>
                <w:sz w:val="14"/>
                <w:szCs w:val="14"/>
                <w:b w:val="1"/>
                <w:bCs w:val="1"/>
                <w:color w:val="FFFFFF"/>
                <w:w w:val="99"/>
              </w:rPr>
              <w:t>4Q24</w:t>
            </w:r>
          </w:p>
        </w:tc>
        <w:tc>
          <w:tcPr>
            <w:tcW w:w="1160" w:type="dxa"/>
            <w:vAlign w:val="bottom"/>
            <w:tcBorders>
              <w:bottom w:val="single" w:sz="8" w:color="auto"/>
            </w:tcBorders>
            <w:shd w:val="clear" w:color="auto" w:fill="33CCCC"/>
          </w:tcPr>
          <w:p>
            <w:pPr>
              <w:jc w:val="center"/>
              <w:ind w:left="91"/>
              <w:spacing w:after="0"/>
              <w:rPr>
                <w:sz w:val="20"/>
                <w:szCs w:val="20"/>
                <w:color w:val="auto"/>
              </w:rPr>
            </w:pPr>
            <w:r>
              <w:rPr>
                <w:rFonts w:ascii="Arial" w:cs="Arial" w:eastAsia="Arial" w:hAnsi="Arial"/>
                <w:sz w:val="14"/>
                <w:szCs w:val="14"/>
                <w:b w:val="1"/>
                <w:bCs w:val="1"/>
                <w:color w:val="FFFFFF"/>
              </w:rPr>
              <w:t>3Q25</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9"/>
              </w:rPr>
              <w:t>4Q25</w:t>
            </w:r>
          </w:p>
        </w:tc>
        <w:tc>
          <w:tcPr>
            <w:tcW w:w="9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w w:val="98"/>
              </w:rPr>
              <w:t>QoQ</w:t>
            </w:r>
          </w:p>
        </w:tc>
        <w:tc>
          <w:tcPr>
            <w:tcW w:w="104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Arial" w:cs="Arial" w:eastAsia="Arial" w:hAnsi="Arial"/>
                <w:sz w:val="14"/>
                <w:szCs w:val="14"/>
                <w:b w:val="1"/>
                <w:bCs w:val="1"/>
                <w:color w:val="FFFFFF"/>
              </w:rPr>
              <w:t>YoY</w:t>
            </w:r>
          </w:p>
        </w:tc>
        <w:tc>
          <w:tcPr>
            <w:tcW w:w="78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4"/>
                <w:szCs w:val="14"/>
                <w:b w:val="1"/>
                <w:bCs w:val="1"/>
                <w:color w:val="FFFFFF"/>
              </w:rPr>
              <w:t>Dec 24</w:t>
            </w:r>
          </w:p>
        </w:tc>
        <w:tc>
          <w:tcPr>
            <w:tcW w:w="1260" w:type="dxa"/>
            <w:vAlign w:val="bottom"/>
            <w:tcBorders>
              <w:bottom w:val="single" w:sz="8" w:color="auto"/>
              <w:right w:val="single" w:sz="8" w:color="auto"/>
            </w:tcBorders>
            <w:shd w:val="clear" w:color="auto" w:fill="33CCCC"/>
          </w:tcPr>
          <w:p>
            <w:pPr>
              <w:ind w:left="500"/>
              <w:spacing w:after="0"/>
              <w:rPr>
                <w:sz w:val="20"/>
                <w:szCs w:val="20"/>
                <w:color w:val="auto"/>
              </w:rPr>
            </w:pPr>
            <w:r>
              <w:rPr>
                <w:rFonts w:ascii="Arial" w:cs="Arial" w:eastAsia="Arial" w:hAnsi="Arial"/>
                <w:sz w:val="14"/>
                <w:szCs w:val="14"/>
                <w:b w:val="1"/>
                <w:bCs w:val="1"/>
                <w:color w:val="FFFFFF"/>
              </w:rPr>
              <w:t>Dec 25</w:t>
            </w:r>
          </w:p>
        </w:tc>
        <w:tc>
          <w:tcPr>
            <w:tcW w:w="14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25 / Dec 24</w:t>
            </w:r>
          </w:p>
        </w:tc>
      </w:tr>
      <w:tr>
        <w:trPr>
          <w:trHeight w:val="142"/>
        </w:trPr>
        <w:tc>
          <w:tcPr>
            <w:tcW w:w="2720" w:type="dxa"/>
            <w:vAlign w:val="bottom"/>
            <w:tcBorders>
              <w:left w:val="single" w:sz="8" w:color="auto"/>
              <w:right w:val="single" w:sz="8" w:color="auto"/>
            </w:tcBorders>
          </w:tcPr>
          <w:p>
            <w:pPr>
              <w:spacing w:after="0" w:line="142" w:lineRule="exact"/>
              <w:rPr>
                <w:sz w:val="20"/>
                <w:szCs w:val="20"/>
                <w:color w:val="auto"/>
              </w:rPr>
            </w:pPr>
            <w:r>
              <w:rPr>
                <w:rFonts w:ascii="Arial" w:cs="Arial" w:eastAsia="Arial" w:hAnsi="Arial"/>
                <w:sz w:val="11"/>
                <w:szCs w:val="11"/>
                <w:color w:val="auto"/>
              </w:rPr>
              <w:t xml:space="preserve">Net Interest Income after Provisions </w:t>
            </w:r>
            <w:r>
              <w:rPr>
                <w:rFonts w:ascii="Arial" w:cs="Arial" w:eastAsia="Arial" w:hAnsi="Arial"/>
                <w:sz w:val="16"/>
                <w:szCs w:val="16"/>
                <w:color w:val="auto"/>
                <w:vertAlign w:val="superscript"/>
              </w:rPr>
              <w:t>(2)</w:t>
            </w:r>
          </w:p>
        </w:tc>
        <w:tc>
          <w:tcPr>
            <w:tcW w:w="840" w:type="dxa"/>
            <w:vAlign w:val="bottom"/>
          </w:tcPr>
          <w:p>
            <w:pPr>
              <w:jc w:val="center"/>
              <w:ind w:left="72"/>
              <w:spacing w:after="0" w:line="142" w:lineRule="exact"/>
              <w:rPr>
                <w:sz w:val="20"/>
                <w:szCs w:val="20"/>
                <w:color w:val="auto"/>
              </w:rPr>
            </w:pPr>
            <w:r>
              <w:rPr>
                <w:rFonts w:ascii="Arial" w:cs="Arial" w:eastAsia="Arial" w:hAnsi="Arial"/>
                <w:sz w:val="13"/>
                <w:szCs w:val="13"/>
                <w:color w:val="auto"/>
              </w:rPr>
              <w:t>88.3</w:t>
            </w:r>
          </w:p>
        </w:tc>
        <w:tc>
          <w:tcPr>
            <w:tcW w:w="1160" w:type="dxa"/>
            <w:vAlign w:val="bottom"/>
          </w:tcPr>
          <w:p>
            <w:pPr>
              <w:jc w:val="center"/>
              <w:ind w:left="111"/>
              <w:spacing w:after="0" w:line="142" w:lineRule="exact"/>
              <w:rPr>
                <w:sz w:val="20"/>
                <w:szCs w:val="20"/>
                <w:color w:val="auto"/>
              </w:rPr>
            </w:pPr>
            <w:r>
              <w:rPr>
                <w:rFonts w:ascii="Arial" w:cs="Arial" w:eastAsia="Arial" w:hAnsi="Arial"/>
                <w:sz w:val="13"/>
                <w:szCs w:val="13"/>
                <w:color w:val="auto"/>
              </w:rPr>
              <w:t>146.4</w:t>
            </w:r>
          </w:p>
        </w:tc>
        <w:tc>
          <w:tcPr>
            <w:tcW w:w="10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179.5</w:t>
            </w:r>
          </w:p>
        </w:tc>
        <w:tc>
          <w:tcPr>
            <w:tcW w:w="980" w:type="dxa"/>
            <w:vAlign w:val="bottom"/>
          </w:tcPr>
          <w:p>
            <w:pPr>
              <w:jc w:val="center"/>
              <w:spacing w:after="0" w:line="142" w:lineRule="exact"/>
              <w:rPr>
                <w:sz w:val="20"/>
                <w:szCs w:val="20"/>
                <w:color w:val="auto"/>
              </w:rPr>
            </w:pPr>
            <w:r>
              <w:rPr>
                <w:rFonts w:ascii="Arial" w:cs="Arial" w:eastAsia="Arial" w:hAnsi="Arial"/>
                <w:sz w:val="13"/>
                <w:szCs w:val="13"/>
                <w:color w:val="auto"/>
              </w:rPr>
              <w:t>22.6%</w:t>
            </w:r>
          </w:p>
        </w:tc>
        <w:tc>
          <w:tcPr>
            <w:tcW w:w="10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103.3%</w:t>
            </w:r>
          </w:p>
        </w:tc>
        <w:tc>
          <w:tcPr>
            <w:tcW w:w="780" w:type="dxa"/>
            <w:vAlign w:val="bottom"/>
          </w:tcPr>
          <w:p>
            <w:pPr>
              <w:jc w:val="center"/>
              <w:ind w:left="132"/>
              <w:spacing w:after="0" w:line="142" w:lineRule="exact"/>
              <w:rPr>
                <w:sz w:val="20"/>
                <w:szCs w:val="20"/>
                <w:color w:val="auto"/>
              </w:rPr>
            </w:pPr>
            <w:r>
              <w:rPr>
                <w:rFonts w:ascii="Arial" w:cs="Arial" w:eastAsia="Arial" w:hAnsi="Arial"/>
                <w:sz w:val="13"/>
                <w:szCs w:val="13"/>
                <w:color w:val="auto"/>
              </w:rPr>
              <w:t>265.3</w:t>
            </w:r>
          </w:p>
        </w:tc>
        <w:tc>
          <w:tcPr>
            <w:tcW w:w="1260" w:type="dxa"/>
            <w:vAlign w:val="bottom"/>
            <w:tcBorders>
              <w:right w:val="single" w:sz="8" w:color="auto"/>
            </w:tcBorders>
          </w:tcPr>
          <w:p>
            <w:pPr>
              <w:jc w:val="center"/>
              <w:ind w:left="131"/>
              <w:spacing w:after="0" w:line="142" w:lineRule="exact"/>
              <w:rPr>
                <w:sz w:val="20"/>
                <w:szCs w:val="20"/>
                <w:color w:val="auto"/>
              </w:rPr>
            </w:pPr>
            <w:r>
              <w:rPr>
                <w:rFonts w:ascii="Arial" w:cs="Arial" w:eastAsia="Arial" w:hAnsi="Arial"/>
                <w:sz w:val="13"/>
                <w:szCs w:val="13"/>
                <w:color w:val="auto"/>
              </w:rPr>
              <w:t>542.9</w:t>
            </w:r>
          </w:p>
        </w:tc>
        <w:tc>
          <w:tcPr>
            <w:tcW w:w="14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104.6%</w:t>
            </w:r>
          </w:p>
        </w:tc>
      </w:tr>
      <w:tr>
        <w:trPr>
          <w:trHeight w:val="203"/>
        </w:trPr>
        <w:tc>
          <w:tcPr>
            <w:tcW w:w="2720" w:type="dxa"/>
            <w:vAlign w:val="bottom"/>
            <w:tcBorders>
              <w:left w:val="single" w:sz="8" w:color="auto"/>
              <w:bottom w:val="single" w:sz="8" w:color="auto"/>
              <w:right w:val="single" w:sz="8" w:color="auto"/>
            </w:tcBorders>
          </w:tcPr>
          <w:p>
            <w:pPr>
              <w:spacing w:after="0" w:line="202" w:lineRule="exact"/>
              <w:rPr>
                <w:sz w:val="20"/>
                <w:szCs w:val="20"/>
                <w:color w:val="auto"/>
              </w:rPr>
            </w:pPr>
            <w:r>
              <w:rPr>
                <w:rFonts w:ascii="Arial" w:cs="Arial" w:eastAsia="Arial" w:hAnsi="Arial"/>
                <w:sz w:val="14"/>
                <w:szCs w:val="14"/>
                <w:color w:val="auto"/>
              </w:rPr>
              <w:t xml:space="preserve">Other Income </w:t>
            </w:r>
            <w:r>
              <w:rPr>
                <w:rFonts w:ascii="Arial" w:cs="Arial" w:eastAsia="Arial" w:hAnsi="Arial"/>
                <w:sz w:val="23"/>
                <w:szCs w:val="23"/>
                <w:color w:val="auto"/>
                <w:vertAlign w:val="superscript"/>
              </w:rPr>
              <w:t>(3)</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3"/>
                <w:szCs w:val="13"/>
                <w:color w:val="auto"/>
              </w:rPr>
              <w:t>127.7</w:t>
            </w:r>
          </w:p>
        </w:tc>
        <w:tc>
          <w:tcPr>
            <w:tcW w:w="1160" w:type="dxa"/>
            <w:vAlign w:val="bottom"/>
            <w:tcBorders>
              <w:bottom w:val="single" w:sz="8" w:color="auto"/>
            </w:tcBorders>
          </w:tcPr>
          <w:p>
            <w:pPr>
              <w:jc w:val="center"/>
              <w:ind w:left="111"/>
              <w:spacing w:after="0"/>
              <w:rPr>
                <w:sz w:val="20"/>
                <w:szCs w:val="20"/>
                <w:color w:val="auto"/>
              </w:rPr>
            </w:pPr>
            <w:r>
              <w:rPr>
                <w:rFonts w:ascii="Arial" w:cs="Arial" w:eastAsia="Arial" w:hAnsi="Arial"/>
                <w:sz w:val="13"/>
                <w:szCs w:val="13"/>
                <w:color w:val="auto"/>
              </w:rPr>
              <w:t>195.2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221.7</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13.6%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73.5%</w:t>
            </w:r>
          </w:p>
        </w:tc>
        <w:tc>
          <w:tcPr>
            <w:tcW w:w="780" w:type="dxa"/>
            <w:vAlign w:val="bottom"/>
            <w:tcBorders>
              <w:bottom w:val="single" w:sz="8" w:color="auto"/>
            </w:tcBorders>
          </w:tcPr>
          <w:p>
            <w:pPr>
              <w:jc w:val="center"/>
              <w:ind w:left="132"/>
              <w:spacing w:after="0"/>
              <w:rPr>
                <w:sz w:val="20"/>
                <w:szCs w:val="20"/>
                <w:color w:val="auto"/>
              </w:rPr>
            </w:pPr>
            <w:r>
              <w:rPr>
                <w:rFonts w:ascii="Arial" w:cs="Arial" w:eastAsia="Arial" w:hAnsi="Arial"/>
                <w:sz w:val="13"/>
                <w:szCs w:val="13"/>
                <w:color w:val="auto"/>
              </w:rPr>
              <w:t>375.7</w:t>
            </w:r>
          </w:p>
        </w:tc>
        <w:tc>
          <w:tcPr>
            <w:tcW w:w="1260" w:type="dxa"/>
            <w:vAlign w:val="bottom"/>
            <w:tcBorders>
              <w:bottom w:val="single" w:sz="8" w:color="auto"/>
              <w:right w:val="single" w:sz="8" w:color="auto"/>
            </w:tcBorders>
          </w:tcPr>
          <w:p>
            <w:pPr>
              <w:jc w:val="center"/>
              <w:ind w:left="131"/>
              <w:spacing w:after="0"/>
              <w:rPr>
                <w:sz w:val="20"/>
                <w:szCs w:val="20"/>
                <w:color w:val="auto"/>
              </w:rPr>
            </w:pPr>
            <w:r>
              <w:rPr>
                <w:rFonts w:ascii="Arial" w:cs="Arial" w:eastAsia="Arial" w:hAnsi="Arial"/>
                <w:sz w:val="13"/>
                <w:szCs w:val="13"/>
                <w:color w:val="auto"/>
              </w:rPr>
              <w:t>717.4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91.0%</w:t>
            </w:r>
          </w:p>
        </w:tc>
      </w:tr>
      <w:tr>
        <w:trPr>
          <w:trHeight w:val="169"/>
        </w:trPr>
        <w:tc>
          <w:tcPr>
            <w:tcW w:w="2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Total Income</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3"/>
                <w:szCs w:val="13"/>
                <w:color w:val="auto"/>
              </w:rPr>
              <w:t>216.0</w:t>
            </w:r>
          </w:p>
        </w:tc>
        <w:tc>
          <w:tcPr>
            <w:tcW w:w="1160" w:type="dxa"/>
            <w:vAlign w:val="bottom"/>
            <w:tcBorders>
              <w:bottom w:val="single" w:sz="8" w:color="auto"/>
            </w:tcBorders>
          </w:tcPr>
          <w:p>
            <w:pPr>
              <w:jc w:val="center"/>
              <w:ind w:left="111"/>
              <w:spacing w:after="0"/>
              <w:rPr>
                <w:sz w:val="20"/>
                <w:szCs w:val="20"/>
                <w:color w:val="auto"/>
              </w:rPr>
            </w:pPr>
            <w:r>
              <w:rPr>
                <w:rFonts w:ascii="Arial" w:cs="Arial" w:eastAsia="Arial" w:hAnsi="Arial"/>
                <w:sz w:val="13"/>
                <w:szCs w:val="13"/>
                <w:color w:val="auto"/>
              </w:rPr>
              <w:t>341.6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401.2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85.7%</w:t>
            </w:r>
          </w:p>
        </w:tc>
        <w:tc>
          <w:tcPr>
            <w:tcW w:w="780" w:type="dxa"/>
            <w:vAlign w:val="bottom"/>
            <w:tcBorders>
              <w:bottom w:val="single" w:sz="8" w:color="auto"/>
            </w:tcBorders>
          </w:tcPr>
          <w:p>
            <w:pPr>
              <w:jc w:val="center"/>
              <w:ind w:left="132"/>
              <w:spacing w:after="0"/>
              <w:rPr>
                <w:sz w:val="20"/>
                <w:szCs w:val="20"/>
                <w:color w:val="auto"/>
              </w:rPr>
            </w:pPr>
            <w:r>
              <w:rPr>
                <w:rFonts w:ascii="Arial" w:cs="Arial" w:eastAsia="Arial" w:hAnsi="Arial"/>
                <w:sz w:val="13"/>
                <w:szCs w:val="13"/>
                <w:color w:val="auto"/>
              </w:rPr>
              <w:t>641.0</w:t>
            </w:r>
          </w:p>
        </w:tc>
        <w:tc>
          <w:tcPr>
            <w:tcW w:w="1260" w:type="dxa"/>
            <w:vAlign w:val="bottom"/>
            <w:tcBorders>
              <w:bottom w:val="single" w:sz="8" w:color="auto"/>
              <w:right w:val="single" w:sz="8" w:color="auto"/>
            </w:tcBorders>
          </w:tcPr>
          <w:p>
            <w:pPr>
              <w:jc w:val="center"/>
              <w:ind w:left="131"/>
              <w:spacing w:after="0"/>
              <w:rPr>
                <w:sz w:val="20"/>
                <w:szCs w:val="20"/>
                <w:color w:val="auto"/>
              </w:rPr>
            </w:pPr>
            <w:r>
              <w:rPr>
                <w:rFonts w:ascii="Arial" w:cs="Arial" w:eastAsia="Arial" w:hAnsi="Arial"/>
                <w:sz w:val="13"/>
                <w:szCs w:val="13"/>
                <w:color w:val="auto"/>
              </w:rPr>
              <w:t>1260.3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96.6%</w:t>
            </w:r>
          </w:p>
        </w:tc>
      </w:tr>
      <w:tr>
        <w:trPr>
          <w:trHeight w:val="169"/>
        </w:trPr>
        <w:tc>
          <w:tcPr>
            <w:tcW w:w="27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Total Operating Expenses</w:t>
            </w: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3"/>
                <w:szCs w:val="13"/>
                <w:color w:val="auto"/>
              </w:rPr>
              <w:t>-184.8</w:t>
            </w:r>
          </w:p>
        </w:tc>
        <w:tc>
          <w:tcPr>
            <w:tcW w:w="1160" w:type="dxa"/>
            <w:vAlign w:val="bottom"/>
            <w:tcBorders>
              <w:bottom w:val="single" w:sz="8" w:color="auto"/>
            </w:tcBorders>
          </w:tcPr>
          <w:p>
            <w:pPr>
              <w:jc w:val="center"/>
              <w:ind w:left="111"/>
              <w:spacing w:after="0"/>
              <w:rPr>
                <w:sz w:val="20"/>
                <w:szCs w:val="20"/>
                <w:color w:val="auto"/>
              </w:rPr>
            </w:pPr>
            <w:r>
              <w:rPr>
                <w:rFonts w:ascii="Arial" w:cs="Arial" w:eastAsia="Arial" w:hAnsi="Arial"/>
                <w:sz w:val="13"/>
                <w:szCs w:val="13"/>
                <w:color w:val="auto"/>
              </w:rPr>
              <w:t>-220.1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-259.8</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40.6%</w:t>
            </w:r>
          </w:p>
        </w:tc>
        <w:tc>
          <w:tcPr>
            <w:tcW w:w="780" w:type="dxa"/>
            <w:vAlign w:val="bottom"/>
            <w:tcBorders>
              <w:bottom w:val="single" w:sz="8" w:color="auto"/>
            </w:tcBorders>
          </w:tcPr>
          <w:p>
            <w:pPr>
              <w:jc w:val="center"/>
              <w:ind w:left="152"/>
              <w:spacing w:after="0"/>
              <w:rPr>
                <w:sz w:val="20"/>
                <w:szCs w:val="20"/>
                <w:color w:val="auto"/>
              </w:rPr>
            </w:pPr>
            <w:r>
              <w:rPr>
                <w:rFonts w:ascii="Arial" w:cs="Arial" w:eastAsia="Arial" w:hAnsi="Arial"/>
                <w:sz w:val="13"/>
                <w:szCs w:val="13"/>
                <w:color w:val="auto"/>
                <w:w w:val="97"/>
              </w:rPr>
              <w:t>-611.5</w:t>
            </w:r>
          </w:p>
        </w:tc>
        <w:tc>
          <w:tcPr>
            <w:tcW w:w="1260" w:type="dxa"/>
            <w:vAlign w:val="bottom"/>
            <w:tcBorders>
              <w:bottom w:val="single" w:sz="8" w:color="auto"/>
              <w:right w:val="single" w:sz="8" w:color="auto"/>
            </w:tcBorders>
          </w:tcPr>
          <w:p>
            <w:pPr>
              <w:jc w:val="center"/>
              <w:ind w:left="131"/>
              <w:spacing w:after="0"/>
              <w:rPr>
                <w:sz w:val="20"/>
                <w:szCs w:val="20"/>
                <w:color w:val="auto"/>
              </w:rPr>
            </w:pPr>
            <w:r>
              <w:rPr>
                <w:rFonts w:ascii="Arial" w:cs="Arial" w:eastAsia="Arial" w:hAnsi="Arial"/>
                <w:sz w:val="13"/>
                <w:szCs w:val="13"/>
                <w:color w:val="auto"/>
              </w:rPr>
              <w:t>-856.7</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40.1%</w:t>
            </w:r>
          </w:p>
        </w:tc>
      </w:tr>
    </w:tbl>
    <w:p>
      <w:pPr>
        <w:spacing w:after="0" w:line="2" w:lineRule="exact"/>
        <w:rPr>
          <w:sz w:val="20"/>
          <w:szCs w:val="20"/>
          <w:color w:val="auto"/>
        </w:rPr>
      </w:pPr>
    </w:p>
    <w:p>
      <w:pPr>
        <w:ind w:left="7" w:right="380" w:hanging="7"/>
        <w:spacing w:after="0" w:line="246" w:lineRule="auto"/>
        <w:tabs>
          <w:tab w:leader="none" w:pos="177" w:val="left"/>
        </w:tabs>
        <w:numPr>
          <w:ilvl w:val="0"/>
          <w:numId w:val="7"/>
        </w:numPr>
        <w:rPr>
          <w:rFonts w:ascii="Arial" w:cs="Arial" w:eastAsia="Arial" w:hAnsi="Arial"/>
          <w:sz w:val="12"/>
          <w:szCs w:val="12"/>
          <w:color w:val="auto"/>
        </w:rPr>
      </w:pPr>
      <w:r>
        <w:rPr>
          <w:rFonts w:ascii="Arial" w:cs="Arial" w:eastAsia="Arial" w:hAnsi="Arial"/>
          <w:sz w:val="12"/>
          <w:szCs w:val="12"/>
          <w:color w:val="auto"/>
        </w:rPr>
        <w:t>Management Figures. Beginning in 1Q25, reclassifications between Operating Expenses and Fee Income have been incorporated, along with new accounting allocations, primarily related to interest expenses associated with the Deposit Insurance Fund. Figures for prior periods have been restated for comparability and may differ from those previously reported.</w:t>
      </w:r>
    </w:p>
    <w:p>
      <w:pPr>
        <w:spacing w:after="0" w:line="1" w:lineRule="exact"/>
        <w:rPr>
          <w:rFonts w:ascii="Arial" w:cs="Arial" w:eastAsia="Arial" w:hAnsi="Arial"/>
          <w:sz w:val="12"/>
          <w:szCs w:val="12"/>
          <w:color w:val="auto"/>
        </w:rPr>
      </w:pPr>
    </w:p>
    <w:p>
      <w:pPr>
        <w:ind w:left="167" w:hanging="167"/>
        <w:spacing w:after="0" w:line="234" w:lineRule="auto"/>
        <w:tabs>
          <w:tab w:leader="none" w:pos="16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interest income, interest expense and net provisions.</w:t>
      </w:r>
    </w:p>
    <w:p>
      <w:pPr>
        <w:ind w:left="167" w:hanging="167"/>
        <w:spacing w:after="0"/>
        <w:tabs>
          <w:tab w:leader="none" w:pos="16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Other income recorded in BCP and in Yape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776605</wp:posOffset>
            </wp:positionV>
            <wp:extent cx="71577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116840</wp:posOffset>
            </wp:positionV>
            <wp:extent cx="6780530" cy="556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80530" cy="55689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16" w:name="page17"/>
    <w:bookmarkEnd w:id="16"/>
    <w:p>
      <w:pPr>
        <w:ind w:left="2680"/>
        <w:spacing w:after="0"/>
        <w:tabs>
          <w:tab w:leader="none" w:pos="3000" w:val="left"/>
          <w:tab w:leader="none" w:pos="9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246380</wp:posOffset>
            </wp:positionV>
            <wp:extent cx="71577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Credicorp’s Strategy Update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0"/>
                <w:szCs w:val="20"/>
                <w:color w:val="auto"/>
              </w:rPr>
            </w:pPr>
            <w:r>
              <w:rPr>
                <w:rFonts w:ascii="Arial" w:cs="Arial" w:eastAsia="Arial" w:hAnsi="Arial"/>
                <w:sz w:val="18"/>
                <w:szCs w:val="18"/>
                <w:b w:val="1"/>
                <w:bCs w:val="1"/>
                <w:color w:val="auto"/>
              </w:rPr>
              <w:t>Main Operating Results</w:t>
            </w:r>
          </w:p>
        </w:tc>
        <w:tc>
          <w:tcPr>
            <w:tcW w:w="800" w:type="dxa"/>
            <w:vAlign w:val="bottom"/>
          </w:tcPr>
          <w:p>
            <w:pPr>
              <w:spacing w:after="0"/>
              <w:rPr>
                <w:sz w:val="21"/>
                <w:szCs w:val="21"/>
                <w:color w:val="auto"/>
              </w:rPr>
            </w:pPr>
          </w:p>
        </w:tc>
        <w:tc>
          <w:tcPr>
            <w:tcW w:w="5060" w:type="dxa"/>
            <w:vAlign w:val="bottom"/>
          </w:tcPr>
          <w:p>
            <w:pPr>
              <w:jc w:val="center"/>
              <w:ind w:left="330"/>
              <w:spacing w:after="0"/>
              <w:rPr>
                <w:sz w:val="20"/>
                <w:szCs w:val="20"/>
                <w:color w:val="auto"/>
              </w:rPr>
            </w:pPr>
            <w:r>
              <w:rPr>
                <w:rFonts w:ascii="Arial" w:cs="Arial" w:eastAsia="Arial" w:hAnsi="Arial"/>
                <w:sz w:val="18"/>
                <w:szCs w:val="18"/>
                <w:b w:val="1"/>
                <w:bCs w:val="1"/>
                <w:color w:val="auto"/>
                <w:w w:val="99"/>
              </w:rPr>
              <w:t>Evolution of MAU and Transactions</w:t>
            </w:r>
          </w:p>
        </w:tc>
      </w:tr>
      <w:tr>
        <w:trPr>
          <w:trHeight w:val="208"/>
        </w:trPr>
        <w:tc>
          <w:tcPr>
            <w:tcW w:w="5820" w:type="dxa"/>
            <w:vAlign w:val="bottom"/>
            <w:gridSpan w:val="2"/>
          </w:tcPr>
          <w:p>
            <w:pPr>
              <w:spacing w:after="0"/>
              <w:rPr>
                <w:sz w:val="20"/>
                <w:szCs w:val="20"/>
                <w:color w:val="auto"/>
              </w:rPr>
            </w:pPr>
            <w:r>
              <w:rPr>
                <w:rFonts w:ascii="Arial" w:cs="Arial" w:eastAsia="Arial" w:hAnsi="Arial"/>
                <w:sz w:val="18"/>
                <w:szCs w:val="18"/>
                <w:color w:val="auto"/>
              </w:rPr>
              <w:t>In 4Q25, Yape hit the 15.9-million mark (+10.2% YoY) for monthly</w:t>
            </w:r>
          </w:p>
        </w:tc>
        <w:tc>
          <w:tcPr>
            <w:tcW w:w="5060" w:type="dxa"/>
            <w:vAlign w:val="bottom"/>
          </w:tcPr>
          <w:p>
            <w:pPr>
              <w:spacing w:after="0"/>
              <w:rPr>
                <w:sz w:val="18"/>
                <w:szCs w:val="18"/>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active users (MAU). This pool represents close to 84% of the EAP</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(+15pp YoY) and reflects Yape’s consolidation as the country’s most</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valued and recognized brand. This connection with users continues</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to bolster an upward trend in client satisfaction, with an NPS that hit</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a peak of 81 points (+2pp YoY) at the end of 2025. This growth is</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underpinned  by  advances  in  financial  inclusion  and  the</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formalization of merchants, which expand the addressable market</w:t>
            </w:r>
          </w:p>
        </w:tc>
        <w:tc>
          <w:tcPr>
            <w:tcW w:w="5060" w:type="dxa"/>
            <w:vAlign w:val="bottom"/>
          </w:tcPr>
          <w:p>
            <w:pPr>
              <w:spacing w:after="0"/>
              <w:rPr>
                <w:sz w:val="17"/>
                <w:szCs w:val="17"/>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and facilitate access to new segments.</w:t>
            </w:r>
          </w:p>
        </w:tc>
        <w:tc>
          <w:tcPr>
            <w:tcW w:w="800" w:type="dxa"/>
            <w:vAlign w:val="bottom"/>
          </w:tcPr>
          <w:p>
            <w:pPr>
              <w:spacing w:after="0"/>
              <w:rPr>
                <w:sz w:val="21"/>
                <w:szCs w:val="21"/>
                <w:color w:val="auto"/>
              </w:rPr>
            </w:pPr>
          </w:p>
        </w:tc>
        <w:tc>
          <w:tcPr>
            <w:tcW w:w="5060" w:type="dxa"/>
            <w:vAlign w:val="bottom"/>
          </w:tcPr>
          <w:p>
            <w:pPr>
              <w:spacing w:after="0"/>
              <w:rPr>
                <w:sz w:val="21"/>
                <w:szCs w:val="21"/>
                <w:color w:val="auto"/>
              </w:rPr>
            </w:pPr>
          </w:p>
        </w:tc>
      </w:tr>
      <w:tr>
        <w:trPr>
          <w:trHeight w:val="311"/>
        </w:trPr>
        <w:tc>
          <w:tcPr>
            <w:tcW w:w="5820" w:type="dxa"/>
            <w:vAlign w:val="bottom"/>
            <w:gridSpan w:val="2"/>
          </w:tcPr>
          <w:p>
            <w:pPr>
              <w:spacing w:after="0"/>
              <w:rPr>
                <w:sz w:val="20"/>
                <w:szCs w:val="20"/>
                <w:color w:val="auto"/>
              </w:rPr>
            </w:pPr>
            <w:r>
              <w:rPr>
                <w:rFonts w:ascii="Arial" w:cs="Arial" w:eastAsia="Arial" w:hAnsi="Arial"/>
                <w:sz w:val="18"/>
                <w:szCs w:val="18"/>
                <w:color w:val="auto"/>
              </w:rPr>
              <w:t>Frequency use has also registered relevant improvement, reaching</w:t>
            </w:r>
          </w:p>
        </w:tc>
        <w:tc>
          <w:tcPr>
            <w:tcW w:w="5060" w:type="dxa"/>
            <w:vAlign w:val="bottom"/>
          </w:tcPr>
          <w:p>
            <w:pPr>
              <w:spacing w:after="0"/>
              <w:rPr>
                <w:sz w:val="24"/>
                <w:szCs w:val="24"/>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an average of 66 transactions (+30.4% YoY) a month per user, of</w:t>
            </w:r>
          </w:p>
        </w:tc>
        <w:tc>
          <w:tcPr>
            <w:tcW w:w="5060" w:type="dxa"/>
            <w:vAlign w:val="bottom"/>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which approximately  11%  generate  income.  Transactions</w:t>
            </w:r>
          </w:p>
        </w:tc>
        <w:tc>
          <w:tcPr>
            <w:tcW w:w="800" w:type="dxa"/>
            <w:vAlign w:val="bottom"/>
          </w:tcPr>
          <w:p>
            <w:pPr>
              <w:ind w:left="40"/>
              <w:spacing w:after="0" w:line="202" w:lineRule="exact"/>
              <w:rPr>
                <w:sz w:val="20"/>
                <w:szCs w:val="20"/>
                <w:color w:val="auto"/>
              </w:rPr>
            </w:pPr>
            <w:r>
              <w:rPr>
                <w:rFonts w:ascii="Arial" w:cs="Arial" w:eastAsia="Arial" w:hAnsi="Arial"/>
                <w:sz w:val="18"/>
                <w:szCs w:val="18"/>
                <w:color w:val="auto"/>
              </w:rPr>
              <w:t>that</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generate revenues rose 50% YoY, reflecting concrete progress in</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our  quest  to  implement  a  monetization  strategy.  By  scaling</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frequency of use, it is evident that we can harness potential to</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generate more significant revenue streams. In the future, growth will</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continue  to  leverage  the  power  of  Credicorp’s  ecosystem  by</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integrating  capabilities  to  capture  structural  efficiencies  in</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infrastructure, financing and risk management. In doing so, we will</w:t>
            </w:r>
          </w:p>
        </w:tc>
        <w:tc>
          <w:tcPr>
            <w:tcW w:w="5060" w:type="dxa"/>
            <w:vAlign w:val="bottom"/>
          </w:tcPr>
          <w:p>
            <w:pPr>
              <w:spacing w:after="0"/>
              <w:rPr>
                <w:sz w:val="17"/>
                <w:szCs w:val="17"/>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strengthen our competitive advantages and diversify sources of</w:t>
            </w:r>
          </w:p>
        </w:tc>
        <w:tc>
          <w:tcPr>
            <w:tcW w:w="5060" w:type="dxa"/>
            <w:vAlign w:val="bottom"/>
          </w:tcPr>
          <w:p>
            <w:pPr>
              <w:spacing w:after="0"/>
              <w:rPr>
                <w:sz w:val="17"/>
                <w:szCs w:val="17"/>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income.</w:t>
            </w:r>
          </w:p>
        </w:tc>
        <w:tc>
          <w:tcPr>
            <w:tcW w:w="800" w:type="dxa"/>
            <w:vAlign w:val="bottom"/>
          </w:tcPr>
          <w:p>
            <w:pPr>
              <w:spacing w:after="0"/>
              <w:rPr>
                <w:sz w:val="21"/>
                <w:szCs w:val="21"/>
                <w:color w:val="auto"/>
              </w:rPr>
            </w:pPr>
          </w:p>
        </w:tc>
        <w:tc>
          <w:tcPr>
            <w:tcW w:w="5060" w:type="dxa"/>
            <w:vAlign w:val="bottom"/>
          </w:tcPr>
          <w:p>
            <w:pPr>
              <w:spacing w:after="0"/>
              <w:rPr>
                <w:sz w:val="21"/>
                <w:szCs w:val="21"/>
                <w:color w:val="auto"/>
              </w:rPr>
            </w:pPr>
          </w:p>
        </w:tc>
      </w:tr>
      <w:tr>
        <w:trPr>
          <w:trHeight w:val="413"/>
        </w:trPr>
        <w:tc>
          <w:tcPr>
            <w:tcW w:w="5020" w:type="dxa"/>
            <w:vAlign w:val="bottom"/>
          </w:tcPr>
          <w:p>
            <w:pPr>
              <w:spacing w:after="0"/>
              <w:rPr>
                <w:sz w:val="20"/>
                <w:szCs w:val="20"/>
                <w:color w:val="auto"/>
              </w:rPr>
            </w:pPr>
            <w:r>
              <w:rPr>
                <w:rFonts w:ascii="Arial" w:cs="Arial" w:eastAsia="Arial" w:hAnsi="Arial"/>
                <w:sz w:val="18"/>
                <w:szCs w:val="18"/>
                <w:b w:val="1"/>
                <w:bCs w:val="1"/>
                <w:color w:val="auto"/>
              </w:rPr>
              <w:t>Drivers of Monetization</w:t>
            </w:r>
          </w:p>
        </w:tc>
        <w:tc>
          <w:tcPr>
            <w:tcW w:w="8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19"/>
        </w:trPr>
        <w:tc>
          <w:tcPr>
            <w:tcW w:w="5020" w:type="dxa"/>
            <w:vAlign w:val="bottom"/>
          </w:tcPr>
          <w:p>
            <w:pPr>
              <w:spacing w:after="0"/>
              <w:rPr>
                <w:sz w:val="20"/>
                <w:szCs w:val="20"/>
                <w:color w:val="auto"/>
              </w:rPr>
            </w:pPr>
            <w:r>
              <w:rPr>
                <w:rFonts w:ascii="Arial" w:cs="Arial" w:eastAsia="Arial" w:hAnsi="Arial"/>
                <w:sz w:val="18"/>
                <w:szCs w:val="18"/>
                <w:color w:val="auto"/>
              </w:rPr>
              <w:t>In terms of operating efficiency, the gap between income</w:t>
            </w:r>
          </w:p>
        </w:tc>
        <w:tc>
          <w:tcPr>
            <w:tcW w:w="800" w:type="dxa"/>
            <w:vAlign w:val="bottom"/>
          </w:tcPr>
          <w:p>
            <w:pPr>
              <w:ind w:left="80"/>
              <w:spacing w:after="0"/>
              <w:rPr>
                <w:sz w:val="20"/>
                <w:szCs w:val="20"/>
                <w:color w:val="auto"/>
              </w:rPr>
            </w:pPr>
            <w:r>
              <w:rPr>
                <w:rFonts w:ascii="Arial" w:cs="Arial" w:eastAsia="Arial" w:hAnsi="Arial"/>
                <w:sz w:val="18"/>
                <w:szCs w:val="18"/>
                <w:color w:val="auto"/>
              </w:rPr>
              <w:t>and</w:t>
            </w:r>
          </w:p>
        </w:tc>
        <w:tc>
          <w:tcPr>
            <w:tcW w:w="5060" w:type="dxa"/>
            <w:vAlign w:val="bottom"/>
          </w:tcPr>
          <w:p>
            <w:pPr>
              <w:jc w:val="center"/>
              <w:ind w:left="330"/>
              <w:spacing w:after="0"/>
              <w:rPr>
                <w:sz w:val="20"/>
                <w:szCs w:val="20"/>
                <w:color w:val="auto"/>
              </w:rPr>
            </w:pPr>
            <w:r>
              <w:rPr>
                <w:rFonts w:ascii="Arial" w:cs="Arial" w:eastAsia="Arial" w:hAnsi="Arial"/>
                <w:sz w:val="18"/>
                <w:szCs w:val="18"/>
                <w:b w:val="1"/>
                <w:bCs w:val="1"/>
                <w:color w:val="auto"/>
              </w:rPr>
              <w:t>Evolution of Monthly Revenue and Expenses per MAU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-3368040</wp:posOffset>
            </wp:positionV>
            <wp:extent cx="2571750" cy="1628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1750" cy="1628775"/>
                    </a:xfrm>
                    <a:prstGeom prst="rect">
                      <a:avLst/>
                    </a:prstGeom>
                    <a:noFill/>
                  </pic:spPr>
                </pic:pic>
              </a:graphicData>
            </a:graphic>
          </wp:anchor>
        </w:drawing>
      </w:r>
    </w:p>
    <w:p>
      <w:pPr>
        <w:jc w:val="both"/>
        <w:ind w:right="5860"/>
        <w:spacing w:after="0" w:line="239" w:lineRule="auto"/>
        <w:rPr>
          <w:sz w:val="20"/>
          <w:szCs w:val="20"/>
          <w:color w:val="auto"/>
        </w:rPr>
      </w:pPr>
      <w:r>
        <w:rPr>
          <w:rFonts w:ascii="Arial" w:cs="Arial" w:eastAsia="Arial" w:hAnsi="Arial"/>
          <w:sz w:val="18"/>
          <w:szCs w:val="18"/>
          <w:color w:val="auto"/>
        </w:rPr>
        <w:t>expenses per users continues to widen. In December 2025, monthly income per MAU reached S/9.6 por MAU, while expenses per MAU stood at S/6.1 per MAU. These results are evidence of a structural improvement in profitability, operating leverage and scalability.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4024630</wp:posOffset>
            </wp:positionH>
            <wp:positionV relativeFrom="paragraph">
              <wp:posOffset>-575945</wp:posOffset>
            </wp:positionV>
            <wp:extent cx="2820035" cy="1577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0035" cy="1577340"/>
                    </a:xfrm>
                    <a:prstGeom prst="rect">
                      <a:avLst/>
                    </a:prstGeom>
                    <a:noFill/>
                  </pic:spPr>
                </pic:pic>
              </a:graphicData>
            </a:graphic>
          </wp:anchor>
        </w:drawing>
      </w:r>
    </w:p>
    <w:p>
      <w:pPr>
        <w:spacing w:after="0" w:line="129" w:lineRule="exact"/>
        <w:rPr>
          <w:sz w:val="20"/>
          <w:szCs w:val="20"/>
          <w:color w:val="auto"/>
        </w:rPr>
      </w:pPr>
    </w:p>
    <w:p>
      <w:pPr>
        <w:jc w:val="both"/>
        <w:ind w:right="5860"/>
        <w:spacing w:after="0" w:line="251" w:lineRule="auto"/>
        <w:rPr>
          <w:sz w:val="20"/>
          <w:szCs w:val="20"/>
          <w:color w:val="auto"/>
        </w:rPr>
      </w:pPr>
      <w:r>
        <w:rPr>
          <w:rFonts w:ascii="Arial" w:cs="Arial" w:eastAsia="Arial" w:hAnsi="Arial"/>
          <w:sz w:val="17"/>
          <w:szCs w:val="17"/>
          <w:color w:val="auto"/>
        </w:rPr>
        <w:t>The payment business continues to be the main contributor to income, with a TPV that generates income increasing 85.4% YoY, significantly outpacing total TPV growth (42.8% YoY) and underscoring the increasing monetization of Yape’s functionalities. In YoY terms, the main drivers of income were: (i) payments through QR/POS, which rose through an uptick in the number of transactions (+72.1% YoY) and in average tickets (+11.6% YoY), in line with growth in the number of active clients (+37.5% YoY); (ii) bill</w:t>
      </w:r>
    </w:p>
    <w:p>
      <w:pPr>
        <w:spacing w:after="0" w:line="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payments, driven by  greater adoption of in</w:t>
      </w:r>
      <w:r>
        <w:rPr>
          <w:rFonts w:ascii="MS PGothic" w:cs="MS PGothic" w:eastAsia="MS PGothic" w:hAnsi="MS PGothic"/>
          <w:sz w:val="18"/>
          <w:szCs w:val="18"/>
          <w:color w:val="auto"/>
        </w:rPr>
        <w:t>‑</w:t>
      </w:r>
      <w:r>
        <w:rPr>
          <w:rFonts w:ascii="Arial" w:cs="Arial" w:eastAsia="Arial" w:hAnsi="Arial"/>
          <w:sz w:val="18"/>
          <w:szCs w:val="18"/>
          <w:color w:val="auto"/>
        </w:rPr>
        <w:t>app functionalities,</w:t>
      </w:r>
    </w:p>
    <w:p>
      <w:pPr>
        <w:spacing w:after="0" w:line="3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including service payments to higher</w:t>
      </w:r>
      <w:r>
        <w:rPr>
          <w:rFonts w:ascii="MS PGothic" w:cs="MS PGothic" w:eastAsia="MS PGothic" w:hAnsi="MS PGothic"/>
          <w:sz w:val="18"/>
          <w:szCs w:val="18"/>
          <w:color w:val="auto"/>
        </w:rPr>
        <w:t>‑</w:t>
      </w:r>
      <w:r>
        <w:rPr>
          <w:rFonts w:ascii="Arial" w:cs="Arial" w:eastAsia="Arial" w:hAnsi="Arial"/>
          <w:sz w:val="18"/>
          <w:szCs w:val="18"/>
          <w:color w:val="auto"/>
        </w:rPr>
        <w:t>ticket merchants, translating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into a total of 61 million transactions (+51.5% YoY) during the</w:t>
      </w:r>
    </w:p>
    <w:p>
      <w:pPr>
        <w:spacing w:after="0" w:line="234" w:lineRule="auto"/>
        <w:rPr>
          <w:sz w:val="20"/>
          <w:szCs w:val="20"/>
          <w:color w:val="auto"/>
        </w:rPr>
      </w:pPr>
      <w:r>
        <w:rPr>
          <w:rFonts w:ascii="Arial" w:cs="Arial" w:eastAsia="Arial" w:hAnsi="Arial"/>
          <w:sz w:val="18"/>
          <w:szCs w:val="18"/>
          <w:color w:val="auto"/>
        </w:rPr>
        <w:t>quarter; and (iii) checkout, where new affiliated merchants have</w:t>
      </w:r>
    </w:p>
    <w:p>
      <w:pPr>
        <w:spacing w:after="0" w:line="235" w:lineRule="auto"/>
        <w:rPr>
          <w:sz w:val="20"/>
          <w:szCs w:val="20"/>
          <w:color w:val="auto"/>
        </w:rPr>
      </w:pPr>
      <w:r>
        <w:rPr>
          <w:rFonts w:ascii="Arial" w:cs="Arial" w:eastAsia="Arial" w:hAnsi="Arial"/>
          <w:sz w:val="18"/>
          <w:szCs w:val="18"/>
          <w:color w:val="auto"/>
        </w:rPr>
        <w:t>integrated the Yape button in their payment options. In 2028, Yape</w:t>
      </w:r>
    </w:p>
    <w:p>
      <w:pPr>
        <w:spacing w:after="0" w:line="235" w:lineRule="auto"/>
        <w:rPr>
          <w:sz w:val="20"/>
          <w:szCs w:val="20"/>
          <w:color w:val="auto"/>
        </w:rPr>
      </w:pPr>
      <w:r>
        <w:rPr>
          <w:rFonts w:ascii="Arial" w:cs="Arial" w:eastAsia="Arial" w:hAnsi="Arial"/>
          <w:sz w:val="18"/>
          <w:szCs w:val="18"/>
          <w:color w:val="auto"/>
        </w:rPr>
        <w:t>aims to triple fee income, supported by an increase in the number</w:t>
      </w:r>
    </w:p>
    <w:p>
      <w:pPr>
        <w:spacing w:after="0" w:line="235" w:lineRule="auto"/>
        <w:rPr>
          <w:sz w:val="20"/>
          <w:szCs w:val="20"/>
          <w:color w:val="auto"/>
        </w:rPr>
      </w:pPr>
      <w:r>
        <w:rPr>
          <w:rFonts w:ascii="Arial" w:cs="Arial" w:eastAsia="Arial" w:hAnsi="Arial"/>
          <w:sz w:val="18"/>
          <w:szCs w:val="18"/>
          <w:color w:val="auto"/>
        </w:rPr>
        <w:t>of functionalities used by each MAU, which currently stands at 2.8</w:t>
      </w:r>
    </w:p>
    <w:p>
      <w:pPr>
        <w:spacing w:after="0"/>
        <w:rPr>
          <w:sz w:val="20"/>
          <w:szCs w:val="20"/>
          <w:color w:val="auto"/>
        </w:rPr>
      </w:pPr>
      <w:r>
        <w:rPr>
          <w:rFonts w:ascii="Arial" w:cs="Arial" w:eastAsia="Arial" w:hAnsi="Arial"/>
          <w:sz w:val="18"/>
          <w:szCs w:val="18"/>
          <w:color w:val="auto"/>
        </w:rPr>
        <w:t>(+11.4% AaA), and an uptick in market penetration.</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financial business, which has been identified as having the greatest potential for long-term growth, maintained a solid pace, thanks to its loan business, whose lending base now tops 4.1 million clients (+151.2% YoY) who have received at least one disbursement. Around one third of borrowers received their first-ever formal loan through Yape, which attests to the platform’s structural role in financial inclusion. Currently, Yape reports more than 5 million (+138.6% YoY) disbursements per quarter, with average tickets of ~S/200, ~S/700 and ~S/2,200</w:t>
      </w:r>
    </w:p>
    <w:p>
      <w:pPr>
        <w:spacing w:after="0" w:line="2"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for single-installment, multi-installment, and SME loans, respectively. While the growth in disbursements was led by single</w:t>
      </w:r>
      <w:r>
        <w:rPr>
          <w:rFonts w:ascii="MS PGothic" w:cs="MS PGothic" w:eastAsia="MS PGothic" w:hAnsi="MS PGothic"/>
          <w:sz w:val="18"/>
          <w:szCs w:val="18"/>
          <w:color w:val="auto"/>
        </w:rPr>
        <w:t>‑</w:t>
      </w:r>
      <w:r>
        <w:rPr>
          <w:rFonts w:ascii="Arial" w:cs="Arial" w:eastAsia="Arial" w:hAnsi="Arial"/>
          <w:sz w:val="18"/>
          <w:szCs w:val="18"/>
          <w:color w:val="auto"/>
        </w:rPr>
        <w:t>installment loans (+116.6% YoY), driven by a significant improvement in lead effectiveness, as of 4Q25 the portfolio balance was primarily composed of multi</w:t>
      </w:r>
      <w:r>
        <w:rPr>
          <w:rFonts w:ascii="MS PGothic" w:cs="MS PGothic" w:eastAsia="MS PGothic" w:hAnsi="MS PGothic"/>
          <w:sz w:val="18"/>
          <w:szCs w:val="18"/>
          <w:color w:val="auto"/>
        </w:rPr>
        <w:t>‑</w:t>
      </w:r>
      <w:r>
        <w:rPr>
          <w:rFonts w:ascii="Arial" w:cs="Arial" w:eastAsia="Arial" w:hAnsi="Arial"/>
          <w:sz w:val="18"/>
          <w:szCs w:val="18"/>
          <w:color w:val="auto"/>
        </w:rPr>
        <w:t>installment loans. This reflects their higher average ticket sizes and, more importantly, their longer average duration compared to</w:t>
      </w:r>
    </w:p>
    <w:p>
      <w:pPr>
        <w:jc w:val="both"/>
        <w:spacing w:after="0" w:line="233" w:lineRule="exact"/>
        <w:rPr>
          <w:sz w:val="20"/>
          <w:szCs w:val="20"/>
          <w:color w:val="auto"/>
        </w:rPr>
      </w:pPr>
      <w:r>
        <w:rPr>
          <w:rFonts w:ascii="Arial" w:cs="Arial" w:eastAsia="Arial" w:hAnsi="Arial"/>
          <w:sz w:val="18"/>
          <w:szCs w:val="18"/>
          <w:color w:val="auto"/>
        </w:rPr>
        <w:t>single</w:t>
      </w:r>
      <w:r>
        <w:rPr>
          <w:rFonts w:ascii="MS PGothic" w:cs="MS PGothic" w:eastAsia="MS PGothic" w:hAnsi="MS PGothic"/>
          <w:sz w:val="18"/>
          <w:szCs w:val="18"/>
          <w:color w:val="auto"/>
        </w:rPr>
        <w:t>‑</w:t>
      </w:r>
      <w:r>
        <w:rPr>
          <w:rFonts w:ascii="Arial" w:cs="Arial" w:eastAsia="Arial" w:hAnsi="Arial"/>
          <w:sz w:val="18"/>
          <w:szCs w:val="18"/>
          <w:color w:val="auto"/>
        </w:rPr>
        <w:t>installment loans (~6 months vs. ~1 month), which allows balances to accumulate more steadily over time. Floating income continued to grow over the period, mainly bolstered by entries derived from pension fund withdrawals.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e-commerce, GMV for this quarter topped S/180 million, driven mainly by Yape Promos, which reported a significant increase in views and transactions for the period. The business continues to develop as it contributes to income stream diversification, improve engagement, and reinforce the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778510</wp:posOffset>
            </wp:positionV>
            <wp:extent cx="71577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101600</wp:posOffset>
            </wp:positionV>
            <wp:extent cx="6772275" cy="5740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2275" cy="574040"/>
                    </a:xfrm>
                    <a:prstGeom prst="rect">
                      <a:avLst/>
                    </a:prstGeom>
                    <a:noFill/>
                  </pic:spPr>
                </pic:pic>
              </a:graphicData>
            </a:graphic>
          </wp:anchor>
        </w:drawing>
      </w:r>
    </w:p>
    <w:p>
      <w:pPr>
        <w:sectPr>
          <w:pgSz w:w="11920" w:h="16838" w:orient="portrait"/>
          <w:cols w:equalWidth="0" w:num="1">
            <w:col w:w="11260"/>
          </w:cols>
          <w:pgMar w:left="340" w:top="481" w:right="318" w:bottom="1440" w:gutter="0" w:footer="0" w:header="0"/>
        </w:sectPr>
      </w:pPr>
    </w:p>
    <w:bookmarkStart w:id="17" w:name="page18"/>
    <w:bookmarkEnd w:id="17"/>
    <w:p>
      <w:pPr>
        <w:jc w:val="both"/>
        <w:ind w:left="2680"/>
        <w:spacing w:after="0"/>
        <w:tabs>
          <w:tab w:leader="none" w:pos="3000" w:val="left"/>
          <w:tab w:leader="none" w:pos="9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246380</wp:posOffset>
            </wp:positionV>
            <wp:extent cx="715772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Credicorp’s Strategy Update</w:t>
      </w:r>
    </w:p>
    <w:p>
      <w:pPr>
        <w:spacing w:after="0" w:line="245"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b w:val="1"/>
          <w:bCs w:val="1"/>
          <w:color w:val="auto"/>
        </w:rPr>
        <w:t>Financial Results</w:t>
      </w:r>
      <w:r>
        <w:rPr>
          <w:sz w:val="20"/>
          <w:szCs w:val="20"/>
          <w:color w:val="auto"/>
        </w:rPr>
        <w:tab/>
      </w:r>
      <w:r>
        <w:rPr>
          <w:rFonts w:ascii="Arial" w:cs="Arial" w:eastAsia="Arial" w:hAnsi="Arial"/>
          <w:sz w:val="18"/>
          <w:szCs w:val="18"/>
          <w:b w:val="1"/>
          <w:bCs w:val="1"/>
          <w:color w:val="auto"/>
        </w:rPr>
        <w:t>Evolution of Revenue by Business</w:t>
      </w:r>
    </w:p>
    <w:p>
      <w:pPr>
        <w:spacing w:after="0" w:line="46" w:lineRule="exact"/>
        <w:rPr>
          <w:sz w:val="20"/>
          <w:szCs w:val="20"/>
          <w:color w:val="auto"/>
        </w:rPr>
      </w:pPr>
    </w:p>
    <w:p>
      <w:pPr>
        <w:jc w:val="both"/>
        <w:ind w:right="5820"/>
        <w:spacing w:after="0" w:line="237" w:lineRule="auto"/>
        <w:rPr>
          <w:sz w:val="20"/>
          <w:szCs w:val="20"/>
          <w:color w:val="auto"/>
        </w:rPr>
      </w:pPr>
      <w:r>
        <w:rPr>
          <w:rFonts w:ascii="Arial" w:cs="Arial" w:eastAsia="Arial" w:hAnsi="Arial"/>
          <w:sz w:val="18"/>
          <w:szCs w:val="18"/>
          <w:color w:val="auto"/>
        </w:rPr>
        <w:t>This quarter, Yape represented 7.2% (+2.8pp YoY) of Credicorp’s risk-adjusted revenue, which reflects the positive impact of on-going growth in MAUs that actively contribute to income generation. The payment business accounted for 52% (-3pp YoY) of Yape’s income, where Bill Payments, QR, and Top Ups were the main drivers, followed by Checkout, Yape Empresas and Remittances. The financial segment generated 45% of the app’s total income (+4pp YoY), where lending became the main source of revenue, increasing its share to 23% at year-end (vs 11% in 4Q24). Finally, the e-commerce business accounted for 3% of income, driven by the solid performance of Yape Promos. Yape is advancing its mission to deepen financial inclusion; scale monetization; and strengthen its value proposition as a strategic engine in Credicorp’s ecosytem.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789940</wp:posOffset>
            </wp:positionV>
            <wp:extent cx="71577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-1712595</wp:posOffset>
            </wp:positionV>
            <wp:extent cx="2931795" cy="1423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31795" cy="142303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112395</wp:posOffset>
            </wp:positionV>
            <wp:extent cx="6772275" cy="5740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2275" cy="574040"/>
                    </a:xfrm>
                    <a:prstGeom prst="rect">
                      <a:avLst/>
                    </a:prstGeom>
                    <a:noFill/>
                  </pic:spPr>
                </pic:pic>
              </a:graphicData>
            </a:graphic>
          </wp:anchor>
        </w:drawing>
      </w:r>
    </w:p>
    <w:p>
      <w:pPr>
        <w:sectPr>
          <w:pgSz w:w="11920" w:h="16838" w:orient="portrait"/>
          <w:cols w:equalWidth="0" w:num="1">
            <w:col w:w="11220"/>
          </w:cols>
          <w:pgMar w:left="340" w:top="481" w:right="358" w:bottom="1440" w:gutter="0" w:footer="0" w:header="0"/>
        </w:sectPr>
      </w:pPr>
    </w:p>
    <w:bookmarkStart w:id="18" w:name="page19"/>
    <w:bookmarkEnd w:id="18"/>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772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47"/>
        <w:spacing w:after="0"/>
        <w:rPr>
          <w:sz w:val="20"/>
          <w:szCs w:val="20"/>
          <w:color w:val="auto"/>
        </w:rPr>
      </w:pPr>
      <w:r>
        <w:rPr>
          <w:rFonts w:ascii="Arial" w:cs="Arial" w:eastAsia="Arial" w:hAnsi="Arial"/>
          <w:sz w:val="22"/>
          <w:szCs w:val="22"/>
          <w:b w:val="1"/>
          <w:bCs w:val="1"/>
          <w:color w:val="FFFFFF"/>
        </w:rPr>
        <w:t>Credicorp’s Strategy Update</w:t>
      </w:r>
    </w:p>
    <w:p>
      <w:pPr>
        <w:spacing w:after="0" w:line="24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Integrating Sustainability into Our Businesses</w:t>
      </w:r>
    </w:p>
    <w:p>
      <w:pPr>
        <w:spacing w:after="0" w:line="33" w:lineRule="exact"/>
        <w:rPr>
          <w:sz w:val="20"/>
          <w:szCs w:val="20"/>
          <w:color w:val="auto"/>
        </w:rPr>
      </w:pPr>
    </w:p>
    <w:p>
      <w:pPr>
        <w:ind w:left="7" w:right="180"/>
        <w:spacing w:after="0" w:line="250" w:lineRule="auto"/>
        <w:rPr>
          <w:sz w:val="20"/>
          <w:szCs w:val="20"/>
          <w:color w:val="auto"/>
        </w:rPr>
      </w:pPr>
      <w:r>
        <w:rPr>
          <w:rFonts w:ascii="Arial" w:cs="Arial" w:eastAsia="Arial" w:hAnsi="Arial"/>
          <w:sz w:val="18"/>
          <w:szCs w:val="18"/>
          <w:color w:val="auto"/>
        </w:rPr>
        <w:t xml:space="preserve">We continue to successfully roll out our </w:t>
      </w:r>
      <w:r>
        <w:rPr>
          <w:rFonts w:ascii="Arial" w:cs="Arial" w:eastAsia="Arial" w:hAnsi="Arial"/>
          <w:sz w:val="18"/>
          <w:szCs w:val="18"/>
          <w:u w:val="single" w:color="auto"/>
          <w:color w:val="auto"/>
        </w:rPr>
        <w:t>Sustainability Strategy 2025–2030</w:t>
      </w:r>
      <w:r>
        <w:rPr>
          <w:rFonts w:ascii="Arial" w:cs="Arial" w:eastAsia="Arial" w:hAnsi="Arial"/>
          <w:sz w:val="18"/>
          <w:szCs w:val="18"/>
          <w:color w:val="auto"/>
        </w:rPr>
        <w:t>, whose impact plan includes three pillars (Inclusion, Finances for the Future, and Trust) and a transversal axis for our Country Vision. The main milestones reached in 4Q25 were:</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Inclusion</w:t>
      </w:r>
    </w:p>
    <w:p>
      <w:pPr>
        <w:spacing w:after="0" w:line="20" w:lineRule="exact"/>
        <w:rPr>
          <w:sz w:val="20"/>
          <w:szCs w:val="20"/>
          <w:color w:val="auto"/>
        </w:rPr>
      </w:pPr>
    </w:p>
    <w:p>
      <w:pPr>
        <w:jc w:val="both"/>
        <w:ind w:left="327" w:hanging="327"/>
        <w:spacing w:after="0" w:line="234" w:lineRule="auto"/>
        <w:tabs>
          <w:tab w:leader="none" w:pos="327" w:val="left"/>
        </w:tabs>
        <w:numPr>
          <w:ilvl w:val="0"/>
          <w:numId w:val="8"/>
        </w:numPr>
        <w:rPr>
          <w:rFonts w:ascii="Arial" w:cs="Arial" w:eastAsia="Arial" w:hAnsi="Arial"/>
          <w:sz w:val="18"/>
          <w:szCs w:val="18"/>
          <w:color w:val="auto"/>
        </w:rPr>
      </w:pPr>
      <w:r>
        <w:rPr>
          <w:rFonts w:ascii="Arial" w:cs="Arial" w:eastAsia="Arial" w:hAnsi="Arial"/>
          <w:sz w:val="18"/>
          <w:szCs w:val="18"/>
          <w:color w:val="auto"/>
        </w:rPr>
        <w:t>BCP and Yape financially included 200 thousand people in 4Q25, reaching a total of +6.6 million since 2020 (+17% vs 4T24). Our goal is to reach 8 million people by 2028. In 2025, more than 3.7 million people received loan disbursements through Yape, 799 thousand of whom were first-time borrowers in the formal financial system.</w:t>
      </w:r>
    </w:p>
    <w:p>
      <w:pPr>
        <w:spacing w:after="0" w:line="2" w:lineRule="exact"/>
        <w:rPr>
          <w:rFonts w:ascii="Arial" w:cs="Arial" w:eastAsia="Arial" w:hAnsi="Arial"/>
          <w:sz w:val="18"/>
          <w:szCs w:val="18"/>
          <w:color w:val="auto"/>
        </w:rPr>
      </w:pPr>
    </w:p>
    <w:p>
      <w:pPr>
        <w:ind w:left="327" w:hanging="327"/>
        <w:spacing w:after="0" w:line="187" w:lineRule="auto"/>
        <w:tabs>
          <w:tab w:leader="none" w:pos="327" w:val="left"/>
        </w:tabs>
        <w:numPr>
          <w:ilvl w:val="0"/>
          <w:numId w:val="8"/>
        </w:numPr>
        <w:rPr>
          <w:rFonts w:ascii="Arial" w:cs="Arial" w:eastAsia="Arial" w:hAnsi="Arial"/>
          <w:sz w:val="17"/>
          <w:szCs w:val="17"/>
          <w:color w:val="auto"/>
        </w:rPr>
      </w:pPr>
      <w:r>
        <w:rPr>
          <w:rFonts w:ascii="Arial" w:cs="Arial" w:eastAsia="Arial" w:hAnsi="Arial"/>
          <w:sz w:val="17"/>
          <w:szCs w:val="17"/>
          <w:color w:val="auto"/>
        </w:rPr>
        <w:t>Pacifico Seguros closed 4Q25 with 3 million clients included through inclusive insurance policies</w:t>
      </w:r>
      <w:r>
        <w:rPr>
          <w:rFonts w:ascii="Arial" w:cs="Arial" w:eastAsia="Arial" w:hAnsi="Arial"/>
          <w:sz w:val="28"/>
          <w:szCs w:val="28"/>
          <w:color w:val="auto"/>
          <w:vertAlign w:val="superscript"/>
        </w:rPr>
        <w:t>1</w:t>
      </w:r>
      <w:r>
        <w:rPr>
          <w:rFonts w:ascii="Arial" w:cs="Arial" w:eastAsia="Arial" w:hAnsi="Arial"/>
          <w:sz w:val="17"/>
          <w:szCs w:val="17"/>
          <w:color w:val="auto"/>
        </w:rPr>
        <w:t>, distributed through BCP, Mibanco, Yape and external alliances. Pacifico Salud insured +504 thousand people with inclusive health policies (+53% vs. 2024).</w:t>
      </w:r>
    </w:p>
    <w:p>
      <w:pPr>
        <w:spacing w:after="0" w:line="1" w:lineRule="exact"/>
        <w:rPr>
          <w:rFonts w:ascii="Arial" w:cs="Arial" w:eastAsia="Arial" w:hAnsi="Arial"/>
          <w:sz w:val="17"/>
          <w:szCs w:val="17"/>
          <w:color w:val="auto"/>
        </w:rPr>
      </w:pPr>
    </w:p>
    <w:p>
      <w:pPr>
        <w:jc w:val="both"/>
        <w:ind w:left="327" w:hanging="327"/>
        <w:spacing w:after="0" w:line="234" w:lineRule="auto"/>
        <w:tabs>
          <w:tab w:leader="none" w:pos="327"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expanding the reach of our financial education programs. At year-end, achievements included: i) “ABC del BCP,” which improved the financial behavior of +715 thousand people (+108% vs. 2024); ii) over 120,000 clients reached with the “Franco Mibanco” program in Colombia; iii) “Academia del Progreso” at Mibanco, which trained +517 thousand clients; and iv) “ABC de la Cultura Previsional” at Prima, which reached+1 million people at the end of 4Q25.</w:t>
      </w:r>
    </w:p>
    <w:p>
      <w:pPr>
        <w:spacing w:after="0" w:line="2" w:lineRule="exact"/>
        <w:rPr>
          <w:rFonts w:ascii="Arial" w:cs="Arial" w:eastAsia="Arial" w:hAnsi="Arial"/>
          <w:sz w:val="18"/>
          <w:szCs w:val="18"/>
          <w:color w:val="auto"/>
        </w:rPr>
      </w:pPr>
    </w:p>
    <w:p>
      <w:pPr>
        <w:jc w:val="both"/>
        <w:ind w:left="327" w:hanging="327"/>
        <w:spacing w:after="0" w:line="242" w:lineRule="auto"/>
        <w:tabs>
          <w:tab w:leader="none" w:pos="327" w:val="left"/>
        </w:tabs>
        <w:numPr>
          <w:ilvl w:val="0"/>
          <w:numId w:val="8"/>
        </w:numPr>
        <w:rPr>
          <w:rFonts w:ascii="Arial" w:cs="Arial" w:eastAsia="Arial" w:hAnsi="Arial"/>
          <w:sz w:val="18"/>
          <w:szCs w:val="18"/>
          <w:color w:val="auto"/>
        </w:rPr>
      </w:pPr>
      <w:r>
        <w:rPr>
          <w:rFonts w:ascii="Arial" w:cs="Arial" w:eastAsia="Arial" w:hAnsi="Arial"/>
          <w:sz w:val="18"/>
          <w:szCs w:val="18"/>
          <w:color w:val="auto"/>
        </w:rPr>
        <w:t>Mibanco Perú launched “Mibanco por Whatsapp,” a platform that integrates technology, artificial intelligence and human support to increase financial inclusion and access to banking services through the most widely used application among Micro, Small and Medium Enterprises (MSMEs).</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Finance for the future</w:t>
      </w:r>
    </w:p>
    <w:p>
      <w:pPr>
        <w:spacing w:after="0" w:line="15" w:lineRule="exact"/>
        <w:rPr>
          <w:sz w:val="20"/>
          <w:szCs w:val="20"/>
          <w:color w:val="auto"/>
        </w:rPr>
      </w:pPr>
    </w:p>
    <w:p>
      <w:pPr>
        <w:ind w:left="327" w:hanging="327"/>
        <w:spacing w:after="0"/>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On the </w:t>
      </w:r>
      <w:r>
        <w:rPr>
          <w:rFonts w:ascii="Arial" w:cs="Arial" w:eastAsia="Arial" w:hAnsi="Arial"/>
          <w:sz w:val="18"/>
          <w:szCs w:val="18"/>
          <w:b w:val="1"/>
          <w:bCs w:val="1"/>
          <w:color w:val="auto"/>
        </w:rPr>
        <w:t>Sustainable Finance</w:t>
      </w:r>
      <w:r>
        <w:rPr>
          <w:rFonts w:ascii="Arial" w:cs="Arial" w:eastAsia="Arial" w:hAnsi="Arial"/>
          <w:sz w:val="18"/>
          <w:szCs w:val="18"/>
          <w:color w:val="auto"/>
        </w:rPr>
        <w:t xml:space="preserve"> front, we progressed as follows:</w:t>
      </w:r>
    </w:p>
    <w:p>
      <w:pPr>
        <w:ind w:left="327" w:hanging="3"/>
        <w:spacing w:after="0" w:line="234" w:lineRule="auto"/>
        <w:tabs>
          <w:tab w:leader="none" w:pos="809" w:val="left"/>
        </w:tabs>
        <w:numPr>
          <w:ilvl w:val="1"/>
          <w:numId w:val="9"/>
        </w:numPr>
        <w:rPr>
          <w:rFonts w:ascii="Arial" w:cs="Arial" w:eastAsia="Arial" w:hAnsi="Arial"/>
          <w:sz w:val="16"/>
          <w:szCs w:val="16"/>
          <w:color w:val="auto"/>
        </w:rPr>
      </w:pPr>
      <w:r>
        <w:rPr>
          <w:rFonts w:ascii="Arial" w:cs="Arial" w:eastAsia="Arial" w:hAnsi="Arial"/>
          <w:sz w:val="18"/>
          <w:szCs w:val="18"/>
          <w:color w:val="auto"/>
        </w:rPr>
        <w:t>By the end of December, BCP had disbursed US$ 3,440 million in sustainable financing (environmental and social). This year, we focused on driving social financing and by year-end, one third of our sustainable financing was social.</w:t>
      </w:r>
    </w:p>
    <w:p>
      <w:pPr>
        <w:spacing w:after="0" w:line="1" w:lineRule="exact"/>
        <w:rPr>
          <w:rFonts w:ascii="Arial" w:cs="Arial" w:eastAsia="Arial" w:hAnsi="Arial"/>
          <w:sz w:val="16"/>
          <w:szCs w:val="16"/>
          <w:color w:val="auto"/>
        </w:rPr>
      </w:pPr>
    </w:p>
    <w:p>
      <w:pPr>
        <w:jc w:val="both"/>
        <w:ind w:left="327" w:hanging="3"/>
        <w:spacing w:after="0" w:line="216" w:lineRule="exact"/>
        <w:tabs>
          <w:tab w:leader="none" w:pos="724" w:val="left"/>
        </w:tabs>
        <w:numPr>
          <w:ilvl w:val="1"/>
          <w:numId w:val="9"/>
        </w:numPr>
        <w:rPr>
          <w:rFonts w:ascii="Arial" w:cs="Arial" w:eastAsia="Arial" w:hAnsi="Arial"/>
          <w:sz w:val="16"/>
          <w:szCs w:val="16"/>
          <w:color w:val="auto"/>
        </w:rPr>
      </w:pPr>
      <w:r>
        <w:rPr>
          <w:rFonts w:ascii="Arial" w:cs="Arial" w:eastAsia="Arial" w:hAnsi="Arial"/>
          <w:sz w:val="18"/>
          <w:szCs w:val="18"/>
          <w:color w:val="auto"/>
        </w:rPr>
        <w:t>BCP Peru executed the first sustainable deposit carried out by a Peruvian bank, in collaboration with a mining company. The funds will finance projects with positive socio</w:t>
      </w:r>
      <w:r>
        <w:rPr>
          <w:rFonts w:ascii="MS PGothic" w:cs="MS PGothic" w:eastAsia="MS PGothic" w:hAnsi="MS PGothic"/>
          <w:sz w:val="18"/>
          <w:szCs w:val="18"/>
          <w:color w:val="auto"/>
        </w:rPr>
        <w:t>‑</w:t>
      </w:r>
      <w:r>
        <w:rPr>
          <w:rFonts w:ascii="Arial" w:cs="Arial" w:eastAsia="Arial" w:hAnsi="Arial"/>
          <w:sz w:val="18"/>
          <w:szCs w:val="18"/>
          <w:color w:val="auto"/>
        </w:rPr>
        <w:t>environmental impact aligned with the bank’s sustainable financing framework and green taxonomy.</w:t>
      </w:r>
    </w:p>
    <w:p>
      <w:pPr>
        <w:spacing w:after="0" w:line="1" w:lineRule="exact"/>
        <w:rPr>
          <w:rFonts w:ascii="Arial" w:cs="Arial" w:eastAsia="Arial" w:hAnsi="Arial"/>
          <w:sz w:val="16"/>
          <w:szCs w:val="16"/>
          <w:color w:val="auto"/>
        </w:rPr>
      </w:pPr>
    </w:p>
    <w:p>
      <w:pPr>
        <w:ind w:left="327" w:hanging="3"/>
        <w:spacing w:after="0" w:line="234" w:lineRule="auto"/>
        <w:tabs>
          <w:tab w:leader="none" w:pos="853" w:val="left"/>
        </w:tabs>
        <w:numPr>
          <w:ilvl w:val="1"/>
          <w:numId w:val="9"/>
        </w:numPr>
        <w:rPr>
          <w:rFonts w:ascii="Arial" w:cs="Arial" w:eastAsia="Arial" w:hAnsi="Arial"/>
          <w:sz w:val="16"/>
          <w:szCs w:val="16"/>
          <w:color w:val="auto"/>
        </w:rPr>
      </w:pPr>
      <w:r>
        <w:rPr>
          <w:rFonts w:ascii="Arial" w:cs="Arial" w:eastAsia="Arial" w:hAnsi="Arial"/>
          <w:sz w:val="18"/>
          <w:szCs w:val="18"/>
          <w:color w:val="auto"/>
        </w:rPr>
        <w:t>Mibanco Peru, through its Crediagua product, focused on broadening access to drinking water and sanitation, disbursed S/ 852 million in 2025 to benefit +49 thousand people.</w:t>
      </w:r>
    </w:p>
    <w:p>
      <w:pPr>
        <w:spacing w:after="0" w:line="1" w:lineRule="exact"/>
        <w:rPr>
          <w:rFonts w:ascii="Arial" w:cs="Arial" w:eastAsia="Arial" w:hAnsi="Arial"/>
          <w:sz w:val="16"/>
          <w:szCs w:val="16"/>
          <w:color w:val="auto"/>
        </w:rPr>
      </w:pPr>
    </w:p>
    <w:p>
      <w:pPr>
        <w:ind w:left="327" w:hanging="3"/>
        <w:spacing w:after="0" w:line="234" w:lineRule="auto"/>
        <w:tabs>
          <w:tab w:leader="none" w:pos="599" w:val="left"/>
        </w:tabs>
        <w:numPr>
          <w:ilvl w:val="1"/>
          <w:numId w:val="9"/>
        </w:numPr>
        <w:rPr>
          <w:rFonts w:ascii="Arial" w:cs="Arial" w:eastAsia="Arial" w:hAnsi="Arial"/>
          <w:sz w:val="16"/>
          <w:szCs w:val="16"/>
          <w:color w:val="auto"/>
        </w:rPr>
      </w:pPr>
      <w:r>
        <w:rPr>
          <w:rFonts w:ascii="Arial" w:cs="Arial" w:eastAsia="Arial" w:hAnsi="Arial"/>
          <w:sz w:val="18"/>
          <w:szCs w:val="18"/>
          <w:color w:val="auto"/>
        </w:rPr>
        <w:t>Credicorp Capital increased ESG analysis and monitoring coverage across its portfolio, reaching 74% of assets under management in 2025, compared to 44% in the previous year.</w:t>
      </w:r>
    </w:p>
    <w:p>
      <w:pPr>
        <w:spacing w:after="0" w:line="1" w:lineRule="exact"/>
        <w:rPr>
          <w:rFonts w:ascii="Arial" w:cs="Arial" w:eastAsia="Arial" w:hAnsi="Arial"/>
          <w:sz w:val="16"/>
          <w:szCs w:val="16"/>
          <w:color w:val="auto"/>
        </w:rPr>
      </w:pPr>
    </w:p>
    <w:p>
      <w:pPr>
        <w:ind w:left="327" w:hanging="327"/>
        <w:spacing w:after="0" w:line="234"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On the front of </w:t>
      </w:r>
      <w:r>
        <w:rPr>
          <w:rFonts w:ascii="Arial" w:cs="Arial" w:eastAsia="Arial" w:hAnsi="Arial"/>
          <w:sz w:val="18"/>
          <w:szCs w:val="18"/>
          <w:b w:val="1"/>
          <w:bCs w:val="1"/>
          <w:color w:val="auto"/>
        </w:rPr>
        <w:t>Support to MSMEs</w:t>
      </w:r>
      <w:r>
        <w:rPr>
          <w:rFonts w:ascii="Arial" w:cs="Arial" w:eastAsia="Arial" w:hAnsi="Arial"/>
          <w:sz w:val="18"/>
          <w:szCs w:val="18"/>
          <w:color w:val="auto"/>
        </w:rPr>
        <w:t>, we made the following progress:</w:t>
      </w:r>
    </w:p>
    <w:p>
      <w:pPr>
        <w:ind w:left="687" w:hanging="363"/>
        <w:spacing w:after="0" w:line="234" w:lineRule="auto"/>
        <w:tabs>
          <w:tab w:leader="none" w:pos="687" w:val="left"/>
        </w:tabs>
        <w:numPr>
          <w:ilvl w:val="1"/>
          <w:numId w:val="9"/>
        </w:numPr>
        <w:rPr>
          <w:rFonts w:ascii="Arial" w:cs="Arial" w:eastAsia="Arial" w:hAnsi="Arial"/>
          <w:sz w:val="18"/>
          <w:szCs w:val="18"/>
          <w:color w:val="auto"/>
        </w:rPr>
      </w:pPr>
      <w:r>
        <w:rPr>
          <w:rFonts w:ascii="Arial" w:cs="Arial" w:eastAsia="Arial" w:hAnsi="Arial"/>
          <w:sz w:val="18"/>
          <w:szCs w:val="18"/>
          <w:color w:val="auto"/>
        </w:rPr>
        <w:t>Mibanco Peru disbursed loans to +880 thousand clients, for a total of S/16,256 million at the end of 4Q25.</w:t>
      </w:r>
    </w:p>
    <w:p>
      <w:pPr>
        <w:ind w:left="327" w:right="420" w:hanging="3"/>
        <w:spacing w:after="0" w:line="234" w:lineRule="auto"/>
        <w:tabs>
          <w:tab w:leader="none" w:pos="725" w:val="left"/>
        </w:tabs>
        <w:numPr>
          <w:ilvl w:val="1"/>
          <w:numId w:val="9"/>
        </w:numPr>
        <w:rPr>
          <w:rFonts w:ascii="Arial" w:cs="Arial" w:eastAsia="Arial" w:hAnsi="Arial"/>
          <w:sz w:val="16"/>
          <w:szCs w:val="16"/>
          <w:color w:val="auto"/>
        </w:rPr>
      </w:pPr>
      <w:r>
        <w:rPr>
          <w:rFonts w:ascii="Arial" w:cs="Arial" w:eastAsia="Arial" w:hAnsi="Arial"/>
          <w:sz w:val="18"/>
          <w:szCs w:val="18"/>
          <w:color w:val="auto"/>
        </w:rPr>
        <w:t>The initiative “Contigo Emprendedor” at BCP Peru provided accompaniment in 2025 to more than 201 thousand MSMEs clients through advisory programs that focus on strengthening their financial management.</w:t>
      </w:r>
    </w:p>
    <w:p>
      <w:pPr>
        <w:spacing w:after="0" w:line="1" w:lineRule="exact"/>
        <w:rPr>
          <w:rFonts w:ascii="Arial" w:cs="Arial" w:eastAsia="Arial" w:hAnsi="Arial"/>
          <w:sz w:val="16"/>
          <w:szCs w:val="16"/>
          <w:color w:val="auto"/>
        </w:rPr>
      </w:pPr>
    </w:p>
    <w:p>
      <w:pPr>
        <w:ind w:left="687" w:hanging="363"/>
        <w:spacing w:after="0" w:line="234" w:lineRule="auto"/>
        <w:tabs>
          <w:tab w:leader="none" w:pos="687" w:val="left"/>
        </w:tabs>
        <w:numPr>
          <w:ilvl w:val="1"/>
          <w:numId w:val="9"/>
        </w:numPr>
        <w:rPr>
          <w:rFonts w:ascii="Arial" w:cs="Arial" w:eastAsia="Arial" w:hAnsi="Arial"/>
          <w:sz w:val="18"/>
          <w:szCs w:val="18"/>
          <w:color w:val="auto"/>
        </w:rPr>
      </w:pPr>
      <w:r>
        <w:rPr>
          <w:rFonts w:ascii="Arial" w:cs="Arial" w:eastAsia="Arial" w:hAnsi="Arial"/>
          <w:sz w:val="18"/>
          <w:szCs w:val="18"/>
          <w:color w:val="auto"/>
        </w:rPr>
        <w:t>Yape disbursed more than S/1,800 million in micro-loans to more than 1.4 million microbusinesses in 4Q25.</w:t>
      </w:r>
    </w:p>
    <w:p>
      <w:pPr>
        <w:ind w:left="327" w:right="120" w:hanging="327"/>
        <w:spacing w:after="0" w:line="250"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On the </w:t>
      </w:r>
      <w:r>
        <w:rPr>
          <w:rFonts w:ascii="Arial" w:cs="Arial" w:eastAsia="Arial" w:hAnsi="Arial"/>
          <w:sz w:val="18"/>
          <w:szCs w:val="18"/>
          <w:b w:val="1"/>
          <w:bCs w:val="1"/>
          <w:color w:val="auto"/>
        </w:rPr>
        <w:t>Resilience</w:t>
      </w:r>
      <w:r>
        <w:rPr>
          <w:rFonts w:ascii="Arial" w:cs="Arial" w:eastAsia="Arial" w:hAnsi="Arial"/>
          <w:sz w:val="18"/>
          <w:szCs w:val="18"/>
          <w:color w:val="auto"/>
        </w:rPr>
        <w:t xml:space="preserve"> front, Pacífico reached more than 574,000 people in 2025 through programs such as “ABC de Pacífico,” “Comunidad Segura,” and “Protege365.”</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Trust</w:t>
      </w:r>
    </w:p>
    <w:p>
      <w:pPr>
        <w:spacing w:after="0" w:line="20" w:lineRule="exact"/>
        <w:rPr>
          <w:sz w:val="20"/>
          <w:szCs w:val="20"/>
          <w:color w:val="auto"/>
        </w:rPr>
      </w:pPr>
    </w:p>
    <w:p>
      <w:pPr>
        <w:jc w:val="both"/>
        <w:ind w:left="327" w:hanging="327"/>
        <w:spacing w:after="0" w:line="200" w:lineRule="auto"/>
        <w:tabs>
          <w:tab w:leader="none" w:pos="3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BCP Peru executed five education infrastructure projects through the Taxes for Works mechanism. This year, BCP and the Regional Government of Cusco received the “OXI Raymi 2025” award from ProInversion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the category of Highest Investment in Education. This award recognizes outstanding contributions to educational development.</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table below summarizes our main results:</w:t>
      </w:r>
    </w:p>
    <w:p>
      <w:pPr>
        <w:spacing w:after="0" w:line="18" w:lineRule="exact"/>
        <w:rPr>
          <w:sz w:val="20"/>
          <w:szCs w:val="20"/>
          <w:color w:val="auto"/>
        </w:rPr>
      </w:pPr>
    </w:p>
    <w:tbl>
      <w:tblPr>
        <w:tblLayout w:type="fixed"/>
        <w:tblInd w:w="17" w:type="dxa"/>
        <w:tblCellMar>
          <w:top w:w="0" w:type="dxa"/>
          <w:left w:w="0" w:type="dxa"/>
          <w:bottom w:w="0" w:type="dxa"/>
          <w:right w:w="0" w:type="dxa"/>
        </w:tblCellMar>
      </w:tblPr>
      <w:tr>
        <w:trPr>
          <w:trHeight w:val="196"/>
        </w:trPr>
        <w:tc>
          <w:tcPr>
            <w:tcW w:w="5640" w:type="dxa"/>
            <w:vAlign w:val="bottom"/>
            <w:tcBorders>
              <w:top w:val="single" w:sz="8" w:color="auto"/>
              <w:left w:val="single" w:sz="8" w:color="auto"/>
              <w:bottom w:val="single" w:sz="8" w:color="auto"/>
              <w:right w:val="single" w:sz="8" w:color="auto"/>
            </w:tcBorders>
            <w:shd w:val="clear" w:color="auto" w:fill="33CCCC"/>
          </w:tcPr>
          <w:p>
            <w:pPr>
              <w:ind w:left="2520"/>
              <w:spacing w:after="0"/>
              <w:rPr>
                <w:sz w:val="20"/>
                <w:szCs w:val="20"/>
                <w:color w:val="auto"/>
              </w:rPr>
            </w:pPr>
            <w:r>
              <w:rPr>
                <w:rFonts w:ascii="Arial" w:cs="Arial" w:eastAsia="Arial" w:hAnsi="Arial"/>
                <w:sz w:val="16"/>
                <w:szCs w:val="16"/>
                <w:b w:val="1"/>
                <w:bCs w:val="1"/>
                <w:color w:val="FFFFFF"/>
              </w:rPr>
              <w:t>Indicator</w:t>
            </w:r>
          </w:p>
        </w:tc>
        <w:tc>
          <w:tcPr>
            <w:tcW w:w="15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Company</w:t>
            </w:r>
          </w:p>
        </w:tc>
        <w:tc>
          <w:tcPr>
            <w:tcW w:w="10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Unit</w:t>
            </w:r>
          </w:p>
        </w:tc>
        <w:tc>
          <w:tcPr>
            <w:tcW w:w="100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2023</w:t>
            </w:r>
          </w:p>
        </w:tc>
        <w:tc>
          <w:tcPr>
            <w:tcW w:w="10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2024</w:t>
            </w:r>
          </w:p>
        </w:tc>
        <w:tc>
          <w:tcPr>
            <w:tcW w:w="102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2025</w:t>
            </w:r>
          </w:p>
        </w:tc>
      </w:tr>
      <w:tr>
        <w:trPr>
          <w:trHeight w:val="196"/>
        </w:trPr>
        <w:tc>
          <w:tcPr>
            <w:tcW w:w="5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Inclusion</w:t>
            </w:r>
          </w:p>
        </w:tc>
        <w:tc>
          <w:tcPr>
            <w:tcW w:w="1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r>
      <w:tr>
        <w:trPr>
          <w:trHeight w:val="196"/>
        </w:trPr>
        <w:tc>
          <w:tcPr>
            <w:tcW w:w="56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4"/>
                <w:szCs w:val="14"/>
                <w:color w:val="auto"/>
              </w:rPr>
              <w:t>People included financially through BCP and Yape – cumulative since 2020</w:t>
            </w:r>
            <w:r>
              <w:rPr>
                <w:rFonts w:ascii="Arial" w:cs="Arial" w:eastAsia="Arial" w:hAnsi="Arial"/>
                <w:sz w:val="22"/>
                <w:szCs w:val="22"/>
                <w:color w:val="auto"/>
                <w:vertAlign w:val="superscript"/>
              </w:rPr>
              <w:t>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BCP Peru and Yape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Millions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6.6</w:t>
            </w:r>
          </w:p>
        </w:tc>
      </w:tr>
      <w:tr>
        <w:trPr>
          <w:trHeight w:val="196"/>
        </w:trPr>
        <w:tc>
          <w:tcPr>
            <w:tcW w:w="56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4"/>
                <w:szCs w:val="14"/>
                <w:color w:val="auto"/>
              </w:rPr>
              <w:t>Clients included in inclusive insurance services</w:t>
            </w:r>
            <w:r>
              <w:rPr>
                <w:rFonts w:ascii="Arial" w:cs="Arial" w:eastAsia="Arial" w:hAnsi="Arial"/>
                <w:sz w:val="22"/>
                <w:szCs w:val="22"/>
                <w:color w:val="auto"/>
                <w:vertAlign w:val="superscript"/>
              </w:rPr>
              <w:t>4</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Pacifico</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Millions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3.0</w:t>
            </w:r>
          </w:p>
        </w:tc>
      </w:tr>
      <w:tr>
        <w:trPr>
          <w:trHeight w:val="196"/>
        </w:trPr>
        <w:tc>
          <w:tcPr>
            <w:tcW w:w="56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Finance for the Future</w:t>
            </w:r>
          </w:p>
        </w:tc>
        <w:tc>
          <w:tcPr>
            <w:tcW w:w="1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r>
      <w:tr>
        <w:trPr>
          <w:trHeight w:val="196"/>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Total loan disbursements for MSMEs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Mibanco Peru</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 Millions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15,333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13,801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16,256</w:t>
            </w:r>
          </w:p>
        </w:tc>
      </w:tr>
      <w:tr>
        <w:trPr>
          <w:trHeight w:val="196"/>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Disbursements of sustainable financings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BCP Peru</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 Millions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1600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2152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201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87" w:hanging="87"/>
        <w:spacing w:after="0"/>
        <w:tabs>
          <w:tab w:leader="none" w:pos="87"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Simple and affordable optional insurance products with single or monthly payments of S/40 or less.</w:t>
      </w:r>
    </w:p>
    <w:p>
      <w:pPr>
        <w:ind w:left="87" w:hanging="87"/>
        <w:spacing w:after="0" w:line="187" w:lineRule="auto"/>
        <w:tabs>
          <w:tab w:leader="none" w:pos="87" w:val="left"/>
        </w:tabs>
        <w:numPr>
          <w:ilvl w:val="0"/>
          <w:numId w:val="12"/>
        </w:numPr>
        <w:rPr>
          <w:rFonts w:ascii="Arial" w:cs="Arial" w:eastAsia="Arial" w:hAnsi="Arial"/>
          <w:sz w:val="15"/>
          <w:szCs w:val="15"/>
          <w:color w:val="auto"/>
          <w:vertAlign w:val="superscript"/>
        </w:rPr>
      </w:pPr>
      <w:r>
        <w:rPr>
          <w:rFonts w:ascii="Arial" w:cs="Arial" w:eastAsia="Arial" w:hAnsi="Arial"/>
          <w:sz w:val="9"/>
          <w:szCs w:val="9"/>
          <w:color w:val="auto"/>
        </w:rPr>
        <w:t>A Peruvian government agency responsible for promoting private investment in public infrastructure and public services.</w:t>
      </w:r>
    </w:p>
    <w:p>
      <w:pPr>
        <w:spacing w:after="0" w:line="1" w:lineRule="exact"/>
        <w:rPr>
          <w:sz w:val="20"/>
          <w:szCs w:val="20"/>
          <w:color w:val="auto"/>
        </w:rPr>
      </w:pPr>
    </w:p>
    <w:p>
      <w:pPr>
        <w:ind w:left="7" w:hanging="7"/>
        <w:spacing w:after="0" w:line="188" w:lineRule="auto"/>
        <w:tabs>
          <w:tab w:leader="none" w:pos="94" w:val="left"/>
        </w:tabs>
        <w:numPr>
          <w:ilvl w:val="0"/>
          <w:numId w:val="13"/>
        </w:numPr>
        <w:rPr>
          <w:rFonts w:ascii="Arial" w:cs="Arial" w:eastAsia="Arial" w:hAnsi="Arial"/>
          <w:sz w:val="19"/>
          <w:szCs w:val="19"/>
          <w:color w:val="auto"/>
          <w:vertAlign w:val="superscript"/>
        </w:rPr>
      </w:pPr>
      <w:r>
        <w:rPr>
          <w:rFonts w:ascii="Arial" w:cs="Arial" w:eastAsia="Arial" w:hAnsi="Arial"/>
          <w:sz w:val="12"/>
          <w:szCs w:val="12"/>
          <w:color w:val="auto"/>
        </w:rPr>
        <w:t>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w:t>
      </w:r>
    </w:p>
    <w:p>
      <w:pPr>
        <w:ind w:left="7"/>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4</w:t>
      </w:r>
      <w:r>
        <w:rPr>
          <w:rFonts w:ascii="Arial" w:cs="Arial" w:eastAsia="Arial" w:hAnsi="Arial"/>
          <w:sz w:val="12"/>
          <w:szCs w:val="12"/>
          <w:color w:val="auto"/>
        </w:rPr>
        <w:t xml:space="preserve"> Stock of included clients: individuals with insurance products costing up to 40 soles who belong to the mass or consumer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682625</wp:posOffset>
            </wp:positionV>
            <wp:extent cx="71577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31115</wp:posOffset>
            </wp:positionV>
            <wp:extent cx="6780530" cy="548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80530" cy="548640"/>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19" w:name="page20"/>
    <w:bookmarkEnd w:id="19"/>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95" w:lineRule="exact"/>
        <w:rPr>
          <w:sz w:val="20"/>
          <w:szCs w:val="20"/>
          <w:color w:val="auto"/>
        </w:rPr>
      </w:pPr>
    </w:p>
    <w:p>
      <w:pPr>
        <w:ind w:left="7"/>
        <w:spacing w:after="0"/>
        <w:rPr>
          <w:sz w:val="20"/>
          <w:szCs w:val="20"/>
          <w:color w:val="auto"/>
        </w:rPr>
      </w:pPr>
      <w:r>
        <w:rPr>
          <w:rFonts w:ascii="Arial" w:cs="Arial" w:eastAsia="Arial" w:hAnsi="Arial"/>
          <w:sz w:val="52"/>
          <w:szCs w:val="52"/>
          <w:b w:val="1"/>
          <w:bCs w:val="1"/>
          <w:color w:val="E93BAC"/>
        </w:rPr>
        <w:t xml:space="preserve">01 </w:t>
      </w:r>
      <w:r>
        <w:rPr>
          <w:rFonts w:ascii="Arial" w:cs="Arial" w:eastAsia="Arial" w:hAnsi="Arial"/>
          <w:sz w:val="32"/>
          <w:szCs w:val="32"/>
          <w:color w:val="E93BAC"/>
        </w:rPr>
        <w:t>Loan Portfolio</w:t>
      </w:r>
    </w:p>
    <w:p>
      <w:pPr>
        <w:spacing w:after="0" w:line="69" w:lineRule="exact"/>
        <w:rPr>
          <w:sz w:val="20"/>
          <w:szCs w:val="20"/>
          <w:color w:val="auto"/>
        </w:rPr>
      </w:pPr>
    </w:p>
    <w:p>
      <w:pPr>
        <w:ind w:left="107" w:right="420"/>
        <w:spacing w:after="0" w:line="250" w:lineRule="auto"/>
        <w:rPr>
          <w:sz w:val="20"/>
          <w:szCs w:val="20"/>
          <w:color w:val="auto"/>
        </w:rPr>
      </w:pPr>
      <w:r>
        <w:rPr>
          <w:rFonts w:ascii="Arial" w:cs="Arial" w:eastAsia="Arial" w:hAnsi="Arial"/>
          <w:sz w:val="18"/>
          <w:szCs w:val="18"/>
          <w:color w:val="FFFFFF"/>
        </w:rPr>
        <w:t>Total loans expanded 3.6% QoQ and 2.9% YoY. Excluding the impact of an accounting adjustment at BCP Bolivia and the impact of the depreciation of the USD against PEN, total loans rose 3.1% QoQ and 8.5%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157720" cy="13633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1363345"/>
                    </a:xfrm>
                    <a:prstGeom prst="rect">
                      <a:avLst/>
                    </a:prstGeom>
                    <a:noFill/>
                  </pic:spPr>
                </pic:pic>
              </a:graphicData>
            </a:graphic>
          </wp:anchor>
        </w:drawing>
      </w:r>
    </w:p>
    <w:p>
      <w:pPr>
        <w:spacing w:after="0" w:line="161" w:lineRule="exact"/>
        <w:rPr>
          <w:sz w:val="20"/>
          <w:szCs w:val="20"/>
          <w:color w:val="auto"/>
        </w:rPr>
      </w:pPr>
    </w:p>
    <w:p>
      <w:pPr>
        <w:ind w:left="107" w:right="240"/>
        <w:spacing w:after="0" w:line="276" w:lineRule="auto"/>
        <w:rPr>
          <w:sz w:val="20"/>
          <w:szCs w:val="20"/>
          <w:color w:val="auto"/>
        </w:rPr>
      </w:pPr>
      <w:r>
        <w:rPr>
          <w:rFonts w:ascii="Arial" w:cs="Arial" w:eastAsia="Arial" w:hAnsi="Arial"/>
          <w:sz w:val="18"/>
          <w:szCs w:val="18"/>
          <w:color w:val="FFFFFF"/>
        </w:rPr>
        <w:t>QoQ, the main drivers of this evolution were (i) growth in SME loan disbursements, (ii) an increase in the demand for Mortgage loans and (iii) a new record high for loan disbursements at Mibanco, registered in the month of October.</w:t>
      </w:r>
    </w:p>
    <w:p>
      <w:pPr>
        <w:spacing w:after="0" w:line="212" w:lineRule="exact"/>
        <w:rPr>
          <w:sz w:val="20"/>
          <w:szCs w:val="20"/>
          <w:color w:val="auto"/>
        </w:rPr>
      </w:pPr>
    </w:p>
    <w:p>
      <w:pPr>
        <w:jc w:val="both"/>
        <w:ind w:left="107" w:right="340"/>
        <w:spacing w:after="0" w:line="255" w:lineRule="auto"/>
        <w:rPr>
          <w:sz w:val="20"/>
          <w:szCs w:val="20"/>
          <w:color w:val="auto"/>
        </w:rPr>
      </w:pPr>
      <w:r>
        <w:rPr>
          <w:rFonts w:ascii="Arial" w:cs="Arial" w:eastAsia="Arial" w:hAnsi="Arial"/>
          <w:sz w:val="18"/>
          <w:szCs w:val="18"/>
          <w:color w:val="FFFFFF"/>
        </w:rPr>
        <w:t>YoY, total loans increased 8.5% at a Neutral exchange rate, bolstered by economic reactivation throughout the year. The main dynamics that drove this growth were: (i) an uptick in Mortgage loan disbursements and an increase in the appetite for risk in Consumer, (ii) higher demand for long-term financing in Wholesale Banking and (iii) growth in loan disbursements at Mibanco.</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Evolution of Loans in Quarter-end Balances</w:t>
      </w:r>
    </w:p>
    <w:p>
      <w:pPr>
        <w:spacing w:after="0" w:line="185" w:lineRule="exact"/>
        <w:rPr>
          <w:sz w:val="20"/>
          <w:szCs w:val="20"/>
          <w:color w:val="auto"/>
        </w:rPr>
      </w:pPr>
    </w:p>
    <w:p>
      <w:pPr>
        <w:jc w:val="both"/>
        <w:ind w:left="7"/>
        <w:spacing w:after="0" w:line="211" w:lineRule="auto"/>
        <w:rPr>
          <w:sz w:val="20"/>
          <w:szCs w:val="20"/>
          <w:color w:val="auto"/>
        </w:rPr>
      </w:pPr>
      <w:r>
        <w:rPr>
          <w:rFonts w:ascii="Arial" w:cs="Arial" w:eastAsia="Arial" w:hAnsi="Arial"/>
          <w:sz w:val="18"/>
          <w:szCs w:val="18"/>
          <w:color w:val="auto"/>
        </w:rPr>
        <w:t xml:space="preserve">This quarter, total loans in quarter-end balances rose 3.6% and 2.9%,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w:t>
      </w:r>
      <w:r>
        <w:rPr>
          <w:rFonts w:ascii="Arial" w:cs="Arial" w:eastAsia="Arial" w:hAnsi="Arial"/>
          <w:sz w:val="18"/>
          <w:szCs w:val="18"/>
          <w:b w:val="1"/>
          <w:bCs w:val="1"/>
          <w:color w:val="auto"/>
        </w:rPr>
        <w:t>YoY</w:t>
      </w:r>
      <w:r>
        <w:rPr>
          <w:rFonts w:ascii="Arial" w:cs="Arial" w:eastAsia="Arial" w:hAnsi="Arial"/>
          <w:sz w:val="18"/>
          <w:szCs w:val="18"/>
          <w:color w:val="auto"/>
        </w:rPr>
        <w:t xml:space="preserve">, respectively. Both evolutions were impacted by asset revaluation at </w:t>
      </w:r>
      <w:r>
        <w:rPr>
          <w:rFonts w:ascii="Arial" w:cs="Arial" w:eastAsia="Arial" w:hAnsi="Arial"/>
          <w:sz w:val="18"/>
          <w:szCs w:val="18"/>
          <w:b w:val="1"/>
          <w:bCs w:val="1"/>
          <w:color w:val="auto"/>
        </w:rPr>
        <w:t>BCP Bolivia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Excluding this impact and the depreciation of USD against PEN, which provides a clearer view of commercial management, loans in quarter-end balances increased 3.1%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8.5% </w:t>
      </w:r>
      <w:r>
        <w:rPr>
          <w:rFonts w:ascii="Arial" w:cs="Arial" w:eastAsia="Arial" w:hAnsi="Arial"/>
          <w:sz w:val="18"/>
          <w:szCs w:val="18"/>
          <w:b w:val="1"/>
          <w:bCs w:val="1"/>
          <w:color w:val="auto"/>
        </w:rPr>
        <w:t>YoY</w:t>
      </w:r>
      <w:r>
        <w:rPr>
          <w:rFonts w:ascii="Arial" w:cs="Arial" w:eastAsia="Arial" w:hAnsi="Arial"/>
          <w:sz w:val="18"/>
          <w:szCs w:val="18"/>
          <w:color w:val="auto"/>
        </w:rPr>
        <w:t>.</w:t>
      </w:r>
    </w:p>
    <w:p>
      <w:pPr>
        <w:spacing w:after="0" w:line="139"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Total loans (in Quarter-end balances)</w:t>
      </w:r>
    </w:p>
    <w:p>
      <w:pPr>
        <w:spacing w:after="0" w:line="20" w:lineRule="exact"/>
        <w:rPr>
          <w:sz w:val="20"/>
          <w:szCs w:val="20"/>
          <w:color w:val="auto"/>
        </w:rPr>
      </w:pPr>
    </w:p>
    <w:tbl>
      <w:tblPr>
        <w:tblLayout w:type="fixed"/>
        <w:tblInd w:w="17" w:type="dxa"/>
        <w:tblCellMar>
          <w:top w:w="0" w:type="dxa"/>
          <w:left w:w="0" w:type="dxa"/>
          <w:bottom w:w="0" w:type="dxa"/>
          <w:right w:w="0" w:type="dxa"/>
        </w:tblCellMar>
      </w:tblPr>
      <w:tr>
        <w:trPr>
          <w:trHeight w:val="105"/>
        </w:trPr>
        <w:tc>
          <w:tcPr>
            <w:tcW w:w="3180" w:type="dxa"/>
            <w:vAlign w:val="bottom"/>
            <w:tcBorders>
              <w:top w:val="single" w:sz="8" w:color="auto"/>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3"/>
                <w:szCs w:val="13"/>
                <w:b w:val="1"/>
                <w:bCs w:val="1"/>
                <w:color w:val="FFFFFF"/>
              </w:rPr>
              <w:t>Total Loans</w:t>
            </w:r>
          </w:p>
        </w:tc>
        <w:tc>
          <w:tcPr>
            <w:tcW w:w="880" w:type="dxa"/>
            <w:vAlign w:val="bottom"/>
            <w:tcBorders>
              <w:top w:val="single" w:sz="8" w:color="auto"/>
            </w:tcBorders>
            <w:shd w:val="clear" w:color="auto" w:fill="33CCCC"/>
          </w:tcPr>
          <w:p>
            <w:pPr>
              <w:spacing w:after="0"/>
              <w:rPr>
                <w:sz w:val="9"/>
                <w:szCs w:val="9"/>
                <w:color w:val="auto"/>
              </w:rPr>
            </w:pPr>
          </w:p>
        </w:tc>
        <w:tc>
          <w:tcPr>
            <w:tcW w:w="90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13"/>
                <w:szCs w:val="13"/>
                <w:b w:val="1"/>
                <w:bCs w:val="1"/>
                <w:color w:val="FFFFFF"/>
                <w:w w:val="98"/>
              </w:rPr>
              <w:t>As of</w:t>
            </w:r>
          </w:p>
        </w:tc>
        <w:tc>
          <w:tcPr>
            <w:tcW w:w="920" w:type="dxa"/>
            <w:vAlign w:val="bottom"/>
            <w:tcBorders>
              <w:top w:val="single" w:sz="8" w:color="auto"/>
              <w:right w:val="single" w:sz="8" w:color="auto"/>
            </w:tcBorders>
            <w:shd w:val="clear" w:color="auto" w:fill="33CCCC"/>
          </w:tcPr>
          <w:p>
            <w:pPr>
              <w:spacing w:after="0"/>
              <w:rPr>
                <w:sz w:val="9"/>
                <w:szCs w:val="9"/>
                <w:color w:val="auto"/>
              </w:rPr>
            </w:pPr>
          </w:p>
        </w:tc>
        <w:tc>
          <w:tcPr>
            <w:tcW w:w="1820" w:type="dxa"/>
            <w:vAlign w:val="bottom"/>
            <w:tcBorders>
              <w:top w:val="single" w:sz="8" w:color="auto"/>
              <w:right w:val="single" w:sz="8" w:color="auto"/>
            </w:tcBorders>
            <w:gridSpan w:val="2"/>
            <w:vMerge w:val="restart"/>
            <w:shd w:val="clear" w:color="auto" w:fill="33CCCC"/>
          </w:tcPr>
          <w:p>
            <w:pPr>
              <w:ind w:left="600"/>
              <w:spacing w:after="0"/>
              <w:rPr>
                <w:sz w:val="20"/>
                <w:szCs w:val="20"/>
                <w:color w:val="auto"/>
              </w:rPr>
            </w:pPr>
            <w:r>
              <w:rPr>
                <w:rFonts w:ascii="Arial" w:cs="Arial" w:eastAsia="Arial" w:hAnsi="Arial"/>
                <w:sz w:val="13"/>
                <w:szCs w:val="13"/>
                <w:b w:val="1"/>
                <w:bCs w:val="1"/>
                <w:color w:val="FFFFFF"/>
              </w:rPr>
              <w:t>% change</w:t>
            </w:r>
          </w:p>
        </w:tc>
        <w:tc>
          <w:tcPr>
            <w:tcW w:w="1800" w:type="dxa"/>
            <w:vAlign w:val="bottom"/>
            <w:tcBorders>
              <w:top w:val="single" w:sz="8" w:color="auto"/>
              <w:right w:val="single" w:sz="8" w:color="auto"/>
            </w:tcBorders>
            <w:gridSpan w:val="2"/>
            <w:shd w:val="clear" w:color="auto" w:fill="33CCCC"/>
          </w:tcPr>
          <w:p>
            <w:pPr>
              <w:jc w:val="center"/>
              <w:spacing w:after="0" w:line="105" w:lineRule="exact"/>
              <w:rPr>
                <w:sz w:val="20"/>
                <w:szCs w:val="20"/>
                <w:color w:val="auto"/>
              </w:rPr>
            </w:pPr>
            <w:r>
              <w:rPr>
                <w:rFonts w:ascii="Arial" w:cs="Arial" w:eastAsia="Arial" w:hAnsi="Arial"/>
                <w:sz w:val="12"/>
                <w:szCs w:val="12"/>
                <w:b w:val="1"/>
                <w:bCs w:val="1"/>
                <w:color w:val="FFFFFF"/>
              </w:rPr>
              <w:t>USD/PEN Neutral</w:t>
            </w:r>
          </w:p>
        </w:tc>
        <w:tc>
          <w:tcPr>
            <w:tcW w:w="1780" w:type="dxa"/>
            <w:vAlign w:val="bottom"/>
            <w:tcBorders>
              <w:top w:val="single" w:sz="8" w:color="auto"/>
              <w:right w:val="single" w:sz="8" w:color="auto"/>
            </w:tcBorders>
            <w:gridSpan w:val="2"/>
            <w:shd w:val="clear" w:color="auto" w:fill="33CCCC"/>
          </w:tcPr>
          <w:p>
            <w:pPr>
              <w:jc w:val="center"/>
              <w:spacing w:after="0" w:line="105" w:lineRule="exact"/>
              <w:rPr>
                <w:sz w:val="20"/>
                <w:szCs w:val="20"/>
                <w:color w:val="auto"/>
              </w:rPr>
            </w:pPr>
            <w:r>
              <w:rPr>
                <w:rFonts w:ascii="Arial" w:cs="Arial" w:eastAsia="Arial" w:hAnsi="Arial"/>
                <w:sz w:val="12"/>
                <w:szCs w:val="12"/>
                <w:b w:val="1"/>
                <w:bCs w:val="1"/>
                <w:color w:val="FFFFFF"/>
              </w:rPr>
              <w:t>USD/PEN Neutral</w:t>
            </w:r>
          </w:p>
        </w:tc>
        <w:tc>
          <w:tcPr>
            <w:tcW w:w="0" w:type="dxa"/>
            <w:vAlign w:val="bottom"/>
          </w:tcPr>
          <w:p>
            <w:pPr>
              <w:spacing w:after="0"/>
              <w:rPr>
                <w:sz w:val="1"/>
                <w:szCs w:val="1"/>
                <w:color w:val="auto"/>
              </w:rPr>
            </w:pPr>
          </w:p>
        </w:tc>
      </w:tr>
      <w:tr>
        <w:trPr>
          <w:trHeight w:val="68"/>
        </w:trPr>
        <w:tc>
          <w:tcPr>
            <w:tcW w:w="3180" w:type="dxa"/>
            <w:vAlign w:val="bottom"/>
            <w:tcBorders>
              <w:left w:val="single" w:sz="8" w:color="auto"/>
              <w:right w:val="single" w:sz="8" w:color="auto"/>
            </w:tcBorders>
            <w:vMerge w:val="continue"/>
            <w:shd w:val="clear" w:color="auto" w:fill="33CCCC"/>
          </w:tcPr>
          <w:p>
            <w:pPr>
              <w:spacing w:after="0"/>
              <w:rPr>
                <w:sz w:val="5"/>
                <w:szCs w:val="5"/>
                <w:color w:val="auto"/>
              </w:rPr>
            </w:pPr>
          </w:p>
        </w:tc>
        <w:tc>
          <w:tcPr>
            <w:tcW w:w="880" w:type="dxa"/>
            <w:vAlign w:val="bottom"/>
            <w:shd w:val="clear" w:color="auto" w:fill="33CCCC"/>
          </w:tcPr>
          <w:p>
            <w:pPr>
              <w:spacing w:after="0"/>
              <w:rPr>
                <w:sz w:val="5"/>
                <w:szCs w:val="5"/>
                <w:color w:val="auto"/>
              </w:rPr>
            </w:pPr>
          </w:p>
        </w:tc>
        <w:tc>
          <w:tcPr>
            <w:tcW w:w="900" w:type="dxa"/>
            <w:vAlign w:val="bottom"/>
            <w:vMerge w:val="continue"/>
            <w:shd w:val="clear" w:color="auto" w:fill="33CCCC"/>
          </w:tcPr>
          <w:p>
            <w:pPr>
              <w:spacing w:after="0"/>
              <w:rPr>
                <w:sz w:val="5"/>
                <w:szCs w:val="5"/>
                <w:color w:val="auto"/>
              </w:rPr>
            </w:pPr>
          </w:p>
        </w:tc>
        <w:tc>
          <w:tcPr>
            <w:tcW w:w="920" w:type="dxa"/>
            <w:vAlign w:val="bottom"/>
            <w:tcBorders>
              <w:right w:val="single" w:sz="8" w:color="auto"/>
            </w:tcBorders>
            <w:shd w:val="clear" w:color="auto" w:fill="33CCCC"/>
          </w:tcPr>
          <w:p>
            <w:pPr>
              <w:spacing w:after="0"/>
              <w:rPr>
                <w:sz w:val="5"/>
                <w:szCs w:val="5"/>
                <w:color w:val="auto"/>
              </w:rPr>
            </w:pPr>
          </w:p>
        </w:tc>
        <w:tc>
          <w:tcPr>
            <w:tcW w:w="1820" w:type="dxa"/>
            <w:vAlign w:val="bottom"/>
            <w:tcBorders>
              <w:right w:val="single" w:sz="8" w:color="auto"/>
            </w:tcBorders>
            <w:gridSpan w:val="2"/>
            <w:vMerge w:val="continue"/>
            <w:shd w:val="clear" w:color="auto" w:fill="33CCCC"/>
          </w:tcPr>
          <w:p>
            <w:pPr>
              <w:spacing w:after="0"/>
              <w:rPr>
                <w:sz w:val="5"/>
                <w:szCs w:val="5"/>
                <w:color w:val="auto"/>
              </w:rPr>
            </w:pPr>
          </w:p>
        </w:tc>
        <w:tc>
          <w:tcPr>
            <w:tcW w:w="1800" w:type="dxa"/>
            <w:vAlign w:val="bottom"/>
            <w:tcBorders>
              <w:right w:val="single" w:sz="8" w:color="auto"/>
            </w:tcBorders>
            <w:gridSpan w:val="2"/>
            <w:vMerge w:val="restart"/>
            <w:shd w:val="clear" w:color="auto" w:fill="33CCCC"/>
          </w:tcPr>
          <w:p>
            <w:pPr>
              <w:jc w:val="center"/>
              <w:spacing w:after="0" w:line="135" w:lineRule="exact"/>
              <w:rPr>
                <w:sz w:val="20"/>
                <w:szCs w:val="20"/>
                <w:color w:val="auto"/>
              </w:rPr>
            </w:pPr>
            <w:r>
              <w:rPr>
                <w:rFonts w:ascii="Arial" w:cs="Arial" w:eastAsia="Arial" w:hAnsi="Arial"/>
                <w:sz w:val="13"/>
                <w:szCs w:val="13"/>
                <w:b w:val="1"/>
                <w:bCs w:val="1"/>
                <w:color w:val="FFFFFF"/>
                <w:w w:val="95"/>
              </w:rPr>
              <w:t>Volume change</w:t>
            </w:r>
          </w:p>
        </w:tc>
        <w:tc>
          <w:tcPr>
            <w:tcW w:w="1780" w:type="dxa"/>
            <w:vAlign w:val="bottom"/>
            <w:tcBorders>
              <w:right w:val="single" w:sz="8" w:color="auto"/>
            </w:tcBorders>
            <w:gridSpan w:val="2"/>
            <w:vMerge w:val="restart"/>
            <w:shd w:val="clear" w:color="auto" w:fill="33CCCC"/>
          </w:tcPr>
          <w:p>
            <w:pPr>
              <w:jc w:val="center"/>
              <w:spacing w:after="0" w:line="135" w:lineRule="exact"/>
              <w:rPr>
                <w:sz w:val="20"/>
                <w:szCs w:val="20"/>
                <w:color w:val="auto"/>
              </w:rPr>
            </w:pPr>
            <w:r>
              <w:rPr>
                <w:rFonts w:ascii="Arial" w:cs="Arial" w:eastAsia="Arial" w:hAnsi="Arial"/>
                <w:sz w:val="13"/>
                <w:szCs w:val="13"/>
                <w:b w:val="1"/>
                <w:bCs w:val="1"/>
                <w:color w:val="FFFFFF"/>
                <w:w w:val="95"/>
              </w:rPr>
              <w:t>% Change</w:t>
            </w:r>
          </w:p>
        </w:tc>
        <w:tc>
          <w:tcPr>
            <w:tcW w:w="0" w:type="dxa"/>
            <w:vAlign w:val="bottom"/>
          </w:tcPr>
          <w:p>
            <w:pPr>
              <w:spacing w:after="0"/>
              <w:rPr>
                <w:sz w:val="1"/>
                <w:szCs w:val="1"/>
                <w:color w:val="auto"/>
              </w:rPr>
            </w:pPr>
          </w:p>
        </w:tc>
      </w:tr>
      <w:tr>
        <w:trPr>
          <w:trHeight w:val="68"/>
        </w:trPr>
        <w:tc>
          <w:tcPr>
            <w:tcW w:w="3180" w:type="dxa"/>
            <w:vAlign w:val="bottom"/>
            <w:tcBorders>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3"/>
                <w:szCs w:val="13"/>
                <w:b w:val="1"/>
                <w:bCs w:val="1"/>
                <w:color w:val="FFFFFF"/>
              </w:rPr>
              <w:t>(S/ Millions)</w:t>
            </w:r>
          </w:p>
        </w:tc>
        <w:tc>
          <w:tcPr>
            <w:tcW w:w="880" w:type="dxa"/>
            <w:vAlign w:val="bottom"/>
            <w:shd w:val="clear" w:color="auto" w:fill="33CCCC"/>
          </w:tcPr>
          <w:p>
            <w:pPr>
              <w:spacing w:after="0"/>
              <w:rPr>
                <w:sz w:val="5"/>
                <w:szCs w:val="5"/>
                <w:color w:val="auto"/>
              </w:rPr>
            </w:pPr>
          </w:p>
        </w:tc>
        <w:tc>
          <w:tcPr>
            <w:tcW w:w="900" w:type="dxa"/>
            <w:vAlign w:val="bottom"/>
            <w:shd w:val="clear" w:color="auto" w:fill="33CCCC"/>
          </w:tcPr>
          <w:p>
            <w:pPr>
              <w:spacing w:after="0"/>
              <w:rPr>
                <w:sz w:val="5"/>
                <w:szCs w:val="5"/>
                <w:color w:val="auto"/>
              </w:rPr>
            </w:pPr>
          </w:p>
        </w:tc>
        <w:tc>
          <w:tcPr>
            <w:tcW w:w="920" w:type="dxa"/>
            <w:vAlign w:val="bottom"/>
            <w:tcBorders>
              <w:right w:val="single" w:sz="8" w:color="auto"/>
            </w:tcBorders>
            <w:shd w:val="clear" w:color="auto" w:fill="33CCCC"/>
          </w:tcPr>
          <w:p>
            <w:pPr>
              <w:spacing w:after="0"/>
              <w:rPr>
                <w:sz w:val="5"/>
                <w:szCs w:val="5"/>
                <w:color w:val="auto"/>
              </w:rPr>
            </w:pPr>
          </w:p>
        </w:tc>
        <w:tc>
          <w:tcPr>
            <w:tcW w:w="900" w:type="dxa"/>
            <w:vAlign w:val="bottom"/>
            <w:shd w:val="clear" w:color="auto" w:fill="33CCCC"/>
          </w:tcPr>
          <w:p>
            <w:pPr>
              <w:spacing w:after="0"/>
              <w:rPr>
                <w:sz w:val="5"/>
                <w:szCs w:val="5"/>
                <w:color w:val="auto"/>
              </w:rPr>
            </w:pPr>
          </w:p>
        </w:tc>
        <w:tc>
          <w:tcPr>
            <w:tcW w:w="920" w:type="dxa"/>
            <w:vAlign w:val="bottom"/>
            <w:tcBorders>
              <w:right w:val="single" w:sz="8" w:color="auto"/>
            </w:tcBorders>
            <w:shd w:val="clear" w:color="auto" w:fill="33CCCC"/>
          </w:tcPr>
          <w:p>
            <w:pPr>
              <w:spacing w:after="0"/>
              <w:rPr>
                <w:sz w:val="5"/>
                <w:szCs w:val="5"/>
                <w:color w:val="auto"/>
              </w:rPr>
            </w:pPr>
          </w:p>
        </w:tc>
        <w:tc>
          <w:tcPr>
            <w:tcW w:w="1800" w:type="dxa"/>
            <w:vAlign w:val="bottom"/>
            <w:tcBorders>
              <w:right w:val="single" w:sz="8" w:color="auto"/>
            </w:tcBorders>
            <w:gridSpan w:val="2"/>
            <w:vMerge w:val="continue"/>
            <w:shd w:val="clear" w:color="auto" w:fill="33CCCC"/>
          </w:tcPr>
          <w:p>
            <w:pPr>
              <w:spacing w:after="0"/>
              <w:rPr>
                <w:sz w:val="5"/>
                <w:szCs w:val="5"/>
                <w:color w:val="auto"/>
              </w:rPr>
            </w:pPr>
          </w:p>
        </w:tc>
        <w:tc>
          <w:tcPr>
            <w:tcW w:w="1780" w:type="dxa"/>
            <w:vAlign w:val="bottom"/>
            <w:tcBorders>
              <w:right w:val="single" w:sz="8" w:color="auto"/>
            </w:tcBorders>
            <w:gridSpan w:val="2"/>
            <w:vMerge w:val="continue"/>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180" w:type="dxa"/>
            <w:vAlign w:val="bottom"/>
            <w:tcBorders>
              <w:left w:val="single" w:sz="8" w:color="auto"/>
              <w:bottom w:val="single" w:sz="8" w:color="33CCCC"/>
              <w:right w:val="single" w:sz="8" w:color="auto"/>
            </w:tcBorders>
            <w:vMerge w:val="continue"/>
            <w:shd w:val="clear" w:color="auto" w:fill="33CCCC"/>
          </w:tcPr>
          <w:p>
            <w:pPr>
              <w:spacing w:after="0"/>
              <w:rPr>
                <w:sz w:val="13"/>
                <w:szCs w:val="13"/>
                <w:color w:val="auto"/>
              </w:rPr>
            </w:pPr>
          </w:p>
        </w:tc>
        <w:tc>
          <w:tcPr>
            <w:tcW w:w="880" w:type="dxa"/>
            <w:vAlign w:val="bottom"/>
            <w:tcBorders>
              <w:bottom w:val="single" w:sz="8" w:color="33CCCC"/>
            </w:tcBorders>
            <w:shd w:val="clear" w:color="auto" w:fill="33CCCC"/>
          </w:tcPr>
          <w:p>
            <w:pPr>
              <w:ind w:left="220"/>
              <w:spacing w:after="0"/>
              <w:rPr>
                <w:sz w:val="20"/>
                <w:szCs w:val="20"/>
                <w:color w:val="auto"/>
              </w:rPr>
            </w:pPr>
            <w:r>
              <w:rPr>
                <w:rFonts w:ascii="Arial" w:cs="Arial" w:eastAsia="Arial" w:hAnsi="Arial"/>
                <w:sz w:val="13"/>
                <w:szCs w:val="13"/>
                <w:b w:val="1"/>
                <w:bCs w:val="1"/>
                <w:color w:val="FFFFFF"/>
              </w:rPr>
              <w:t>Dec 24</w:t>
            </w:r>
          </w:p>
        </w:tc>
        <w:tc>
          <w:tcPr>
            <w:tcW w:w="9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Sep 25</w:t>
            </w:r>
          </w:p>
        </w:tc>
        <w:tc>
          <w:tcPr>
            <w:tcW w:w="920" w:type="dxa"/>
            <w:vAlign w:val="bottom"/>
            <w:tcBorders>
              <w:bottom w:val="single" w:sz="8" w:color="33CCCC"/>
              <w:right w:val="single" w:sz="8" w:color="auto"/>
            </w:tcBorders>
            <w:shd w:val="clear" w:color="auto" w:fill="33CCCC"/>
          </w:tcPr>
          <w:p>
            <w:pPr>
              <w:ind w:left="260"/>
              <w:spacing w:after="0"/>
              <w:rPr>
                <w:sz w:val="20"/>
                <w:szCs w:val="20"/>
                <w:color w:val="auto"/>
              </w:rPr>
            </w:pPr>
            <w:r>
              <w:rPr>
                <w:rFonts w:ascii="Arial" w:cs="Arial" w:eastAsia="Arial" w:hAnsi="Arial"/>
                <w:sz w:val="13"/>
                <w:szCs w:val="13"/>
                <w:b w:val="1"/>
                <w:bCs w:val="1"/>
                <w:color w:val="FFFFFF"/>
              </w:rPr>
              <w:t>Dec 25</w:t>
            </w:r>
          </w:p>
        </w:tc>
        <w:tc>
          <w:tcPr>
            <w:tcW w:w="900" w:type="dxa"/>
            <w:vAlign w:val="bottom"/>
            <w:tcBorders>
              <w:bottom w:val="single" w:sz="8" w:color="33CCCC"/>
            </w:tcBorders>
            <w:shd w:val="clear" w:color="auto" w:fill="33CCCC"/>
          </w:tcPr>
          <w:p>
            <w:pPr>
              <w:ind w:left="320"/>
              <w:spacing w:after="0"/>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33CCCC"/>
              <w:right w:val="single" w:sz="8" w:color="auto"/>
            </w:tcBorders>
            <w:shd w:val="clear" w:color="auto" w:fill="33CCCC"/>
          </w:tcPr>
          <w:p>
            <w:pPr>
              <w:ind w:left="320"/>
              <w:spacing w:after="0"/>
              <w:rPr>
                <w:sz w:val="20"/>
                <w:szCs w:val="20"/>
                <w:color w:val="auto"/>
              </w:rPr>
            </w:pPr>
            <w:r>
              <w:rPr>
                <w:rFonts w:ascii="Arial" w:cs="Arial" w:eastAsia="Arial" w:hAnsi="Arial"/>
                <w:sz w:val="13"/>
                <w:szCs w:val="13"/>
                <w:b w:val="1"/>
                <w:bCs w:val="1"/>
                <w:color w:val="FFFFFF"/>
              </w:rPr>
              <w:t>YoY</w:t>
            </w:r>
          </w:p>
        </w:tc>
        <w:tc>
          <w:tcPr>
            <w:tcW w:w="8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9"/>
              </w:rPr>
              <w:t>QoQ</w:t>
            </w:r>
          </w:p>
        </w:tc>
        <w:tc>
          <w:tcPr>
            <w:tcW w:w="920" w:type="dxa"/>
            <w:vAlign w:val="bottom"/>
            <w:tcBorders>
              <w:bottom w:val="single" w:sz="8" w:color="33CCCC"/>
              <w:right w:val="single" w:sz="8" w:color="auto"/>
            </w:tcBorders>
            <w:shd w:val="clear" w:color="auto" w:fill="33CCCC"/>
          </w:tcPr>
          <w:p>
            <w:pPr>
              <w:ind w:left="340"/>
              <w:spacing w:after="0"/>
              <w:rPr>
                <w:sz w:val="20"/>
                <w:szCs w:val="20"/>
                <w:color w:val="auto"/>
              </w:rPr>
            </w:pPr>
            <w:r>
              <w:rPr>
                <w:rFonts w:ascii="Arial" w:cs="Arial" w:eastAsia="Arial" w:hAnsi="Arial"/>
                <w:sz w:val="13"/>
                <w:szCs w:val="13"/>
                <w:b w:val="1"/>
                <w:bCs w:val="1"/>
                <w:color w:val="FFFFFF"/>
              </w:rPr>
              <w:t>YoY</w:t>
            </w:r>
          </w:p>
        </w:tc>
        <w:tc>
          <w:tcPr>
            <w:tcW w:w="88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2"/>
              </w:rPr>
              <w:t>QoQ</w:t>
            </w:r>
          </w:p>
        </w:tc>
        <w:tc>
          <w:tcPr>
            <w:tcW w:w="900" w:type="dxa"/>
            <w:vAlign w:val="bottom"/>
            <w:tcBorders>
              <w:bottom w:val="single" w:sz="8" w:color="33CCCC"/>
              <w:right w:val="single" w:sz="8" w:color="auto"/>
            </w:tcBorders>
            <w:shd w:val="clear" w:color="auto" w:fill="33CCCC"/>
          </w:tcPr>
          <w:p>
            <w:pPr>
              <w:ind w:left="320"/>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07"/>
        </w:trPr>
        <w:tc>
          <w:tcPr>
            <w:tcW w:w="3180" w:type="dxa"/>
            <w:vAlign w:val="bottom"/>
            <w:tcBorders>
              <w:top w:val="single" w:sz="8" w:color="auto"/>
              <w:left w:val="single" w:sz="8" w:color="auto"/>
              <w:right w:val="single" w:sz="8" w:color="auto"/>
            </w:tcBorders>
          </w:tcPr>
          <w:p>
            <w:pPr>
              <w:spacing w:after="0" w:line="107" w:lineRule="exact"/>
              <w:rPr>
                <w:sz w:val="20"/>
                <w:szCs w:val="20"/>
                <w:color w:val="auto"/>
              </w:rPr>
            </w:pPr>
            <w:r>
              <w:rPr>
                <w:rFonts w:ascii="Arial" w:cs="Arial" w:eastAsia="Arial" w:hAnsi="Arial"/>
                <w:sz w:val="12"/>
                <w:szCs w:val="12"/>
                <w:color w:val="auto"/>
              </w:rPr>
              <w:t>BCP Stand-alone</w:t>
            </w:r>
          </w:p>
        </w:tc>
        <w:tc>
          <w:tcPr>
            <w:tcW w:w="88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color w:val="auto"/>
              </w:rPr>
              <w:t>120,571</w:t>
            </w:r>
          </w:p>
        </w:tc>
        <w:tc>
          <w:tcPr>
            <w:tcW w:w="9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color w:val="auto"/>
              </w:rPr>
              <w:t>123,089</w:t>
            </w:r>
          </w:p>
        </w:tc>
        <w:tc>
          <w:tcPr>
            <w:tcW w:w="920" w:type="dxa"/>
            <w:vAlign w:val="bottom"/>
            <w:tcBorders>
              <w:top w:val="single" w:sz="8" w:color="auto"/>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125,201</w:t>
            </w:r>
          </w:p>
        </w:tc>
        <w:tc>
          <w:tcPr>
            <w:tcW w:w="9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color w:val="auto"/>
              </w:rPr>
              <w:t>1.7%</w:t>
            </w:r>
          </w:p>
        </w:tc>
        <w:tc>
          <w:tcPr>
            <w:tcW w:w="920" w:type="dxa"/>
            <w:vAlign w:val="bottom"/>
            <w:tcBorders>
              <w:top w:val="single" w:sz="8" w:color="auto"/>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3.8%</w:t>
            </w:r>
          </w:p>
        </w:tc>
        <w:tc>
          <w:tcPr>
            <w:tcW w:w="88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color w:val="auto"/>
              </w:rPr>
              <w:t>3,382</w:t>
            </w:r>
          </w:p>
        </w:tc>
        <w:tc>
          <w:tcPr>
            <w:tcW w:w="920" w:type="dxa"/>
            <w:vAlign w:val="bottom"/>
            <w:tcBorders>
              <w:top w:val="single" w:sz="8" w:color="auto"/>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9,391</w:t>
            </w:r>
          </w:p>
        </w:tc>
        <w:tc>
          <w:tcPr>
            <w:tcW w:w="88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color w:val="auto"/>
              </w:rPr>
              <w:t>2.7%</w:t>
            </w:r>
          </w:p>
        </w:tc>
        <w:tc>
          <w:tcPr>
            <w:tcW w:w="900" w:type="dxa"/>
            <w:vAlign w:val="bottom"/>
            <w:tcBorders>
              <w:top w:val="single" w:sz="8" w:color="auto"/>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Mibanco</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12,239</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5"/>
              </w:rPr>
              <w:t>13,096</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13,607</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rPr>
              <w:t>3.9%</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11.2%</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2"/>
              </w:rPr>
              <w:t>512</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1,369</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rPr>
              <w:t>3.9%</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11.2%</w:t>
            </w: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Mibanco Colombia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8"/>
              </w:rPr>
              <w:t>1,795</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2"/>
              </w:rPr>
              <w:t>2,158</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2,315</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rPr>
              <w:t>7.3%</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29.0%</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2"/>
              </w:rPr>
              <w:t>230</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796</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2"/>
              </w:rPr>
              <w:t>10.7%</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44.4%</w:t>
            </w: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BCP Bolivia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8"/>
              </w:rPr>
              <w:t>9,939</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2"/>
              </w:rPr>
              <w:t>5,505</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7,553</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7"/>
              </w:rPr>
              <w:t>37.2%</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-24.0%</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2"/>
              </w:rPr>
              <w:t>n.a.</w:t>
            </w:r>
          </w:p>
        </w:tc>
        <w:tc>
          <w:tcPr>
            <w:tcW w:w="920" w:type="dxa"/>
            <w:vAlign w:val="bottom"/>
            <w:tcBorders>
              <w:right w:val="single" w:sz="8" w:color="auto"/>
            </w:tcBorders>
          </w:tcPr>
          <w:p>
            <w:pPr>
              <w:ind w:left="360"/>
              <w:spacing w:after="0" w:line="135" w:lineRule="exact"/>
              <w:rPr>
                <w:sz w:val="20"/>
                <w:szCs w:val="20"/>
                <w:color w:val="auto"/>
              </w:rPr>
            </w:pPr>
            <w:r>
              <w:rPr>
                <w:rFonts w:ascii="Arial" w:cs="Arial" w:eastAsia="Arial" w:hAnsi="Arial"/>
                <w:sz w:val="13"/>
                <w:szCs w:val="13"/>
                <w:color w:val="auto"/>
              </w:rPr>
              <w:t>n.a.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900" w:type="dxa"/>
            <w:vAlign w:val="bottom"/>
            <w:tcBorders>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1"/>
        </w:trPr>
        <w:tc>
          <w:tcPr>
            <w:tcW w:w="3180" w:type="dxa"/>
            <w:vAlign w:val="bottom"/>
            <w:tcBorders>
              <w:left w:val="single" w:sz="8" w:color="auto"/>
              <w:right w:val="single" w:sz="8" w:color="auto"/>
            </w:tcBorders>
          </w:tcPr>
          <w:p>
            <w:pPr>
              <w:spacing w:after="0" w:line="131" w:lineRule="exact"/>
              <w:rPr>
                <w:sz w:val="20"/>
                <w:szCs w:val="20"/>
                <w:color w:val="auto"/>
              </w:rPr>
            </w:pPr>
            <w:r>
              <w:rPr>
                <w:rFonts w:ascii="Arial" w:cs="Arial" w:eastAsia="Arial" w:hAnsi="Arial"/>
                <w:sz w:val="13"/>
                <w:szCs w:val="13"/>
                <w:color w:val="auto"/>
              </w:rPr>
              <w:t>ASB Bank Corp.</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w w:val="98"/>
              </w:rPr>
              <w:t>1,802</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w w:val="92"/>
              </w:rPr>
              <w:t>1,422</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8"/>
              </w:rPr>
              <w:t>1,462</w:t>
            </w:r>
          </w:p>
        </w:tc>
        <w:tc>
          <w:tcPr>
            <w:tcW w:w="900" w:type="dxa"/>
            <w:vAlign w:val="bottom"/>
          </w:tcPr>
          <w:p>
            <w:pPr>
              <w:jc w:val="center"/>
              <w:spacing w:after="0" w:line="131" w:lineRule="exact"/>
              <w:rPr>
                <w:sz w:val="20"/>
                <w:szCs w:val="20"/>
                <w:color w:val="auto"/>
              </w:rPr>
            </w:pPr>
            <w:r>
              <w:rPr>
                <w:rFonts w:ascii="Arial" w:cs="Arial" w:eastAsia="Arial" w:hAnsi="Arial"/>
                <w:sz w:val="13"/>
                <w:szCs w:val="13"/>
                <w:color w:val="auto"/>
              </w:rPr>
              <w:t>2.9%</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-18.8%</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w w:val="96"/>
              </w:rPr>
              <w:t>87</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-165</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rPr>
              <w:t>6.1%</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4"/>
              </w:rPr>
              <w:t>-9.2%</w:t>
            </w:r>
          </w:p>
        </w:tc>
        <w:tc>
          <w:tcPr>
            <w:tcW w:w="0" w:type="dxa"/>
            <w:vAlign w:val="bottom"/>
          </w:tcPr>
          <w:p>
            <w:pPr>
              <w:spacing w:after="0"/>
              <w:rPr>
                <w:sz w:val="1"/>
                <w:szCs w:val="1"/>
                <w:color w:val="auto"/>
              </w:rPr>
            </w:pPr>
          </w:p>
        </w:tc>
      </w:tr>
      <w:tr>
        <w:trPr>
          <w:trHeight w:val="161"/>
        </w:trPr>
        <w:tc>
          <w:tcPr>
            <w:tcW w:w="31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2"/>
                <w:szCs w:val="12"/>
                <w:color w:val="auto"/>
              </w:rPr>
              <w:t xml:space="preserve">Others </w:t>
            </w:r>
            <w:r>
              <w:rPr>
                <w:rFonts w:ascii="Arial" w:cs="Arial" w:eastAsia="Arial" w:hAnsi="Arial"/>
                <w:sz w:val="18"/>
                <w:szCs w:val="18"/>
                <w:color w:val="auto"/>
                <w:vertAlign w:val="superscript"/>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-613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-519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-153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-70.5%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-75.0%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382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519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-73.7%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-84.7%</w:t>
            </w:r>
          </w:p>
        </w:tc>
        <w:tc>
          <w:tcPr>
            <w:tcW w:w="0" w:type="dxa"/>
            <w:vAlign w:val="bottom"/>
          </w:tcPr>
          <w:p>
            <w:pPr>
              <w:spacing w:after="0"/>
              <w:rPr>
                <w:sz w:val="1"/>
                <w:szCs w:val="1"/>
                <w:color w:val="auto"/>
              </w:rPr>
            </w:pPr>
          </w:p>
        </w:tc>
      </w:tr>
      <w:tr>
        <w:trPr>
          <w:trHeight w:val="128"/>
        </w:trPr>
        <w:tc>
          <w:tcPr>
            <w:tcW w:w="318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 Loans BAP</w:t>
            </w:r>
          </w:p>
        </w:tc>
        <w:tc>
          <w:tcPr>
            <w:tcW w:w="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145,732</w:t>
            </w: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144,752</w:t>
            </w:r>
          </w:p>
        </w:tc>
        <w:tc>
          <w:tcPr>
            <w:tcW w:w="9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149,985</w:t>
            </w: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3.6%</w:t>
            </w:r>
          </w:p>
        </w:tc>
        <w:tc>
          <w:tcPr>
            <w:tcW w:w="9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2.9%</w:t>
            </w:r>
          </w:p>
        </w:tc>
        <w:tc>
          <w:tcPr>
            <w:tcW w:w="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n.a.</w:t>
            </w:r>
          </w:p>
        </w:tc>
        <w:tc>
          <w:tcPr>
            <w:tcW w:w="920" w:type="dxa"/>
            <w:vAlign w:val="bottom"/>
            <w:tcBorders>
              <w:bottom w:val="single" w:sz="8" w:color="auto"/>
              <w:right w:val="single" w:sz="8" w:color="auto"/>
            </w:tcBorders>
          </w:tcPr>
          <w:p>
            <w:pPr>
              <w:ind w:left="340"/>
              <w:spacing w:after="0" w:line="129" w:lineRule="exact"/>
              <w:rPr>
                <w:sz w:val="20"/>
                <w:szCs w:val="20"/>
                <w:color w:val="auto"/>
              </w:rPr>
            </w:pPr>
            <w:r>
              <w:rPr>
                <w:rFonts w:ascii="Arial" w:cs="Arial" w:eastAsia="Arial" w:hAnsi="Arial"/>
                <w:sz w:val="13"/>
                <w:szCs w:val="13"/>
                <w:b w:val="1"/>
                <w:bCs w:val="1"/>
                <w:color w:val="auto"/>
              </w:rPr>
              <w:t>n.a.</w:t>
            </w:r>
          </w:p>
        </w:tc>
        <w:tc>
          <w:tcPr>
            <w:tcW w:w="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n.a.</w:t>
            </w:r>
          </w:p>
        </w:tc>
        <w:tc>
          <w:tcPr>
            <w:tcW w:w="900" w:type="dxa"/>
            <w:vAlign w:val="bottom"/>
            <w:tcBorders>
              <w:bottom w:val="single" w:sz="8" w:color="auto"/>
              <w:right w:val="single" w:sz="8" w:color="auto"/>
            </w:tcBorders>
          </w:tcPr>
          <w:p>
            <w:pPr>
              <w:ind w:left="340"/>
              <w:spacing w:after="0" w:line="129" w:lineRule="exact"/>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05"/>
        </w:trPr>
        <w:tc>
          <w:tcPr>
            <w:tcW w:w="3180" w:type="dxa"/>
            <w:vAlign w:val="bottom"/>
            <w:tcBorders>
              <w:left w:val="single" w:sz="8" w:color="auto"/>
              <w:right w:val="single" w:sz="8" w:color="auto"/>
            </w:tcBorders>
          </w:tcPr>
          <w:p>
            <w:pPr>
              <w:spacing w:after="0" w:line="105" w:lineRule="exact"/>
              <w:rPr>
                <w:sz w:val="20"/>
                <w:szCs w:val="20"/>
                <w:color w:val="auto"/>
              </w:rPr>
            </w:pPr>
            <w:r>
              <w:rPr>
                <w:rFonts w:ascii="Arial" w:cs="Arial" w:eastAsia="Arial" w:hAnsi="Arial"/>
                <w:sz w:val="12"/>
                <w:szCs w:val="12"/>
                <w:color w:val="auto"/>
              </w:rPr>
              <w:t>BCP Bolivia (Adjusted for Asset Revaluation)</w:t>
            </w:r>
          </w:p>
        </w:tc>
        <w:tc>
          <w:tcPr>
            <w:tcW w:w="880" w:type="dxa"/>
            <w:vAlign w:val="bottom"/>
          </w:tcPr>
          <w:p>
            <w:pPr>
              <w:jc w:val="center"/>
              <w:spacing w:after="0" w:line="105" w:lineRule="exact"/>
              <w:rPr>
                <w:sz w:val="20"/>
                <w:szCs w:val="20"/>
                <w:color w:val="auto"/>
              </w:rPr>
            </w:pPr>
            <w:r>
              <w:rPr>
                <w:rFonts w:ascii="Arial" w:cs="Arial" w:eastAsia="Arial" w:hAnsi="Arial"/>
                <w:sz w:val="12"/>
                <w:szCs w:val="12"/>
                <w:color w:val="auto"/>
              </w:rPr>
              <w:t>9,939</w:t>
            </w:r>
          </w:p>
        </w:tc>
        <w:tc>
          <w:tcPr>
            <w:tcW w:w="900" w:type="dxa"/>
            <w:vAlign w:val="bottom"/>
          </w:tcPr>
          <w:p>
            <w:pPr>
              <w:jc w:val="center"/>
              <w:spacing w:after="0" w:line="105" w:lineRule="exact"/>
              <w:rPr>
                <w:sz w:val="20"/>
                <w:szCs w:val="20"/>
                <w:color w:val="auto"/>
              </w:rPr>
            </w:pPr>
            <w:r>
              <w:rPr>
                <w:rFonts w:ascii="Arial" w:cs="Arial" w:eastAsia="Arial" w:hAnsi="Arial"/>
                <w:sz w:val="12"/>
                <w:szCs w:val="12"/>
                <w:color w:val="auto"/>
                <w:w w:val="99"/>
              </w:rPr>
              <w:t>9,554</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9,258</w:t>
            </w:r>
          </w:p>
        </w:tc>
        <w:tc>
          <w:tcPr>
            <w:tcW w:w="900" w:type="dxa"/>
            <w:vAlign w:val="bottom"/>
          </w:tcPr>
          <w:p>
            <w:pPr>
              <w:jc w:val="center"/>
              <w:spacing w:after="0" w:line="105" w:lineRule="exact"/>
              <w:rPr>
                <w:sz w:val="20"/>
                <w:szCs w:val="20"/>
                <w:color w:val="auto"/>
              </w:rPr>
            </w:pPr>
            <w:r>
              <w:rPr>
                <w:rFonts w:ascii="Arial" w:cs="Arial" w:eastAsia="Arial" w:hAnsi="Arial"/>
                <w:sz w:val="12"/>
                <w:szCs w:val="12"/>
                <w:color w:val="auto"/>
              </w:rPr>
              <w:t>-3.1%</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-6.8%</w:t>
            </w:r>
          </w:p>
        </w:tc>
        <w:tc>
          <w:tcPr>
            <w:tcW w:w="880" w:type="dxa"/>
            <w:vAlign w:val="bottom"/>
          </w:tcPr>
          <w:p>
            <w:pPr>
              <w:jc w:val="center"/>
              <w:spacing w:after="0" w:line="105" w:lineRule="exact"/>
              <w:rPr>
                <w:sz w:val="20"/>
                <w:szCs w:val="20"/>
                <w:color w:val="auto"/>
              </w:rPr>
            </w:pPr>
            <w:r>
              <w:rPr>
                <w:rFonts w:ascii="Arial" w:cs="Arial" w:eastAsia="Arial" w:hAnsi="Arial"/>
                <w:sz w:val="12"/>
                <w:szCs w:val="12"/>
                <w:color w:val="auto"/>
              </w:rPr>
              <w:t>-2</w:t>
            </w:r>
          </w:p>
        </w:tc>
        <w:tc>
          <w:tcPr>
            <w:tcW w:w="9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w w:val="99"/>
              </w:rPr>
              <w:t>422</w:t>
            </w:r>
          </w:p>
        </w:tc>
        <w:tc>
          <w:tcPr>
            <w:tcW w:w="880" w:type="dxa"/>
            <w:vAlign w:val="bottom"/>
          </w:tcPr>
          <w:p>
            <w:pPr>
              <w:jc w:val="center"/>
              <w:spacing w:after="0" w:line="105" w:lineRule="exact"/>
              <w:rPr>
                <w:sz w:val="20"/>
                <w:szCs w:val="20"/>
                <w:color w:val="auto"/>
              </w:rPr>
            </w:pPr>
            <w:r>
              <w:rPr>
                <w:rFonts w:ascii="Arial" w:cs="Arial" w:eastAsia="Arial" w:hAnsi="Arial"/>
                <w:sz w:val="12"/>
                <w:szCs w:val="12"/>
                <w:color w:val="auto"/>
              </w:rPr>
              <w:t>0.0%</w:t>
            </w:r>
          </w:p>
        </w:tc>
        <w:tc>
          <w:tcPr>
            <w:tcW w:w="9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9"/>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Total Loans BAP (Adjusted for Asset Revaluation)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145,732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148,801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151,690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4,591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12,332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8.5%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7"/>
        <w:spacing w:after="0"/>
        <w:rPr>
          <w:sz w:val="20"/>
          <w:szCs w:val="20"/>
          <w:color w:val="auto"/>
        </w:rPr>
      </w:pPr>
      <w:r>
        <w:rPr>
          <w:rFonts w:ascii="Arial" w:cs="Arial" w:eastAsia="Arial" w:hAnsi="Arial"/>
          <w:sz w:val="12"/>
          <w:szCs w:val="12"/>
          <w:color w:val="auto"/>
        </w:rPr>
        <w:t>For consolidation purposes, loans generated in Foreign Currency (FC) are converted into Local Currency (LC).</w:t>
      </w:r>
    </w:p>
    <w:p>
      <w:pPr>
        <w:spacing w:after="0" w:line="11" w:lineRule="exact"/>
        <w:rPr>
          <w:sz w:val="20"/>
          <w:szCs w:val="20"/>
          <w:color w:val="auto"/>
        </w:rPr>
      </w:pPr>
    </w:p>
    <w:p>
      <w:pPr>
        <w:ind w:left="7"/>
        <w:spacing w:after="0"/>
        <w:rPr>
          <w:sz w:val="20"/>
          <w:szCs w:val="20"/>
          <w:color w:val="auto"/>
        </w:rPr>
      </w:pPr>
      <w:r>
        <w:rPr>
          <w:rFonts w:ascii="Arial" w:cs="Arial" w:eastAsia="Arial" w:hAnsi="Arial"/>
          <w:sz w:val="12"/>
          <w:szCs w:val="12"/>
          <w:color w:val="auto"/>
        </w:rPr>
        <w:t>(1) Includes eliminations for intercompany transactions.</w:t>
      </w:r>
    </w:p>
    <w:p>
      <w:pPr>
        <w:spacing w:after="0" w:line="159" w:lineRule="exact"/>
        <w:rPr>
          <w:sz w:val="20"/>
          <w:szCs w:val="20"/>
          <w:color w:val="auto"/>
        </w:rPr>
      </w:pPr>
    </w:p>
    <w:p>
      <w:pPr>
        <w:jc w:val="both"/>
        <w:ind w:left="7"/>
        <w:spacing w:after="0" w:line="256" w:lineRule="auto"/>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the uptick in the loan balance at a Neutral Exchange rate was led by</w:t>
      </w:r>
      <w:r>
        <w:rPr>
          <w:rFonts w:ascii="Arial" w:cs="Arial" w:eastAsia="Arial" w:hAnsi="Arial"/>
          <w:sz w:val="18"/>
          <w:szCs w:val="18"/>
          <w:b w:val="1"/>
          <w:bCs w:val="1"/>
          <w:color w:val="auto"/>
        </w:rPr>
        <w:t xml:space="preserve"> BCP Stand-alone (+2.7%), </w:t>
      </w:r>
      <w:r>
        <w:rPr>
          <w:rFonts w:ascii="Arial" w:cs="Arial" w:eastAsia="Arial" w:hAnsi="Arial"/>
          <w:sz w:val="18"/>
          <w:szCs w:val="18"/>
          <w:color w:val="auto"/>
        </w:rPr>
        <w:t>followed by</w:t>
      </w:r>
      <w:r>
        <w:rPr>
          <w:rFonts w:ascii="Arial" w:cs="Arial" w:eastAsia="Arial" w:hAnsi="Arial"/>
          <w:sz w:val="18"/>
          <w:szCs w:val="18"/>
          <w:b w:val="1"/>
          <w:bCs w:val="1"/>
          <w:color w:val="auto"/>
        </w:rPr>
        <w:t xml:space="preserve"> Mibanco (+3.9%). </w:t>
      </w:r>
      <w:r>
        <w:rPr>
          <w:rFonts w:ascii="Arial" w:cs="Arial" w:eastAsia="Arial" w:hAnsi="Arial"/>
          <w:sz w:val="18"/>
          <w:szCs w:val="18"/>
          <w:color w:val="auto"/>
        </w:rPr>
        <w:t>At</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loan growth was mainly driven by stronger disbursement activity, which hit a new record high in the month of October. This growth</w:t>
      </w:r>
      <w:r>
        <w:rPr>
          <w:rFonts w:ascii="Arial" w:cs="Arial" w:eastAsia="Arial" w:hAnsi="Arial"/>
          <w:sz w:val="18"/>
          <w:szCs w:val="18"/>
          <w:b w:val="1"/>
          <w:bCs w:val="1"/>
          <w:color w:val="auto"/>
        </w:rPr>
        <w:t xml:space="preserve"> </w:t>
      </w:r>
      <w:r>
        <w:rPr>
          <w:rFonts w:ascii="Arial" w:cs="Arial" w:eastAsia="Arial" w:hAnsi="Arial"/>
          <w:sz w:val="18"/>
          <w:szCs w:val="18"/>
          <w:color w:val="auto"/>
        </w:rPr>
        <w:t>was led primarily by smaller and higher-yield tickets.</w:t>
      </w:r>
    </w:p>
    <w:p>
      <w:pPr>
        <w:spacing w:after="0" w:line="134" w:lineRule="exact"/>
        <w:rPr>
          <w:sz w:val="20"/>
          <w:szCs w:val="20"/>
          <w:color w:val="auto"/>
        </w:rPr>
      </w:pPr>
    </w:p>
    <w:p>
      <w:pPr>
        <w:jc w:val="both"/>
        <w:ind w:left="7"/>
        <w:spacing w:after="0" w:line="249"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growth in loans at a Neutral Exchange rate was led by</w:t>
      </w:r>
      <w:r>
        <w:rPr>
          <w:rFonts w:ascii="Arial" w:cs="Arial" w:eastAsia="Arial" w:hAnsi="Arial"/>
          <w:sz w:val="18"/>
          <w:szCs w:val="18"/>
          <w:b w:val="1"/>
          <w:bCs w:val="1"/>
          <w:color w:val="auto"/>
        </w:rPr>
        <w:t xml:space="preserve"> BCP Stand-alone (+7.8%)</w:t>
      </w:r>
      <w:r>
        <w:rPr>
          <w:rFonts w:ascii="Arial" w:cs="Arial" w:eastAsia="Arial" w:hAnsi="Arial"/>
          <w:sz w:val="18"/>
          <w:szCs w:val="18"/>
          <w:color w:val="auto"/>
        </w:rPr>
        <w:t>, followed by</w:t>
      </w:r>
      <w:r>
        <w:rPr>
          <w:rFonts w:ascii="Arial" w:cs="Arial" w:eastAsia="Arial" w:hAnsi="Arial"/>
          <w:sz w:val="18"/>
          <w:szCs w:val="18"/>
          <w:b w:val="1"/>
          <w:bCs w:val="1"/>
          <w:color w:val="auto"/>
        </w:rPr>
        <w:t xml:space="preserve"> Mibanco (+11.2%) and Mibanco Colombia (+44.4%)</w:t>
      </w:r>
      <w:r>
        <w:rPr>
          <w:rFonts w:ascii="Arial" w:cs="Arial" w:eastAsia="Arial" w:hAnsi="Arial"/>
          <w:sz w:val="18"/>
          <w:szCs w:val="18"/>
          <w:color w:val="auto"/>
        </w:rPr>
        <w:t>. At</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loans increased on the back of an increase in disbursements, which began to gain traction in 4Q24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sustained growth in 2025. </w:t>
      </w:r>
      <w:r>
        <w:rPr>
          <w:rFonts w:ascii="Arial" w:cs="Arial" w:eastAsia="Arial" w:hAnsi="Arial"/>
          <w:sz w:val="18"/>
          <w:szCs w:val="18"/>
          <w:b w:val="1"/>
          <w:bCs w:val="1"/>
          <w:color w:val="auto"/>
        </w:rPr>
        <w:t>Mibanco Colombia</w:t>
      </w:r>
      <w:r>
        <w:rPr>
          <w:rFonts w:ascii="Arial" w:cs="Arial" w:eastAsia="Arial" w:hAnsi="Arial"/>
          <w:sz w:val="18"/>
          <w:szCs w:val="18"/>
          <w:color w:val="auto"/>
        </w:rPr>
        <w:t xml:space="preserve"> reported robust growth YoY, where loans continued to register significant recovery thanks to both the adjustments to origination guidelines implemented last year and a more favorable environment for 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516255</wp:posOffset>
            </wp:positionV>
            <wp:extent cx="2152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7" w:hanging="87"/>
        <w:spacing w:after="0"/>
        <w:tabs>
          <w:tab w:leader="none" w:pos="87"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As in recent quarters, this evolution is impacted by a non-cash accounting adjustment for the revaluation of assets related to the balance sheet of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808990</wp:posOffset>
            </wp:positionV>
            <wp:extent cx="71577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114300</wp:posOffset>
            </wp:positionV>
            <wp:extent cx="6772275" cy="5911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2275" cy="59118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5772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-359410</wp:posOffset>
            </wp:positionV>
            <wp:extent cx="95123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b w:val="1"/>
          <w:bCs w:val="1"/>
          <w:color w:val="FFFFFF"/>
        </w:rPr>
        <w:t>01. Loan Portfolio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Next, we will analyze loan evolution by segment at </w:t>
      </w:r>
      <w:r>
        <w:rPr>
          <w:rFonts w:ascii="Arial" w:cs="Arial" w:eastAsia="Arial" w:hAnsi="Arial"/>
          <w:sz w:val="18"/>
          <w:szCs w:val="18"/>
          <w:b w:val="1"/>
          <w:bCs w:val="1"/>
          <w:color w:val="auto"/>
        </w:rPr>
        <w:t>BCP Stand-alone</w:t>
      </w:r>
      <w:r>
        <w:rPr>
          <w:rFonts w:ascii="Arial" w:cs="Arial" w:eastAsia="Arial" w:hAnsi="Arial"/>
          <w:sz w:val="18"/>
          <w:szCs w:val="18"/>
          <w:color w:val="auto"/>
        </w:rPr>
        <w:t>:</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QoQ: Total loans by Segment at BCP Stand-alone (in Quarter-end balances)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720" w:type="dxa"/>
            <w:vAlign w:val="bottom"/>
            <w:tcBorders>
              <w:top w:val="single" w:sz="8" w:color="auto"/>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4"/>
                <w:szCs w:val="14"/>
                <w:b w:val="1"/>
                <w:bCs w:val="1"/>
                <w:color w:val="FFFFFF"/>
              </w:rPr>
              <w:t>Total Loans</w:t>
            </w:r>
          </w:p>
        </w:tc>
        <w:tc>
          <w:tcPr>
            <w:tcW w:w="800" w:type="dxa"/>
            <w:vAlign w:val="bottom"/>
            <w:tcBorders>
              <w:top w:val="single" w:sz="8" w:color="auto"/>
            </w:tcBorders>
            <w:shd w:val="clear" w:color="auto" w:fill="33CCCC"/>
          </w:tcPr>
          <w:p>
            <w:pPr>
              <w:spacing w:after="0"/>
              <w:rPr>
                <w:sz w:val="12"/>
                <w:szCs w:val="12"/>
                <w:color w:val="auto"/>
              </w:rPr>
            </w:pPr>
          </w:p>
        </w:tc>
        <w:tc>
          <w:tcPr>
            <w:tcW w:w="1260" w:type="dxa"/>
            <w:vAlign w:val="bottom"/>
            <w:tcBorders>
              <w:top w:val="single" w:sz="8" w:color="auto"/>
              <w:right w:val="single" w:sz="8" w:color="auto"/>
            </w:tcBorders>
            <w:vMerge w:val="restart"/>
            <w:shd w:val="clear" w:color="auto" w:fill="33CCCC"/>
          </w:tcPr>
          <w:p>
            <w:pPr>
              <w:ind w:left="40"/>
              <w:spacing w:after="0"/>
              <w:rPr>
                <w:sz w:val="20"/>
                <w:szCs w:val="20"/>
                <w:color w:val="auto"/>
              </w:rPr>
            </w:pPr>
            <w:r>
              <w:rPr>
                <w:rFonts w:ascii="Arial" w:cs="Arial" w:eastAsia="Arial" w:hAnsi="Arial"/>
                <w:sz w:val="14"/>
                <w:szCs w:val="14"/>
                <w:b w:val="1"/>
                <w:bCs w:val="1"/>
                <w:color w:val="FFFFFF"/>
              </w:rPr>
              <w:t>As of</w:t>
            </w:r>
          </w:p>
        </w:tc>
        <w:tc>
          <w:tcPr>
            <w:tcW w:w="2060" w:type="dxa"/>
            <w:vAlign w:val="bottom"/>
            <w:tcBorders>
              <w:top w:val="single" w:sz="8" w:color="auto"/>
              <w:right w:val="single" w:sz="8" w:color="auto"/>
            </w:tcBorders>
            <w:gridSpan w:val="2"/>
            <w:vMerge w:val="restart"/>
            <w:shd w:val="clear" w:color="auto" w:fill="33CCCC"/>
          </w:tcPr>
          <w:p>
            <w:pPr>
              <w:ind w:left="580"/>
              <w:spacing w:after="0"/>
              <w:rPr>
                <w:sz w:val="20"/>
                <w:szCs w:val="20"/>
                <w:color w:val="auto"/>
              </w:rPr>
            </w:pPr>
            <w:r>
              <w:rPr>
                <w:rFonts w:ascii="Arial" w:cs="Arial" w:eastAsia="Arial" w:hAnsi="Arial"/>
                <w:sz w:val="14"/>
                <w:szCs w:val="14"/>
                <w:b w:val="1"/>
                <w:bCs w:val="1"/>
                <w:color w:val="FFFFFF"/>
              </w:rPr>
              <w:t>QoQ Change</w:t>
            </w:r>
          </w:p>
        </w:tc>
        <w:tc>
          <w:tcPr>
            <w:tcW w:w="2480" w:type="dxa"/>
            <w:vAlign w:val="bottom"/>
            <w:tcBorders>
              <w:top w:val="single" w:sz="8" w:color="auto"/>
              <w:right w:val="single" w:sz="8" w:color="auto"/>
            </w:tcBorders>
            <w:gridSpan w:val="2"/>
            <w:shd w:val="clear" w:color="auto" w:fill="33CCCC"/>
          </w:tcPr>
          <w:p>
            <w:pPr>
              <w:jc w:val="center"/>
              <w:spacing w:after="0" w:line="143" w:lineRule="exact"/>
              <w:rPr>
                <w:sz w:val="20"/>
                <w:szCs w:val="20"/>
                <w:color w:val="auto"/>
              </w:rPr>
            </w:pPr>
            <w:r>
              <w:rPr>
                <w:rFonts w:ascii="Arial" w:cs="Arial" w:eastAsia="Arial" w:hAnsi="Arial"/>
                <w:sz w:val="14"/>
                <w:szCs w:val="14"/>
                <w:b w:val="1"/>
                <w:bCs w:val="1"/>
                <w:color w:val="FFFFFF"/>
              </w:rPr>
              <w:t>Balance in USD/PEN Neutral</w:t>
            </w:r>
          </w:p>
        </w:tc>
        <w:tc>
          <w:tcPr>
            <w:tcW w:w="1960" w:type="dxa"/>
            <w:vAlign w:val="bottom"/>
            <w:tcBorders>
              <w:top w:val="single" w:sz="8" w:color="auto"/>
              <w:right w:val="single" w:sz="8" w:color="auto"/>
            </w:tcBorders>
            <w:gridSpan w:val="2"/>
            <w:shd w:val="clear" w:color="auto" w:fill="33CCCC"/>
          </w:tcPr>
          <w:p>
            <w:pPr>
              <w:jc w:val="center"/>
              <w:spacing w:after="0" w:line="143" w:lineRule="exact"/>
              <w:rPr>
                <w:sz w:val="20"/>
                <w:szCs w:val="20"/>
                <w:color w:val="auto"/>
              </w:rPr>
            </w:pPr>
            <w:r>
              <w:rPr>
                <w:rFonts w:ascii="Arial" w:cs="Arial" w:eastAsia="Arial" w:hAnsi="Arial"/>
                <w:sz w:val="14"/>
                <w:szCs w:val="14"/>
                <w:b w:val="1"/>
                <w:bCs w:val="1"/>
                <w:color w:val="FFFFFF"/>
              </w:rPr>
              <w:t>QoQ Change</w:t>
            </w:r>
          </w:p>
        </w:tc>
        <w:tc>
          <w:tcPr>
            <w:tcW w:w="0" w:type="dxa"/>
            <w:vAlign w:val="bottom"/>
          </w:tcPr>
          <w:p>
            <w:pPr>
              <w:spacing w:after="0"/>
              <w:rPr>
                <w:sz w:val="1"/>
                <w:szCs w:val="1"/>
                <w:color w:val="auto"/>
              </w:rPr>
            </w:pPr>
          </w:p>
        </w:tc>
      </w:tr>
      <w:tr>
        <w:trPr>
          <w:trHeight w:val="83"/>
        </w:trPr>
        <w:tc>
          <w:tcPr>
            <w:tcW w:w="2720" w:type="dxa"/>
            <w:vAlign w:val="bottom"/>
            <w:tcBorders>
              <w:left w:val="single" w:sz="8" w:color="auto"/>
              <w:right w:val="single" w:sz="8" w:color="auto"/>
            </w:tcBorders>
            <w:vMerge w:val="continue"/>
            <w:shd w:val="clear" w:color="auto" w:fill="33CCCC"/>
          </w:tcPr>
          <w:p>
            <w:pPr>
              <w:spacing w:after="0"/>
              <w:rPr>
                <w:sz w:val="7"/>
                <w:szCs w:val="7"/>
                <w:color w:val="auto"/>
              </w:rPr>
            </w:pPr>
          </w:p>
        </w:tc>
        <w:tc>
          <w:tcPr>
            <w:tcW w:w="800" w:type="dxa"/>
            <w:vAlign w:val="bottom"/>
            <w:shd w:val="clear" w:color="auto" w:fill="33CCCC"/>
          </w:tcPr>
          <w:p>
            <w:pPr>
              <w:spacing w:after="0"/>
              <w:rPr>
                <w:sz w:val="7"/>
                <w:szCs w:val="7"/>
                <w:color w:val="auto"/>
              </w:rPr>
            </w:pPr>
          </w:p>
        </w:tc>
        <w:tc>
          <w:tcPr>
            <w:tcW w:w="1260" w:type="dxa"/>
            <w:vAlign w:val="bottom"/>
            <w:tcBorders>
              <w:right w:val="single" w:sz="8" w:color="auto"/>
            </w:tcBorders>
            <w:vMerge w:val="continue"/>
            <w:shd w:val="clear" w:color="auto" w:fill="33CCCC"/>
          </w:tcPr>
          <w:p>
            <w:pPr>
              <w:spacing w:after="0"/>
              <w:rPr>
                <w:sz w:val="7"/>
                <w:szCs w:val="7"/>
                <w:color w:val="auto"/>
              </w:rPr>
            </w:pPr>
          </w:p>
        </w:tc>
        <w:tc>
          <w:tcPr>
            <w:tcW w:w="2060" w:type="dxa"/>
            <w:vAlign w:val="bottom"/>
            <w:tcBorders>
              <w:right w:val="single" w:sz="8" w:color="auto"/>
            </w:tcBorders>
            <w:gridSpan w:val="2"/>
            <w:vMerge w:val="continue"/>
            <w:shd w:val="clear" w:color="auto" w:fill="33CCCC"/>
          </w:tcPr>
          <w:p>
            <w:pPr>
              <w:spacing w:after="0"/>
              <w:rPr>
                <w:sz w:val="7"/>
                <w:szCs w:val="7"/>
                <w:color w:val="auto"/>
              </w:rPr>
            </w:pPr>
          </w:p>
        </w:tc>
        <w:tc>
          <w:tcPr>
            <w:tcW w:w="960" w:type="dxa"/>
            <w:vAlign w:val="bottom"/>
            <w:shd w:val="clear" w:color="auto" w:fill="33CCCC"/>
          </w:tcPr>
          <w:p>
            <w:pPr>
              <w:spacing w:after="0"/>
              <w:rPr>
                <w:sz w:val="7"/>
                <w:szCs w:val="7"/>
                <w:color w:val="auto"/>
              </w:rPr>
            </w:pPr>
          </w:p>
        </w:tc>
        <w:tc>
          <w:tcPr>
            <w:tcW w:w="1520" w:type="dxa"/>
            <w:vAlign w:val="bottom"/>
            <w:tcBorders>
              <w:right w:val="single" w:sz="8" w:color="auto"/>
            </w:tcBorders>
            <w:vMerge w:val="restart"/>
            <w:shd w:val="clear" w:color="auto" w:fill="33CCCC"/>
          </w:tcPr>
          <w:p>
            <w:pPr>
              <w:jc w:val="center"/>
              <w:ind w:right="928"/>
              <w:spacing w:after="0"/>
              <w:rPr>
                <w:sz w:val="20"/>
                <w:szCs w:val="20"/>
                <w:color w:val="auto"/>
              </w:rPr>
            </w:pPr>
            <w:r>
              <w:rPr>
                <w:rFonts w:ascii="Arial" w:cs="Arial" w:eastAsia="Arial" w:hAnsi="Arial"/>
                <w:sz w:val="14"/>
                <w:szCs w:val="14"/>
                <w:b w:val="1"/>
                <w:bCs w:val="1"/>
                <w:color w:val="FFFFFF"/>
              </w:rPr>
              <w:t>As of</w:t>
            </w:r>
          </w:p>
        </w:tc>
        <w:tc>
          <w:tcPr>
            <w:tcW w:w="1960" w:type="dxa"/>
            <w:vAlign w:val="bottom"/>
            <w:tcBorders>
              <w:right w:val="single" w:sz="8" w:color="auto"/>
            </w:tcBorders>
            <w:gridSpan w:val="2"/>
            <w:vMerge w:val="restart"/>
            <w:shd w:val="clear" w:color="auto" w:fill="33CCCC"/>
          </w:tcPr>
          <w:p>
            <w:pPr>
              <w:jc w:val="center"/>
              <w:spacing w:after="0"/>
              <w:rPr>
                <w:sz w:val="20"/>
                <w:szCs w:val="20"/>
                <w:color w:val="auto"/>
              </w:rPr>
            </w:pPr>
            <w:r>
              <w:rPr>
                <w:rFonts w:ascii="Arial" w:cs="Arial" w:eastAsia="Arial" w:hAnsi="Arial"/>
                <w:sz w:val="14"/>
                <w:szCs w:val="14"/>
                <w:b w:val="1"/>
                <w:bCs w:val="1"/>
                <w:color w:val="FFFFFF"/>
              </w:rPr>
              <w:t>in USD/PEN Neutral</w:t>
            </w:r>
          </w:p>
        </w:tc>
        <w:tc>
          <w:tcPr>
            <w:tcW w:w="0" w:type="dxa"/>
            <w:vAlign w:val="bottom"/>
          </w:tcPr>
          <w:p>
            <w:pPr>
              <w:spacing w:after="0"/>
              <w:rPr>
                <w:sz w:val="1"/>
                <w:szCs w:val="1"/>
                <w:color w:val="auto"/>
              </w:rPr>
            </w:pPr>
          </w:p>
        </w:tc>
      </w:tr>
      <w:tr>
        <w:trPr>
          <w:trHeight w:val="79"/>
        </w:trPr>
        <w:tc>
          <w:tcPr>
            <w:tcW w:w="2720" w:type="dxa"/>
            <w:vAlign w:val="bottom"/>
            <w:tcBorders>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4"/>
                <w:szCs w:val="14"/>
                <w:color w:val="FFFFFF"/>
              </w:rPr>
              <w:t>(S/ Millions)</w:t>
            </w:r>
          </w:p>
        </w:tc>
        <w:tc>
          <w:tcPr>
            <w:tcW w:w="800" w:type="dxa"/>
            <w:vAlign w:val="bottom"/>
            <w:shd w:val="clear" w:color="auto" w:fill="33CCCC"/>
          </w:tcPr>
          <w:p>
            <w:pPr>
              <w:spacing w:after="0"/>
              <w:rPr>
                <w:sz w:val="6"/>
                <w:szCs w:val="6"/>
                <w:color w:val="auto"/>
              </w:rPr>
            </w:pPr>
          </w:p>
        </w:tc>
        <w:tc>
          <w:tcPr>
            <w:tcW w:w="1260" w:type="dxa"/>
            <w:vAlign w:val="bottom"/>
            <w:tcBorders>
              <w:right w:val="single" w:sz="8" w:color="auto"/>
            </w:tcBorders>
            <w:shd w:val="clear" w:color="auto" w:fill="33CCCC"/>
          </w:tcPr>
          <w:p>
            <w:pPr>
              <w:spacing w:after="0"/>
              <w:rPr>
                <w:sz w:val="6"/>
                <w:szCs w:val="6"/>
                <w:color w:val="auto"/>
              </w:rPr>
            </w:pPr>
          </w:p>
        </w:tc>
        <w:tc>
          <w:tcPr>
            <w:tcW w:w="1020" w:type="dxa"/>
            <w:vAlign w:val="bottom"/>
            <w:shd w:val="clear" w:color="auto" w:fill="33CCCC"/>
          </w:tcPr>
          <w:p>
            <w:pPr>
              <w:spacing w:after="0"/>
              <w:rPr>
                <w:sz w:val="6"/>
                <w:szCs w:val="6"/>
                <w:color w:val="auto"/>
              </w:rPr>
            </w:pPr>
          </w:p>
        </w:tc>
        <w:tc>
          <w:tcPr>
            <w:tcW w:w="1040" w:type="dxa"/>
            <w:vAlign w:val="bottom"/>
            <w:tcBorders>
              <w:right w:val="single" w:sz="8" w:color="auto"/>
            </w:tcBorders>
            <w:shd w:val="clear" w:color="auto" w:fill="33CCCC"/>
          </w:tcPr>
          <w:p>
            <w:pPr>
              <w:spacing w:after="0"/>
              <w:rPr>
                <w:sz w:val="6"/>
                <w:szCs w:val="6"/>
                <w:color w:val="auto"/>
              </w:rPr>
            </w:pPr>
          </w:p>
        </w:tc>
        <w:tc>
          <w:tcPr>
            <w:tcW w:w="960" w:type="dxa"/>
            <w:vAlign w:val="bottom"/>
            <w:shd w:val="clear" w:color="auto" w:fill="33CCCC"/>
          </w:tcPr>
          <w:p>
            <w:pPr>
              <w:spacing w:after="0"/>
              <w:rPr>
                <w:sz w:val="6"/>
                <w:szCs w:val="6"/>
                <w:color w:val="auto"/>
              </w:rPr>
            </w:pPr>
          </w:p>
        </w:tc>
        <w:tc>
          <w:tcPr>
            <w:tcW w:w="1520" w:type="dxa"/>
            <w:vAlign w:val="bottom"/>
            <w:tcBorders>
              <w:right w:val="single" w:sz="8" w:color="auto"/>
            </w:tcBorders>
            <w:vMerge w:val="continue"/>
            <w:shd w:val="clear" w:color="auto" w:fill="33CCCC"/>
          </w:tcPr>
          <w:p>
            <w:pPr>
              <w:spacing w:after="0"/>
              <w:rPr>
                <w:sz w:val="6"/>
                <w:szCs w:val="6"/>
                <w:color w:val="auto"/>
              </w:rPr>
            </w:pPr>
          </w:p>
        </w:tc>
        <w:tc>
          <w:tcPr>
            <w:tcW w:w="1960" w:type="dxa"/>
            <w:vAlign w:val="bottom"/>
            <w:tcBorders>
              <w:right w:val="single" w:sz="8" w:color="auto"/>
            </w:tcBorders>
            <w:gridSpan w:val="2"/>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720" w:type="dxa"/>
            <w:vAlign w:val="bottom"/>
            <w:tcBorders>
              <w:left w:val="single" w:sz="8" w:color="auto"/>
              <w:right w:val="single" w:sz="8" w:color="auto"/>
            </w:tcBorders>
            <w:vMerge w:val="continue"/>
            <w:shd w:val="clear" w:color="auto" w:fill="33CCCC"/>
          </w:tcPr>
          <w:p>
            <w:pPr>
              <w:spacing w:after="0"/>
              <w:rPr>
                <w:sz w:val="10"/>
                <w:szCs w:val="10"/>
                <w:color w:val="auto"/>
              </w:rPr>
            </w:pPr>
          </w:p>
        </w:tc>
        <w:tc>
          <w:tcPr>
            <w:tcW w:w="800" w:type="dxa"/>
            <w:vAlign w:val="bottom"/>
            <w:vMerge w:val="restart"/>
            <w:shd w:val="clear" w:color="auto" w:fill="33CCCC"/>
          </w:tcPr>
          <w:p>
            <w:pPr>
              <w:ind w:left="260"/>
              <w:spacing w:after="0"/>
              <w:rPr>
                <w:sz w:val="20"/>
                <w:szCs w:val="20"/>
                <w:color w:val="auto"/>
              </w:rPr>
            </w:pPr>
            <w:r>
              <w:rPr>
                <w:rFonts w:ascii="Arial" w:cs="Arial" w:eastAsia="Arial" w:hAnsi="Arial"/>
                <w:sz w:val="14"/>
                <w:szCs w:val="14"/>
                <w:b w:val="1"/>
                <w:bCs w:val="1"/>
                <w:color w:val="FFFFFF"/>
              </w:rPr>
              <w:t>Sep 25</w:t>
            </w:r>
          </w:p>
        </w:tc>
        <w:tc>
          <w:tcPr>
            <w:tcW w:w="1260" w:type="dxa"/>
            <w:vAlign w:val="bottom"/>
            <w:tcBorders>
              <w:right w:val="single" w:sz="8" w:color="auto"/>
            </w:tcBorders>
            <w:vMerge w:val="restart"/>
            <w:shd w:val="clear" w:color="auto" w:fill="33CCCC"/>
          </w:tcPr>
          <w:p>
            <w:pPr>
              <w:ind w:left="480"/>
              <w:spacing w:after="0"/>
              <w:rPr>
                <w:sz w:val="20"/>
                <w:szCs w:val="20"/>
                <w:color w:val="auto"/>
              </w:rPr>
            </w:pPr>
            <w:r>
              <w:rPr>
                <w:rFonts w:ascii="Arial" w:cs="Arial" w:eastAsia="Arial" w:hAnsi="Arial"/>
                <w:sz w:val="14"/>
                <w:szCs w:val="14"/>
                <w:b w:val="1"/>
                <w:bCs w:val="1"/>
                <w:color w:val="FFFFFF"/>
              </w:rPr>
              <w:t>Dec 25</w:t>
            </w:r>
          </w:p>
        </w:tc>
        <w:tc>
          <w:tcPr>
            <w:tcW w:w="1020" w:type="dxa"/>
            <w:vAlign w:val="bottom"/>
            <w:vMerge w:val="restart"/>
            <w:shd w:val="clear" w:color="auto" w:fill="33CCCC"/>
          </w:tcPr>
          <w:p>
            <w:pPr>
              <w:ind w:left="240"/>
              <w:spacing w:after="0"/>
              <w:rPr>
                <w:sz w:val="20"/>
                <w:szCs w:val="20"/>
                <w:color w:val="auto"/>
              </w:rPr>
            </w:pPr>
            <w:r>
              <w:rPr>
                <w:rFonts w:ascii="Arial" w:cs="Arial" w:eastAsia="Arial" w:hAnsi="Arial"/>
                <w:sz w:val="14"/>
                <w:szCs w:val="14"/>
                <w:b w:val="1"/>
                <w:bCs w:val="1"/>
                <w:color w:val="FFFFFF"/>
              </w:rPr>
              <w:t>Volume</w:t>
            </w:r>
          </w:p>
        </w:tc>
        <w:tc>
          <w:tcPr>
            <w:tcW w:w="104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4"/>
                <w:szCs w:val="14"/>
                <w:b w:val="1"/>
                <w:bCs w:val="1"/>
                <w:color w:val="FFFFFF"/>
                <w:w w:val="96"/>
              </w:rPr>
              <w:t>%</w:t>
            </w:r>
          </w:p>
        </w:tc>
        <w:tc>
          <w:tcPr>
            <w:tcW w:w="960" w:type="dxa"/>
            <w:vAlign w:val="bottom"/>
            <w:vMerge w:val="restart"/>
            <w:shd w:val="clear" w:color="auto" w:fill="33CCCC"/>
          </w:tcPr>
          <w:p>
            <w:pPr>
              <w:ind w:left="380"/>
              <w:spacing w:after="0"/>
              <w:rPr>
                <w:sz w:val="20"/>
                <w:szCs w:val="20"/>
                <w:color w:val="auto"/>
              </w:rPr>
            </w:pPr>
            <w:r>
              <w:rPr>
                <w:rFonts w:ascii="Arial" w:cs="Arial" w:eastAsia="Arial" w:hAnsi="Arial"/>
                <w:sz w:val="14"/>
                <w:szCs w:val="14"/>
                <w:b w:val="1"/>
                <w:bCs w:val="1"/>
                <w:color w:val="FFFFFF"/>
              </w:rPr>
              <w:t>Sep 25</w:t>
            </w:r>
          </w:p>
        </w:tc>
        <w:tc>
          <w:tcPr>
            <w:tcW w:w="1520" w:type="dxa"/>
            <w:vAlign w:val="bottom"/>
            <w:tcBorders>
              <w:right w:val="single" w:sz="8" w:color="auto"/>
            </w:tcBorders>
            <w:vMerge w:val="restart"/>
            <w:shd w:val="clear" w:color="auto" w:fill="33CCCC"/>
          </w:tcPr>
          <w:p>
            <w:pPr>
              <w:ind w:left="640"/>
              <w:spacing w:after="0"/>
              <w:rPr>
                <w:sz w:val="20"/>
                <w:szCs w:val="20"/>
                <w:color w:val="auto"/>
              </w:rPr>
            </w:pPr>
            <w:r>
              <w:rPr>
                <w:rFonts w:ascii="Arial" w:cs="Arial" w:eastAsia="Arial" w:hAnsi="Arial"/>
                <w:sz w:val="14"/>
                <w:szCs w:val="14"/>
                <w:b w:val="1"/>
                <w:bCs w:val="1"/>
                <w:color w:val="FFFFFF"/>
              </w:rPr>
              <w:t>Dec 25</w:t>
            </w:r>
          </w:p>
        </w:tc>
        <w:tc>
          <w:tcPr>
            <w:tcW w:w="980" w:type="dxa"/>
            <w:vAlign w:val="bottom"/>
            <w:vMerge w:val="restart"/>
            <w:shd w:val="clear" w:color="auto" w:fill="33CCCC"/>
          </w:tcPr>
          <w:p>
            <w:pPr>
              <w:ind w:left="240"/>
              <w:spacing w:after="0"/>
              <w:rPr>
                <w:sz w:val="20"/>
                <w:szCs w:val="20"/>
                <w:color w:val="auto"/>
              </w:rPr>
            </w:pPr>
            <w:r>
              <w:rPr>
                <w:rFonts w:ascii="Arial" w:cs="Arial" w:eastAsia="Arial" w:hAnsi="Arial"/>
                <w:sz w:val="14"/>
                <w:szCs w:val="14"/>
                <w:b w:val="1"/>
                <w:bCs w:val="1"/>
                <w:color w:val="FFFFFF"/>
              </w:rPr>
              <w:t>Volume</w:t>
            </w:r>
          </w:p>
        </w:tc>
        <w:tc>
          <w:tcPr>
            <w:tcW w:w="98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4"/>
                <w:szCs w:val="14"/>
                <w:b w:val="1"/>
                <w:bCs w:val="1"/>
                <w:color w:val="FFFFFF"/>
                <w:w w:val="96"/>
              </w:rPr>
              <w:t>%</w:t>
            </w:r>
          </w:p>
        </w:tc>
        <w:tc>
          <w:tcPr>
            <w:tcW w:w="0" w:type="dxa"/>
            <w:vAlign w:val="bottom"/>
          </w:tcPr>
          <w:p>
            <w:pPr>
              <w:spacing w:after="0"/>
              <w:rPr>
                <w:sz w:val="1"/>
                <w:szCs w:val="1"/>
                <w:color w:val="auto"/>
              </w:rPr>
            </w:pPr>
          </w:p>
        </w:tc>
      </w:tr>
      <w:tr>
        <w:trPr>
          <w:trHeight w:val="62"/>
        </w:trPr>
        <w:tc>
          <w:tcPr>
            <w:tcW w:w="2720" w:type="dxa"/>
            <w:vAlign w:val="bottom"/>
            <w:tcBorders>
              <w:left w:val="single" w:sz="8" w:color="auto"/>
              <w:bottom w:val="single" w:sz="8" w:color="auto"/>
              <w:right w:val="single" w:sz="8" w:color="auto"/>
            </w:tcBorders>
            <w:shd w:val="clear" w:color="auto" w:fill="33CCCC"/>
          </w:tcPr>
          <w:p>
            <w:pPr>
              <w:spacing w:after="0"/>
              <w:rPr>
                <w:sz w:val="5"/>
                <w:szCs w:val="5"/>
                <w:color w:val="auto"/>
              </w:rPr>
            </w:pPr>
          </w:p>
        </w:tc>
        <w:tc>
          <w:tcPr>
            <w:tcW w:w="800" w:type="dxa"/>
            <w:vAlign w:val="bottom"/>
            <w:tcBorders>
              <w:bottom w:val="single" w:sz="8" w:color="auto"/>
            </w:tcBorders>
            <w:vMerge w:val="continue"/>
            <w:shd w:val="clear" w:color="auto" w:fill="33CCCC"/>
          </w:tcPr>
          <w:p>
            <w:pPr>
              <w:spacing w:after="0"/>
              <w:rPr>
                <w:sz w:val="5"/>
                <w:szCs w:val="5"/>
                <w:color w:val="auto"/>
              </w:rPr>
            </w:pPr>
          </w:p>
        </w:tc>
        <w:tc>
          <w:tcPr>
            <w:tcW w:w="126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1020" w:type="dxa"/>
            <w:vAlign w:val="bottom"/>
            <w:tcBorders>
              <w:bottom w:val="single" w:sz="8" w:color="auto"/>
            </w:tcBorders>
            <w:vMerge w:val="continue"/>
            <w:shd w:val="clear" w:color="auto" w:fill="33CCCC"/>
          </w:tcPr>
          <w:p>
            <w:pPr>
              <w:spacing w:after="0"/>
              <w:rPr>
                <w:sz w:val="5"/>
                <w:szCs w:val="5"/>
                <w:color w:val="auto"/>
              </w:rPr>
            </w:pPr>
          </w:p>
        </w:tc>
        <w:tc>
          <w:tcPr>
            <w:tcW w:w="104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960" w:type="dxa"/>
            <w:vAlign w:val="bottom"/>
            <w:tcBorders>
              <w:bottom w:val="single" w:sz="8" w:color="auto"/>
            </w:tcBorders>
            <w:vMerge w:val="continue"/>
            <w:shd w:val="clear" w:color="auto" w:fill="33CCCC"/>
          </w:tcPr>
          <w:p>
            <w:pPr>
              <w:spacing w:after="0"/>
              <w:rPr>
                <w:sz w:val="5"/>
                <w:szCs w:val="5"/>
                <w:color w:val="auto"/>
              </w:rPr>
            </w:pPr>
          </w:p>
        </w:tc>
        <w:tc>
          <w:tcPr>
            <w:tcW w:w="152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980" w:type="dxa"/>
            <w:vAlign w:val="bottom"/>
            <w:tcBorders>
              <w:bottom w:val="single" w:sz="8" w:color="auto"/>
            </w:tcBorders>
            <w:vMerge w:val="continue"/>
            <w:shd w:val="clear" w:color="auto" w:fill="33CCCC"/>
          </w:tcPr>
          <w:p>
            <w:pPr>
              <w:spacing w:after="0"/>
              <w:rPr>
                <w:sz w:val="5"/>
                <w:szCs w:val="5"/>
                <w:color w:val="auto"/>
              </w:rPr>
            </w:pPr>
          </w:p>
        </w:tc>
        <w:tc>
          <w:tcPr>
            <w:tcW w:w="98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720" w:type="dxa"/>
            <w:vAlign w:val="bottom"/>
            <w:tcBorders>
              <w:left w:val="single" w:sz="8" w:color="auto"/>
              <w:right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BCP Stand-alone</w:t>
            </w:r>
          </w:p>
        </w:tc>
        <w:tc>
          <w:tcPr>
            <w:tcW w:w="800" w:type="dxa"/>
            <w:vAlign w:val="bottom"/>
          </w:tcPr>
          <w:p>
            <w:pPr>
              <w:jc w:val="center"/>
              <w:ind w:left="128"/>
              <w:spacing w:after="0" w:line="141" w:lineRule="exact"/>
              <w:rPr>
                <w:sz w:val="20"/>
                <w:szCs w:val="20"/>
                <w:color w:val="auto"/>
              </w:rPr>
            </w:pPr>
            <w:r>
              <w:rPr>
                <w:rFonts w:ascii="Arial" w:cs="Arial" w:eastAsia="Arial" w:hAnsi="Arial"/>
                <w:sz w:val="14"/>
                <w:szCs w:val="14"/>
                <w:b w:val="1"/>
                <w:bCs w:val="1"/>
                <w:color w:val="auto"/>
              </w:rPr>
              <w:t>123,089</w:t>
            </w:r>
          </w:p>
        </w:tc>
        <w:tc>
          <w:tcPr>
            <w:tcW w:w="1260" w:type="dxa"/>
            <w:vAlign w:val="bottom"/>
            <w:tcBorders>
              <w:right w:val="single" w:sz="8" w:color="auto"/>
            </w:tcBorders>
          </w:tcPr>
          <w:p>
            <w:pPr>
              <w:jc w:val="center"/>
              <w:ind w:left="108"/>
              <w:spacing w:after="0" w:line="141" w:lineRule="exact"/>
              <w:rPr>
                <w:sz w:val="20"/>
                <w:szCs w:val="20"/>
                <w:color w:val="auto"/>
              </w:rPr>
            </w:pPr>
            <w:r>
              <w:rPr>
                <w:rFonts w:ascii="Arial" w:cs="Arial" w:eastAsia="Arial" w:hAnsi="Arial"/>
                <w:sz w:val="14"/>
                <w:szCs w:val="14"/>
                <w:b w:val="1"/>
                <w:bCs w:val="1"/>
                <w:color w:val="auto"/>
              </w:rPr>
              <w:t>125,201</w:t>
            </w:r>
          </w:p>
        </w:tc>
        <w:tc>
          <w:tcPr>
            <w:tcW w:w="10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2,111</w:t>
            </w:r>
          </w:p>
        </w:tc>
        <w:tc>
          <w:tcPr>
            <w:tcW w:w="10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1.7%</w:t>
            </w:r>
          </w:p>
        </w:tc>
        <w:tc>
          <w:tcPr>
            <w:tcW w:w="960" w:type="dxa"/>
            <w:vAlign w:val="bottom"/>
          </w:tcPr>
          <w:p>
            <w:pPr>
              <w:jc w:val="center"/>
              <w:ind w:left="168"/>
              <w:spacing w:after="0" w:line="141" w:lineRule="exact"/>
              <w:rPr>
                <w:sz w:val="20"/>
                <w:szCs w:val="20"/>
                <w:color w:val="auto"/>
              </w:rPr>
            </w:pPr>
            <w:r>
              <w:rPr>
                <w:rFonts w:ascii="Arial" w:cs="Arial" w:eastAsia="Arial" w:hAnsi="Arial"/>
                <w:sz w:val="14"/>
                <w:szCs w:val="14"/>
                <w:b w:val="1"/>
                <w:bCs w:val="1"/>
                <w:color w:val="auto"/>
              </w:rPr>
              <w:t>123,089</w:t>
            </w:r>
          </w:p>
        </w:tc>
        <w:tc>
          <w:tcPr>
            <w:tcW w:w="1520" w:type="dxa"/>
            <w:vAlign w:val="bottom"/>
            <w:tcBorders>
              <w:right w:val="single" w:sz="8" w:color="auto"/>
            </w:tcBorders>
          </w:tcPr>
          <w:p>
            <w:pPr>
              <w:jc w:val="center"/>
              <w:ind w:left="168"/>
              <w:spacing w:after="0" w:line="141" w:lineRule="exact"/>
              <w:rPr>
                <w:sz w:val="20"/>
                <w:szCs w:val="20"/>
                <w:color w:val="auto"/>
              </w:rPr>
            </w:pPr>
            <w:r>
              <w:rPr>
                <w:rFonts w:ascii="Arial" w:cs="Arial" w:eastAsia="Arial" w:hAnsi="Arial"/>
                <w:sz w:val="14"/>
                <w:szCs w:val="14"/>
                <w:b w:val="1"/>
                <w:bCs w:val="1"/>
                <w:color w:val="auto"/>
              </w:rPr>
              <w:t>126,471</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3,382</w:t>
            </w:r>
          </w:p>
        </w:tc>
        <w:tc>
          <w:tcPr>
            <w:tcW w:w="9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77"/>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Wholesale Banking</w:t>
            </w: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rPr>
              <w:t>53,340</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54,142</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802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1.5%</w:t>
            </w:r>
          </w:p>
        </w:tc>
        <w:tc>
          <w:tcPr>
            <w:tcW w:w="960" w:type="dxa"/>
            <w:vAlign w:val="bottom"/>
          </w:tcPr>
          <w:p>
            <w:pPr>
              <w:jc w:val="center"/>
              <w:ind w:left="168"/>
              <w:spacing w:after="0"/>
              <w:rPr>
                <w:sz w:val="20"/>
                <w:szCs w:val="20"/>
                <w:color w:val="auto"/>
              </w:rPr>
            </w:pPr>
            <w:r>
              <w:rPr>
                <w:rFonts w:ascii="Arial" w:cs="Arial" w:eastAsia="Arial" w:hAnsi="Arial"/>
                <w:sz w:val="14"/>
                <w:szCs w:val="14"/>
                <w:b w:val="1"/>
                <w:bCs w:val="1"/>
                <w:color w:val="auto"/>
              </w:rPr>
              <w:t>53,340</w:t>
            </w:r>
          </w:p>
        </w:tc>
        <w:tc>
          <w:tcPr>
            <w:tcW w:w="1520" w:type="dxa"/>
            <w:vAlign w:val="bottom"/>
            <w:tcBorders>
              <w:right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7"/>
              </w:rPr>
              <w:t>55,111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1,771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Corporate</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31,485</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31,958</w:t>
            </w:r>
          </w:p>
        </w:tc>
        <w:tc>
          <w:tcPr>
            <w:tcW w:w="1020" w:type="dxa"/>
            <w:vAlign w:val="bottom"/>
          </w:tcPr>
          <w:p>
            <w:pPr>
              <w:jc w:val="center"/>
              <w:spacing w:after="0"/>
              <w:rPr>
                <w:sz w:val="20"/>
                <w:szCs w:val="20"/>
                <w:color w:val="auto"/>
              </w:rPr>
            </w:pPr>
            <w:r>
              <w:rPr>
                <w:rFonts w:ascii="Arial" w:cs="Arial" w:eastAsia="Arial" w:hAnsi="Arial"/>
                <w:sz w:val="14"/>
                <w:szCs w:val="14"/>
                <w:color w:val="auto"/>
              </w:rPr>
              <w:t>473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31,485</w:t>
            </w:r>
          </w:p>
        </w:tc>
        <w:tc>
          <w:tcPr>
            <w:tcW w:w="1520" w:type="dxa"/>
            <w:vAlign w:val="bottom"/>
            <w:tcBorders>
              <w:right w:val="single" w:sz="8" w:color="auto"/>
            </w:tcBorders>
          </w:tcPr>
          <w:p>
            <w:pPr>
              <w:jc w:val="center"/>
              <w:ind w:left="168"/>
              <w:spacing w:after="0"/>
              <w:rPr>
                <w:sz w:val="20"/>
                <w:szCs w:val="20"/>
                <w:color w:val="auto"/>
              </w:rPr>
            </w:pPr>
            <w:r>
              <w:rPr>
                <w:rFonts w:ascii="Arial" w:cs="Arial" w:eastAsia="Arial" w:hAnsi="Arial"/>
                <w:sz w:val="14"/>
                <w:szCs w:val="14"/>
                <w:color w:val="auto"/>
              </w:rPr>
              <w:t>32,521</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1,036</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Middle - Market</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21,855</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22,184</w:t>
            </w:r>
          </w:p>
        </w:tc>
        <w:tc>
          <w:tcPr>
            <w:tcW w:w="1020" w:type="dxa"/>
            <w:vAlign w:val="bottom"/>
          </w:tcPr>
          <w:p>
            <w:pPr>
              <w:jc w:val="center"/>
              <w:spacing w:after="0"/>
              <w:rPr>
                <w:sz w:val="20"/>
                <w:szCs w:val="20"/>
                <w:color w:val="auto"/>
              </w:rPr>
            </w:pPr>
            <w:r>
              <w:rPr>
                <w:rFonts w:ascii="Arial" w:cs="Arial" w:eastAsia="Arial" w:hAnsi="Arial"/>
                <w:sz w:val="14"/>
                <w:szCs w:val="14"/>
                <w:color w:val="auto"/>
              </w:rPr>
              <w:t>329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21,855</w:t>
            </w:r>
          </w:p>
        </w:tc>
        <w:tc>
          <w:tcPr>
            <w:tcW w:w="1520" w:type="dxa"/>
            <w:vAlign w:val="bottom"/>
            <w:tcBorders>
              <w:right w:val="single" w:sz="8" w:color="auto"/>
            </w:tcBorders>
          </w:tcPr>
          <w:p>
            <w:pPr>
              <w:jc w:val="center"/>
              <w:ind w:left="168"/>
              <w:spacing w:after="0"/>
              <w:rPr>
                <w:sz w:val="20"/>
                <w:szCs w:val="20"/>
                <w:color w:val="auto"/>
              </w:rPr>
            </w:pPr>
            <w:r>
              <w:rPr>
                <w:rFonts w:ascii="Arial" w:cs="Arial" w:eastAsia="Arial" w:hAnsi="Arial"/>
                <w:sz w:val="14"/>
                <w:szCs w:val="14"/>
                <w:color w:val="auto"/>
              </w:rPr>
              <w:t>22,591</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735</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Retail Banking</w:t>
            </w: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rPr>
              <w:t>67,958</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69,501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1,543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2.3%</w:t>
            </w:r>
          </w:p>
        </w:tc>
        <w:tc>
          <w:tcPr>
            <w:tcW w:w="960" w:type="dxa"/>
            <w:vAlign w:val="bottom"/>
          </w:tcPr>
          <w:p>
            <w:pPr>
              <w:jc w:val="center"/>
              <w:ind w:left="168"/>
              <w:spacing w:after="0"/>
              <w:rPr>
                <w:sz w:val="20"/>
                <w:szCs w:val="20"/>
                <w:color w:val="auto"/>
              </w:rPr>
            </w:pPr>
            <w:r>
              <w:rPr>
                <w:rFonts w:ascii="Arial" w:cs="Arial" w:eastAsia="Arial" w:hAnsi="Arial"/>
                <w:sz w:val="14"/>
                <w:szCs w:val="14"/>
                <w:b w:val="1"/>
                <w:bCs w:val="1"/>
                <w:color w:val="auto"/>
              </w:rPr>
              <w:t>67,958</w:t>
            </w:r>
          </w:p>
        </w:tc>
        <w:tc>
          <w:tcPr>
            <w:tcW w:w="1520" w:type="dxa"/>
            <w:vAlign w:val="bottom"/>
            <w:tcBorders>
              <w:right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69,771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1,813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SME - Business</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8,097</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8,434</w:t>
            </w:r>
          </w:p>
        </w:tc>
        <w:tc>
          <w:tcPr>
            <w:tcW w:w="1020" w:type="dxa"/>
            <w:vAlign w:val="bottom"/>
          </w:tcPr>
          <w:p>
            <w:pPr>
              <w:jc w:val="center"/>
              <w:spacing w:after="0"/>
              <w:rPr>
                <w:sz w:val="20"/>
                <w:szCs w:val="20"/>
                <w:color w:val="auto"/>
              </w:rPr>
            </w:pPr>
            <w:r>
              <w:rPr>
                <w:rFonts w:ascii="Arial" w:cs="Arial" w:eastAsia="Arial" w:hAnsi="Arial"/>
                <w:sz w:val="14"/>
                <w:szCs w:val="14"/>
                <w:color w:val="auto"/>
              </w:rPr>
              <w:t>337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8,097</w:t>
            </w:r>
          </w:p>
        </w:tc>
        <w:tc>
          <w:tcPr>
            <w:tcW w:w="1520" w:type="dxa"/>
            <w:vAlign w:val="bottom"/>
            <w:tcBorders>
              <w:right w:val="single" w:sz="8" w:color="auto"/>
            </w:tcBorders>
          </w:tcPr>
          <w:p>
            <w:pPr>
              <w:jc w:val="center"/>
              <w:ind w:left="168"/>
              <w:spacing w:after="0"/>
              <w:rPr>
                <w:sz w:val="20"/>
                <w:szCs w:val="20"/>
                <w:color w:val="auto"/>
              </w:rPr>
            </w:pPr>
            <w:r>
              <w:rPr>
                <w:rFonts w:ascii="Arial" w:cs="Arial" w:eastAsia="Arial" w:hAnsi="Arial"/>
                <w:sz w:val="14"/>
                <w:szCs w:val="14"/>
                <w:color w:val="auto"/>
              </w:rPr>
              <w:t>8,550</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454</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7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SME - Pyme</w:t>
            </w:r>
          </w:p>
        </w:tc>
        <w:tc>
          <w:tcPr>
            <w:tcW w:w="800" w:type="dxa"/>
            <w:vAlign w:val="bottom"/>
          </w:tcPr>
          <w:p>
            <w:pPr>
              <w:jc w:val="center"/>
              <w:ind w:left="128"/>
              <w:spacing w:after="0" w:line="149" w:lineRule="exact"/>
              <w:rPr>
                <w:sz w:val="20"/>
                <w:szCs w:val="20"/>
                <w:color w:val="auto"/>
              </w:rPr>
            </w:pPr>
            <w:r>
              <w:rPr>
                <w:rFonts w:ascii="Arial" w:cs="Arial" w:eastAsia="Arial" w:hAnsi="Arial"/>
                <w:sz w:val="14"/>
                <w:szCs w:val="14"/>
                <w:color w:val="auto"/>
              </w:rPr>
              <w:t>16,447</w:t>
            </w:r>
          </w:p>
        </w:tc>
        <w:tc>
          <w:tcPr>
            <w:tcW w:w="12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color w:val="auto"/>
              </w:rPr>
              <w:t>16,735</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288</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1.8%</w:t>
            </w:r>
          </w:p>
        </w:tc>
        <w:tc>
          <w:tcPr>
            <w:tcW w:w="960" w:type="dxa"/>
            <w:vAlign w:val="bottom"/>
          </w:tcPr>
          <w:p>
            <w:pPr>
              <w:jc w:val="center"/>
              <w:ind w:left="168"/>
              <w:spacing w:after="0" w:line="149" w:lineRule="exact"/>
              <w:rPr>
                <w:sz w:val="20"/>
                <w:szCs w:val="20"/>
                <w:color w:val="auto"/>
              </w:rPr>
            </w:pPr>
            <w:r>
              <w:rPr>
                <w:rFonts w:ascii="Arial" w:cs="Arial" w:eastAsia="Arial" w:hAnsi="Arial"/>
                <w:sz w:val="14"/>
                <w:szCs w:val="14"/>
                <w:color w:val="auto"/>
              </w:rPr>
              <w:t>16,447</w:t>
            </w:r>
          </w:p>
        </w:tc>
        <w:tc>
          <w:tcPr>
            <w:tcW w:w="152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color w:val="auto"/>
              </w:rPr>
              <w:t>16,739</w:t>
            </w:r>
          </w:p>
        </w:tc>
        <w:tc>
          <w:tcPr>
            <w:tcW w:w="980" w:type="dxa"/>
            <w:vAlign w:val="bottom"/>
            <w:shd w:val="clear" w:color="auto" w:fill="00B050"/>
          </w:tcPr>
          <w:p>
            <w:pPr>
              <w:jc w:val="center"/>
              <w:spacing w:after="0" w:line="149" w:lineRule="exact"/>
              <w:rPr>
                <w:sz w:val="20"/>
                <w:szCs w:val="20"/>
                <w:color w:val="auto"/>
              </w:rPr>
            </w:pPr>
            <w:r>
              <w:rPr>
                <w:rFonts w:ascii="Arial" w:cs="Arial" w:eastAsia="Arial" w:hAnsi="Arial"/>
                <w:sz w:val="14"/>
                <w:szCs w:val="14"/>
                <w:color w:val="auto"/>
              </w:rPr>
              <w:t>292</w:t>
            </w:r>
          </w:p>
        </w:tc>
        <w:tc>
          <w:tcPr>
            <w:tcW w:w="980" w:type="dxa"/>
            <w:vAlign w:val="bottom"/>
            <w:tcBorders>
              <w:right w:val="single" w:sz="8" w:color="auto"/>
            </w:tcBorders>
            <w:shd w:val="clear" w:color="auto" w:fill="00B050"/>
          </w:tcPr>
          <w:p>
            <w:pPr>
              <w:jc w:val="center"/>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Mortgage</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23,377</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23,822</w:t>
            </w:r>
          </w:p>
        </w:tc>
        <w:tc>
          <w:tcPr>
            <w:tcW w:w="1020" w:type="dxa"/>
            <w:vAlign w:val="bottom"/>
          </w:tcPr>
          <w:p>
            <w:pPr>
              <w:jc w:val="center"/>
              <w:spacing w:after="0"/>
              <w:rPr>
                <w:sz w:val="20"/>
                <w:szCs w:val="20"/>
                <w:color w:val="auto"/>
              </w:rPr>
            </w:pPr>
            <w:r>
              <w:rPr>
                <w:rFonts w:ascii="Arial" w:cs="Arial" w:eastAsia="Arial" w:hAnsi="Arial"/>
                <w:sz w:val="14"/>
                <w:szCs w:val="14"/>
                <w:color w:val="auto"/>
              </w:rPr>
              <w:t>444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23,377</w:t>
            </w:r>
          </w:p>
        </w:tc>
        <w:tc>
          <w:tcPr>
            <w:tcW w:w="1520" w:type="dxa"/>
            <w:vAlign w:val="bottom"/>
            <w:tcBorders>
              <w:right w:val="single" w:sz="8" w:color="auto"/>
            </w:tcBorders>
          </w:tcPr>
          <w:p>
            <w:pPr>
              <w:jc w:val="center"/>
              <w:ind w:left="168"/>
              <w:spacing w:after="0"/>
              <w:rPr>
                <w:sz w:val="20"/>
                <w:szCs w:val="20"/>
                <w:color w:val="auto"/>
              </w:rPr>
            </w:pPr>
            <w:r>
              <w:rPr>
                <w:rFonts w:ascii="Arial" w:cs="Arial" w:eastAsia="Arial" w:hAnsi="Arial"/>
                <w:sz w:val="14"/>
                <w:szCs w:val="14"/>
                <w:color w:val="auto"/>
              </w:rPr>
              <w:t>23,871</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494</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5"/>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Consumer</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13,781</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14,074</w:t>
            </w:r>
          </w:p>
        </w:tc>
        <w:tc>
          <w:tcPr>
            <w:tcW w:w="1020" w:type="dxa"/>
            <w:vAlign w:val="bottom"/>
          </w:tcPr>
          <w:p>
            <w:pPr>
              <w:jc w:val="center"/>
              <w:spacing w:after="0"/>
              <w:rPr>
                <w:sz w:val="20"/>
                <w:szCs w:val="20"/>
                <w:color w:val="auto"/>
              </w:rPr>
            </w:pPr>
            <w:r>
              <w:rPr>
                <w:rFonts w:ascii="Arial" w:cs="Arial" w:eastAsia="Arial" w:hAnsi="Arial"/>
                <w:sz w:val="14"/>
                <w:szCs w:val="14"/>
                <w:color w:val="auto"/>
              </w:rPr>
              <w:t>293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13,781</w:t>
            </w:r>
          </w:p>
        </w:tc>
        <w:tc>
          <w:tcPr>
            <w:tcW w:w="1520" w:type="dxa"/>
            <w:vAlign w:val="bottom"/>
            <w:tcBorders>
              <w:right w:val="single" w:sz="8" w:color="auto"/>
            </w:tcBorders>
          </w:tcPr>
          <w:p>
            <w:pPr>
              <w:jc w:val="center"/>
              <w:ind w:left="168"/>
              <w:spacing w:after="0"/>
              <w:rPr>
                <w:sz w:val="20"/>
                <w:szCs w:val="20"/>
                <w:color w:val="auto"/>
              </w:rPr>
            </w:pPr>
            <w:r>
              <w:rPr>
                <w:rFonts w:ascii="Arial" w:cs="Arial" w:eastAsia="Arial" w:hAnsi="Arial"/>
                <w:sz w:val="14"/>
                <w:szCs w:val="14"/>
                <w:color w:val="auto"/>
              </w:rPr>
              <w:t>14,141</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360</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5"/>
        </w:trPr>
        <w:tc>
          <w:tcPr>
            <w:tcW w:w="27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4"/>
                <w:szCs w:val="14"/>
                <w:color w:val="auto"/>
              </w:rPr>
              <w:t>Credit Card</w:t>
            </w:r>
          </w:p>
        </w:tc>
        <w:tc>
          <w:tcPr>
            <w:tcW w:w="800" w:type="dxa"/>
            <w:vAlign w:val="bottom"/>
          </w:tcPr>
          <w:p>
            <w:pPr>
              <w:jc w:val="center"/>
              <w:ind w:left="128"/>
              <w:spacing w:after="0" w:line="135" w:lineRule="exact"/>
              <w:rPr>
                <w:sz w:val="20"/>
                <w:szCs w:val="20"/>
                <w:color w:val="auto"/>
              </w:rPr>
            </w:pPr>
            <w:r>
              <w:rPr>
                <w:rFonts w:ascii="Arial" w:cs="Arial" w:eastAsia="Arial" w:hAnsi="Arial"/>
                <w:sz w:val="14"/>
                <w:szCs w:val="14"/>
                <w:color w:val="auto"/>
              </w:rPr>
              <w:t>6,257</w:t>
            </w:r>
          </w:p>
        </w:tc>
        <w:tc>
          <w:tcPr>
            <w:tcW w:w="1260" w:type="dxa"/>
            <w:vAlign w:val="bottom"/>
            <w:tcBorders>
              <w:right w:val="single" w:sz="8" w:color="auto"/>
            </w:tcBorders>
          </w:tcPr>
          <w:p>
            <w:pPr>
              <w:jc w:val="center"/>
              <w:ind w:left="108"/>
              <w:spacing w:after="0" w:line="135" w:lineRule="exact"/>
              <w:rPr>
                <w:sz w:val="20"/>
                <w:szCs w:val="20"/>
                <w:color w:val="auto"/>
              </w:rPr>
            </w:pPr>
            <w:r>
              <w:rPr>
                <w:rFonts w:ascii="Arial" w:cs="Arial" w:eastAsia="Arial" w:hAnsi="Arial"/>
                <w:sz w:val="14"/>
                <w:szCs w:val="14"/>
                <w:color w:val="auto"/>
              </w:rPr>
              <w:t>6,437</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rPr>
              <w:t>180</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2.9%</w:t>
            </w:r>
          </w:p>
        </w:tc>
        <w:tc>
          <w:tcPr>
            <w:tcW w:w="960" w:type="dxa"/>
            <w:vAlign w:val="bottom"/>
          </w:tcPr>
          <w:p>
            <w:pPr>
              <w:jc w:val="center"/>
              <w:ind w:left="168"/>
              <w:spacing w:after="0" w:line="135" w:lineRule="exact"/>
              <w:rPr>
                <w:sz w:val="20"/>
                <w:szCs w:val="20"/>
                <w:color w:val="auto"/>
              </w:rPr>
            </w:pPr>
            <w:r>
              <w:rPr>
                <w:rFonts w:ascii="Arial" w:cs="Arial" w:eastAsia="Arial" w:hAnsi="Arial"/>
                <w:sz w:val="14"/>
                <w:szCs w:val="14"/>
                <w:color w:val="auto"/>
              </w:rPr>
              <w:t>6,257</w:t>
            </w:r>
          </w:p>
        </w:tc>
        <w:tc>
          <w:tcPr>
            <w:tcW w:w="1520" w:type="dxa"/>
            <w:vAlign w:val="bottom"/>
            <w:tcBorders>
              <w:right w:val="single" w:sz="8" w:color="auto"/>
            </w:tcBorders>
          </w:tcPr>
          <w:p>
            <w:pPr>
              <w:jc w:val="center"/>
              <w:ind w:left="168"/>
              <w:spacing w:after="0" w:line="135" w:lineRule="exact"/>
              <w:rPr>
                <w:sz w:val="20"/>
                <w:szCs w:val="20"/>
                <w:color w:val="auto"/>
              </w:rPr>
            </w:pPr>
            <w:r>
              <w:rPr>
                <w:rFonts w:ascii="Arial" w:cs="Arial" w:eastAsia="Arial" w:hAnsi="Arial"/>
                <w:sz w:val="14"/>
                <w:szCs w:val="14"/>
                <w:color w:val="auto"/>
              </w:rPr>
              <w:t>6,469</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rPr>
              <w:t>213</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bottom w:val="single" w:sz="8" w:color="auto"/>
              <w:right w:val="single" w:sz="8" w:color="auto"/>
            </w:tcBorders>
          </w:tcPr>
          <w:p>
            <w:pPr>
              <w:ind w:left="16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8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1,791</w:t>
            </w:r>
          </w:p>
        </w:tc>
        <w:tc>
          <w:tcPr>
            <w:tcW w:w="12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1,558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-234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-13.0%</w:t>
            </w:r>
          </w:p>
        </w:tc>
        <w:tc>
          <w:tcPr>
            <w:tcW w:w="9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1,791</w:t>
            </w:r>
          </w:p>
        </w:tc>
        <w:tc>
          <w:tcPr>
            <w:tcW w:w="152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1,589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-203</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-11.3%</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For consolidation purposes. Loans generated in Foreign Currency (FC) are converted into Local Currency (LC).</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(1) Includes other assets and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5636260</wp:posOffset>
            </wp:positionH>
            <wp:positionV relativeFrom="paragraph">
              <wp:posOffset>116840</wp:posOffset>
            </wp:positionV>
            <wp:extent cx="55753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530" cy="291465"/>
                    </a:xfrm>
                    <a:prstGeom prst="rect">
                      <a:avLst/>
                    </a:prstGeom>
                    <a:noFill/>
                  </pic:spPr>
                </pic:pic>
              </a:graphicData>
            </a:graphic>
          </wp:anchor>
        </w:drawing>
      </w:r>
    </w:p>
    <w:p>
      <w:pPr>
        <w:spacing w:after="0" w:line="206" w:lineRule="exact"/>
        <w:rPr>
          <w:sz w:val="20"/>
          <w:szCs w:val="20"/>
          <w:color w:val="auto"/>
        </w:rPr>
      </w:pPr>
    </w:p>
    <w:p>
      <w:pPr>
        <w:ind w:left="9800"/>
        <w:spacing w:after="0" w:line="516" w:lineRule="auto"/>
        <w:rPr>
          <w:sz w:val="20"/>
          <w:szCs w:val="20"/>
          <w:color w:val="auto"/>
        </w:rPr>
      </w:pPr>
      <w:r>
        <w:rPr>
          <w:rFonts w:ascii="Arial" w:cs="Arial" w:eastAsia="Arial" w:hAnsi="Arial"/>
          <w:sz w:val="11"/>
          <w:szCs w:val="11"/>
          <w:color w:val="auto"/>
        </w:rPr>
        <w:t>Larger contraction in volume Larger expansion in volume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total loans in quarter-end balances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increased 2.7% at a Neutral Exchange rate. This growth was driven mainly by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Banking (+2.7%)</w:t>
      </w:r>
      <w:r>
        <w:rPr>
          <w:rFonts w:ascii="Arial" w:cs="Arial" w:eastAsia="Arial" w:hAnsi="Arial"/>
          <w:sz w:val="18"/>
          <w:szCs w:val="18"/>
          <w:color w:val="auto"/>
        </w:rPr>
        <w:t>, followed by</w:t>
      </w:r>
      <w:r>
        <w:rPr>
          <w:rFonts w:ascii="Arial" w:cs="Arial" w:eastAsia="Arial" w:hAnsi="Arial"/>
          <w:sz w:val="18"/>
          <w:szCs w:val="18"/>
          <w:b w:val="1"/>
          <w:bCs w:val="1"/>
          <w:color w:val="auto"/>
        </w:rPr>
        <w:t xml:space="preserve"> Wholesale Banking (+3.3%). </w:t>
      </w:r>
      <w:r>
        <w:rPr>
          <w:rFonts w:ascii="Arial" w:cs="Arial" w:eastAsia="Arial" w:hAnsi="Arial"/>
          <w:sz w:val="18"/>
          <w:szCs w:val="18"/>
          <w:color w:val="auto"/>
        </w:rPr>
        <w:t>In Retail, all segments evolved positively</w:t>
      </w:r>
      <w:r>
        <w:rPr>
          <w:rFonts w:ascii="Arial" w:cs="Arial" w:eastAsia="Arial" w:hAnsi="Arial"/>
          <w:sz w:val="18"/>
          <w:szCs w:val="18"/>
          <w:b w:val="1"/>
          <w:bCs w:val="1"/>
          <w:color w:val="auto"/>
        </w:rPr>
        <w:t xml:space="preserve"> QoQ</w:t>
      </w:r>
      <w:r>
        <w:rPr>
          <w:rFonts w:ascii="Arial" w:cs="Arial" w:eastAsia="Arial" w:hAnsi="Arial"/>
          <w:sz w:val="18"/>
          <w:szCs w:val="18"/>
          <w:color w:val="auto"/>
        </w:rPr>
        <w:t>, but star performers were:</w:t>
      </w:r>
    </w:p>
    <w:p>
      <w:pPr>
        <w:spacing w:after="0" w:line="107" w:lineRule="exact"/>
        <w:rPr>
          <w:sz w:val="20"/>
          <w:szCs w:val="20"/>
          <w:color w:val="auto"/>
        </w:rPr>
      </w:pPr>
    </w:p>
    <w:p>
      <w:pPr>
        <w:ind w:left="760" w:hanging="304"/>
        <w:spacing w:after="0" w:line="24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Small Businesses</w:t>
      </w:r>
      <w:r>
        <w:rPr>
          <w:rFonts w:ascii="Arial" w:cs="Arial" w:eastAsia="Arial" w:hAnsi="Arial"/>
          <w:sz w:val="18"/>
          <w:szCs w:val="18"/>
          <w:color w:val="auto"/>
        </w:rPr>
        <w:t>, due to growth in disbursements of negotiable invoices and working capital loans in</w:t>
      </w:r>
      <w:r>
        <w:rPr>
          <w:rFonts w:ascii="Arial" w:cs="Arial" w:eastAsia="Arial" w:hAnsi="Arial"/>
          <w:sz w:val="18"/>
          <w:szCs w:val="18"/>
          <w:b w:val="1"/>
          <w:bCs w:val="1"/>
          <w:color w:val="auto"/>
        </w:rPr>
        <w:t xml:space="preserve"> SME-Businesses </w:t>
      </w:r>
      <w:r>
        <w:rPr>
          <w:rFonts w:ascii="Arial" w:cs="Arial" w:eastAsia="Arial" w:hAnsi="Arial"/>
          <w:sz w:val="18"/>
          <w:szCs w:val="18"/>
          <w:color w:val="auto"/>
        </w:rPr>
        <w:t>and</w:t>
      </w:r>
      <w:r>
        <w:rPr>
          <w:rFonts w:ascii="Arial" w:cs="Arial" w:eastAsia="Arial" w:hAnsi="Arial"/>
          <w:sz w:val="18"/>
          <w:szCs w:val="18"/>
          <w:b w:val="1"/>
          <w:bCs w:val="1"/>
          <w:color w:val="auto"/>
        </w:rPr>
        <w:t xml:space="preserve"> SME-Pyme</w:t>
      </w:r>
      <w:r>
        <w:rPr>
          <w:rFonts w:ascii="Arial" w:cs="Arial" w:eastAsia="Arial" w:hAnsi="Arial"/>
          <w:sz w:val="18"/>
          <w:szCs w:val="18"/>
          <w:color w:val="auto"/>
        </w:rPr>
        <w:t>, respectively.</w:t>
      </w:r>
    </w:p>
    <w:p>
      <w:pPr>
        <w:spacing w:after="0" w:line="1" w:lineRule="exact"/>
        <w:rPr>
          <w:rFonts w:ascii="Arial" w:cs="Arial" w:eastAsia="Arial" w:hAnsi="Arial"/>
          <w:sz w:val="18"/>
          <w:szCs w:val="18"/>
          <w:color w:val="auto"/>
        </w:rPr>
      </w:pPr>
    </w:p>
    <w:p>
      <w:pPr>
        <w:ind w:left="760" w:hanging="304"/>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due to an increase in the demand for loans in a context marked by more favorable macroeconomic conditions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rates that remained low.</w:t>
      </w:r>
    </w:p>
    <w:p>
      <w:pPr>
        <w:spacing w:after="0" w:line="1" w:lineRule="exact"/>
        <w:rPr>
          <w:rFonts w:ascii="Arial" w:cs="Arial" w:eastAsia="Arial" w:hAnsi="Arial"/>
          <w:sz w:val="18"/>
          <w:szCs w:val="18"/>
          <w:color w:val="auto"/>
        </w:rPr>
      </w:pPr>
    </w:p>
    <w:p>
      <w:pPr>
        <w:ind w:left="760" w:hanging="3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Consumer, </w:t>
      </w:r>
      <w:r>
        <w:rPr>
          <w:rFonts w:ascii="Arial" w:cs="Arial" w:eastAsia="Arial" w:hAnsi="Arial"/>
          <w:sz w:val="18"/>
          <w:szCs w:val="18"/>
          <w:color w:val="auto"/>
        </w:rPr>
        <w:t>due to an uptick in loan disbursements, mainly through BCP Stand-alone and Yape.</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growth was driven by an uptick in disbursements of medium and long-term loans in </w:t>
      </w:r>
      <w:r>
        <w:rPr>
          <w:rFonts w:ascii="Arial" w:cs="Arial" w:eastAsia="Arial" w:hAnsi="Arial"/>
          <w:sz w:val="18"/>
          <w:szCs w:val="18"/>
          <w:b w:val="1"/>
          <w:bCs w:val="1"/>
          <w:color w:val="auto"/>
        </w:rPr>
        <w:t>Corporate Banking</w:t>
      </w:r>
      <w:r>
        <w:rPr>
          <w:rFonts w:ascii="Arial" w:cs="Arial" w:eastAsia="Arial" w:hAnsi="Arial"/>
          <w:sz w:val="18"/>
          <w:szCs w:val="18"/>
          <w:color w:val="auto"/>
        </w:rPr>
        <w:t xml:space="preserve">, mainly in </w:t>
      </w:r>
      <w:r>
        <w:rPr>
          <w:rFonts w:ascii="Arial" w:cs="Arial" w:eastAsia="Arial" w:hAnsi="Arial"/>
          <w:sz w:val="18"/>
          <w:szCs w:val="18"/>
          <w:b w:val="1"/>
          <w:bCs w:val="1"/>
          <w:color w:val="auto"/>
        </w:rPr>
        <w:t xml:space="preserve">Corporate Banking </w:t>
      </w:r>
      <w:r>
        <w:rPr>
          <w:rFonts w:ascii="Arial" w:cs="Arial" w:eastAsia="Arial" w:hAnsi="Arial"/>
          <w:sz w:val="18"/>
          <w:szCs w:val="18"/>
          <w:color w:val="auto"/>
        </w:rPr>
        <w:t>and principally in the Mining and Energy sectors. Expansion in</w:t>
      </w:r>
      <w:r>
        <w:rPr>
          <w:rFonts w:ascii="Arial" w:cs="Arial" w:eastAsia="Arial" w:hAnsi="Arial"/>
          <w:sz w:val="18"/>
          <w:szCs w:val="18"/>
          <w:b w:val="1"/>
          <w:bCs w:val="1"/>
          <w:color w:val="auto"/>
        </w:rPr>
        <w:t xml:space="preserve"> Middle Market Banking </w:t>
      </w:r>
      <w:r>
        <w:rPr>
          <w:rFonts w:ascii="Arial" w:cs="Arial" w:eastAsia="Arial" w:hAnsi="Arial"/>
          <w:sz w:val="18"/>
          <w:szCs w:val="18"/>
          <w:color w:val="auto"/>
        </w:rPr>
        <w:t>was led by growth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agriculture and fishing sectors; the latter was favorably impacted by the beginning of the second fishing season in November.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Total Loans by Segment at BCP Stand-alone (in Quarter-end Balances)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2720" w:type="dxa"/>
            <w:vAlign w:val="bottom"/>
            <w:tcBorders>
              <w:top w:val="single" w:sz="8" w:color="auto"/>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4"/>
                <w:szCs w:val="14"/>
                <w:b w:val="1"/>
                <w:bCs w:val="1"/>
                <w:color w:val="FFFFFF"/>
              </w:rPr>
              <w:t>Total Loans</w:t>
            </w:r>
          </w:p>
        </w:tc>
        <w:tc>
          <w:tcPr>
            <w:tcW w:w="800" w:type="dxa"/>
            <w:vAlign w:val="bottom"/>
            <w:tcBorders>
              <w:top w:val="single" w:sz="8" w:color="auto"/>
            </w:tcBorders>
            <w:shd w:val="clear" w:color="auto" w:fill="33CCCC"/>
          </w:tcPr>
          <w:p>
            <w:pPr>
              <w:spacing w:after="0"/>
              <w:rPr>
                <w:sz w:val="13"/>
                <w:szCs w:val="13"/>
                <w:color w:val="auto"/>
              </w:rPr>
            </w:pPr>
          </w:p>
        </w:tc>
        <w:tc>
          <w:tcPr>
            <w:tcW w:w="1260" w:type="dxa"/>
            <w:vAlign w:val="bottom"/>
            <w:tcBorders>
              <w:top w:val="single" w:sz="8" w:color="auto"/>
              <w:right w:val="single" w:sz="8" w:color="auto"/>
            </w:tcBorders>
            <w:vMerge w:val="restart"/>
            <w:shd w:val="clear" w:color="auto" w:fill="33CCCC"/>
          </w:tcPr>
          <w:p>
            <w:pPr>
              <w:ind w:left="40"/>
              <w:spacing w:after="0"/>
              <w:rPr>
                <w:sz w:val="20"/>
                <w:szCs w:val="20"/>
                <w:color w:val="auto"/>
              </w:rPr>
            </w:pPr>
            <w:r>
              <w:rPr>
                <w:rFonts w:ascii="Arial" w:cs="Arial" w:eastAsia="Arial" w:hAnsi="Arial"/>
                <w:sz w:val="14"/>
                <w:szCs w:val="14"/>
                <w:b w:val="1"/>
                <w:bCs w:val="1"/>
                <w:color w:val="FFFFFF"/>
              </w:rPr>
              <w:t>As of</w:t>
            </w:r>
          </w:p>
        </w:tc>
        <w:tc>
          <w:tcPr>
            <w:tcW w:w="2060" w:type="dxa"/>
            <w:vAlign w:val="bottom"/>
            <w:tcBorders>
              <w:top w:val="single" w:sz="8" w:color="auto"/>
              <w:right w:val="single" w:sz="8" w:color="auto"/>
            </w:tcBorders>
            <w:gridSpan w:val="2"/>
            <w:vMerge w:val="restart"/>
            <w:shd w:val="clear" w:color="auto" w:fill="33CCCC"/>
          </w:tcPr>
          <w:p>
            <w:pPr>
              <w:ind w:left="600"/>
              <w:spacing w:after="0"/>
              <w:rPr>
                <w:sz w:val="20"/>
                <w:szCs w:val="20"/>
                <w:color w:val="auto"/>
              </w:rPr>
            </w:pPr>
            <w:r>
              <w:rPr>
                <w:rFonts w:ascii="Arial" w:cs="Arial" w:eastAsia="Arial" w:hAnsi="Arial"/>
                <w:sz w:val="14"/>
                <w:szCs w:val="14"/>
                <w:b w:val="1"/>
                <w:bCs w:val="1"/>
                <w:color w:val="FFFFFF"/>
              </w:rPr>
              <w:t>YoY Change</w:t>
            </w:r>
          </w:p>
        </w:tc>
        <w:tc>
          <w:tcPr>
            <w:tcW w:w="2480" w:type="dxa"/>
            <w:vAlign w:val="bottom"/>
            <w:tcBorders>
              <w:top w:val="single" w:sz="8" w:color="auto"/>
              <w:right w:val="single" w:sz="8" w:color="auto"/>
            </w:tcBorders>
            <w:gridSpan w:val="2"/>
            <w:vMerge w:val="restart"/>
            <w:shd w:val="clear" w:color="auto" w:fill="33CCCC"/>
          </w:tcPr>
          <w:p>
            <w:pPr>
              <w:ind w:left="60"/>
              <w:spacing w:after="0"/>
              <w:rPr>
                <w:sz w:val="20"/>
                <w:szCs w:val="20"/>
                <w:color w:val="auto"/>
              </w:rPr>
            </w:pPr>
            <w:r>
              <w:rPr>
                <w:rFonts w:ascii="Arial" w:cs="Arial" w:eastAsia="Arial" w:hAnsi="Arial"/>
                <w:sz w:val="14"/>
                <w:szCs w:val="14"/>
                <w:b w:val="1"/>
                <w:bCs w:val="1"/>
                <w:color w:val="FFFFFF"/>
              </w:rPr>
              <w:t>Balance in Neutral USD/PEN As of</w:t>
            </w:r>
          </w:p>
        </w:tc>
        <w:tc>
          <w:tcPr>
            <w:tcW w:w="196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Arial" w:cs="Arial" w:eastAsia="Arial" w:hAnsi="Arial"/>
                <w:sz w:val="14"/>
                <w:szCs w:val="14"/>
                <w:b w:val="1"/>
                <w:bCs w:val="1"/>
                <w:color w:val="FFFFFF"/>
              </w:rPr>
              <w:t>YoY Change</w:t>
            </w:r>
          </w:p>
        </w:tc>
        <w:tc>
          <w:tcPr>
            <w:tcW w:w="0" w:type="dxa"/>
            <w:vAlign w:val="bottom"/>
          </w:tcPr>
          <w:p>
            <w:pPr>
              <w:spacing w:after="0"/>
              <w:rPr>
                <w:sz w:val="1"/>
                <w:szCs w:val="1"/>
                <w:color w:val="auto"/>
              </w:rPr>
            </w:pPr>
          </w:p>
        </w:tc>
      </w:tr>
      <w:tr>
        <w:trPr>
          <w:trHeight w:val="83"/>
        </w:trPr>
        <w:tc>
          <w:tcPr>
            <w:tcW w:w="2720" w:type="dxa"/>
            <w:vAlign w:val="bottom"/>
            <w:tcBorders>
              <w:left w:val="single" w:sz="8" w:color="auto"/>
              <w:right w:val="single" w:sz="8" w:color="auto"/>
            </w:tcBorders>
            <w:vMerge w:val="continue"/>
            <w:shd w:val="clear" w:color="auto" w:fill="33CCCC"/>
          </w:tcPr>
          <w:p>
            <w:pPr>
              <w:spacing w:after="0"/>
              <w:rPr>
                <w:sz w:val="7"/>
                <w:szCs w:val="7"/>
                <w:color w:val="auto"/>
              </w:rPr>
            </w:pPr>
          </w:p>
        </w:tc>
        <w:tc>
          <w:tcPr>
            <w:tcW w:w="800" w:type="dxa"/>
            <w:vAlign w:val="bottom"/>
            <w:shd w:val="clear" w:color="auto" w:fill="33CCCC"/>
          </w:tcPr>
          <w:p>
            <w:pPr>
              <w:spacing w:after="0"/>
              <w:rPr>
                <w:sz w:val="7"/>
                <w:szCs w:val="7"/>
                <w:color w:val="auto"/>
              </w:rPr>
            </w:pPr>
          </w:p>
        </w:tc>
        <w:tc>
          <w:tcPr>
            <w:tcW w:w="1260" w:type="dxa"/>
            <w:vAlign w:val="bottom"/>
            <w:tcBorders>
              <w:right w:val="single" w:sz="8" w:color="auto"/>
            </w:tcBorders>
            <w:vMerge w:val="continue"/>
            <w:shd w:val="clear" w:color="auto" w:fill="33CCCC"/>
          </w:tcPr>
          <w:p>
            <w:pPr>
              <w:spacing w:after="0"/>
              <w:rPr>
                <w:sz w:val="7"/>
                <w:szCs w:val="7"/>
                <w:color w:val="auto"/>
              </w:rPr>
            </w:pPr>
          </w:p>
        </w:tc>
        <w:tc>
          <w:tcPr>
            <w:tcW w:w="2060" w:type="dxa"/>
            <w:vAlign w:val="bottom"/>
            <w:tcBorders>
              <w:right w:val="single" w:sz="8" w:color="auto"/>
            </w:tcBorders>
            <w:gridSpan w:val="2"/>
            <w:vMerge w:val="continue"/>
            <w:shd w:val="clear" w:color="auto" w:fill="33CCCC"/>
          </w:tcPr>
          <w:p>
            <w:pPr>
              <w:spacing w:after="0"/>
              <w:rPr>
                <w:sz w:val="7"/>
                <w:szCs w:val="7"/>
                <w:color w:val="auto"/>
              </w:rPr>
            </w:pPr>
          </w:p>
        </w:tc>
        <w:tc>
          <w:tcPr>
            <w:tcW w:w="2480" w:type="dxa"/>
            <w:vAlign w:val="bottom"/>
            <w:tcBorders>
              <w:right w:val="single" w:sz="8" w:color="auto"/>
            </w:tcBorders>
            <w:gridSpan w:val="2"/>
            <w:vMerge w:val="continue"/>
            <w:shd w:val="clear" w:color="auto" w:fill="33CCCC"/>
          </w:tcPr>
          <w:p>
            <w:pPr>
              <w:spacing w:after="0"/>
              <w:rPr>
                <w:sz w:val="7"/>
                <w:szCs w:val="7"/>
                <w:color w:val="auto"/>
              </w:rPr>
            </w:pPr>
          </w:p>
        </w:tc>
        <w:tc>
          <w:tcPr>
            <w:tcW w:w="1960" w:type="dxa"/>
            <w:vAlign w:val="bottom"/>
            <w:tcBorders>
              <w:right w:val="single" w:sz="8" w:color="auto"/>
            </w:tcBorders>
            <w:gridSpan w:val="2"/>
            <w:vMerge w:val="restart"/>
            <w:shd w:val="clear" w:color="auto" w:fill="33CCCC"/>
          </w:tcPr>
          <w:p>
            <w:pPr>
              <w:jc w:val="center"/>
              <w:spacing w:after="0"/>
              <w:rPr>
                <w:sz w:val="20"/>
                <w:szCs w:val="20"/>
                <w:color w:val="auto"/>
              </w:rPr>
            </w:pPr>
            <w:r>
              <w:rPr>
                <w:rFonts w:ascii="Arial" w:cs="Arial" w:eastAsia="Arial" w:hAnsi="Arial"/>
                <w:sz w:val="14"/>
                <w:szCs w:val="14"/>
                <w:b w:val="1"/>
                <w:bCs w:val="1"/>
                <w:color w:val="FFFFFF"/>
              </w:rPr>
              <w:t>in Neutral USDPEN</w:t>
            </w:r>
          </w:p>
        </w:tc>
        <w:tc>
          <w:tcPr>
            <w:tcW w:w="0" w:type="dxa"/>
            <w:vAlign w:val="bottom"/>
          </w:tcPr>
          <w:p>
            <w:pPr>
              <w:spacing w:after="0"/>
              <w:rPr>
                <w:sz w:val="1"/>
                <w:szCs w:val="1"/>
                <w:color w:val="auto"/>
              </w:rPr>
            </w:pPr>
          </w:p>
        </w:tc>
      </w:tr>
      <w:tr>
        <w:trPr>
          <w:trHeight w:val="79"/>
        </w:trPr>
        <w:tc>
          <w:tcPr>
            <w:tcW w:w="2720" w:type="dxa"/>
            <w:vAlign w:val="bottom"/>
            <w:tcBorders>
              <w:left w:val="single" w:sz="8" w:color="auto"/>
              <w:right w:val="single" w:sz="8" w:color="auto"/>
            </w:tcBorders>
            <w:vMerge w:val="restart"/>
            <w:shd w:val="clear" w:color="auto" w:fill="33CCCC"/>
          </w:tcPr>
          <w:p>
            <w:pPr>
              <w:spacing w:after="0"/>
              <w:rPr>
                <w:sz w:val="20"/>
                <w:szCs w:val="20"/>
                <w:color w:val="auto"/>
              </w:rPr>
            </w:pPr>
            <w:r>
              <w:rPr>
                <w:rFonts w:ascii="Arial" w:cs="Arial" w:eastAsia="Arial" w:hAnsi="Arial"/>
                <w:sz w:val="14"/>
                <w:szCs w:val="14"/>
                <w:color w:val="FFFFFF"/>
              </w:rPr>
              <w:t>(S/ Millions)</w:t>
            </w:r>
          </w:p>
        </w:tc>
        <w:tc>
          <w:tcPr>
            <w:tcW w:w="800" w:type="dxa"/>
            <w:vAlign w:val="bottom"/>
            <w:shd w:val="clear" w:color="auto" w:fill="33CCCC"/>
          </w:tcPr>
          <w:p>
            <w:pPr>
              <w:spacing w:after="0"/>
              <w:rPr>
                <w:sz w:val="6"/>
                <w:szCs w:val="6"/>
                <w:color w:val="auto"/>
              </w:rPr>
            </w:pPr>
          </w:p>
        </w:tc>
        <w:tc>
          <w:tcPr>
            <w:tcW w:w="1260" w:type="dxa"/>
            <w:vAlign w:val="bottom"/>
            <w:tcBorders>
              <w:right w:val="single" w:sz="8" w:color="auto"/>
            </w:tcBorders>
            <w:shd w:val="clear" w:color="auto" w:fill="33CCCC"/>
          </w:tcPr>
          <w:p>
            <w:pPr>
              <w:spacing w:after="0"/>
              <w:rPr>
                <w:sz w:val="6"/>
                <w:szCs w:val="6"/>
                <w:color w:val="auto"/>
              </w:rPr>
            </w:pPr>
          </w:p>
        </w:tc>
        <w:tc>
          <w:tcPr>
            <w:tcW w:w="1020" w:type="dxa"/>
            <w:vAlign w:val="bottom"/>
            <w:shd w:val="clear" w:color="auto" w:fill="33CCCC"/>
          </w:tcPr>
          <w:p>
            <w:pPr>
              <w:spacing w:after="0"/>
              <w:rPr>
                <w:sz w:val="6"/>
                <w:szCs w:val="6"/>
                <w:color w:val="auto"/>
              </w:rPr>
            </w:pPr>
          </w:p>
        </w:tc>
        <w:tc>
          <w:tcPr>
            <w:tcW w:w="1040" w:type="dxa"/>
            <w:vAlign w:val="bottom"/>
            <w:tcBorders>
              <w:right w:val="single" w:sz="8" w:color="auto"/>
            </w:tcBorders>
            <w:shd w:val="clear" w:color="auto" w:fill="33CCCC"/>
          </w:tcPr>
          <w:p>
            <w:pPr>
              <w:spacing w:after="0"/>
              <w:rPr>
                <w:sz w:val="6"/>
                <w:szCs w:val="6"/>
                <w:color w:val="auto"/>
              </w:rPr>
            </w:pPr>
          </w:p>
        </w:tc>
        <w:tc>
          <w:tcPr>
            <w:tcW w:w="1220" w:type="dxa"/>
            <w:vAlign w:val="bottom"/>
            <w:shd w:val="clear" w:color="auto" w:fill="33CCCC"/>
          </w:tcPr>
          <w:p>
            <w:pPr>
              <w:spacing w:after="0"/>
              <w:rPr>
                <w:sz w:val="6"/>
                <w:szCs w:val="6"/>
                <w:color w:val="auto"/>
              </w:rPr>
            </w:pPr>
          </w:p>
        </w:tc>
        <w:tc>
          <w:tcPr>
            <w:tcW w:w="1260" w:type="dxa"/>
            <w:vAlign w:val="bottom"/>
            <w:tcBorders>
              <w:right w:val="single" w:sz="8" w:color="auto"/>
            </w:tcBorders>
            <w:shd w:val="clear" w:color="auto" w:fill="33CCCC"/>
          </w:tcPr>
          <w:p>
            <w:pPr>
              <w:spacing w:after="0"/>
              <w:rPr>
                <w:sz w:val="6"/>
                <w:szCs w:val="6"/>
                <w:color w:val="auto"/>
              </w:rPr>
            </w:pPr>
          </w:p>
        </w:tc>
        <w:tc>
          <w:tcPr>
            <w:tcW w:w="1960" w:type="dxa"/>
            <w:vAlign w:val="bottom"/>
            <w:tcBorders>
              <w:right w:val="single" w:sz="8" w:color="auto"/>
            </w:tcBorders>
            <w:gridSpan w:val="2"/>
            <w:vMerge w:val="continue"/>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720" w:type="dxa"/>
            <w:vAlign w:val="bottom"/>
            <w:tcBorders>
              <w:left w:val="single" w:sz="8" w:color="auto"/>
              <w:right w:val="single" w:sz="8" w:color="auto"/>
            </w:tcBorders>
            <w:vMerge w:val="continue"/>
            <w:shd w:val="clear" w:color="auto" w:fill="33CCCC"/>
          </w:tcPr>
          <w:p>
            <w:pPr>
              <w:spacing w:after="0"/>
              <w:rPr>
                <w:sz w:val="10"/>
                <w:szCs w:val="10"/>
                <w:color w:val="auto"/>
              </w:rPr>
            </w:pPr>
          </w:p>
        </w:tc>
        <w:tc>
          <w:tcPr>
            <w:tcW w:w="800" w:type="dxa"/>
            <w:vAlign w:val="bottom"/>
            <w:vMerge w:val="restart"/>
            <w:shd w:val="clear" w:color="auto" w:fill="33CCCC"/>
          </w:tcPr>
          <w:p>
            <w:pPr>
              <w:ind w:left="260"/>
              <w:spacing w:after="0"/>
              <w:rPr>
                <w:sz w:val="20"/>
                <w:szCs w:val="20"/>
                <w:color w:val="auto"/>
              </w:rPr>
            </w:pPr>
            <w:r>
              <w:rPr>
                <w:rFonts w:ascii="Arial" w:cs="Arial" w:eastAsia="Arial" w:hAnsi="Arial"/>
                <w:sz w:val="14"/>
                <w:szCs w:val="14"/>
                <w:b w:val="1"/>
                <w:bCs w:val="1"/>
                <w:color w:val="FFFFFF"/>
              </w:rPr>
              <w:t>Dec 24</w:t>
            </w:r>
          </w:p>
        </w:tc>
        <w:tc>
          <w:tcPr>
            <w:tcW w:w="1260" w:type="dxa"/>
            <w:vAlign w:val="bottom"/>
            <w:tcBorders>
              <w:right w:val="single" w:sz="8" w:color="auto"/>
            </w:tcBorders>
            <w:vMerge w:val="restart"/>
            <w:shd w:val="clear" w:color="auto" w:fill="33CCCC"/>
          </w:tcPr>
          <w:p>
            <w:pPr>
              <w:ind w:left="480"/>
              <w:spacing w:after="0"/>
              <w:rPr>
                <w:sz w:val="20"/>
                <w:szCs w:val="20"/>
                <w:color w:val="auto"/>
              </w:rPr>
            </w:pPr>
            <w:r>
              <w:rPr>
                <w:rFonts w:ascii="Arial" w:cs="Arial" w:eastAsia="Arial" w:hAnsi="Arial"/>
                <w:sz w:val="14"/>
                <w:szCs w:val="14"/>
                <w:b w:val="1"/>
                <w:bCs w:val="1"/>
                <w:color w:val="FFFFFF"/>
              </w:rPr>
              <w:t>Dec 25</w:t>
            </w:r>
          </w:p>
        </w:tc>
        <w:tc>
          <w:tcPr>
            <w:tcW w:w="1020" w:type="dxa"/>
            <w:vAlign w:val="bottom"/>
            <w:vMerge w:val="restart"/>
            <w:shd w:val="clear" w:color="auto" w:fill="33CCCC"/>
          </w:tcPr>
          <w:p>
            <w:pPr>
              <w:ind w:left="240"/>
              <w:spacing w:after="0"/>
              <w:rPr>
                <w:sz w:val="20"/>
                <w:szCs w:val="20"/>
                <w:color w:val="auto"/>
              </w:rPr>
            </w:pPr>
            <w:r>
              <w:rPr>
                <w:rFonts w:ascii="Arial" w:cs="Arial" w:eastAsia="Arial" w:hAnsi="Arial"/>
                <w:sz w:val="14"/>
                <w:szCs w:val="14"/>
                <w:b w:val="1"/>
                <w:bCs w:val="1"/>
                <w:color w:val="FFFFFF"/>
              </w:rPr>
              <w:t>Volume</w:t>
            </w:r>
          </w:p>
        </w:tc>
        <w:tc>
          <w:tcPr>
            <w:tcW w:w="104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4"/>
                <w:szCs w:val="14"/>
                <w:b w:val="1"/>
                <w:bCs w:val="1"/>
                <w:color w:val="FFFFFF"/>
                <w:w w:val="96"/>
              </w:rPr>
              <w:t>%</w:t>
            </w:r>
          </w:p>
        </w:tc>
        <w:tc>
          <w:tcPr>
            <w:tcW w:w="1220" w:type="dxa"/>
            <w:vAlign w:val="bottom"/>
            <w:vMerge w:val="restart"/>
            <w:shd w:val="clear" w:color="auto" w:fill="33CCCC"/>
          </w:tcPr>
          <w:p>
            <w:pPr>
              <w:ind w:left="380"/>
              <w:spacing w:after="0"/>
              <w:rPr>
                <w:sz w:val="20"/>
                <w:szCs w:val="20"/>
                <w:color w:val="auto"/>
              </w:rPr>
            </w:pPr>
            <w:r>
              <w:rPr>
                <w:rFonts w:ascii="Arial" w:cs="Arial" w:eastAsia="Arial" w:hAnsi="Arial"/>
                <w:sz w:val="14"/>
                <w:szCs w:val="14"/>
                <w:b w:val="1"/>
                <w:bCs w:val="1"/>
                <w:color w:val="FFFFFF"/>
              </w:rPr>
              <w:t>Dec 24</w:t>
            </w:r>
          </w:p>
        </w:tc>
        <w:tc>
          <w:tcPr>
            <w:tcW w:w="1260" w:type="dxa"/>
            <w:vAlign w:val="bottom"/>
            <w:tcBorders>
              <w:right w:val="single" w:sz="8" w:color="auto"/>
            </w:tcBorders>
            <w:vMerge w:val="restart"/>
            <w:shd w:val="clear" w:color="auto" w:fill="33CCCC"/>
          </w:tcPr>
          <w:p>
            <w:pPr>
              <w:ind w:left="380"/>
              <w:spacing w:after="0"/>
              <w:rPr>
                <w:sz w:val="20"/>
                <w:szCs w:val="20"/>
                <w:color w:val="auto"/>
              </w:rPr>
            </w:pPr>
            <w:r>
              <w:rPr>
                <w:rFonts w:ascii="Arial" w:cs="Arial" w:eastAsia="Arial" w:hAnsi="Arial"/>
                <w:sz w:val="14"/>
                <w:szCs w:val="14"/>
                <w:b w:val="1"/>
                <w:bCs w:val="1"/>
                <w:color w:val="FFFFFF"/>
              </w:rPr>
              <w:t>Dec 25</w:t>
            </w:r>
          </w:p>
        </w:tc>
        <w:tc>
          <w:tcPr>
            <w:tcW w:w="980" w:type="dxa"/>
            <w:vAlign w:val="bottom"/>
            <w:vMerge w:val="restart"/>
            <w:shd w:val="clear" w:color="auto" w:fill="33CCCC"/>
          </w:tcPr>
          <w:p>
            <w:pPr>
              <w:ind w:left="240"/>
              <w:spacing w:after="0"/>
              <w:rPr>
                <w:sz w:val="20"/>
                <w:szCs w:val="20"/>
                <w:color w:val="auto"/>
              </w:rPr>
            </w:pPr>
            <w:r>
              <w:rPr>
                <w:rFonts w:ascii="Arial" w:cs="Arial" w:eastAsia="Arial" w:hAnsi="Arial"/>
                <w:sz w:val="14"/>
                <w:szCs w:val="14"/>
                <w:b w:val="1"/>
                <w:bCs w:val="1"/>
                <w:color w:val="FFFFFF"/>
              </w:rPr>
              <w:t>Volume</w:t>
            </w:r>
          </w:p>
        </w:tc>
        <w:tc>
          <w:tcPr>
            <w:tcW w:w="98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4"/>
                <w:szCs w:val="14"/>
                <w:b w:val="1"/>
                <w:bCs w:val="1"/>
                <w:color w:val="FFFFFF"/>
                <w:w w:val="96"/>
              </w:rPr>
              <w:t>%</w:t>
            </w:r>
          </w:p>
        </w:tc>
        <w:tc>
          <w:tcPr>
            <w:tcW w:w="0" w:type="dxa"/>
            <w:vAlign w:val="bottom"/>
          </w:tcPr>
          <w:p>
            <w:pPr>
              <w:spacing w:after="0"/>
              <w:rPr>
                <w:sz w:val="1"/>
                <w:szCs w:val="1"/>
                <w:color w:val="auto"/>
              </w:rPr>
            </w:pPr>
          </w:p>
        </w:tc>
      </w:tr>
      <w:tr>
        <w:trPr>
          <w:trHeight w:val="62"/>
        </w:trPr>
        <w:tc>
          <w:tcPr>
            <w:tcW w:w="2720" w:type="dxa"/>
            <w:vAlign w:val="bottom"/>
            <w:tcBorders>
              <w:left w:val="single" w:sz="8" w:color="auto"/>
              <w:bottom w:val="single" w:sz="8" w:color="auto"/>
              <w:right w:val="single" w:sz="8" w:color="auto"/>
            </w:tcBorders>
            <w:shd w:val="clear" w:color="auto" w:fill="33CCCC"/>
          </w:tcPr>
          <w:p>
            <w:pPr>
              <w:spacing w:after="0"/>
              <w:rPr>
                <w:sz w:val="5"/>
                <w:szCs w:val="5"/>
                <w:color w:val="auto"/>
              </w:rPr>
            </w:pPr>
          </w:p>
        </w:tc>
        <w:tc>
          <w:tcPr>
            <w:tcW w:w="800" w:type="dxa"/>
            <w:vAlign w:val="bottom"/>
            <w:tcBorders>
              <w:bottom w:val="single" w:sz="8" w:color="auto"/>
            </w:tcBorders>
            <w:vMerge w:val="continue"/>
            <w:shd w:val="clear" w:color="auto" w:fill="33CCCC"/>
          </w:tcPr>
          <w:p>
            <w:pPr>
              <w:spacing w:after="0"/>
              <w:rPr>
                <w:sz w:val="5"/>
                <w:szCs w:val="5"/>
                <w:color w:val="auto"/>
              </w:rPr>
            </w:pPr>
          </w:p>
        </w:tc>
        <w:tc>
          <w:tcPr>
            <w:tcW w:w="126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1020" w:type="dxa"/>
            <w:vAlign w:val="bottom"/>
            <w:tcBorders>
              <w:bottom w:val="single" w:sz="8" w:color="auto"/>
            </w:tcBorders>
            <w:vMerge w:val="continue"/>
            <w:shd w:val="clear" w:color="auto" w:fill="33CCCC"/>
          </w:tcPr>
          <w:p>
            <w:pPr>
              <w:spacing w:after="0"/>
              <w:rPr>
                <w:sz w:val="5"/>
                <w:szCs w:val="5"/>
                <w:color w:val="auto"/>
              </w:rPr>
            </w:pPr>
          </w:p>
        </w:tc>
        <w:tc>
          <w:tcPr>
            <w:tcW w:w="104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1220" w:type="dxa"/>
            <w:vAlign w:val="bottom"/>
            <w:tcBorders>
              <w:bottom w:val="single" w:sz="8" w:color="auto"/>
            </w:tcBorders>
            <w:vMerge w:val="continue"/>
            <w:shd w:val="clear" w:color="auto" w:fill="33CCCC"/>
          </w:tcPr>
          <w:p>
            <w:pPr>
              <w:spacing w:after="0"/>
              <w:rPr>
                <w:sz w:val="5"/>
                <w:szCs w:val="5"/>
                <w:color w:val="auto"/>
              </w:rPr>
            </w:pPr>
          </w:p>
        </w:tc>
        <w:tc>
          <w:tcPr>
            <w:tcW w:w="126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980" w:type="dxa"/>
            <w:vAlign w:val="bottom"/>
            <w:tcBorders>
              <w:bottom w:val="single" w:sz="8" w:color="auto"/>
            </w:tcBorders>
            <w:vMerge w:val="continue"/>
            <w:shd w:val="clear" w:color="auto" w:fill="33CCCC"/>
          </w:tcPr>
          <w:p>
            <w:pPr>
              <w:spacing w:after="0"/>
              <w:rPr>
                <w:sz w:val="5"/>
                <w:szCs w:val="5"/>
                <w:color w:val="auto"/>
              </w:rPr>
            </w:pPr>
          </w:p>
        </w:tc>
        <w:tc>
          <w:tcPr>
            <w:tcW w:w="980" w:type="dxa"/>
            <w:vAlign w:val="bottom"/>
            <w:tcBorders>
              <w:bottom w:val="single" w:sz="8" w:color="auto"/>
              <w:right w:val="single" w:sz="8" w:color="auto"/>
            </w:tcBorders>
            <w:vMerge w:val="continue"/>
            <w:shd w:val="clear" w:color="auto" w:fill="33CCCC"/>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720" w:type="dxa"/>
            <w:vAlign w:val="bottom"/>
            <w:tcBorders>
              <w:left w:val="single" w:sz="8" w:color="auto"/>
              <w:right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BCP Stand-alone</w:t>
            </w:r>
          </w:p>
        </w:tc>
        <w:tc>
          <w:tcPr>
            <w:tcW w:w="800" w:type="dxa"/>
            <w:vAlign w:val="bottom"/>
          </w:tcPr>
          <w:p>
            <w:pPr>
              <w:jc w:val="center"/>
              <w:ind w:left="128"/>
              <w:spacing w:after="0" w:line="141" w:lineRule="exact"/>
              <w:rPr>
                <w:sz w:val="20"/>
                <w:szCs w:val="20"/>
                <w:color w:val="auto"/>
              </w:rPr>
            </w:pPr>
            <w:r>
              <w:rPr>
                <w:rFonts w:ascii="Arial" w:cs="Arial" w:eastAsia="Arial" w:hAnsi="Arial"/>
                <w:sz w:val="14"/>
                <w:szCs w:val="14"/>
                <w:b w:val="1"/>
                <w:bCs w:val="1"/>
                <w:color w:val="auto"/>
              </w:rPr>
              <w:t>120,571</w:t>
            </w:r>
          </w:p>
        </w:tc>
        <w:tc>
          <w:tcPr>
            <w:tcW w:w="1260" w:type="dxa"/>
            <w:vAlign w:val="bottom"/>
            <w:tcBorders>
              <w:right w:val="single" w:sz="8" w:color="auto"/>
            </w:tcBorders>
          </w:tcPr>
          <w:p>
            <w:pPr>
              <w:jc w:val="center"/>
              <w:ind w:left="108"/>
              <w:spacing w:after="0" w:line="141" w:lineRule="exact"/>
              <w:rPr>
                <w:sz w:val="20"/>
                <w:szCs w:val="20"/>
                <w:color w:val="auto"/>
              </w:rPr>
            </w:pPr>
            <w:r>
              <w:rPr>
                <w:rFonts w:ascii="Arial" w:cs="Arial" w:eastAsia="Arial" w:hAnsi="Arial"/>
                <w:sz w:val="14"/>
                <w:szCs w:val="14"/>
                <w:b w:val="1"/>
                <w:bCs w:val="1"/>
                <w:color w:val="auto"/>
              </w:rPr>
              <w:t>125,201</w:t>
            </w:r>
          </w:p>
        </w:tc>
        <w:tc>
          <w:tcPr>
            <w:tcW w:w="10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4,629</w:t>
            </w:r>
          </w:p>
        </w:tc>
        <w:tc>
          <w:tcPr>
            <w:tcW w:w="10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3.8%</w:t>
            </w:r>
          </w:p>
        </w:tc>
        <w:tc>
          <w:tcPr>
            <w:tcW w:w="12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120,571</w:t>
            </w:r>
          </w:p>
        </w:tc>
        <w:tc>
          <w:tcPr>
            <w:tcW w:w="12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129,962</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9,391</w:t>
            </w:r>
          </w:p>
        </w:tc>
        <w:tc>
          <w:tcPr>
            <w:tcW w:w="9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77"/>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Wholesale Banking</w:t>
            </w: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rPr>
              <w:t>53,525</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54,142</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617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53,525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57,775</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4,250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Corporate</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31,388</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31,958</w:t>
            </w:r>
          </w:p>
        </w:tc>
        <w:tc>
          <w:tcPr>
            <w:tcW w:w="1020" w:type="dxa"/>
            <w:vAlign w:val="bottom"/>
          </w:tcPr>
          <w:p>
            <w:pPr>
              <w:jc w:val="center"/>
              <w:spacing w:after="0"/>
              <w:rPr>
                <w:sz w:val="20"/>
                <w:szCs w:val="20"/>
                <w:color w:val="auto"/>
              </w:rPr>
            </w:pPr>
            <w:r>
              <w:rPr>
                <w:rFonts w:ascii="Arial" w:cs="Arial" w:eastAsia="Arial" w:hAnsi="Arial"/>
                <w:sz w:val="14"/>
                <w:szCs w:val="14"/>
                <w:color w:val="auto"/>
              </w:rPr>
              <w:t>570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220" w:type="dxa"/>
            <w:vAlign w:val="bottom"/>
          </w:tcPr>
          <w:p>
            <w:pPr>
              <w:jc w:val="center"/>
              <w:spacing w:after="0"/>
              <w:rPr>
                <w:sz w:val="20"/>
                <w:szCs w:val="20"/>
                <w:color w:val="auto"/>
              </w:rPr>
            </w:pPr>
            <w:r>
              <w:rPr>
                <w:rFonts w:ascii="Arial" w:cs="Arial" w:eastAsia="Arial" w:hAnsi="Arial"/>
                <w:sz w:val="14"/>
                <w:szCs w:val="14"/>
                <w:color w:val="auto"/>
              </w:rPr>
              <w:t>31,388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34,067</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2,679</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Middle - Market</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22,136</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22,184</w:t>
            </w:r>
          </w:p>
        </w:tc>
        <w:tc>
          <w:tcPr>
            <w:tcW w:w="1020" w:type="dxa"/>
            <w:vAlign w:val="bottom"/>
          </w:tcPr>
          <w:p>
            <w:pPr>
              <w:jc w:val="center"/>
              <w:spacing w:after="0"/>
              <w:rPr>
                <w:sz w:val="20"/>
                <w:szCs w:val="20"/>
                <w:color w:val="auto"/>
              </w:rPr>
            </w:pPr>
            <w:r>
              <w:rPr>
                <w:rFonts w:ascii="Arial" w:cs="Arial" w:eastAsia="Arial" w:hAnsi="Arial"/>
                <w:sz w:val="14"/>
                <w:szCs w:val="14"/>
                <w:color w:val="auto"/>
              </w:rPr>
              <w:t>48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w:t>
            </w:r>
          </w:p>
        </w:tc>
        <w:tc>
          <w:tcPr>
            <w:tcW w:w="1220" w:type="dxa"/>
            <w:vAlign w:val="bottom"/>
          </w:tcPr>
          <w:p>
            <w:pPr>
              <w:jc w:val="center"/>
              <w:spacing w:after="0"/>
              <w:rPr>
                <w:sz w:val="20"/>
                <w:szCs w:val="20"/>
                <w:color w:val="auto"/>
              </w:rPr>
            </w:pPr>
            <w:r>
              <w:rPr>
                <w:rFonts w:ascii="Arial" w:cs="Arial" w:eastAsia="Arial" w:hAnsi="Arial"/>
                <w:sz w:val="14"/>
                <w:szCs w:val="14"/>
                <w:color w:val="auto"/>
              </w:rPr>
              <w:t>22,136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23,708</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1,572</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Retail Banking</w:t>
            </w:r>
          </w:p>
        </w:tc>
        <w:tc>
          <w:tcPr>
            <w:tcW w:w="800" w:type="dxa"/>
            <w:vAlign w:val="bottom"/>
          </w:tcPr>
          <w:p>
            <w:pPr>
              <w:jc w:val="center"/>
              <w:ind w:left="128"/>
              <w:spacing w:after="0"/>
              <w:rPr>
                <w:sz w:val="20"/>
                <w:szCs w:val="20"/>
                <w:color w:val="auto"/>
              </w:rPr>
            </w:pPr>
            <w:r>
              <w:rPr>
                <w:rFonts w:ascii="Arial" w:cs="Arial" w:eastAsia="Arial" w:hAnsi="Arial"/>
                <w:sz w:val="14"/>
                <w:szCs w:val="14"/>
                <w:b w:val="1"/>
                <w:bCs w:val="1"/>
                <w:color w:val="auto"/>
              </w:rPr>
              <w:t>65,014</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69,501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4,487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6.9%</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65,014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70,513</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5,499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SME - Business</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8,185</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8,434</w:t>
            </w:r>
          </w:p>
        </w:tc>
        <w:tc>
          <w:tcPr>
            <w:tcW w:w="1020" w:type="dxa"/>
            <w:vAlign w:val="bottom"/>
          </w:tcPr>
          <w:p>
            <w:pPr>
              <w:jc w:val="center"/>
              <w:spacing w:after="0"/>
              <w:rPr>
                <w:sz w:val="20"/>
                <w:szCs w:val="20"/>
                <w:color w:val="auto"/>
              </w:rPr>
            </w:pPr>
            <w:r>
              <w:rPr>
                <w:rFonts w:ascii="Arial" w:cs="Arial" w:eastAsia="Arial" w:hAnsi="Arial"/>
                <w:sz w:val="14"/>
                <w:szCs w:val="14"/>
                <w:color w:val="auto"/>
              </w:rPr>
              <w:t>249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1220" w:type="dxa"/>
            <w:vAlign w:val="bottom"/>
          </w:tcPr>
          <w:p>
            <w:pPr>
              <w:jc w:val="center"/>
              <w:spacing w:after="0"/>
              <w:rPr>
                <w:sz w:val="20"/>
                <w:szCs w:val="20"/>
                <w:color w:val="auto"/>
              </w:rPr>
            </w:pPr>
            <w:r>
              <w:rPr>
                <w:rFonts w:ascii="Arial" w:cs="Arial" w:eastAsia="Arial" w:hAnsi="Arial"/>
                <w:sz w:val="14"/>
                <w:szCs w:val="14"/>
                <w:color w:val="auto"/>
              </w:rPr>
              <w:t>8,185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8,871</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686</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7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SME - Pyme</w:t>
            </w:r>
          </w:p>
        </w:tc>
        <w:tc>
          <w:tcPr>
            <w:tcW w:w="800" w:type="dxa"/>
            <w:vAlign w:val="bottom"/>
          </w:tcPr>
          <w:p>
            <w:pPr>
              <w:jc w:val="center"/>
              <w:ind w:left="128"/>
              <w:spacing w:after="0" w:line="149" w:lineRule="exact"/>
              <w:rPr>
                <w:sz w:val="20"/>
                <w:szCs w:val="20"/>
                <w:color w:val="auto"/>
              </w:rPr>
            </w:pPr>
            <w:r>
              <w:rPr>
                <w:rFonts w:ascii="Arial" w:cs="Arial" w:eastAsia="Arial" w:hAnsi="Arial"/>
                <w:sz w:val="14"/>
                <w:szCs w:val="14"/>
                <w:color w:val="auto"/>
              </w:rPr>
              <w:t>16,163</w:t>
            </w:r>
          </w:p>
        </w:tc>
        <w:tc>
          <w:tcPr>
            <w:tcW w:w="12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color w:val="auto"/>
              </w:rPr>
              <w:t>16,735</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572</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3.5%</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rPr>
              <w:t>16,163</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16,750</w:t>
            </w:r>
          </w:p>
        </w:tc>
        <w:tc>
          <w:tcPr>
            <w:tcW w:w="980" w:type="dxa"/>
            <w:vAlign w:val="bottom"/>
            <w:shd w:val="clear" w:color="auto" w:fill="00B050"/>
          </w:tcPr>
          <w:p>
            <w:pPr>
              <w:jc w:val="center"/>
              <w:spacing w:after="0" w:line="149" w:lineRule="exact"/>
              <w:rPr>
                <w:sz w:val="20"/>
                <w:szCs w:val="20"/>
                <w:color w:val="auto"/>
              </w:rPr>
            </w:pPr>
            <w:r>
              <w:rPr>
                <w:rFonts w:ascii="Arial" w:cs="Arial" w:eastAsia="Arial" w:hAnsi="Arial"/>
                <w:sz w:val="14"/>
                <w:szCs w:val="14"/>
                <w:color w:val="auto"/>
              </w:rPr>
              <w:t>587</w:t>
            </w:r>
          </w:p>
        </w:tc>
        <w:tc>
          <w:tcPr>
            <w:tcW w:w="980" w:type="dxa"/>
            <w:vAlign w:val="bottom"/>
            <w:tcBorders>
              <w:right w:val="single" w:sz="8" w:color="auto"/>
            </w:tcBorders>
            <w:shd w:val="clear" w:color="auto" w:fill="00B050"/>
          </w:tcPr>
          <w:p>
            <w:pPr>
              <w:jc w:val="center"/>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Mortgage</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21,838</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23,822</w:t>
            </w:r>
          </w:p>
        </w:tc>
        <w:tc>
          <w:tcPr>
            <w:tcW w:w="1020" w:type="dxa"/>
            <w:vAlign w:val="bottom"/>
          </w:tcPr>
          <w:p>
            <w:pPr>
              <w:jc w:val="center"/>
              <w:spacing w:after="0"/>
              <w:rPr>
                <w:sz w:val="20"/>
                <w:szCs w:val="20"/>
                <w:color w:val="auto"/>
              </w:rPr>
            </w:pPr>
            <w:r>
              <w:rPr>
                <w:rFonts w:ascii="Arial" w:cs="Arial" w:eastAsia="Arial" w:hAnsi="Arial"/>
                <w:sz w:val="14"/>
                <w:szCs w:val="14"/>
                <w:color w:val="auto"/>
              </w:rPr>
              <w:t>1,984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9.1%</w:t>
            </w:r>
          </w:p>
        </w:tc>
        <w:tc>
          <w:tcPr>
            <w:tcW w:w="1220" w:type="dxa"/>
            <w:vAlign w:val="bottom"/>
          </w:tcPr>
          <w:p>
            <w:pPr>
              <w:jc w:val="center"/>
              <w:spacing w:after="0"/>
              <w:rPr>
                <w:sz w:val="20"/>
                <w:szCs w:val="20"/>
                <w:color w:val="auto"/>
              </w:rPr>
            </w:pPr>
            <w:r>
              <w:rPr>
                <w:rFonts w:ascii="Arial" w:cs="Arial" w:eastAsia="Arial" w:hAnsi="Arial"/>
                <w:sz w:val="14"/>
                <w:szCs w:val="14"/>
                <w:color w:val="auto"/>
              </w:rPr>
              <w:t>21,838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24,007</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2,169</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5"/>
        </w:trPr>
        <w:tc>
          <w:tcPr>
            <w:tcW w:w="27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Consumer</w:t>
            </w:r>
          </w:p>
        </w:tc>
        <w:tc>
          <w:tcPr>
            <w:tcW w:w="800" w:type="dxa"/>
            <w:vAlign w:val="bottom"/>
          </w:tcPr>
          <w:p>
            <w:pPr>
              <w:jc w:val="center"/>
              <w:ind w:left="128"/>
              <w:spacing w:after="0"/>
              <w:rPr>
                <w:sz w:val="20"/>
                <w:szCs w:val="20"/>
                <w:color w:val="auto"/>
              </w:rPr>
            </w:pPr>
            <w:r>
              <w:rPr>
                <w:rFonts w:ascii="Arial" w:cs="Arial" w:eastAsia="Arial" w:hAnsi="Arial"/>
                <w:sz w:val="14"/>
                <w:szCs w:val="14"/>
                <w:color w:val="auto"/>
              </w:rPr>
              <w:t>12,866</w:t>
            </w:r>
          </w:p>
        </w:tc>
        <w:tc>
          <w:tcPr>
            <w:tcW w:w="1260" w:type="dxa"/>
            <w:vAlign w:val="bottom"/>
            <w:tcBorders>
              <w:right w:val="single" w:sz="8" w:color="auto"/>
            </w:tcBorders>
          </w:tcPr>
          <w:p>
            <w:pPr>
              <w:jc w:val="center"/>
              <w:ind w:left="108"/>
              <w:spacing w:after="0"/>
              <w:rPr>
                <w:sz w:val="20"/>
                <w:szCs w:val="20"/>
                <w:color w:val="auto"/>
              </w:rPr>
            </w:pPr>
            <w:r>
              <w:rPr>
                <w:rFonts w:ascii="Arial" w:cs="Arial" w:eastAsia="Arial" w:hAnsi="Arial"/>
                <w:sz w:val="14"/>
                <w:szCs w:val="14"/>
                <w:color w:val="auto"/>
              </w:rPr>
              <w:t>14,074</w:t>
            </w:r>
          </w:p>
        </w:tc>
        <w:tc>
          <w:tcPr>
            <w:tcW w:w="1020" w:type="dxa"/>
            <w:vAlign w:val="bottom"/>
          </w:tcPr>
          <w:p>
            <w:pPr>
              <w:jc w:val="center"/>
              <w:spacing w:after="0"/>
              <w:rPr>
                <w:sz w:val="20"/>
                <w:szCs w:val="20"/>
                <w:color w:val="auto"/>
              </w:rPr>
            </w:pPr>
            <w:r>
              <w:rPr>
                <w:rFonts w:ascii="Arial" w:cs="Arial" w:eastAsia="Arial" w:hAnsi="Arial"/>
                <w:sz w:val="14"/>
                <w:szCs w:val="14"/>
                <w:color w:val="auto"/>
              </w:rPr>
              <w:t>1,208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9.4%</w:t>
            </w:r>
          </w:p>
        </w:tc>
        <w:tc>
          <w:tcPr>
            <w:tcW w:w="1220" w:type="dxa"/>
            <w:vAlign w:val="bottom"/>
          </w:tcPr>
          <w:p>
            <w:pPr>
              <w:jc w:val="center"/>
              <w:spacing w:after="0"/>
              <w:rPr>
                <w:sz w:val="20"/>
                <w:szCs w:val="20"/>
                <w:color w:val="auto"/>
              </w:rPr>
            </w:pPr>
            <w:r>
              <w:rPr>
                <w:rFonts w:ascii="Arial" w:cs="Arial" w:eastAsia="Arial" w:hAnsi="Arial"/>
                <w:sz w:val="14"/>
                <w:szCs w:val="14"/>
                <w:color w:val="auto"/>
              </w:rPr>
              <w:t>12,866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14,326</w:t>
            </w:r>
          </w:p>
        </w:tc>
        <w:tc>
          <w:tcPr>
            <w:tcW w:w="980" w:type="dxa"/>
            <w:vAlign w:val="bottom"/>
            <w:shd w:val="clear" w:color="auto" w:fill="00B050"/>
          </w:tcPr>
          <w:p>
            <w:pPr>
              <w:jc w:val="center"/>
              <w:spacing w:after="0"/>
              <w:rPr>
                <w:sz w:val="20"/>
                <w:szCs w:val="20"/>
                <w:color w:val="auto"/>
              </w:rPr>
            </w:pPr>
            <w:r>
              <w:rPr>
                <w:rFonts w:ascii="Arial" w:cs="Arial" w:eastAsia="Arial" w:hAnsi="Arial"/>
                <w:sz w:val="14"/>
                <w:szCs w:val="14"/>
                <w:color w:val="auto"/>
              </w:rPr>
              <w:t>1,460</w:t>
            </w:r>
          </w:p>
        </w:tc>
        <w:tc>
          <w:tcPr>
            <w:tcW w:w="980" w:type="dxa"/>
            <w:vAlign w:val="bottom"/>
            <w:tcBorders>
              <w:right w:val="single" w:sz="8" w:color="auto"/>
            </w:tcBorders>
            <w:shd w:val="clear" w:color="auto" w:fill="00B050"/>
          </w:tcPr>
          <w:p>
            <w:pPr>
              <w:jc w:val="center"/>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35"/>
        </w:trPr>
        <w:tc>
          <w:tcPr>
            <w:tcW w:w="27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4"/>
                <w:szCs w:val="14"/>
                <w:color w:val="auto"/>
              </w:rPr>
              <w:t>Credit Card</w:t>
            </w:r>
          </w:p>
        </w:tc>
        <w:tc>
          <w:tcPr>
            <w:tcW w:w="800" w:type="dxa"/>
            <w:vAlign w:val="bottom"/>
          </w:tcPr>
          <w:p>
            <w:pPr>
              <w:jc w:val="center"/>
              <w:ind w:left="128"/>
              <w:spacing w:after="0" w:line="135" w:lineRule="exact"/>
              <w:rPr>
                <w:sz w:val="20"/>
                <w:szCs w:val="20"/>
                <w:color w:val="auto"/>
              </w:rPr>
            </w:pPr>
            <w:r>
              <w:rPr>
                <w:rFonts w:ascii="Arial" w:cs="Arial" w:eastAsia="Arial" w:hAnsi="Arial"/>
                <w:sz w:val="14"/>
                <w:szCs w:val="14"/>
                <w:color w:val="auto"/>
              </w:rPr>
              <w:t>5,962</w:t>
            </w:r>
          </w:p>
        </w:tc>
        <w:tc>
          <w:tcPr>
            <w:tcW w:w="1260" w:type="dxa"/>
            <w:vAlign w:val="bottom"/>
            <w:tcBorders>
              <w:right w:val="single" w:sz="8" w:color="auto"/>
            </w:tcBorders>
          </w:tcPr>
          <w:p>
            <w:pPr>
              <w:jc w:val="center"/>
              <w:ind w:left="108"/>
              <w:spacing w:after="0" w:line="135" w:lineRule="exact"/>
              <w:rPr>
                <w:sz w:val="20"/>
                <w:szCs w:val="20"/>
                <w:color w:val="auto"/>
              </w:rPr>
            </w:pPr>
            <w:r>
              <w:rPr>
                <w:rFonts w:ascii="Arial" w:cs="Arial" w:eastAsia="Arial" w:hAnsi="Arial"/>
                <w:sz w:val="14"/>
                <w:szCs w:val="14"/>
                <w:color w:val="auto"/>
              </w:rPr>
              <w:t>6,437</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rPr>
              <w:t>475</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8.0%</w:t>
            </w:r>
          </w:p>
        </w:tc>
        <w:tc>
          <w:tcPr>
            <w:tcW w:w="1220" w:type="dxa"/>
            <w:vAlign w:val="bottom"/>
          </w:tcPr>
          <w:p>
            <w:pPr>
              <w:jc w:val="center"/>
              <w:spacing w:after="0" w:line="135" w:lineRule="exact"/>
              <w:rPr>
                <w:sz w:val="20"/>
                <w:szCs w:val="20"/>
                <w:color w:val="auto"/>
              </w:rPr>
            </w:pPr>
            <w:r>
              <w:rPr>
                <w:rFonts w:ascii="Arial" w:cs="Arial" w:eastAsia="Arial" w:hAnsi="Arial"/>
                <w:sz w:val="14"/>
                <w:szCs w:val="14"/>
                <w:color w:val="auto"/>
              </w:rPr>
              <w:t>5,962</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6,559</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rPr>
              <w:t>597</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bottom w:val="single" w:sz="8" w:color="auto"/>
              <w:right w:val="single" w:sz="8" w:color="auto"/>
            </w:tcBorders>
          </w:tcPr>
          <w:p>
            <w:pPr>
              <w:ind w:left="16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8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2,032</w:t>
            </w:r>
          </w:p>
        </w:tc>
        <w:tc>
          <w:tcPr>
            <w:tcW w:w="12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1,558</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-475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-23.4%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2,032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1,674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-358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For consolidation purposes. Loans generated in Foreign Currency (FC) are converted into Local Currency (LC).</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(1) Includes other assets and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5636260</wp:posOffset>
            </wp:positionH>
            <wp:positionV relativeFrom="paragraph">
              <wp:posOffset>116840</wp:posOffset>
            </wp:positionV>
            <wp:extent cx="557530"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530" cy="291465"/>
                    </a:xfrm>
                    <a:prstGeom prst="rect">
                      <a:avLst/>
                    </a:prstGeom>
                    <a:noFill/>
                  </pic:spPr>
                </pic:pic>
              </a:graphicData>
            </a:graphic>
          </wp:anchor>
        </w:drawing>
      </w:r>
    </w:p>
    <w:p>
      <w:pPr>
        <w:spacing w:after="0" w:line="206" w:lineRule="exact"/>
        <w:rPr>
          <w:sz w:val="20"/>
          <w:szCs w:val="20"/>
          <w:color w:val="auto"/>
        </w:rPr>
      </w:pPr>
    </w:p>
    <w:p>
      <w:pPr>
        <w:ind w:left="9800"/>
        <w:spacing w:after="0" w:line="516" w:lineRule="auto"/>
        <w:rPr>
          <w:sz w:val="20"/>
          <w:szCs w:val="20"/>
          <w:color w:val="auto"/>
        </w:rPr>
      </w:pPr>
      <w:r>
        <w:rPr>
          <w:rFonts w:ascii="Arial" w:cs="Arial" w:eastAsia="Arial" w:hAnsi="Arial"/>
          <w:sz w:val="11"/>
          <w:szCs w:val="11"/>
          <w:color w:val="auto"/>
        </w:rPr>
        <w:t>Larger contraction in volume Larger expansion in volume</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total loans in quarter-end balances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rose 7.8% at a Neutral Exchange rate. This growth was fueled mainly by</w:t>
      </w:r>
      <w:r>
        <w:rPr>
          <w:rFonts w:ascii="Arial" w:cs="Arial" w:eastAsia="Arial" w:hAnsi="Arial"/>
          <w:sz w:val="18"/>
          <w:szCs w:val="18"/>
          <w:b w:val="1"/>
          <w:bCs w:val="1"/>
          <w:color w:val="auto"/>
        </w:rPr>
        <w:t xml:space="preserve"> Retail Banking (+8.5%)</w:t>
      </w:r>
      <w:r>
        <w:rPr>
          <w:rFonts w:ascii="Arial" w:cs="Arial" w:eastAsia="Arial" w:hAnsi="Arial"/>
          <w:sz w:val="18"/>
          <w:szCs w:val="18"/>
          <w:color w:val="auto"/>
        </w:rPr>
        <w:t>, followed by</w:t>
      </w:r>
      <w:r>
        <w:rPr>
          <w:rFonts w:ascii="Arial" w:cs="Arial" w:eastAsia="Arial" w:hAnsi="Arial"/>
          <w:sz w:val="18"/>
          <w:szCs w:val="18"/>
          <w:b w:val="1"/>
          <w:bCs w:val="1"/>
          <w:color w:val="auto"/>
        </w:rPr>
        <w:t xml:space="preserve"> Wholesale Banking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755650</wp:posOffset>
            </wp:positionV>
            <wp:extent cx="71577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78740</wp:posOffset>
            </wp:positionV>
            <wp:extent cx="6772275" cy="5746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2275" cy="57467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5772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-359410</wp:posOffset>
            </wp:positionV>
            <wp:extent cx="9512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b w:val="1"/>
          <w:bCs w:val="1"/>
          <w:color w:val="FFFFFF"/>
        </w:rPr>
        <w:t>01. Loan Portfolio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Retail,</w:t>
      </w:r>
      <w:r>
        <w:rPr>
          <w:rFonts w:ascii="Arial" w:cs="Arial" w:eastAsia="Arial" w:hAnsi="Arial"/>
          <w:sz w:val="18"/>
          <w:szCs w:val="18"/>
          <w:color w:val="auto"/>
        </w:rPr>
        <w:t xml:space="preserve"> all segments evolved positively </w:t>
      </w:r>
      <w:r>
        <w:rPr>
          <w:rFonts w:ascii="Arial" w:cs="Arial" w:eastAsia="Arial" w:hAnsi="Arial"/>
          <w:sz w:val="18"/>
          <w:szCs w:val="18"/>
          <w:b w:val="1"/>
          <w:bCs w:val="1"/>
          <w:color w:val="auto"/>
        </w:rPr>
        <w:t>YoY</w:t>
      </w:r>
      <w:r>
        <w:rPr>
          <w:rFonts w:ascii="Arial" w:cs="Arial" w:eastAsia="Arial" w:hAnsi="Arial"/>
          <w:sz w:val="18"/>
          <w:szCs w:val="18"/>
          <w:color w:val="auto"/>
        </w:rPr>
        <w:t xml:space="preserve"> but the star performers were:</w:t>
      </w:r>
    </w:p>
    <w:p>
      <w:pPr>
        <w:spacing w:after="0" w:line="131" w:lineRule="exact"/>
        <w:rPr>
          <w:sz w:val="20"/>
          <w:szCs w:val="20"/>
          <w:color w:val="auto"/>
        </w:rPr>
      </w:pPr>
    </w:p>
    <w:p>
      <w:pPr>
        <w:ind w:left="800" w:hanging="32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due the same dynamics in play</w:t>
      </w:r>
      <w:r>
        <w:rPr>
          <w:rFonts w:ascii="Arial" w:cs="Arial" w:eastAsia="Arial" w:hAnsi="Arial"/>
          <w:sz w:val="18"/>
          <w:szCs w:val="18"/>
          <w:b w:val="1"/>
          <w:bCs w:val="1"/>
          <w:color w:val="auto"/>
        </w:rPr>
        <w:t xml:space="preserve"> QoQ</w:t>
      </w:r>
      <w:r>
        <w:rPr>
          <w:rFonts w:ascii="Arial" w:cs="Arial" w:eastAsia="Arial" w:hAnsi="Arial"/>
          <w:sz w:val="18"/>
          <w:szCs w:val="18"/>
          <w:color w:val="auto"/>
        </w:rPr>
        <w:t>.</w:t>
      </w:r>
    </w:p>
    <w:p>
      <w:pPr>
        <w:spacing w:after="0" w:line="19" w:lineRule="exact"/>
        <w:rPr>
          <w:rFonts w:ascii="Arial" w:cs="Arial" w:eastAsia="Arial" w:hAnsi="Arial"/>
          <w:sz w:val="18"/>
          <w:szCs w:val="18"/>
          <w:color w:val="auto"/>
        </w:rPr>
      </w:pPr>
    </w:p>
    <w:p>
      <w:pPr>
        <w:ind w:left="800" w:right="260" w:hanging="326"/>
        <w:spacing w:after="0" w:line="23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Consumer, </w:t>
      </w:r>
      <w:r>
        <w:rPr>
          <w:rFonts w:ascii="Arial" w:cs="Arial" w:eastAsia="Arial" w:hAnsi="Arial"/>
          <w:sz w:val="18"/>
          <w:szCs w:val="18"/>
          <w:color w:val="auto"/>
        </w:rPr>
        <w:t>due to growth in disbursements, which was fueled mainly by an increase in the appetite for risk at BCP Stand-alone,</w:t>
      </w:r>
      <w:r>
        <w:rPr>
          <w:rFonts w:ascii="Arial" w:cs="Arial" w:eastAsia="Arial" w:hAnsi="Arial"/>
          <w:sz w:val="18"/>
          <w:szCs w:val="18"/>
          <w:b w:val="1"/>
          <w:bCs w:val="1"/>
          <w:color w:val="auto"/>
        </w:rPr>
        <w:t xml:space="preserve"> </w:t>
      </w:r>
      <w:r>
        <w:rPr>
          <w:rFonts w:ascii="Arial" w:cs="Arial" w:eastAsia="Arial" w:hAnsi="Arial"/>
          <w:sz w:val="18"/>
          <w:szCs w:val="18"/>
          <w:color w:val="auto"/>
        </w:rPr>
        <w:t>and secondarily by an uptick in disbursements through Yape.</w:t>
      </w:r>
    </w:p>
    <w:p>
      <w:pPr>
        <w:spacing w:after="0" w:line="1" w:lineRule="exact"/>
        <w:rPr>
          <w:rFonts w:ascii="Arial" w:cs="Arial" w:eastAsia="Arial" w:hAnsi="Arial"/>
          <w:sz w:val="18"/>
          <w:szCs w:val="18"/>
          <w:color w:val="auto"/>
        </w:rPr>
      </w:pPr>
    </w:p>
    <w:p>
      <w:pPr>
        <w:ind w:left="800" w:hanging="32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Small Businesses, </w:t>
      </w:r>
      <w:r>
        <w:rPr>
          <w:rFonts w:ascii="Arial" w:cs="Arial" w:eastAsia="Arial" w:hAnsi="Arial"/>
          <w:sz w:val="18"/>
          <w:szCs w:val="18"/>
          <w:color w:val="auto"/>
        </w:rPr>
        <w:t>due to the same drivers seen</w:t>
      </w:r>
      <w:r>
        <w:rPr>
          <w:rFonts w:ascii="Arial" w:cs="Arial" w:eastAsia="Arial" w:hAnsi="Arial"/>
          <w:sz w:val="18"/>
          <w:szCs w:val="18"/>
          <w:b w:val="1"/>
          <w:bCs w:val="1"/>
          <w:color w:val="auto"/>
        </w:rPr>
        <w:t xml:space="preserve"> QoQ.</w:t>
      </w:r>
    </w:p>
    <w:p>
      <w:pPr>
        <w:spacing w:after="0" w:line="12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Wholesale Banking</w:t>
      </w:r>
      <w:r>
        <w:rPr>
          <w:rFonts w:ascii="Arial" w:cs="Arial" w:eastAsia="Arial" w:hAnsi="Arial"/>
          <w:sz w:val="18"/>
          <w:szCs w:val="18"/>
          <w:color w:val="auto"/>
        </w:rPr>
        <w:t>, growth was driven primarily by an uptick in disbursements of medium and long-term loans as businesses showed a larger appetite for borrowing in a more favorable economic environment marked by recovery in private investment.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Dollarization Level of Loans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12700</wp:posOffset>
            </wp:positionV>
            <wp:extent cx="5478145" cy="20320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78145"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 Participation in FC loans at the Credicorp level considers BCP Stand-alone, Mibanco, Mibanco Colombia, BCP Bolivia and ASB.</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dollarization level of the total portfolio dropped 157 bps. This evolution was led mainly by growth in LC loans (+5.5%), primarily in the</w:t>
      </w:r>
      <w:r>
        <w:rPr>
          <w:rFonts w:ascii="Arial" w:cs="Arial" w:eastAsia="Arial" w:hAnsi="Arial"/>
          <w:sz w:val="18"/>
          <w:szCs w:val="18"/>
          <w:b w:val="1"/>
          <w:bCs w:val="1"/>
          <w:color w:val="auto"/>
        </w:rPr>
        <w:t xml:space="preserve"> Individuals </w:t>
      </w:r>
      <w:r>
        <w:rPr>
          <w:rFonts w:ascii="Arial" w:cs="Arial" w:eastAsia="Arial" w:hAnsi="Arial"/>
          <w:sz w:val="18"/>
          <w:szCs w:val="18"/>
          <w:color w:val="auto"/>
        </w:rPr>
        <w:t>segment, and secondarily by a drop in FC loans (-1.6%), mainly through</w:t>
      </w:r>
      <w:r>
        <w:rPr>
          <w:rFonts w:ascii="Arial" w:cs="Arial" w:eastAsia="Arial" w:hAnsi="Arial"/>
          <w:sz w:val="18"/>
          <w:szCs w:val="18"/>
          <w:b w:val="1"/>
          <w:bCs w:val="1"/>
          <w:color w:val="auto"/>
        </w:rPr>
        <w:t xml:space="preserve"> BCP Bolivia </w:t>
      </w:r>
      <w:r>
        <w:rPr>
          <w:rFonts w:ascii="Arial" w:cs="Arial" w:eastAsia="Arial" w:hAnsi="Arial"/>
          <w:sz w:val="18"/>
          <w:szCs w:val="18"/>
          <w:color w:val="auto"/>
        </w:rPr>
        <w:t>and</w:t>
      </w:r>
      <w:r>
        <w:rPr>
          <w:rFonts w:ascii="Arial" w:cs="Arial" w:eastAsia="Arial" w:hAnsi="Arial"/>
          <w:sz w:val="18"/>
          <w:szCs w:val="18"/>
          <w:b w:val="1"/>
          <w:bCs w:val="1"/>
          <w:color w:val="auto"/>
        </w:rPr>
        <w:t xml:space="preserve"> Mortgage</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Loans in Average Daily Balances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Total loans in average daily balances (ADB) rose 0.3%, 3.1% and 2.3% </w:t>
      </w:r>
      <w:r>
        <w:rPr>
          <w:rFonts w:ascii="Arial" w:cs="Arial" w:eastAsia="Arial" w:hAnsi="Arial"/>
          <w:sz w:val="18"/>
          <w:szCs w:val="18"/>
          <w:b w:val="1"/>
          <w:bCs w:val="1"/>
          <w:color w:val="auto"/>
        </w:rPr>
        <w:t>QoQ, YoY, and YTD.</w:t>
      </w:r>
      <w:r>
        <w:rPr>
          <w:rFonts w:ascii="Arial" w:cs="Arial" w:eastAsia="Arial" w:hAnsi="Arial"/>
          <w:sz w:val="18"/>
          <w:szCs w:val="18"/>
          <w:color w:val="auto"/>
        </w:rPr>
        <w:t xml:space="preserve"> It is important to note that the figures for ADB loans are derived from internal management figures and exclude the impact of the revaluation of the asset balance in </w:t>
      </w:r>
      <w:r>
        <w:rPr>
          <w:rFonts w:ascii="Arial" w:cs="Arial" w:eastAsia="Arial" w:hAnsi="Arial"/>
          <w:sz w:val="18"/>
          <w:szCs w:val="18"/>
          <w:b w:val="1"/>
          <w:bCs w:val="1"/>
          <w:color w:val="auto"/>
        </w:rPr>
        <w:t>BCP Bolivia</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details on the evolution of loans in average daily balances, see </w:t>
      </w:r>
      <w:r>
        <w:rPr>
          <w:rFonts w:ascii="Arial" w:cs="Arial" w:eastAsia="Arial" w:hAnsi="Arial"/>
          <w:sz w:val="18"/>
          <w:szCs w:val="18"/>
          <w:b w:val="1"/>
          <w:bCs w:val="1"/>
          <w:color w:val="auto"/>
        </w:rPr>
        <w:t>Appendix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827405</wp:posOffset>
            </wp:positionV>
            <wp:extent cx="71577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141605</wp:posOffset>
            </wp:positionV>
            <wp:extent cx="6789420" cy="5829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89420" cy="582930"/>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bookmarkStart w:id="22" w:name="page23"/>
    <w:bookmarkEnd w:id="22"/>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95" w:lineRule="exact"/>
        <w:rPr>
          <w:sz w:val="20"/>
          <w:szCs w:val="20"/>
          <w:color w:val="auto"/>
        </w:rPr>
      </w:pPr>
    </w:p>
    <w:p>
      <w:pPr>
        <w:ind w:left="7"/>
        <w:spacing w:after="0"/>
        <w:rPr>
          <w:sz w:val="20"/>
          <w:szCs w:val="20"/>
          <w:color w:val="auto"/>
        </w:rPr>
      </w:pPr>
      <w:r>
        <w:rPr>
          <w:rFonts w:ascii="Arial" w:cs="Arial" w:eastAsia="Arial" w:hAnsi="Arial"/>
          <w:sz w:val="52"/>
          <w:szCs w:val="52"/>
          <w:b w:val="1"/>
          <w:bCs w:val="1"/>
          <w:color w:val="E93BAC"/>
        </w:rPr>
        <w:t xml:space="preserve">02 </w:t>
      </w:r>
      <w:r>
        <w:rPr>
          <w:rFonts w:ascii="Arial" w:cs="Arial" w:eastAsia="Arial" w:hAnsi="Arial"/>
          <w:sz w:val="32"/>
          <w:szCs w:val="32"/>
          <w:b w:val="1"/>
          <w:bCs w:val="1"/>
          <w:color w:val="E93BAC"/>
        </w:rPr>
        <w:t>Deposits</w:t>
      </w:r>
    </w:p>
    <w:p>
      <w:pPr>
        <w:spacing w:after="0" w:line="69" w:lineRule="exact"/>
        <w:rPr>
          <w:sz w:val="20"/>
          <w:szCs w:val="20"/>
          <w:color w:val="auto"/>
        </w:rPr>
      </w:pPr>
    </w:p>
    <w:p>
      <w:pPr>
        <w:jc w:val="both"/>
        <w:ind w:left="107" w:right="100"/>
        <w:spacing w:after="0" w:line="250" w:lineRule="auto"/>
        <w:rPr>
          <w:sz w:val="20"/>
          <w:szCs w:val="20"/>
          <w:color w:val="auto"/>
        </w:rPr>
      </w:pPr>
      <w:r>
        <w:rPr>
          <w:rFonts w:ascii="Arial" w:cs="Arial" w:eastAsia="Arial" w:hAnsi="Arial"/>
          <w:sz w:val="18"/>
          <w:szCs w:val="18"/>
          <w:color w:val="FFFFFF"/>
        </w:rPr>
        <w:t>Total deposits grew 5.5% QoQ and 6.7% YoY. If we isolate the impact of an accounting adjustment at BCP Bolivia and the impact of the devaluation of the US Dollar against the sol, total deposits rose 7.0%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157720" cy="1680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1680210"/>
                    </a:xfrm>
                    <a:prstGeom prst="rect">
                      <a:avLst/>
                    </a:prstGeom>
                    <a:noFill/>
                  </pic:spPr>
                </pic:pic>
              </a:graphicData>
            </a:graphic>
          </wp:anchor>
        </w:drawing>
      </w:r>
    </w:p>
    <w:p>
      <w:pPr>
        <w:spacing w:after="0" w:line="134" w:lineRule="exact"/>
        <w:rPr>
          <w:sz w:val="20"/>
          <w:szCs w:val="20"/>
          <w:color w:val="auto"/>
        </w:rPr>
      </w:pPr>
    </w:p>
    <w:p>
      <w:pPr>
        <w:jc w:val="both"/>
        <w:ind w:left="107" w:right="100"/>
        <w:spacing w:after="0" w:line="276" w:lineRule="auto"/>
        <w:rPr>
          <w:sz w:val="20"/>
          <w:szCs w:val="20"/>
          <w:color w:val="auto"/>
        </w:rPr>
      </w:pPr>
      <w:r>
        <w:rPr>
          <w:rFonts w:ascii="Arial" w:cs="Arial" w:eastAsia="Arial" w:hAnsi="Arial"/>
          <w:sz w:val="18"/>
          <w:szCs w:val="18"/>
          <w:color w:val="FFFFFF"/>
        </w:rPr>
        <w:t>This growth was primarily driven by growth in the Low-cost Deposit Balance, which was mainly fueled by the eighth pension fund withdrawal and secondarily by an increase in Savings Deposits, which was triggered by inflows from statutory bonuses in December.</w:t>
      </w:r>
    </w:p>
    <w:p>
      <w:pPr>
        <w:spacing w:after="0" w:line="131" w:lineRule="exact"/>
        <w:rPr>
          <w:sz w:val="20"/>
          <w:szCs w:val="20"/>
          <w:color w:val="auto"/>
        </w:rPr>
      </w:pPr>
    </w:p>
    <w:p>
      <w:pPr>
        <w:jc w:val="both"/>
        <w:ind w:left="107" w:right="100"/>
        <w:spacing w:after="0" w:line="255" w:lineRule="auto"/>
        <w:rPr>
          <w:sz w:val="20"/>
          <w:szCs w:val="20"/>
          <w:color w:val="auto"/>
        </w:rPr>
      </w:pPr>
      <w:r>
        <w:rPr>
          <w:rFonts w:ascii="Arial" w:cs="Arial" w:eastAsia="Arial" w:hAnsi="Arial"/>
          <w:sz w:val="18"/>
          <w:szCs w:val="18"/>
          <w:color w:val="FFFFFF"/>
        </w:rPr>
        <w:t>YoY, Total Deposits rose 12.2% at a USD Pen Neutral Exchange Rate. This increase was driven by the same dynamics seen QoQ and by growth in the FC balance of Low-cost Deposits, which rose on the back of client moves to take advantage of appreciation to bolster their balances in US Dollars.</w:t>
      </w:r>
    </w:p>
    <w:p>
      <w:pPr>
        <w:spacing w:after="0" w:line="150" w:lineRule="exact"/>
        <w:rPr>
          <w:sz w:val="20"/>
          <w:szCs w:val="20"/>
          <w:color w:val="auto"/>
        </w:rPr>
      </w:pPr>
    </w:p>
    <w:p>
      <w:pPr>
        <w:jc w:val="both"/>
        <w:ind w:left="107" w:right="100"/>
        <w:spacing w:after="0" w:line="276" w:lineRule="auto"/>
        <w:rPr>
          <w:sz w:val="20"/>
          <w:szCs w:val="20"/>
          <w:color w:val="auto"/>
        </w:rPr>
      </w:pPr>
      <w:r>
        <w:rPr>
          <w:rFonts w:ascii="Arial" w:cs="Arial" w:eastAsia="Arial" w:hAnsi="Arial"/>
          <w:sz w:val="18"/>
          <w:szCs w:val="18"/>
          <w:color w:val="FFFFFF"/>
        </w:rPr>
        <w:t>At the end of 4Q25, 73.0% of Total Deposits were Low-cost (Demand + Savings). Credicorp continued to lead th market in low-cost deposits with and MS of 40.7% at the end of December.</w:t>
      </w:r>
    </w:p>
    <w:p>
      <w:pPr>
        <w:spacing w:after="0" w:line="337" w:lineRule="exact"/>
        <w:rPr>
          <w:sz w:val="20"/>
          <w:szCs w:val="20"/>
          <w:color w:val="auto"/>
        </w:rPr>
      </w:pPr>
    </w:p>
    <w:tbl>
      <w:tblPr>
        <w:tblLayout w:type="fixed"/>
        <w:tblInd w:w="17" w:type="dxa"/>
        <w:tblCellMar>
          <w:top w:w="0" w:type="dxa"/>
          <w:left w:w="0" w:type="dxa"/>
          <w:bottom w:w="0" w:type="dxa"/>
          <w:right w:w="0" w:type="dxa"/>
        </w:tblCellMar>
      </w:tblPr>
      <w:tr>
        <w:trPr>
          <w:trHeight w:val="96"/>
        </w:trPr>
        <w:tc>
          <w:tcPr>
            <w:tcW w:w="2140" w:type="dxa"/>
            <w:vAlign w:val="bottom"/>
            <w:tcBorders>
              <w:top w:val="single" w:sz="8" w:color="auto"/>
              <w:left w:val="single" w:sz="8" w:color="auto"/>
              <w:right w:val="single" w:sz="8" w:color="auto"/>
            </w:tcBorders>
            <w:shd w:val="clear" w:color="auto" w:fill="33CCCC"/>
          </w:tcPr>
          <w:p>
            <w:pPr>
              <w:spacing w:after="0" w:line="96" w:lineRule="exact"/>
              <w:rPr>
                <w:sz w:val="20"/>
                <w:szCs w:val="20"/>
                <w:color w:val="auto"/>
              </w:rPr>
            </w:pPr>
            <w:r>
              <w:rPr>
                <w:rFonts w:ascii="Arial" w:cs="Arial" w:eastAsia="Arial" w:hAnsi="Arial"/>
                <w:sz w:val="9"/>
                <w:szCs w:val="9"/>
                <w:b w:val="1"/>
                <w:bCs w:val="1"/>
                <w:color w:val="FFFFFF"/>
              </w:rPr>
              <w:t>Deposits</w:t>
            </w:r>
          </w:p>
        </w:tc>
        <w:tc>
          <w:tcPr>
            <w:tcW w:w="820" w:type="dxa"/>
            <w:vAlign w:val="bottom"/>
            <w:tcBorders>
              <w:top w:val="single" w:sz="8" w:color="auto"/>
            </w:tcBorders>
            <w:shd w:val="clear" w:color="auto" w:fill="33CCCC"/>
          </w:tcPr>
          <w:p>
            <w:pPr>
              <w:spacing w:after="0"/>
              <w:rPr>
                <w:sz w:val="8"/>
                <w:szCs w:val="8"/>
                <w:color w:val="auto"/>
              </w:rPr>
            </w:pPr>
          </w:p>
        </w:tc>
        <w:tc>
          <w:tcPr>
            <w:tcW w:w="820" w:type="dxa"/>
            <w:vAlign w:val="bottom"/>
            <w:tcBorders>
              <w:top w:val="single" w:sz="8" w:color="auto"/>
            </w:tcBorders>
            <w:shd w:val="clear" w:color="auto" w:fill="33CCCC"/>
          </w:tcPr>
          <w:p>
            <w:pPr>
              <w:jc w:val="center"/>
              <w:spacing w:after="0" w:line="96" w:lineRule="exact"/>
              <w:rPr>
                <w:sz w:val="20"/>
                <w:szCs w:val="20"/>
                <w:color w:val="auto"/>
              </w:rPr>
            </w:pPr>
            <w:r>
              <w:rPr>
                <w:rFonts w:ascii="Arial" w:cs="Arial" w:eastAsia="Arial" w:hAnsi="Arial"/>
                <w:sz w:val="9"/>
                <w:szCs w:val="9"/>
                <w:b w:val="1"/>
                <w:bCs w:val="1"/>
                <w:color w:val="FFFFFF"/>
                <w:w w:val="97"/>
              </w:rPr>
              <w:t>As of</w:t>
            </w:r>
          </w:p>
        </w:tc>
        <w:tc>
          <w:tcPr>
            <w:tcW w:w="840" w:type="dxa"/>
            <w:vAlign w:val="bottom"/>
            <w:tcBorders>
              <w:top w:val="single" w:sz="8" w:color="auto"/>
              <w:right w:val="single" w:sz="8" w:color="auto"/>
            </w:tcBorders>
            <w:shd w:val="clear" w:color="auto" w:fill="33CCCC"/>
          </w:tcPr>
          <w:p>
            <w:pPr>
              <w:spacing w:after="0"/>
              <w:rPr>
                <w:sz w:val="8"/>
                <w:szCs w:val="8"/>
                <w:color w:val="auto"/>
              </w:rPr>
            </w:pPr>
          </w:p>
        </w:tc>
        <w:tc>
          <w:tcPr>
            <w:tcW w:w="600" w:type="dxa"/>
            <w:vAlign w:val="bottom"/>
            <w:tcBorders>
              <w:top w:val="single" w:sz="8" w:color="auto"/>
            </w:tcBorders>
            <w:shd w:val="clear" w:color="auto" w:fill="33CCCC"/>
          </w:tcPr>
          <w:p>
            <w:pPr>
              <w:spacing w:after="0"/>
              <w:rPr>
                <w:sz w:val="8"/>
                <w:szCs w:val="8"/>
                <w:color w:val="auto"/>
              </w:rPr>
            </w:pPr>
          </w:p>
        </w:tc>
        <w:tc>
          <w:tcPr>
            <w:tcW w:w="1000" w:type="dxa"/>
            <w:vAlign w:val="bottom"/>
            <w:tcBorders>
              <w:top w:val="single" w:sz="8" w:color="auto"/>
              <w:right w:val="single" w:sz="8" w:color="auto"/>
            </w:tcBorders>
            <w:shd w:val="clear" w:color="auto" w:fill="33CCCC"/>
          </w:tcPr>
          <w:p>
            <w:pPr>
              <w:jc w:val="center"/>
              <w:ind w:right="595"/>
              <w:spacing w:after="0" w:line="96" w:lineRule="exact"/>
              <w:rPr>
                <w:sz w:val="20"/>
                <w:szCs w:val="20"/>
                <w:color w:val="auto"/>
              </w:rPr>
            </w:pPr>
            <w:r>
              <w:rPr>
                <w:rFonts w:ascii="Arial" w:cs="Arial" w:eastAsia="Arial" w:hAnsi="Arial"/>
                <w:sz w:val="9"/>
                <w:szCs w:val="9"/>
                <w:b w:val="1"/>
                <w:bCs w:val="1"/>
                <w:color w:val="FFFFFF"/>
                <w:w w:val="96"/>
              </w:rPr>
              <w:t>Change</w:t>
            </w:r>
          </w:p>
        </w:tc>
        <w:tc>
          <w:tcPr>
            <w:tcW w:w="980" w:type="dxa"/>
            <w:vAlign w:val="bottom"/>
            <w:tcBorders>
              <w:top w:val="single" w:sz="8" w:color="auto"/>
            </w:tcBorders>
            <w:shd w:val="clear" w:color="auto" w:fill="33CCCC"/>
          </w:tcPr>
          <w:p>
            <w:pPr>
              <w:jc w:val="center"/>
              <w:ind w:left="515"/>
              <w:spacing w:after="0" w:line="96" w:lineRule="exact"/>
              <w:rPr>
                <w:sz w:val="20"/>
                <w:szCs w:val="20"/>
                <w:color w:val="auto"/>
              </w:rPr>
            </w:pPr>
            <w:r>
              <w:rPr>
                <w:rFonts w:ascii="Arial" w:cs="Arial" w:eastAsia="Arial" w:hAnsi="Arial"/>
                <w:sz w:val="9"/>
                <w:szCs w:val="9"/>
                <w:b w:val="1"/>
                <w:bCs w:val="1"/>
                <w:color w:val="FFFFFF"/>
              </w:rPr>
              <w:t>Change</w:t>
            </w:r>
          </w:p>
        </w:tc>
        <w:tc>
          <w:tcPr>
            <w:tcW w:w="600" w:type="dxa"/>
            <w:vAlign w:val="bottom"/>
            <w:tcBorders>
              <w:top w:val="single" w:sz="8" w:color="auto"/>
              <w:right w:val="single" w:sz="8" w:color="auto"/>
            </w:tcBorders>
            <w:shd w:val="clear" w:color="auto" w:fill="33CCCC"/>
          </w:tcPr>
          <w:p>
            <w:pPr>
              <w:spacing w:after="0"/>
              <w:rPr>
                <w:sz w:val="8"/>
                <w:szCs w:val="8"/>
                <w:color w:val="auto"/>
              </w:rPr>
            </w:pPr>
          </w:p>
        </w:tc>
        <w:tc>
          <w:tcPr>
            <w:tcW w:w="2020" w:type="dxa"/>
            <w:vAlign w:val="bottom"/>
            <w:tcBorders>
              <w:top w:val="single" w:sz="8" w:color="auto"/>
              <w:right w:val="single" w:sz="8" w:color="auto"/>
            </w:tcBorders>
            <w:gridSpan w:val="2"/>
            <w:shd w:val="clear" w:color="auto" w:fill="33CCCC"/>
          </w:tcPr>
          <w:p>
            <w:pPr>
              <w:jc w:val="center"/>
              <w:spacing w:after="0" w:line="96" w:lineRule="exact"/>
              <w:rPr>
                <w:sz w:val="20"/>
                <w:szCs w:val="20"/>
                <w:color w:val="auto"/>
              </w:rPr>
            </w:pPr>
            <w:r>
              <w:rPr>
                <w:rFonts w:ascii="Arial" w:cs="Arial" w:eastAsia="Arial" w:hAnsi="Arial"/>
                <w:sz w:val="9"/>
                <w:szCs w:val="9"/>
                <w:b w:val="1"/>
                <w:bCs w:val="1"/>
                <w:color w:val="FFFFFF"/>
                <w:w w:val="99"/>
              </w:rPr>
              <w:t>Change FX Neutral USD PEN</w:t>
            </w:r>
          </w:p>
        </w:tc>
        <w:tc>
          <w:tcPr>
            <w:tcW w:w="1460" w:type="dxa"/>
            <w:vAlign w:val="bottom"/>
            <w:tcBorders>
              <w:top w:val="single" w:sz="8" w:color="auto"/>
              <w:right w:val="single" w:sz="8" w:color="auto"/>
            </w:tcBorders>
            <w:gridSpan w:val="2"/>
            <w:shd w:val="clear" w:color="auto" w:fill="33CCCC"/>
          </w:tcPr>
          <w:p>
            <w:pPr>
              <w:jc w:val="center"/>
              <w:spacing w:after="0" w:line="96" w:lineRule="exact"/>
              <w:rPr>
                <w:sz w:val="20"/>
                <w:szCs w:val="20"/>
                <w:color w:val="auto"/>
              </w:rPr>
            </w:pPr>
            <w:r>
              <w:rPr>
                <w:rFonts w:ascii="Arial" w:cs="Arial" w:eastAsia="Arial" w:hAnsi="Arial"/>
                <w:sz w:val="9"/>
                <w:szCs w:val="9"/>
                <w:b w:val="1"/>
                <w:bCs w:val="1"/>
                <w:color w:val="FFFFFF"/>
                <w:w w:val="99"/>
              </w:rPr>
              <w:t>Change FX Neutral USD PEN</w:t>
            </w:r>
          </w:p>
        </w:tc>
      </w:tr>
      <w:tr>
        <w:trPr>
          <w:trHeight w:val="94"/>
        </w:trPr>
        <w:tc>
          <w:tcPr>
            <w:tcW w:w="2140" w:type="dxa"/>
            <w:vAlign w:val="bottom"/>
            <w:tcBorders>
              <w:left w:val="single" w:sz="8" w:color="auto"/>
              <w:right w:val="single" w:sz="8" w:color="auto"/>
            </w:tcBorders>
            <w:shd w:val="clear" w:color="auto" w:fill="33CCCC"/>
          </w:tcPr>
          <w:p>
            <w:pPr>
              <w:spacing w:after="0"/>
              <w:rPr>
                <w:sz w:val="8"/>
                <w:szCs w:val="8"/>
                <w:color w:val="auto"/>
              </w:rPr>
            </w:pPr>
          </w:p>
        </w:tc>
        <w:tc>
          <w:tcPr>
            <w:tcW w:w="820" w:type="dxa"/>
            <w:vAlign w:val="bottom"/>
            <w:shd w:val="clear" w:color="auto" w:fill="33CCCC"/>
          </w:tcPr>
          <w:p>
            <w:pPr>
              <w:spacing w:after="0"/>
              <w:rPr>
                <w:sz w:val="8"/>
                <w:szCs w:val="8"/>
                <w:color w:val="auto"/>
              </w:rPr>
            </w:pPr>
          </w:p>
        </w:tc>
        <w:tc>
          <w:tcPr>
            <w:tcW w:w="820" w:type="dxa"/>
            <w:vAlign w:val="bottom"/>
            <w:shd w:val="clear" w:color="auto" w:fill="33CCCC"/>
          </w:tcPr>
          <w:p>
            <w:pPr>
              <w:spacing w:after="0"/>
              <w:rPr>
                <w:sz w:val="8"/>
                <w:szCs w:val="8"/>
                <w:color w:val="auto"/>
              </w:rPr>
            </w:pPr>
          </w:p>
        </w:tc>
        <w:tc>
          <w:tcPr>
            <w:tcW w:w="840" w:type="dxa"/>
            <w:vAlign w:val="bottom"/>
            <w:tcBorders>
              <w:right w:val="single" w:sz="8" w:color="auto"/>
            </w:tcBorders>
            <w:shd w:val="clear" w:color="auto" w:fill="33CCCC"/>
          </w:tcPr>
          <w:p>
            <w:pPr>
              <w:spacing w:after="0"/>
              <w:rPr>
                <w:sz w:val="8"/>
                <w:szCs w:val="8"/>
                <w:color w:val="auto"/>
              </w:rPr>
            </w:pPr>
          </w:p>
        </w:tc>
        <w:tc>
          <w:tcPr>
            <w:tcW w:w="1600" w:type="dxa"/>
            <w:vAlign w:val="bottom"/>
            <w:tcBorders>
              <w:right w:val="single" w:sz="8" w:color="auto"/>
            </w:tcBorders>
            <w:gridSpan w:val="2"/>
            <w:shd w:val="clear" w:color="auto" w:fill="33CCCC"/>
          </w:tcPr>
          <w:p>
            <w:pPr>
              <w:jc w:val="center"/>
              <w:spacing w:after="0" w:line="95" w:lineRule="exact"/>
              <w:rPr>
                <w:sz w:val="20"/>
                <w:szCs w:val="20"/>
                <w:color w:val="auto"/>
              </w:rPr>
            </w:pPr>
            <w:r>
              <w:rPr>
                <w:rFonts w:ascii="Arial" w:cs="Arial" w:eastAsia="Arial" w:hAnsi="Arial"/>
                <w:sz w:val="9"/>
                <w:szCs w:val="9"/>
                <w:b w:val="1"/>
                <w:bCs w:val="1"/>
                <w:color w:val="FFFFFF"/>
                <w:w w:val="93"/>
              </w:rPr>
              <w:t>(Volume)</w:t>
            </w:r>
          </w:p>
        </w:tc>
        <w:tc>
          <w:tcPr>
            <w:tcW w:w="980" w:type="dxa"/>
            <w:vAlign w:val="bottom"/>
            <w:shd w:val="clear" w:color="auto" w:fill="33CCCC"/>
          </w:tcPr>
          <w:p>
            <w:pPr>
              <w:jc w:val="right"/>
              <w:ind w:right="95"/>
              <w:spacing w:after="0" w:line="95" w:lineRule="exact"/>
              <w:rPr>
                <w:sz w:val="20"/>
                <w:szCs w:val="20"/>
                <w:color w:val="auto"/>
              </w:rPr>
            </w:pPr>
            <w:r>
              <w:rPr>
                <w:rFonts w:ascii="Arial" w:cs="Arial" w:eastAsia="Arial" w:hAnsi="Arial"/>
                <w:sz w:val="9"/>
                <w:szCs w:val="9"/>
                <w:b w:val="1"/>
                <w:bCs w:val="1"/>
                <w:color w:val="FFFFFF"/>
              </w:rPr>
              <w:t>(%)</w:t>
            </w:r>
          </w:p>
        </w:tc>
        <w:tc>
          <w:tcPr>
            <w:tcW w:w="600" w:type="dxa"/>
            <w:vAlign w:val="bottom"/>
            <w:tcBorders>
              <w:right w:val="single" w:sz="8" w:color="auto"/>
            </w:tcBorders>
            <w:shd w:val="clear" w:color="auto" w:fill="33CCCC"/>
          </w:tcPr>
          <w:p>
            <w:pPr>
              <w:spacing w:after="0"/>
              <w:rPr>
                <w:sz w:val="8"/>
                <w:szCs w:val="8"/>
                <w:color w:val="auto"/>
              </w:rPr>
            </w:pPr>
          </w:p>
        </w:tc>
        <w:tc>
          <w:tcPr>
            <w:tcW w:w="740" w:type="dxa"/>
            <w:vAlign w:val="bottom"/>
            <w:shd w:val="clear" w:color="auto" w:fill="33CCCC"/>
          </w:tcPr>
          <w:p>
            <w:pPr>
              <w:spacing w:after="0"/>
              <w:rPr>
                <w:sz w:val="8"/>
                <w:szCs w:val="8"/>
                <w:color w:val="auto"/>
              </w:rPr>
            </w:pPr>
          </w:p>
        </w:tc>
        <w:tc>
          <w:tcPr>
            <w:tcW w:w="1280" w:type="dxa"/>
            <w:vAlign w:val="bottom"/>
            <w:tcBorders>
              <w:right w:val="single" w:sz="8" w:color="auto"/>
            </w:tcBorders>
            <w:shd w:val="clear" w:color="auto" w:fill="33CCCC"/>
          </w:tcPr>
          <w:p>
            <w:pPr>
              <w:jc w:val="center"/>
              <w:ind w:right="735"/>
              <w:spacing w:after="0" w:line="95" w:lineRule="exact"/>
              <w:rPr>
                <w:sz w:val="20"/>
                <w:szCs w:val="20"/>
                <w:color w:val="auto"/>
              </w:rPr>
            </w:pPr>
            <w:r>
              <w:rPr>
                <w:rFonts w:ascii="Arial" w:cs="Arial" w:eastAsia="Arial" w:hAnsi="Arial"/>
                <w:sz w:val="9"/>
                <w:szCs w:val="9"/>
                <w:b w:val="1"/>
                <w:bCs w:val="1"/>
                <w:color w:val="FFFFFF"/>
                <w:w w:val="98"/>
              </w:rPr>
              <w:t>(Volume)</w:t>
            </w:r>
          </w:p>
        </w:tc>
        <w:tc>
          <w:tcPr>
            <w:tcW w:w="560" w:type="dxa"/>
            <w:vAlign w:val="bottom"/>
            <w:shd w:val="clear" w:color="auto" w:fill="33CCCC"/>
          </w:tcPr>
          <w:p>
            <w:pPr>
              <w:spacing w:after="0"/>
              <w:rPr>
                <w:sz w:val="8"/>
                <w:szCs w:val="8"/>
                <w:color w:val="auto"/>
              </w:rPr>
            </w:pPr>
          </w:p>
        </w:tc>
        <w:tc>
          <w:tcPr>
            <w:tcW w:w="900" w:type="dxa"/>
            <w:vAlign w:val="bottom"/>
            <w:tcBorders>
              <w:right w:val="single" w:sz="8" w:color="auto"/>
            </w:tcBorders>
            <w:shd w:val="clear" w:color="auto" w:fill="33CCCC"/>
          </w:tcPr>
          <w:p>
            <w:pPr>
              <w:jc w:val="right"/>
              <w:ind w:right="635"/>
              <w:spacing w:after="0" w:line="95" w:lineRule="exact"/>
              <w:rPr>
                <w:sz w:val="20"/>
                <w:szCs w:val="20"/>
                <w:color w:val="auto"/>
              </w:rPr>
            </w:pPr>
            <w:r>
              <w:rPr>
                <w:rFonts w:ascii="Arial" w:cs="Arial" w:eastAsia="Arial" w:hAnsi="Arial"/>
                <w:sz w:val="9"/>
                <w:szCs w:val="9"/>
                <w:b w:val="1"/>
                <w:bCs w:val="1"/>
                <w:color w:val="FFFFFF"/>
              </w:rPr>
              <w:t>(%)</w:t>
            </w:r>
          </w:p>
        </w:tc>
      </w:tr>
      <w:tr>
        <w:trPr>
          <w:trHeight w:val="107"/>
        </w:trPr>
        <w:tc>
          <w:tcPr>
            <w:tcW w:w="214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9"/>
                <w:szCs w:val="9"/>
                <w:b w:val="1"/>
                <w:bCs w:val="1"/>
                <w:color w:val="FFFFFF"/>
              </w:rPr>
              <w:t>S/000</w:t>
            </w:r>
          </w:p>
        </w:tc>
        <w:tc>
          <w:tcPr>
            <w:tcW w:w="82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9"/>
                <w:szCs w:val="9"/>
                <w:b w:val="1"/>
                <w:bCs w:val="1"/>
                <w:color w:val="FFFFFF"/>
              </w:rPr>
              <w:t>Dec 24</w:t>
            </w:r>
          </w:p>
        </w:tc>
        <w:tc>
          <w:tcPr>
            <w:tcW w:w="8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9"/>
                <w:szCs w:val="9"/>
                <w:b w:val="1"/>
                <w:bCs w:val="1"/>
                <w:color w:val="FFFFFF"/>
              </w:rPr>
              <w:t>Sep 25</w:t>
            </w:r>
          </w:p>
        </w:tc>
        <w:tc>
          <w:tcPr>
            <w:tcW w:w="840" w:type="dxa"/>
            <w:vAlign w:val="bottom"/>
            <w:tcBorders>
              <w:bottom w:val="single" w:sz="8" w:color="auto"/>
              <w:right w:val="single" w:sz="8" w:color="auto"/>
            </w:tcBorders>
            <w:shd w:val="clear" w:color="auto" w:fill="33CCCC"/>
          </w:tcPr>
          <w:p>
            <w:pPr>
              <w:ind w:left="260"/>
              <w:spacing w:after="0"/>
              <w:rPr>
                <w:sz w:val="20"/>
                <w:szCs w:val="20"/>
                <w:color w:val="auto"/>
              </w:rPr>
            </w:pPr>
            <w:r>
              <w:rPr>
                <w:rFonts w:ascii="Arial" w:cs="Arial" w:eastAsia="Arial" w:hAnsi="Arial"/>
                <w:sz w:val="9"/>
                <w:szCs w:val="9"/>
                <w:b w:val="1"/>
                <w:bCs w:val="1"/>
                <w:color w:val="FFFFFF"/>
              </w:rPr>
              <w:t>Dec 25</w:t>
            </w:r>
          </w:p>
        </w:tc>
        <w:tc>
          <w:tcPr>
            <w:tcW w:w="60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9"/>
                <w:szCs w:val="9"/>
                <w:b w:val="1"/>
                <w:bCs w:val="1"/>
                <w:color w:val="FFFFFF"/>
              </w:rPr>
              <w:t>QoQ</w:t>
            </w:r>
          </w:p>
        </w:tc>
        <w:tc>
          <w:tcPr>
            <w:tcW w:w="100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Arial" w:cs="Arial" w:eastAsia="Arial" w:hAnsi="Arial"/>
                <w:sz w:val="9"/>
                <w:szCs w:val="9"/>
                <w:b w:val="1"/>
                <w:bCs w:val="1"/>
                <w:color w:val="FFFFFF"/>
              </w:rPr>
              <w:t>YoY</w:t>
            </w:r>
          </w:p>
        </w:tc>
        <w:tc>
          <w:tcPr>
            <w:tcW w:w="98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9"/>
                <w:szCs w:val="9"/>
                <w:b w:val="1"/>
                <w:bCs w:val="1"/>
                <w:color w:val="FFFFFF"/>
              </w:rPr>
              <w:t>QoQ</w:t>
            </w:r>
          </w:p>
        </w:tc>
        <w:tc>
          <w:tcPr>
            <w:tcW w:w="60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9"/>
                <w:szCs w:val="9"/>
                <w:b w:val="1"/>
                <w:bCs w:val="1"/>
                <w:color w:val="FFFFFF"/>
              </w:rPr>
              <w:t>YoY</w:t>
            </w:r>
          </w:p>
        </w:tc>
        <w:tc>
          <w:tcPr>
            <w:tcW w:w="74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9"/>
                <w:szCs w:val="9"/>
                <w:b w:val="1"/>
                <w:bCs w:val="1"/>
                <w:color w:val="FFFFFF"/>
              </w:rPr>
              <w:t>QoQ</w:t>
            </w:r>
          </w:p>
        </w:tc>
        <w:tc>
          <w:tcPr>
            <w:tcW w:w="1280" w:type="dxa"/>
            <w:vAlign w:val="bottom"/>
            <w:tcBorders>
              <w:bottom w:val="single" w:sz="8" w:color="auto"/>
              <w:right w:val="single" w:sz="8" w:color="auto"/>
            </w:tcBorders>
            <w:shd w:val="clear" w:color="auto" w:fill="33CCCC"/>
          </w:tcPr>
          <w:p>
            <w:pPr>
              <w:ind w:left="620"/>
              <w:spacing w:after="0"/>
              <w:rPr>
                <w:sz w:val="20"/>
                <w:szCs w:val="20"/>
                <w:color w:val="auto"/>
              </w:rPr>
            </w:pPr>
            <w:r>
              <w:rPr>
                <w:rFonts w:ascii="Arial" w:cs="Arial" w:eastAsia="Arial" w:hAnsi="Arial"/>
                <w:sz w:val="9"/>
                <w:szCs w:val="9"/>
                <w:b w:val="1"/>
                <w:bCs w:val="1"/>
                <w:color w:val="FFFFFF"/>
              </w:rPr>
              <w:t>YoY</w:t>
            </w:r>
          </w:p>
        </w:tc>
        <w:tc>
          <w:tcPr>
            <w:tcW w:w="56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9"/>
                <w:szCs w:val="9"/>
                <w:b w:val="1"/>
                <w:bCs w:val="1"/>
                <w:color w:val="FFFFFF"/>
              </w:rPr>
              <w:t>QoQ</w:t>
            </w:r>
          </w:p>
        </w:tc>
        <w:tc>
          <w:tcPr>
            <w:tcW w:w="90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9"/>
                <w:szCs w:val="9"/>
                <w:b w:val="1"/>
                <w:bCs w:val="1"/>
                <w:color w:val="FFFFFF"/>
              </w:rPr>
              <w:t>YoY</w:t>
            </w:r>
          </w:p>
        </w:tc>
      </w:tr>
      <w:tr>
        <w:trPr>
          <w:trHeight w:val="78"/>
        </w:trPr>
        <w:tc>
          <w:tcPr>
            <w:tcW w:w="2140" w:type="dxa"/>
            <w:vAlign w:val="bottom"/>
            <w:tcBorders>
              <w:left w:val="single" w:sz="8" w:color="auto"/>
              <w:right w:val="single" w:sz="8" w:color="auto"/>
            </w:tcBorders>
          </w:tcPr>
          <w:p>
            <w:pPr>
              <w:spacing w:after="0" w:line="78" w:lineRule="exact"/>
              <w:rPr>
                <w:sz w:val="20"/>
                <w:szCs w:val="20"/>
                <w:color w:val="auto"/>
              </w:rPr>
            </w:pPr>
            <w:r>
              <w:rPr>
                <w:rFonts w:ascii="Arial" w:cs="Arial" w:eastAsia="Arial" w:hAnsi="Arial"/>
                <w:sz w:val="9"/>
                <w:szCs w:val="9"/>
                <w:color w:val="auto"/>
              </w:rPr>
              <w:t>Demand deposits</w:t>
            </w:r>
          </w:p>
        </w:tc>
        <w:tc>
          <w:tcPr>
            <w:tcW w:w="820" w:type="dxa"/>
            <w:vAlign w:val="bottom"/>
          </w:tcPr>
          <w:p>
            <w:pPr>
              <w:jc w:val="center"/>
              <w:spacing w:after="0" w:line="78" w:lineRule="exact"/>
              <w:rPr>
                <w:sz w:val="20"/>
                <w:szCs w:val="20"/>
                <w:color w:val="auto"/>
              </w:rPr>
            </w:pPr>
            <w:r>
              <w:rPr>
                <w:rFonts w:ascii="Arial" w:cs="Arial" w:eastAsia="Arial" w:hAnsi="Arial"/>
                <w:sz w:val="9"/>
                <w:szCs w:val="9"/>
                <w:color w:val="auto"/>
              </w:rPr>
              <w:t>52,590,952</w:t>
            </w:r>
          </w:p>
        </w:tc>
        <w:tc>
          <w:tcPr>
            <w:tcW w:w="820" w:type="dxa"/>
            <w:vAlign w:val="bottom"/>
          </w:tcPr>
          <w:p>
            <w:pPr>
              <w:jc w:val="center"/>
              <w:spacing w:after="0" w:line="78" w:lineRule="exact"/>
              <w:rPr>
                <w:sz w:val="20"/>
                <w:szCs w:val="20"/>
                <w:color w:val="auto"/>
              </w:rPr>
            </w:pPr>
            <w:r>
              <w:rPr>
                <w:rFonts w:ascii="Arial" w:cs="Arial" w:eastAsia="Arial" w:hAnsi="Arial"/>
                <w:sz w:val="9"/>
                <w:szCs w:val="9"/>
                <w:color w:val="auto"/>
              </w:rPr>
              <w:t>50,930,173</w:t>
            </w:r>
          </w:p>
        </w:tc>
        <w:tc>
          <w:tcPr>
            <w:tcW w:w="840" w:type="dxa"/>
            <w:vAlign w:val="bottom"/>
            <w:tcBorders>
              <w:right w:val="single" w:sz="8" w:color="auto"/>
            </w:tcBorders>
          </w:tcPr>
          <w:p>
            <w:pPr>
              <w:jc w:val="center"/>
              <w:spacing w:after="0" w:line="78" w:lineRule="exact"/>
              <w:rPr>
                <w:sz w:val="20"/>
                <w:szCs w:val="20"/>
                <w:color w:val="auto"/>
              </w:rPr>
            </w:pPr>
            <w:r>
              <w:rPr>
                <w:rFonts w:ascii="Arial" w:cs="Arial" w:eastAsia="Arial" w:hAnsi="Arial"/>
                <w:sz w:val="9"/>
                <w:szCs w:val="9"/>
                <w:color w:val="auto"/>
                <w:w w:val="97"/>
              </w:rPr>
              <w:t>57,051,969</w:t>
            </w:r>
          </w:p>
        </w:tc>
        <w:tc>
          <w:tcPr>
            <w:tcW w:w="600" w:type="dxa"/>
            <w:vAlign w:val="bottom"/>
          </w:tcPr>
          <w:p>
            <w:pPr>
              <w:jc w:val="center"/>
              <w:ind w:left="115"/>
              <w:spacing w:after="0" w:line="78" w:lineRule="exact"/>
              <w:rPr>
                <w:sz w:val="20"/>
                <w:szCs w:val="20"/>
                <w:color w:val="auto"/>
              </w:rPr>
            </w:pPr>
            <w:r>
              <w:rPr>
                <w:rFonts w:ascii="Arial" w:cs="Arial" w:eastAsia="Arial" w:hAnsi="Arial"/>
                <w:sz w:val="9"/>
                <w:szCs w:val="9"/>
                <w:color w:val="auto"/>
                <w:w w:val="99"/>
              </w:rPr>
              <w:t>6,121,796</w:t>
            </w:r>
          </w:p>
        </w:tc>
        <w:tc>
          <w:tcPr>
            <w:tcW w:w="1000" w:type="dxa"/>
            <w:vAlign w:val="bottom"/>
            <w:tcBorders>
              <w:right w:val="single" w:sz="8" w:color="auto"/>
            </w:tcBorders>
          </w:tcPr>
          <w:p>
            <w:pPr>
              <w:jc w:val="center"/>
              <w:ind w:left="115"/>
              <w:spacing w:after="0" w:line="78" w:lineRule="exact"/>
              <w:rPr>
                <w:sz w:val="20"/>
                <w:szCs w:val="20"/>
                <w:color w:val="auto"/>
              </w:rPr>
            </w:pPr>
            <w:r>
              <w:rPr>
                <w:rFonts w:ascii="Arial" w:cs="Arial" w:eastAsia="Arial" w:hAnsi="Arial"/>
                <w:sz w:val="9"/>
                <w:szCs w:val="9"/>
                <w:color w:val="auto"/>
                <w:w w:val="99"/>
              </w:rPr>
              <w:t>4,461,017</w:t>
            </w:r>
          </w:p>
        </w:tc>
        <w:tc>
          <w:tcPr>
            <w:tcW w:w="980" w:type="dxa"/>
            <w:vAlign w:val="bottom"/>
          </w:tcPr>
          <w:p>
            <w:pPr>
              <w:jc w:val="center"/>
              <w:ind w:right="175"/>
              <w:spacing w:after="0" w:line="78" w:lineRule="exact"/>
              <w:rPr>
                <w:sz w:val="20"/>
                <w:szCs w:val="20"/>
                <w:color w:val="auto"/>
              </w:rPr>
            </w:pPr>
            <w:r>
              <w:rPr>
                <w:rFonts w:ascii="Arial" w:cs="Arial" w:eastAsia="Arial" w:hAnsi="Arial"/>
                <w:sz w:val="9"/>
                <w:szCs w:val="9"/>
                <w:color w:val="auto"/>
                <w:w w:val="93"/>
              </w:rPr>
              <w:t>12.0%</w:t>
            </w:r>
          </w:p>
        </w:tc>
        <w:tc>
          <w:tcPr>
            <w:tcW w:w="600" w:type="dxa"/>
            <w:vAlign w:val="bottom"/>
            <w:tcBorders>
              <w:right w:val="single" w:sz="8" w:color="auto"/>
            </w:tcBorders>
          </w:tcPr>
          <w:p>
            <w:pPr>
              <w:jc w:val="center"/>
              <w:ind w:right="195"/>
              <w:spacing w:after="0" w:line="78" w:lineRule="exact"/>
              <w:rPr>
                <w:sz w:val="20"/>
                <w:szCs w:val="20"/>
                <w:color w:val="auto"/>
              </w:rPr>
            </w:pPr>
            <w:r>
              <w:rPr>
                <w:rFonts w:ascii="Arial" w:cs="Arial" w:eastAsia="Arial" w:hAnsi="Arial"/>
                <w:sz w:val="9"/>
                <w:szCs w:val="9"/>
                <w:color w:val="auto"/>
                <w:w w:val="97"/>
              </w:rPr>
              <w:t>8.5%</w:t>
            </w:r>
          </w:p>
        </w:tc>
        <w:tc>
          <w:tcPr>
            <w:tcW w:w="740" w:type="dxa"/>
            <w:vAlign w:val="bottom"/>
          </w:tcPr>
          <w:p>
            <w:pPr>
              <w:jc w:val="center"/>
              <w:ind w:left="95"/>
              <w:spacing w:after="0" w:line="78" w:lineRule="exact"/>
              <w:rPr>
                <w:sz w:val="20"/>
                <w:szCs w:val="20"/>
                <w:color w:val="auto"/>
              </w:rPr>
            </w:pPr>
            <w:r>
              <w:rPr>
                <w:rFonts w:ascii="Arial" w:cs="Arial" w:eastAsia="Arial" w:hAnsi="Arial"/>
                <w:sz w:val="9"/>
                <w:szCs w:val="9"/>
                <w:color w:val="auto"/>
                <w:w w:val="99"/>
              </w:rPr>
              <w:t>6,076,139</w:t>
            </w:r>
          </w:p>
        </w:tc>
        <w:tc>
          <w:tcPr>
            <w:tcW w:w="1280" w:type="dxa"/>
            <w:vAlign w:val="bottom"/>
            <w:tcBorders>
              <w:right w:val="single" w:sz="8" w:color="auto"/>
            </w:tcBorders>
          </w:tcPr>
          <w:p>
            <w:pPr>
              <w:jc w:val="center"/>
              <w:ind w:left="75"/>
              <w:spacing w:after="0" w:line="78" w:lineRule="exact"/>
              <w:rPr>
                <w:sz w:val="20"/>
                <w:szCs w:val="20"/>
                <w:color w:val="auto"/>
              </w:rPr>
            </w:pPr>
            <w:r>
              <w:rPr>
                <w:rFonts w:ascii="Arial" w:cs="Arial" w:eastAsia="Arial" w:hAnsi="Arial"/>
                <w:sz w:val="9"/>
                <w:szCs w:val="9"/>
                <w:color w:val="auto"/>
                <w:w w:val="99"/>
              </w:rPr>
              <w:t>8,628,002</w:t>
            </w:r>
          </w:p>
        </w:tc>
        <w:tc>
          <w:tcPr>
            <w:tcW w:w="560" w:type="dxa"/>
            <w:vAlign w:val="bottom"/>
          </w:tcPr>
          <w:p>
            <w:pPr>
              <w:jc w:val="center"/>
              <w:ind w:left="135"/>
              <w:spacing w:after="0" w:line="78" w:lineRule="exact"/>
              <w:rPr>
                <w:sz w:val="20"/>
                <w:szCs w:val="20"/>
                <w:color w:val="auto"/>
              </w:rPr>
            </w:pPr>
            <w:r>
              <w:rPr>
                <w:rFonts w:ascii="Arial" w:cs="Arial" w:eastAsia="Arial" w:hAnsi="Arial"/>
                <w:sz w:val="9"/>
                <w:szCs w:val="9"/>
                <w:color w:val="auto"/>
              </w:rPr>
              <w:t>11.6%</w:t>
            </w:r>
          </w:p>
        </w:tc>
        <w:tc>
          <w:tcPr>
            <w:tcW w:w="900" w:type="dxa"/>
            <w:vAlign w:val="bottom"/>
            <w:tcBorders>
              <w:right w:val="single" w:sz="8" w:color="auto"/>
            </w:tcBorders>
          </w:tcPr>
          <w:p>
            <w:pPr>
              <w:jc w:val="center"/>
              <w:ind w:left="135"/>
              <w:spacing w:after="0" w:line="78" w:lineRule="exact"/>
              <w:rPr>
                <w:sz w:val="20"/>
                <w:szCs w:val="20"/>
                <w:color w:val="auto"/>
              </w:rPr>
            </w:pPr>
            <w:r>
              <w:rPr>
                <w:rFonts w:ascii="Arial" w:cs="Arial" w:eastAsia="Arial" w:hAnsi="Arial"/>
                <w:sz w:val="9"/>
                <w:szCs w:val="9"/>
                <w:color w:val="auto"/>
                <w:w w:val="93"/>
              </w:rPr>
              <w:t>16.4%</w:t>
            </w:r>
          </w:p>
        </w:tc>
      </w:tr>
      <w:tr>
        <w:trPr>
          <w:trHeight w:val="95"/>
        </w:trPr>
        <w:tc>
          <w:tcPr>
            <w:tcW w:w="2140" w:type="dxa"/>
            <w:vAlign w:val="bottom"/>
            <w:tcBorders>
              <w:left w:val="single" w:sz="8" w:color="auto"/>
              <w:right w:val="single" w:sz="8" w:color="auto"/>
            </w:tcBorders>
          </w:tcPr>
          <w:p>
            <w:pPr>
              <w:spacing w:after="0" w:line="95" w:lineRule="exact"/>
              <w:rPr>
                <w:sz w:val="20"/>
                <w:szCs w:val="20"/>
                <w:color w:val="auto"/>
              </w:rPr>
            </w:pPr>
            <w:r>
              <w:rPr>
                <w:rFonts w:ascii="Arial" w:cs="Arial" w:eastAsia="Arial" w:hAnsi="Arial"/>
                <w:sz w:val="9"/>
                <w:szCs w:val="9"/>
                <w:color w:val="auto"/>
              </w:rPr>
              <w:t>Saving deposits</w:t>
            </w:r>
          </w:p>
        </w:tc>
        <w:tc>
          <w:tcPr>
            <w:tcW w:w="820" w:type="dxa"/>
            <w:vAlign w:val="bottom"/>
          </w:tcPr>
          <w:p>
            <w:pPr>
              <w:jc w:val="center"/>
              <w:spacing w:after="0" w:line="95" w:lineRule="exact"/>
              <w:rPr>
                <w:sz w:val="20"/>
                <w:szCs w:val="20"/>
                <w:color w:val="auto"/>
              </w:rPr>
            </w:pPr>
            <w:r>
              <w:rPr>
                <w:rFonts w:ascii="Arial" w:cs="Arial" w:eastAsia="Arial" w:hAnsi="Arial"/>
                <w:sz w:val="9"/>
                <w:szCs w:val="9"/>
                <w:color w:val="auto"/>
              </w:rPr>
              <w:t>59,757,825</w:t>
            </w:r>
          </w:p>
        </w:tc>
        <w:tc>
          <w:tcPr>
            <w:tcW w:w="820" w:type="dxa"/>
            <w:vAlign w:val="bottom"/>
          </w:tcPr>
          <w:p>
            <w:pPr>
              <w:jc w:val="center"/>
              <w:spacing w:after="0" w:line="95" w:lineRule="exact"/>
              <w:rPr>
                <w:sz w:val="20"/>
                <w:szCs w:val="20"/>
                <w:color w:val="auto"/>
              </w:rPr>
            </w:pPr>
            <w:r>
              <w:rPr>
                <w:rFonts w:ascii="Arial" w:cs="Arial" w:eastAsia="Arial" w:hAnsi="Arial"/>
                <w:sz w:val="9"/>
                <w:szCs w:val="9"/>
                <w:color w:val="auto"/>
              </w:rPr>
              <w:t>60,580,840</w:t>
            </w:r>
          </w:p>
        </w:tc>
        <w:tc>
          <w:tcPr>
            <w:tcW w:w="8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7"/>
              </w:rPr>
              <w:t>67,811,945</w:t>
            </w:r>
          </w:p>
        </w:tc>
        <w:tc>
          <w:tcPr>
            <w:tcW w:w="600" w:type="dxa"/>
            <w:vAlign w:val="bottom"/>
          </w:tcPr>
          <w:p>
            <w:pPr>
              <w:jc w:val="center"/>
              <w:ind w:left="115"/>
              <w:spacing w:after="0" w:line="95" w:lineRule="exact"/>
              <w:rPr>
                <w:sz w:val="20"/>
                <w:szCs w:val="20"/>
                <w:color w:val="auto"/>
              </w:rPr>
            </w:pPr>
            <w:r>
              <w:rPr>
                <w:rFonts w:ascii="Arial" w:cs="Arial" w:eastAsia="Arial" w:hAnsi="Arial"/>
                <w:sz w:val="9"/>
                <w:szCs w:val="9"/>
                <w:color w:val="auto"/>
                <w:w w:val="99"/>
              </w:rPr>
              <w:t>7,231,105</w:t>
            </w:r>
          </w:p>
        </w:tc>
        <w:tc>
          <w:tcPr>
            <w:tcW w:w="1000" w:type="dxa"/>
            <w:vAlign w:val="bottom"/>
            <w:tcBorders>
              <w:right w:val="single" w:sz="8" w:color="auto"/>
            </w:tcBorders>
          </w:tcPr>
          <w:p>
            <w:pPr>
              <w:jc w:val="center"/>
              <w:ind w:left="115"/>
              <w:spacing w:after="0" w:line="95" w:lineRule="exact"/>
              <w:rPr>
                <w:sz w:val="20"/>
                <w:szCs w:val="20"/>
                <w:color w:val="auto"/>
              </w:rPr>
            </w:pPr>
            <w:r>
              <w:rPr>
                <w:rFonts w:ascii="Arial" w:cs="Arial" w:eastAsia="Arial" w:hAnsi="Arial"/>
                <w:sz w:val="9"/>
                <w:szCs w:val="9"/>
                <w:color w:val="auto"/>
                <w:w w:val="99"/>
              </w:rPr>
              <w:t>8,054,120</w:t>
            </w:r>
          </w:p>
        </w:tc>
        <w:tc>
          <w:tcPr>
            <w:tcW w:w="980" w:type="dxa"/>
            <w:vAlign w:val="bottom"/>
          </w:tcPr>
          <w:p>
            <w:pPr>
              <w:jc w:val="center"/>
              <w:ind w:right="175"/>
              <w:spacing w:after="0" w:line="95" w:lineRule="exact"/>
              <w:rPr>
                <w:sz w:val="20"/>
                <w:szCs w:val="20"/>
                <w:color w:val="auto"/>
              </w:rPr>
            </w:pPr>
            <w:r>
              <w:rPr>
                <w:rFonts w:ascii="Arial" w:cs="Arial" w:eastAsia="Arial" w:hAnsi="Arial"/>
                <w:sz w:val="9"/>
                <w:szCs w:val="9"/>
                <w:color w:val="auto"/>
                <w:w w:val="93"/>
              </w:rPr>
              <w:t>11.9%</w:t>
            </w:r>
          </w:p>
        </w:tc>
        <w:tc>
          <w:tcPr>
            <w:tcW w:w="600" w:type="dxa"/>
            <w:vAlign w:val="bottom"/>
            <w:tcBorders>
              <w:right w:val="single" w:sz="8" w:color="auto"/>
            </w:tcBorders>
          </w:tcPr>
          <w:p>
            <w:pPr>
              <w:jc w:val="center"/>
              <w:ind w:right="175"/>
              <w:spacing w:after="0" w:line="95" w:lineRule="exact"/>
              <w:rPr>
                <w:sz w:val="20"/>
                <w:szCs w:val="20"/>
                <w:color w:val="auto"/>
              </w:rPr>
            </w:pPr>
            <w:r>
              <w:rPr>
                <w:rFonts w:ascii="Arial" w:cs="Arial" w:eastAsia="Arial" w:hAnsi="Arial"/>
                <w:sz w:val="9"/>
                <w:szCs w:val="9"/>
                <w:color w:val="auto"/>
              </w:rPr>
              <w:t>13.5%</w:t>
            </w:r>
          </w:p>
        </w:tc>
        <w:tc>
          <w:tcPr>
            <w:tcW w:w="740" w:type="dxa"/>
            <w:vAlign w:val="bottom"/>
          </w:tcPr>
          <w:p>
            <w:pPr>
              <w:jc w:val="center"/>
              <w:ind w:left="95"/>
              <w:spacing w:after="0" w:line="95" w:lineRule="exact"/>
              <w:rPr>
                <w:sz w:val="20"/>
                <w:szCs w:val="20"/>
                <w:color w:val="auto"/>
              </w:rPr>
            </w:pPr>
            <w:r>
              <w:rPr>
                <w:rFonts w:ascii="Arial" w:cs="Arial" w:eastAsia="Arial" w:hAnsi="Arial"/>
                <w:sz w:val="9"/>
                <w:szCs w:val="9"/>
                <w:color w:val="auto"/>
                <w:w w:val="99"/>
              </w:rPr>
              <w:t>7,459,299</w:t>
            </w:r>
          </w:p>
        </w:tc>
        <w:tc>
          <w:tcPr>
            <w:tcW w:w="1280" w:type="dxa"/>
            <w:vAlign w:val="bottom"/>
            <w:tcBorders>
              <w:right w:val="single" w:sz="8" w:color="auto"/>
            </w:tcBorders>
          </w:tcPr>
          <w:p>
            <w:pPr>
              <w:jc w:val="center"/>
              <w:ind w:left="75"/>
              <w:spacing w:after="0" w:line="95" w:lineRule="exact"/>
              <w:rPr>
                <w:sz w:val="20"/>
                <w:szCs w:val="20"/>
                <w:color w:val="auto"/>
              </w:rPr>
            </w:pPr>
            <w:r>
              <w:rPr>
                <w:rFonts w:ascii="Arial" w:cs="Arial" w:eastAsia="Arial" w:hAnsi="Arial"/>
                <w:sz w:val="9"/>
                <w:szCs w:val="9"/>
                <w:color w:val="auto"/>
                <w:w w:val="97"/>
              </w:rPr>
              <w:t>11,504,345</w:t>
            </w:r>
          </w:p>
        </w:tc>
        <w:tc>
          <w:tcPr>
            <w:tcW w:w="560" w:type="dxa"/>
            <w:vAlign w:val="bottom"/>
          </w:tcPr>
          <w:p>
            <w:pPr>
              <w:jc w:val="center"/>
              <w:ind w:left="135"/>
              <w:spacing w:after="0" w:line="95" w:lineRule="exact"/>
              <w:rPr>
                <w:sz w:val="20"/>
                <w:szCs w:val="20"/>
                <w:color w:val="auto"/>
              </w:rPr>
            </w:pPr>
            <w:r>
              <w:rPr>
                <w:rFonts w:ascii="Arial" w:cs="Arial" w:eastAsia="Arial" w:hAnsi="Arial"/>
                <w:sz w:val="9"/>
                <w:szCs w:val="9"/>
                <w:color w:val="auto"/>
              </w:rPr>
              <w:t>12.1%</w:t>
            </w:r>
          </w:p>
        </w:tc>
        <w:tc>
          <w:tcPr>
            <w:tcW w:w="900" w:type="dxa"/>
            <w:vAlign w:val="bottom"/>
            <w:tcBorders>
              <w:right w:val="single" w:sz="8" w:color="auto"/>
            </w:tcBorders>
          </w:tcPr>
          <w:p>
            <w:pPr>
              <w:jc w:val="center"/>
              <w:ind w:left="135"/>
              <w:spacing w:after="0" w:line="95" w:lineRule="exact"/>
              <w:rPr>
                <w:sz w:val="20"/>
                <w:szCs w:val="20"/>
                <w:color w:val="auto"/>
              </w:rPr>
            </w:pPr>
            <w:r>
              <w:rPr>
                <w:rFonts w:ascii="Arial" w:cs="Arial" w:eastAsia="Arial" w:hAnsi="Arial"/>
                <w:sz w:val="9"/>
                <w:szCs w:val="9"/>
                <w:color w:val="auto"/>
                <w:w w:val="93"/>
              </w:rPr>
              <w:t>19.3%</w:t>
            </w:r>
          </w:p>
        </w:tc>
      </w:tr>
      <w:tr>
        <w:trPr>
          <w:trHeight w:val="94"/>
        </w:trPr>
        <w:tc>
          <w:tcPr>
            <w:tcW w:w="2140" w:type="dxa"/>
            <w:vAlign w:val="bottom"/>
            <w:tcBorders>
              <w:left w:val="single" w:sz="8" w:color="auto"/>
              <w:right w:val="single" w:sz="8" w:color="auto"/>
            </w:tcBorders>
          </w:tcPr>
          <w:p>
            <w:pPr>
              <w:spacing w:after="0" w:line="95" w:lineRule="exact"/>
              <w:rPr>
                <w:sz w:val="20"/>
                <w:szCs w:val="20"/>
                <w:color w:val="auto"/>
              </w:rPr>
            </w:pPr>
            <w:r>
              <w:rPr>
                <w:rFonts w:ascii="Arial" w:cs="Arial" w:eastAsia="Arial" w:hAnsi="Arial"/>
                <w:sz w:val="9"/>
                <w:szCs w:val="9"/>
                <w:color w:val="auto"/>
              </w:rPr>
              <w:t>Time deposits</w:t>
            </w:r>
          </w:p>
        </w:tc>
        <w:tc>
          <w:tcPr>
            <w:tcW w:w="820" w:type="dxa"/>
            <w:vAlign w:val="bottom"/>
          </w:tcPr>
          <w:p>
            <w:pPr>
              <w:jc w:val="center"/>
              <w:spacing w:after="0" w:line="95" w:lineRule="exact"/>
              <w:rPr>
                <w:sz w:val="20"/>
                <w:szCs w:val="20"/>
                <w:color w:val="auto"/>
              </w:rPr>
            </w:pPr>
            <w:r>
              <w:rPr>
                <w:rFonts w:ascii="Arial" w:cs="Arial" w:eastAsia="Arial" w:hAnsi="Arial"/>
                <w:sz w:val="9"/>
                <w:szCs w:val="9"/>
                <w:color w:val="auto"/>
              </w:rPr>
              <w:t>45,217,785</w:t>
            </w:r>
          </w:p>
        </w:tc>
        <w:tc>
          <w:tcPr>
            <w:tcW w:w="820" w:type="dxa"/>
            <w:vAlign w:val="bottom"/>
          </w:tcPr>
          <w:p>
            <w:pPr>
              <w:jc w:val="center"/>
              <w:spacing w:after="0" w:line="95" w:lineRule="exact"/>
              <w:rPr>
                <w:sz w:val="20"/>
                <w:szCs w:val="20"/>
                <w:color w:val="auto"/>
              </w:rPr>
            </w:pPr>
            <w:r>
              <w:rPr>
                <w:rFonts w:ascii="Arial" w:cs="Arial" w:eastAsia="Arial" w:hAnsi="Arial"/>
                <w:sz w:val="9"/>
                <w:szCs w:val="9"/>
                <w:color w:val="auto"/>
                <w:w w:val="97"/>
              </w:rPr>
              <w:t>43,115,987</w:t>
            </w:r>
          </w:p>
        </w:tc>
        <w:tc>
          <w:tcPr>
            <w:tcW w:w="8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7"/>
              </w:rPr>
              <w:t>41,344,255</w:t>
            </w:r>
          </w:p>
        </w:tc>
        <w:tc>
          <w:tcPr>
            <w:tcW w:w="600" w:type="dxa"/>
            <w:vAlign w:val="bottom"/>
          </w:tcPr>
          <w:p>
            <w:pPr>
              <w:jc w:val="center"/>
              <w:ind w:left="95"/>
              <w:spacing w:after="0" w:line="95" w:lineRule="exact"/>
              <w:rPr>
                <w:sz w:val="20"/>
                <w:szCs w:val="20"/>
                <w:color w:val="auto"/>
              </w:rPr>
            </w:pPr>
            <w:r>
              <w:rPr>
                <w:rFonts w:ascii="Arial" w:cs="Arial" w:eastAsia="Arial" w:hAnsi="Arial"/>
                <w:sz w:val="9"/>
                <w:szCs w:val="9"/>
                <w:color w:val="auto"/>
                <w:w w:val="99"/>
              </w:rPr>
              <w:t>(1,771,732)</w:t>
            </w:r>
          </w:p>
        </w:tc>
        <w:tc>
          <w:tcPr>
            <w:tcW w:w="1000" w:type="dxa"/>
            <w:vAlign w:val="bottom"/>
            <w:tcBorders>
              <w:right w:val="single" w:sz="8" w:color="auto"/>
            </w:tcBorders>
          </w:tcPr>
          <w:p>
            <w:pPr>
              <w:jc w:val="center"/>
              <w:ind w:left="95"/>
              <w:spacing w:after="0" w:line="95" w:lineRule="exact"/>
              <w:rPr>
                <w:sz w:val="20"/>
                <w:szCs w:val="20"/>
                <w:color w:val="auto"/>
              </w:rPr>
            </w:pPr>
            <w:r>
              <w:rPr>
                <w:rFonts w:ascii="Arial" w:cs="Arial" w:eastAsia="Arial" w:hAnsi="Arial"/>
                <w:sz w:val="9"/>
                <w:szCs w:val="9"/>
                <w:color w:val="auto"/>
                <w:w w:val="99"/>
              </w:rPr>
              <w:t>(3,873,530)</w:t>
            </w:r>
          </w:p>
        </w:tc>
        <w:tc>
          <w:tcPr>
            <w:tcW w:w="980" w:type="dxa"/>
            <w:vAlign w:val="bottom"/>
          </w:tcPr>
          <w:p>
            <w:pPr>
              <w:jc w:val="center"/>
              <w:ind w:right="175"/>
              <w:spacing w:after="0" w:line="95" w:lineRule="exact"/>
              <w:rPr>
                <w:sz w:val="20"/>
                <w:szCs w:val="20"/>
                <w:color w:val="auto"/>
              </w:rPr>
            </w:pPr>
            <w:r>
              <w:rPr>
                <w:rFonts w:ascii="Arial" w:cs="Arial" w:eastAsia="Arial" w:hAnsi="Arial"/>
                <w:sz w:val="9"/>
                <w:szCs w:val="9"/>
                <w:color w:val="auto"/>
              </w:rPr>
              <w:t>-4.1%</w:t>
            </w:r>
          </w:p>
        </w:tc>
        <w:tc>
          <w:tcPr>
            <w:tcW w:w="600" w:type="dxa"/>
            <w:vAlign w:val="bottom"/>
            <w:tcBorders>
              <w:right w:val="single" w:sz="8" w:color="auto"/>
            </w:tcBorders>
          </w:tcPr>
          <w:p>
            <w:pPr>
              <w:jc w:val="center"/>
              <w:ind w:right="195"/>
              <w:spacing w:after="0" w:line="95" w:lineRule="exact"/>
              <w:rPr>
                <w:sz w:val="20"/>
                <w:szCs w:val="20"/>
                <w:color w:val="auto"/>
              </w:rPr>
            </w:pPr>
            <w:r>
              <w:rPr>
                <w:rFonts w:ascii="Arial" w:cs="Arial" w:eastAsia="Arial" w:hAnsi="Arial"/>
                <w:sz w:val="9"/>
                <w:szCs w:val="9"/>
                <w:color w:val="auto"/>
              </w:rPr>
              <w:t>-8.6%</w:t>
            </w:r>
          </w:p>
        </w:tc>
        <w:tc>
          <w:tcPr>
            <w:tcW w:w="740" w:type="dxa"/>
            <w:vAlign w:val="bottom"/>
          </w:tcPr>
          <w:p>
            <w:pPr>
              <w:jc w:val="center"/>
              <w:ind w:left="95"/>
              <w:spacing w:after="0" w:line="95" w:lineRule="exact"/>
              <w:rPr>
                <w:sz w:val="20"/>
                <w:szCs w:val="20"/>
                <w:color w:val="auto"/>
              </w:rPr>
            </w:pPr>
            <w:r>
              <w:rPr>
                <w:rFonts w:ascii="Arial" w:cs="Arial" w:eastAsia="Arial" w:hAnsi="Arial"/>
                <w:sz w:val="9"/>
                <w:szCs w:val="9"/>
                <w:color w:val="auto"/>
              </w:rPr>
              <w:t>-2,398,426</w:t>
            </w:r>
          </w:p>
        </w:tc>
        <w:tc>
          <w:tcPr>
            <w:tcW w:w="1280" w:type="dxa"/>
            <w:vAlign w:val="bottom"/>
            <w:tcBorders>
              <w:right w:val="single" w:sz="8" w:color="auto"/>
            </w:tcBorders>
          </w:tcPr>
          <w:p>
            <w:pPr>
              <w:jc w:val="center"/>
              <w:ind w:left="75"/>
              <w:spacing w:after="0" w:line="95" w:lineRule="exact"/>
              <w:rPr>
                <w:sz w:val="20"/>
                <w:szCs w:val="20"/>
                <w:color w:val="auto"/>
              </w:rPr>
            </w:pPr>
            <w:r>
              <w:rPr>
                <w:rFonts w:ascii="Arial" w:cs="Arial" w:eastAsia="Arial" w:hAnsi="Arial"/>
                <w:sz w:val="9"/>
                <w:szCs w:val="9"/>
                <w:color w:val="auto"/>
              </w:rPr>
              <w:t>-728,842</w:t>
            </w:r>
          </w:p>
        </w:tc>
        <w:tc>
          <w:tcPr>
            <w:tcW w:w="560" w:type="dxa"/>
            <w:vAlign w:val="bottom"/>
          </w:tcPr>
          <w:p>
            <w:pPr>
              <w:jc w:val="center"/>
              <w:ind w:left="155"/>
              <w:spacing w:after="0" w:line="95" w:lineRule="exact"/>
              <w:rPr>
                <w:sz w:val="20"/>
                <w:szCs w:val="20"/>
                <w:color w:val="auto"/>
              </w:rPr>
            </w:pPr>
            <w:r>
              <w:rPr>
                <w:rFonts w:ascii="Arial" w:cs="Arial" w:eastAsia="Arial" w:hAnsi="Arial"/>
                <w:sz w:val="9"/>
                <w:szCs w:val="9"/>
                <w:color w:val="auto"/>
              </w:rPr>
              <w:t>-5.3%</w:t>
            </w:r>
          </w:p>
        </w:tc>
        <w:tc>
          <w:tcPr>
            <w:tcW w:w="900" w:type="dxa"/>
            <w:vAlign w:val="bottom"/>
            <w:tcBorders>
              <w:right w:val="single" w:sz="8" w:color="auto"/>
            </w:tcBorders>
          </w:tcPr>
          <w:p>
            <w:pPr>
              <w:jc w:val="center"/>
              <w:ind w:left="135"/>
              <w:spacing w:after="0" w:line="95" w:lineRule="exact"/>
              <w:rPr>
                <w:sz w:val="20"/>
                <w:szCs w:val="20"/>
                <w:color w:val="auto"/>
              </w:rPr>
            </w:pPr>
            <w:r>
              <w:rPr>
                <w:rFonts w:ascii="Arial" w:cs="Arial" w:eastAsia="Arial" w:hAnsi="Arial"/>
                <w:sz w:val="9"/>
                <w:szCs w:val="9"/>
                <w:color w:val="auto"/>
              </w:rPr>
              <w:t>-1.6%</w:t>
            </w:r>
          </w:p>
        </w:tc>
      </w:tr>
      <w:tr>
        <w:trPr>
          <w:trHeight w:val="94"/>
        </w:trPr>
        <w:tc>
          <w:tcPr>
            <w:tcW w:w="2140" w:type="dxa"/>
            <w:vAlign w:val="bottom"/>
            <w:tcBorders>
              <w:left w:val="single" w:sz="8" w:color="auto"/>
              <w:right w:val="single" w:sz="8" w:color="auto"/>
            </w:tcBorders>
          </w:tcPr>
          <w:p>
            <w:pPr>
              <w:spacing w:after="0" w:line="95" w:lineRule="exact"/>
              <w:rPr>
                <w:sz w:val="20"/>
                <w:szCs w:val="20"/>
                <w:color w:val="auto"/>
              </w:rPr>
            </w:pPr>
            <w:r>
              <w:rPr>
                <w:rFonts w:ascii="Arial" w:cs="Arial" w:eastAsia="Arial" w:hAnsi="Arial"/>
                <w:sz w:val="9"/>
                <w:szCs w:val="9"/>
                <w:color w:val="auto"/>
              </w:rPr>
              <w:t>Severance indemnity deposits</w:t>
            </w:r>
          </w:p>
        </w:tc>
        <w:tc>
          <w:tcPr>
            <w:tcW w:w="820" w:type="dxa"/>
            <w:vAlign w:val="bottom"/>
          </w:tcPr>
          <w:p>
            <w:pPr>
              <w:jc w:val="center"/>
              <w:spacing w:after="0" w:line="95" w:lineRule="exact"/>
              <w:rPr>
                <w:sz w:val="20"/>
                <w:szCs w:val="20"/>
                <w:color w:val="auto"/>
              </w:rPr>
            </w:pPr>
            <w:r>
              <w:rPr>
                <w:rFonts w:ascii="Arial" w:cs="Arial" w:eastAsia="Arial" w:hAnsi="Arial"/>
                <w:sz w:val="9"/>
                <w:szCs w:val="9"/>
                <w:color w:val="auto"/>
                <w:w w:val="99"/>
              </w:rPr>
              <w:t>2,996,020</w:t>
            </w:r>
          </w:p>
        </w:tc>
        <w:tc>
          <w:tcPr>
            <w:tcW w:w="820" w:type="dxa"/>
            <w:vAlign w:val="bottom"/>
          </w:tcPr>
          <w:p>
            <w:pPr>
              <w:jc w:val="center"/>
              <w:spacing w:after="0" w:line="95" w:lineRule="exact"/>
              <w:rPr>
                <w:sz w:val="20"/>
                <w:szCs w:val="20"/>
                <w:color w:val="auto"/>
              </w:rPr>
            </w:pPr>
            <w:r>
              <w:rPr>
                <w:rFonts w:ascii="Arial" w:cs="Arial" w:eastAsia="Arial" w:hAnsi="Arial"/>
                <w:sz w:val="9"/>
                <w:szCs w:val="9"/>
                <w:color w:val="auto"/>
                <w:w w:val="99"/>
              </w:rPr>
              <w:t>2,956,446</w:t>
            </w:r>
          </w:p>
        </w:tc>
        <w:tc>
          <w:tcPr>
            <w:tcW w:w="8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9"/>
              </w:rPr>
              <w:t>3,192,565</w:t>
            </w:r>
          </w:p>
        </w:tc>
        <w:tc>
          <w:tcPr>
            <w:tcW w:w="600" w:type="dxa"/>
            <w:vAlign w:val="bottom"/>
          </w:tcPr>
          <w:p>
            <w:pPr>
              <w:jc w:val="center"/>
              <w:ind w:left="115"/>
              <w:spacing w:after="0" w:line="95" w:lineRule="exact"/>
              <w:rPr>
                <w:sz w:val="20"/>
                <w:szCs w:val="20"/>
                <w:color w:val="auto"/>
              </w:rPr>
            </w:pPr>
            <w:r>
              <w:rPr>
                <w:rFonts w:ascii="Arial" w:cs="Arial" w:eastAsia="Arial" w:hAnsi="Arial"/>
                <w:sz w:val="9"/>
                <w:szCs w:val="9"/>
                <w:color w:val="auto"/>
                <w:w w:val="98"/>
              </w:rPr>
              <w:t>236,119</w:t>
            </w:r>
          </w:p>
        </w:tc>
        <w:tc>
          <w:tcPr>
            <w:tcW w:w="1000" w:type="dxa"/>
            <w:vAlign w:val="bottom"/>
            <w:tcBorders>
              <w:right w:val="single" w:sz="8" w:color="auto"/>
            </w:tcBorders>
          </w:tcPr>
          <w:p>
            <w:pPr>
              <w:jc w:val="center"/>
              <w:ind w:left="95"/>
              <w:spacing w:after="0" w:line="95" w:lineRule="exact"/>
              <w:rPr>
                <w:sz w:val="20"/>
                <w:szCs w:val="20"/>
                <w:color w:val="auto"/>
              </w:rPr>
            </w:pPr>
            <w:r>
              <w:rPr>
                <w:rFonts w:ascii="Arial" w:cs="Arial" w:eastAsia="Arial" w:hAnsi="Arial"/>
                <w:sz w:val="9"/>
                <w:szCs w:val="9"/>
                <w:color w:val="auto"/>
              </w:rPr>
              <w:t>196,545</w:t>
            </w:r>
          </w:p>
        </w:tc>
        <w:tc>
          <w:tcPr>
            <w:tcW w:w="980" w:type="dxa"/>
            <w:vAlign w:val="bottom"/>
          </w:tcPr>
          <w:p>
            <w:pPr>
              <w:jc w:val="center"/>
              <w:ind w:right="175"/>
              <w:spacing w:after="0" w:line="95" w:lineRule="exact"/>
              <w:rPr>
                <w:sz w:val="20"/>
                <w:szCs w:val="20"/>
                <w:color w:val="auto"/>
              </w:rPr>
            </w:pPr>
            <w:r>
              <w:rPr>
                <w:rFonts w:ascii="Arial" w:cs="Arial" w:eastAsia="Arial" w:hAnsi="Arial"/>
                <w:sz w:val="9"/>
                <w:szCs w:val="9"/>
                <w:color w:val="auto"/>
                <w:w w:val="97"/>
              </w:rPr>
              <w:t>8.0%</w:t>
            </w:r>
          </w:p>
        </w:tc>
        <w:tc>
          <w:tcPr>
            <w:tcW w:w="600" w:type="dxa"/>
            <w:vAlign w:val="bottom"/>
            <w:tcBorders>
              <w:right w:val="single" w:sz="8" w:color="auto"/>
            </w:tcBorders>
          </w:tcPr>
          <w:p>
            <w:pPr>
              <w:jc w:val="center"/>
              <w:ind w:right="195"/>
              <w:spacing w:after="0" w:line="95" w:lineRule="exact"/>
              <w:rPr>
                <w:sz w:val="20"/>
                <w:szCs w:val="20"/>
                <w:color w:val="auto"/>
              </w:rPr>
            </w:pPr>
            <w:r>
              <w:rPr>
                <w:rFonts w:ascii="Arial" w:cs="Arial" w:eastAsia="Arial" w:hAnsi="Arial"/>
                <w:sz w:val="9"/>
                <w:szCs w:val="9"/>
                <w:color w:val="auto"/>
                <w:w w:val="97"/>
              </w:rPr>
              <w:t>6.6%</w:t>
            </w:r>
          </w:p>
        </w:tc>
        <w:tc>
          <w:tcPr>
            <w:tcW w:w="740" w:type="dxa"/>
            <w:vAlign w:val="bottom"/>
          </w:tcPr>
          <w:p>
            <w:pPr>
              <w:jc w:val="center"/>
              <w:ind w:left="95"/>
              <w:spacing w:after="0" w:line="95" w:lineRule="exact"/>
              <w:rPr>
                <w:sz w:val="20"/>
                <w:szCs w:val="20"/>
                <w:color w:val="auto"/>
              </w:rPr>
            </w:pPr>
            <w:r>
              <w:rPr>
                <w:rFonts w:ascii="Arial" w:cs="Arial" w:eastAsia="Arial" w:hAnsi="Arial"/>
                <w:sz w:val="9"/>
                <w:szCs w:val="9"/>
                <w:color w:val="auto"/>
                <w:w w:val="98"/>
              </w:rPr>
              <w:t>258,240</w:t>
            </w:r>
          </w:p>
        </w:tc>
        <w:tc>
          <w:tcPr>
            <w:tcW w:w="1280" w:type="dxa"/>
            <w:vAlign w:val="bottom"/>
            <w:tcBorders>
              <w:right w:val="single" w:sz="8" w:color="auto"/>
            </w:tcBorders>
          </w:tcPr>
          <w:p>
            <w:pPr>
              <w:jc w:val="center"/>
              <w:ind w:left="75"/>
              <w:spacing w:after="0" w:line="95" w:lineRule="exact"/>
              <w:rPr>
                <w:sz w:val="20"/>
                <w:szCs w:val="20"/>
                <w:color w:val="auto"/>
              </w:rPr>
            </w:pPr>
            <w:r>
              <w:rPr>
                <w:rFonts w:ascii="Arial" w:cs="Arial" w:eastAsia="Arial" w:hAnsi="Arial"/>
                <w:sz w:val="9"/>
                <w:szCs w:val="9"/>
                <w:color w:val="auto"/>
                <w:w w:val="98"/>
              </w:rPr>
              <w:t>279,447</w:t>
            </w:r>
          </w:p>
        </w:tc>
        <w:tc>
          <w:tcPr>
            <w:tcW w:w="560" w:type="dxa"/>
            <w:vAlign w:val="bottom"/>
          </w:tcPr>
          <w:p>
            <w:pPr>
              <w:jc w:val="center"/>
              <w:ind w:left="155"/>
              <w:spacing w:after="0" w:line="95" w:lineRule="exact"/>
              <w:rPr>
                <w:sz w:val="20"/>
                <w:szCs w:val="20"/>
                <w:color w:val="auto"/>
              </w:rPr>
            </w:pPr>
            <w:r>
              <w:rPr>
                <w:rFonts w:ascii="Arial" w:cs="Arial" w:eastAsia="Arial" w:hAnsi="Arial"/>
                <w:sz w:val="9"/>
                <w:szCs w:val="9"/>
                <w:color w:val="auto"/>
                <w:w w:val="97"/>
              </w:rPr>
              <w:t>8.7%</w:t>
            </w:r>
          </w:p>
        </w:tc>
        <w:tc>
          <w:tcPr>
            <w:tcW w:w="900" w:type="dxa"/>
            <w:vAlign w:val="bottom"/>
            <w:tcBorders>
              <w:right w:val="single" w:sz="8" w:color="auto"/>
            </w:tcBorders>
          </w:tcPr>
          <w:p>
            <w:pPr>
              <w:jc w:val="center"/>
              <w:ind w:left="135"/>
              <w:spacing w:after="0" w:line="95" w:lineRule="exact"/>
              <w:rPr>
                <w:sz w:val="20"/>
                <w:szCs w:val="20"/>
                <w:color w:val="auto"/>
              </w:rPr>
            </w:pPr>
            <w:r>
              <w:rPr>
                <w:rFonts w:ascii="Arial" w:cs="Arial" w:eastAsia="Arial" w:hAnsi="Arial"/>
                <w:sz w:val="9"/>
                <w:szCs w:val="9"/>
                <w:color w:val="auto"/>
                <w:w w:val="97"/>
              </w:rPr>
              <w:t>9.3%</w:t>
            </w:r>
          </w:p>
        </w:tc>
      </w:tr>
      <w:tr>
        <w:trPr>
          <w:trHeight w:val="105"/>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9"/>
                <w:szCs w:val="9"/>
                <w:color w:val="auto"/>
              </w:rPr>
              <w:t>Interest payable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9"/>
              </w:rPr>
              <w:t>1,279,484</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847,009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9"/>
              </w:rPr>
              <w:t>1,000,899</w:t>
            </w:r>
          </w:p>
        </w:tc>
        <w:tc>
          <w:tcPr>
            <w:tcW w:w="600" w:type="dxa"/>
            <w:vAlign w:val="bottom"/>
            <w:tcBorders>
              <w:bottom w:val="single" w:sz="8" w:color="auto"/>
            </w:tcBorders>
          </w:tcPr>
          <w:p>
            <w:pPr>
              <w:jc w:val="center"/>
              <w:ind w:left="115"/>
              <w:spacing w:after="0"/>
              <w:rPr>
                <w:sz w:val="20"/>
                <w:szCs w:val="20"/>
                <w:color w:val="auto"/>
              </w:rPr>
            </w:pPr>
            <w:r>
              <w:rPr>
                <w:rFonts w:ascii="Arial" w:cs="Arial" w:eastAsia="Arial" w:hAnsi="Arial"/>
                <w:sz w:val="9"/>
                <w:szCs w:val="9"/>
                <w:color w:val="auto"/>
                <w:w w:val="98"/>
              </w:rPr>
              <w:t>153,890</w:t>
            </w:r>
          </w:p>
        </w:tc>
        <w:tc>
          <w:tcPr>
            <w:tcW w:w="100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9"/>
                <w:szCs w:val="9"/>
                <w:color w:val="auto"/>
                <w:w w:val="98"/>
              </w:rPr>
              <w:t>(278,585)</w:t>
            </w: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9"/>
                <w:szCs w:val="9"/>
                <w:color w:val="auto"/>
                <w:w w:val="93"/>
              </w:rPr>
              <w:t>18.2%</w:t>
            </w:r>
          </w:p>
        </w:tc>
        <w:tc>
          <w:tcPr>
            <w:tcW w:w="600" w:type="dxa"/>
            <w:vAlign w:val="bottom"/>
            <w:tcBorders>
              <w:bottom w:val="single" w:sz="8" w:color="auto"/>
              <w:right w:val="single" w:sz="8" w:color="auto"/>
            </w:tcBorders>
          </w:tcPr>
          <w:p>
            <w:pPr>
              <w:jc w:val="center"/>
              <w:ind w:right="195"/>
              <w:spacing w:after="0"/>
              <w:rPr>
                <w:sz w:val="20"/>
                <w:szCs w:val="20"/>
                <w:color w:val="auto"/>
              </w:rPr>
            </w:pPr>
            <w:r>
              <w:rPr>
                <w:rFonts w:ascii="Arial" w:cs="Arial" w:eastAsia="Arial" w:hAnsi="Arial"/>
                <w:sz w:val="9"/>
                <w:szCs w:val="9"/>
                <w:color w:val="auto"/>
                <w:w w:val="98"/>
              </w:rPr>
              <w:t>-21.8%</w:t>
            </w:r>
          </w:p>
        </w:tc>
        <w:tc>
          <w:tcPr>
            <w:tcW w:w="740" w:type="dxa"/>
            <w:vAlign w:val="bottom"/>
            <w:tcBorders>
              <w:bottom w:val="single" w:sz="8" w:color="auto"/>
            </w:tcBorders>
          </w:tcPr>
          <w:p>
            <w:pPr>
              <w:jc w:val="center"/>
              <w:ind w:left="75"/>
              <w:spacing w:after="0"/>
              <w:rPr>
                <w:sz w:val="20"/>
                <w:szCs w:val="20"/>
                <w:color w:val="auto"/>
              </w:rPr>
            </w:pPr>
            <w:r>
              <w:rPr>
                <w:rFonts w:ascii="Arial" w:cs="Arial" w:eastAsia="Arial" w:hAnsi="Arial"/>
                <w:sz w:val="9"/>
                <w:szCs w:val="9"/>
                <w:color w:val="auto"/>
                <w:w w:val="98"/>
              </w:rPr>
              <w:t>-19,077</w:t>
            </w:r>
          </w:p>
        </w:tc>
        <w:tc>
          <w:tcPr>
            <w:tcW w:w="1280" w:type="dxa"/>
            <w:vAlign w:val="bottom"/>
            <w:tcBorders>
              <w:bottom w:val="single" w:sz="8" w:color="auto"/>
              <w:right w:val="single" w:sz="8" w:color="auto"/>
            </w:tcBorders>
          </w:tcPr>
          <w:p>
            <w:pPr>
              <w:jc w:val="center"/>
              <w:ind w:left="55"/>
              <w:spacing w:after="0"/>
              <w:rPr>
                <w:sz w:val="20"/>
                <w:szCs w:val="20"/>
                <w:color w:val="auto"/>
              </w:rPr>
            </w:pPr>
            <w:r>
              <w:rPr>
                <w:rFonts w:ascii="Arial" w:cs="Arial" w:eastAsia="Arial" w:hAnsi="Arial"/>
                <w:sz w:val="9"/>
                <w:szCs w:val="9"/>
                <w:color w:val="auto"/>
              </w:rPr>
              <w:t>-5,451</w:t>
            </w:r>
          </w:p>
        </w:tc>
        <w:tc>
          <w:tcPr>
            <w:tcW w:w="560" w:type="dxa"/>
            <w:vAlign w:val="bottom"/>
            <w:tcBorders>
              <w:bottom w:val="single" w:sz="8" w:color="auto"/>
            </w:tcBorders>
          </w:tcPr>
          <w:p>
            <w:pPr>
              <w:jc w:val="center"/>
              <w:ind w:left="155"/>
              <w:spacing w:after="0"/>
              <w:rPr>
                <w:sz w:val="20"/>
                <w:szCs w:val="20"/>
                <w:color w:val="auto"/>
              </w:rPr>
            </w:pPr>
            <w:r>
              <w:rPr>
                <w:rFonts w:ascii="Arial" w:cs="Arial" w:eastAsia="Arial" w:hAnsi="Arial"/>
                <w:sz w:val="9"/>
                <w:szCs w:val="9"/>
                <w:color w:val="auto"/>
              </w:rPr>
              <w:t>-1.6%</w:t>
            </w:r>
          </w:p>
        </w:tc>
        <w:tc>
          <w:tcPr>
            <w:tcW w:w="900" w:type="dxa"/>
            <w:vAlign w:val="bottom"/>
            <w:tcBorders>
              <w:bottom w:val="single" w:sz="8" w:color="auto"/>
              <w:right w:val="single" w:sz="8" w:color="auto"/>
            </w:tcBorders>
          </w:tcPr>
          <w:p>
            <w:pPr>
              <w:jc w:val="center"/>
              <w:ind w:left="135"/>
              <w:spacing w:after="0"/>
              <w:rPr>
                <w:sz w:val="20"/>
                <w:szCs w:val="20"/>
                <w:color w:val="auto"/>
              </w:rPr>
            </w:pPr>
            <w:r>
              <w:rPr>
                <w:rFonts w:ascii="Arial" w:cs="Arial" w:eastAsia="Arial" w:hAnsi="Arial"/>
                <w:sz w:val="9"/>
                <w:szCs w:val="9"/>
                <w:color w:val="auto"/>
              </w:rPr>
              <w:t>-0.4%</w:t>
            </w:r>
          </w:p>
        </w:tc>
      </w:tr>
      <w:tr>
        <w:trPr>
          <w:trHeight w:val="88"/>
        </w:trPr>
        <w:tc>
          <w:tcPr>
            <w:tcW w:w="2140" w:type="dxa"/>
            <w:vAlign w:val="bottom"/>
            <w:tcBorders>
              <w:left w:val="single" w:sz="8" w:color="auto"/>
              <w:bottom w:val="single" w:sz="8" w:color="auto"/>
              <w:right w:val="single" w:sz="8" w:color="auto"/>
            </w:tcBorders>
          </w:tcPr>
          <w:p>
            <w:pPr>
              <w:spacing w:after="0" w:line="88" w:lineRule="exact"/>
              <w:rPr>
                <w:sz w:val="20"/>
                <w:szCs w:val="20"/>
                <w:color w:val="auto"/>
              </w:rPr>
            </w:pPr>
            <w:r>
              <w:rPr>
                <w:rFonts w:ascii="Arial" w:cs="Arial" w:eastAsia="Arial" w:hAnsi="Arial"/>
                <w:sz w:val="7"/>
                <w:szCs w:val="7"/>
                <w:b w:val="1"/>
                <w:bCs w:val="1"/>
                <w:color w:val="auto"/>
              </w:rPr>
              <w:t xml:space="preserve">Low-cost deposits </w:t>
            </w:r>
            <w:r>
              <w:rPr>
                <w:rFonts w:ascii="Arial" w:cs="Arial" w:eastAsia="Arial" w:hAnsi="Arial"/>
                <w:sz w:val="10"/>
                <w:szCs w:val="10"/>
                <w:b w:val="1"/>
                <w:bCs w:val="1"/>
                <w:color w:val="auto"/>
                <w:vertAlign w:val="superscript"/>
              </w:rPr>
              <w:t>(1)</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112,348,777</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111,511,013</w:t>
            </w:r>
          </w:p>
        </w:tc>
        <w:tc>
          <w:tcPr>
            <w:tcW w:w="84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124,863,914</w:t>
            </w:r>
          </w:p>
        </w:tc>
        <w:tc>
          <w:tcPr>
            <w:tcW w:w="600" w:type="dxa"/>
            <w:vAlign w:val="bottom"/>
            <w:tcBorders>
              <w:bottom w:val="single" w:sz="8" w:color="auto"/>
            </w:tcBorders>
          </w:tcPr>
          <w:p>
            <w:pPr>
              <w:jc w:val="center"/>
              <w:ind w:left="95"/>
              <w:spacing w:after="0" w:line="88" w:lineRule="exact"/>
              <w:rPr>
                <w:sz w:val="20"/>
                <w:szCs w:val="20"/>
                <w:color w:val="auto"/>
              </w:rPr>
            </w:pPr>
            <w:r>
              <w:rPr>
                <w:rFonts w:ascii="Arial" w:cs="Arial" w:eastAsia="Arial" w:hAnsi="Arial"/>
                <w:sz w:val="9"/>
                <w:szCs w:val="9"/>
                <w:b w:val="1"/>
                <w:bCs w:val="1"/>
                <w:color w:val="auto"/>
              </w:rPr>
              <w:t>13,352,901</w:t>
            </w:r>
          </w:p>
        </w:tc>
        <w:tc>
          <w:tcPr>
            <w:tcW w:w="1000" w:type="dxa"/>
            <w:vAlign w:val="bottom"/>
            <w:tcBorders>
              <w:bottom w:val="single" w:sz="8" w:color="auto"/>
              <w:right w:val="single" w:sz="8" w:color="auto"/>
            </w:tcBorders>
          </w:tcPr>
          <w:p>
            <w:pPr>
              <w:jc w:val="center"/>
              <w:ind w:left="95"/>
              <w:spacing w:after="0" w:line="88" w:lineRule="exact"/>
              <w:rPr>
                <w:sz w:val="20"/>
                <w:szCs w:val="20"/>
                <w:color w:val="auto"/>
              </w:rPr>
            </w:pPr>
            <w:r>
              <w:rPr>
                <w:rFonts w:ascii="Arial" w:cs="Arial" w:eastAsia="Arial" w:hAnsi="Arial"/>
                <w:sz w:val="9"/>
                <w:szCs w:val="9"/>
                <w:b w:val="1"/>
                <w:bCs w:val="1"/>
                <w:color w:val="auto"/>
              </w:rPr>
              <w:t>12,515,137</w:t>
            </w:r>
          </w:p>
        </w:tc>
        <w:tc>
          <w:tcPr>
            <w:tcW w:w="980" w:type="dxa"/>
            <w:vAlign w:val="bottom"/>
            <w:tcBorders>
              <w:bottom w:val="single" w:sz="8" w:color="auto"/>
            </w:tcBorders>
          </w:tcPr>
          <w:p>
            <w:pPr>
              <w:jc w:val="center"/>
              <w:ind w:right="175"/>
              <w:spacing w:after="0" w:line="88" w:lineRule="exact"/>
              <w:rPr>
                <w:sz w:val="20"/>
                <w:szCs w:val="20"/>
                <w:color w:val="auto"/>
              </w:rPr>
            </w:pPr>
            <w:r>
              <w:rPr>
                <w:rFonts w:ascii="Arial" w:cs="Arial" w:eastAsia="Arial" w:hAnsi="Arial"/>
                <w:sz w:val="9"/>
                <w:szCs w:val="9"/>
                <w:b w:val="1"/>
                <w:bCs w:val="1"/>
                <w:color w:val="auto"/>
                <w:w w:val="93"/>
              </w:rPr>
              <w:t>12.0%</w:t>
            </w:r>
          </w:p>
        </w:tc>
        <w:tc>
          <w:tcPr>
            <w:tcW w:w="600" w:type="dxa"/>
            <w:vAlign w:val="bottom"/>
            <w:tcBorders>
              <w:bottom w:val="single" w:sz="8" w:color="auto"/>
              <w:right w:val="single" w:sz="8" w:color="auto"/>
            </w:tcBorders>
          </w:tcPr>
          <w:p>
            <w:pPr>
              <w:jc w:val="center"/>
              <w:ind w:right="195"/>
              <w:spacing w:after="0" w:line="88" w:lineRule="exact"/>
              <w:rPr>
                <w:sz w:val="20"/>
                <w:szCs w:val="20"/>
                <w:color w:val="auto"/>
              </w:rPr>
            </w:pPr>
            <w:r>
              <w:rPr>
                <w:rFonts w:ascii="Arial" w:cs="Arial" w:eastAsia="Arial" w:hAnsi="Arial"/>
                <w:sz w:val="9"/>
                <w:szCs w:val="9"/>
                <w:b w:val="1"/>
                <w:bCs w:val="1"/>
                <w:color w:val="auto"/>
                <w:w w:val="93"/>
              </w:rPr>
              <w:t>11.1%</w:t>
            </w:r>
          </w:p>
        </w:tc>
        <w:tc>
          <w:tcPr>
            <w:tcW w:w="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88"/>
        </w:trPr>
        <w:tc>
          <w:tcPr>
            <w:tcW w:w="2140" w:type="dxa"/>
            <w:vAlign w:val="bottom"/>
            <w:tcBorders>
              <w:left w:val="single" w:sz="8" w:color="auto"/>
              <w:bottom w:val="single" w:sz="8" w:color="auto"/>
              <w:right w:val="single" w:sz="8" w:color="auto"/>
            </w:tcBorders>
          </w:tcPr>
          <w:p>
            <w:pPr>
              <w:spacing w:after="0" w:line="88" w:lineRule="exact"/>
              <w:rPr>
                <w:sz w:val="20"/>
                <w:szCs w:val="20"/>
                <w:color w:val="auto"/>
              </w:rPr>
            </w:pPr>
            <w:r>
              <w:rPr>
                <w:rFonts w:ascii="Arial" w:cs="Arial" w:eastAsia="Arial" w:hAnsi="Arial"/>
                <w:sz w:val="9"/>
                <w:szCs w:val="9"/>
                <w:b w:val="1"/>
                <w:bCs w:val="1"/>
                <w:color w:val="auto"/>
              </w:rPr>
              <w:t>Total Deposits</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161,842,066</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158,430,455</w:t>
            </w:r>
          </w:p>
        </w:tc>
        <w:tc>
          <w:tcPr>
            <w:tcW w:w="84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170,401,633</w:t>
            </w:r>
          </w:p>
        </w:tc>
        <w:tc>
          <w:tcPr>
            <w:tcW w:w="600" w:type="dxa"/>
            <w:vAlign w:val="bottom"/>
            <w:tcBorders>
              <w:bottom w:val="single" w:sz="8" w:color="auto"/>
            </w:tcBorders>
          </w:tcPr>
          <w:p>
            <w:pPr>
              <w:jc w:val="center"/>
              <w:ind w:left="115"/>
              <w:spacing w:after="0" w:line="88" w:lineRule="exact"/>
              <w:rPr>
                <w:sz w:val="20"/>
                <w:szCs w:val="20"/>
                <w:color w:val="auto"/>
              </w:rPr>
            </w:pPr>
            <w:r>
              <w:rPr>
                <w:rFonts w:ascii="Arial" w:cs="Arial" w:eastAsia="Arial" w:hAnsi="Arial"/>
                <w:sz w:val="9"/>
                <w:szCs w:val="9"/>
                <w:b w:val="1"/>
                <w:bCs w:val="1"/>
                <w:color w:val="auto"/>
                <w:w w:val="97"/>
              </w:rPr>
              <w:t>11,971,178</w:t>
            </w:r>
          </w:p>
        </w:tc>
        <w:tc>
          <w:tcPr>
            <w:tcW w:w="1000" w:type="dxa"/>
            <w:vAlign w:val="bottom"/>
            <w:tcBorders>
              <w:bottom w:val="single" w:sz="8" w:color="auto"/>
              <w:right w:val="single" w:sz="8" w:color="auto"/>
            </w:tcBorders>
          </w:tcPr>
          <w:p>
            <w:pPr>
              <w:jc w:val="center"/>
              <w:ind w:left="115"/>
              <w:spacing w:after="0" w:line="88" w:lineRule="exact"/>
              <w:rPr>
                <w:sz w:val="20"/>
                <w:szCs w:val="20"/>
                <w:color w:val="auto"/>
              </w:rPr>
            </w:pPr>
            <w:r>
              <w:rPr>
                <w:rFonts w:ascii="Arial" w:cs="Arial" w:eastAsia="Arial" w:hAnsi="Arial"/>
                <w:sz w:val="9"/>
                <w:szCs w:val="9"/>
                <w:b w:val="1"/>
                <w:bCs w:val="1"/>
                <w:color w:val="auto"/>
                <w:w w:val="99"/>
              </w:rPr>
              <w:t>8,559,567</w:t>
            </w:r>
          </w:p>
        </w:tc>
        <w:tc>
          <w:tcPr>
            <w:tcW w:w="980" w:type="dxa"/>
            <w:vAlign w:val="bottom"/>
            <w:tcBorders>
              <w:bottom w:val="single" w:sz="8" w:color="auto"/>
            </w:tcBorders>
          </w:tcPr>
          <w:p>
            <w:pPr>
              <w:jc w:val="center"/>
              <w:ind w:right="175"/>
              <w:spacing w:after="0" w:line="88" w:lineRule="exact"/>
              <w:rPr>
                <w:sz w:val="20"/>
                <w:szCs w:val="20"/>
                <w:color w:val="auto"/>
              </w:rPr>
            </w:pPr>
            <w:r>
              <w:rPr>
                <w:rFonts w:ascii="Arial" w:cs="Arial" w:eastAsia="Arial" w:hAnsi="Arial"/>
                <w:sz w:val="9"/>
                <w:szCs w:val="9"/>
                <w:b w:val="1"/>
                <w:bCs w:val="1"/>
                <w:color w:val="auto"/>
                <w:w w:val="97"/>
              </w:rPr>
              <w:t>7.6%</w:t>
            </w:r>
          </w:p>
        </w:tc>
        <w:tc>
          <w:tcPr>
            <w:tcW w:w="600" w:type="dxa"/>
            <w:vAlign w:val="bottom"/>
            <w:tcBorders>
              <w:bottom w:val="single" w:sz="8" w:color="auto"/>
              <w:right w:val="single" w:sz="8" w:color="auto"/>
            </w:tcBorders>
          </w:tcPr>
          <w:p>
            <w:pPr>
              <w:jc w:val="center"/>
              <w:ind w:right="195"/>
              <w:spacing w:after="0" w:line="88" w:lineRule="exact"/>
              <w:rPr>
                <w:sz w:val="20"/>
                <w:szCs w:val="20"/>
                <w:color w:val="auto"/>
              </w:rPr>
            </w:pPr>
            <w:r>
              <w:rPr>
                <w:rFonts w:ascii="Arial" w:cs="Arial" w:eastAsia="Arial" w:hAnsi="Arial"/>
                <w:sz w:val="9"/>
                <w:szCs w:val="9"/>
                <w:b w:val="1"/>
                <w:bCs w:val="1"/>
                <w:color w:val="auto"/>
                <w:w w:val="97"/>
              </w:rPr>
              <w:t>5.3%</w:t>
            </w:r>
          </w:p>
        </w:tc>
        <w:tc>
          <w:tcPr>
            <w:tcW w:w="7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83"/>
        </w:trPr>
        <w:tc>
          <w:tcPr>
            <w:tcW w:w="214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Adjusted by Bolivia’s revaluation</w:t>
            </w: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88"/>
        </w:trPr>
        <w:tc>
          <w:tcPr>
            <w:tcW w:w="2140" w:type="dxa"/>
            <w:vAlign w:val="bottom"/>
            <w:tcBorders>
              <w:left w:val="single" w:sz="8" w:color="auto"/>
              <w:bottom w:val="single" w:sz="8" w:color="auto"/>
              <w:right w:val="single" w:sz="8" w:color="auto"/>
            </w:tcBorders>
          </w:tcPr>
          <w:p>
            <w:pPr>
              <w:spacing w:after="0" w:line="88" w:lineRule="exact"/>
              <w:rPr>
                <w:sz w:val="20"/>
                <w:szCs w:val="20"/>
                <w:color w:val="auto"/>
              </w:rPr>
            </w:pPr>
            <w:r>
              <w:rPr>
                <w:rFonts w:ascii="Arial" w:cs="Arial" w:eastAsia="Arial" w:hAnsi="Arial"/>
                <w:sz w:val="7"/>
                <w:szCs w:val="7"/>
                <w:b w:val="1"/>
                <w:bCs w:val="1"/>
                <w:color w:val="auto"/>
              </w:rPr>
              <w:t xml:space="preserve">Low-cost deposits </w:t>
            </w:r>
            <w:r>
              <w:rPr>
                <w:rFonts w:ascii="Arial" w:cs="Arial" w:eastAsia="Arial" w:hAnsi="Arial"/>
                <w:sz w:val="10"/>
                <w:szCs w:val="10"/>
                <w:b w:val="1"/>
                <w:bCs w:val="1"/>
                <w:color w:val="auto"/>
                <w:vertAlign w:val="superscript"/>
              </w:rPr>
              <w:t>(1)</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112,348,777</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114,236,696</w:t>
            </w:r>
          </w:p>
        </w:tc>
        <w:tc>
          <w:tcPr>
            <w:tcW w:w="84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126,058,318</w:t>
            </w:r>
          </w:p>
        </w:tc>
        <w:tc>
          <w:tcPr>
            <w:tcW w:w="600" w:type="dxa"/>
            <w:vAlign w:val="bottom"/>
            <w:tcBorders>
              <w:bottom w:val="single" w:sz="8" w:color="auto"/>
            </w:tcBorders>
          </w:tcPr>
          <w:p>
            <w:pPr>
              <w:jc w:val="center"/>
              <w:ind w:left="115"/>
              <w:spacing w:after="0" w:line="88" w:lineRule="exact"/>
              <w:rPr>
                <w:sz w:val="20"/>
                <w:szCs w:val="20"/>
                <w:color w:val="auto"/>
              </w:rPr>
            </w:pPr>
            <w:r>
              <w:rPr>
                <w:rFonts w:ascii="Arial" w:cs="Arial" w:eastAsia="Arial" w:hAnsi="Arial"/>
                <w:sz w:val="9"/>
                <w:szCs w:val="9"/>
                <w:b w:val="1"/>
                <w:bCs w:val="1"/>
                <w:color w:val="auto"/>
                <w:w w:val="97"/>
              </w:rPr>
              <w:t>11,821,622</w:t>
            </w:r>
          </w:p>
        </w:tc>
        <w:tc>
          <w:tcPr>
            <w:tcW w:w="1000" w:type="dxa"/>
            <w:vAlign w:val="bottom"/>
            <w:tcBorders>
              <w:bottom w:val="single" w:sz="8" w:color="auto"/>
              <w:right w:val="single" w:sz="8" w:color="auto"/>
            </w:tcBorders>
          </w:tcPr>
          <w:p>
            <w:pPr>
              <w:jc w:val="center"/>
              <w:ind w:left="95"/>
              <w:spacing w:after="0" w:line="88" w:lineRule="exact"/>
              <w:rPr>
                <w:sz w:val="20"/>
                <w:szCs w:val="20"/>
                <w:color w:val="auto"/>
              </w:rPr>
            </w:pPr>
            <w:r>
              <w:rPr>
                <w:rFonts w:ascii="Arial" w:cs="Arial" w:eastAsia="Arial" w:hAnsi="Arial"/>
                <w:sz w:val="9"/>
                <w:szCs w:val="9"/>
                <w:b w:val="1"/>
                <w:bCs w:val="1"/>
                <w:color w:val="auto"/>
              </w:rPr>
              <w:t>13,709,541</w:t>
            </w:r>
          </w:p>
        </w:tc>
        <w:tc>
          <w:tcPr>
            <w:tcW w:w="980" w:type="dxa"/>
            <w:vAlign w:val="bottom"/>
            <w:tcBorders>
              <w:bottom w:val="single" w:sz="8" w:color="auto"/>
            </w:tcBorders>
          </w:tcPr>
          <w:p>
            <w:pPr>
              <w:jc w:val="center"/>
              <w:ind w:right="175"/>
              <w:spacing w:after="0" w:line="88" w:lineRule="exact"/>
              <w:rPr>
                <w:sz w:val="20"/>
                <w:szCs w:val="20"/>
                <w:color w:val="auto"/>
              </w:rPr>
            </w:pPr>
            <w:r>
              <w:rPr>
                <w:rFonts w:ascii="Arial" w:cs="Arial" w:eastAsia="Arial" w:hAnsi="Arial"/>
                <w:sz w:val="9"/>
                <w:szCs w:val="9"/>
                <w:b w:val="1"/>
                <w:bCs w:val="1"/>
                <w:color w:val="auto"/>
                <w:w w:val="93"/>
              </w:rPr>
              <w:t>10.3%</w:t>
            </w:r>
          </w:p>
        </w:tc>
        <w:tc>
          <w:tcPr>
            <w:tcW w:w="600" w:type="dxa"/>
            <w:vAlign w:val="bottom"/>
            <w:tcBorders>
              <w:bottom w:val="single" w:sz="8" w:color="auto"/>
              <w:right w:val="single" w:sz="8" w:color="auto"/>
            </w:tcBorders>
          </w:tcPr>
          <w:p>
            <w:pPr>
              <w:jc w:val="center"/>
              <w:ind w:right="175"/>
              <w:spacing w:after="0" w:line="88" w:lineRule="exact"/>
              <w:rPr>
                <w:sz w:val="20"/>
                <w:szCs w:val="20"/>
                <w:color w:val="auto"/>
              </w:rPr>
            </w:pPr>
            <w:r>
              <w:rPr>
                <w:rFonts w:ascii="Arial" w:cs="Arial" w:eastAsia="Arial" w:hAnsi="Arial"/>
                <w:sz w:val="9"/>
                <w:szCs w:val="9"/>
                <w:b w:val="1"/>
                <w:bCs w:val="1"/>
                <w:color w:val="auto"/>
              </w:rPr>
              <w:t>12.2%</w:t>
            </w:r>
          </w:p>
        </w:tc>
        <w:tc>
          <w:tcPr>
            <w:tcW w:w="740" w:type="dxa"/>
            <w:vAlign w:val="bottom"/>
            <w:tcBorders>
              <w:bottom w:val="single" w:sz="8" w:color="auto"/>
            </w:tcBorders>
          </w:tcPr>
          <w:p>
            <w:pPr>
              <w:jc w:val="center"/>
              <w:ind w:left="95"/>
              <w:spacing w:after="0" w:line="88" w:lineRule="exact"/>
              <w:rPr>
                <w:sz w:val="20"/>
                <w:szCs w:val="20"/>
                <w:color w:val="auto"/>
              </w:rPr>
            </w:pPr>
            <w:r>
              <w:rPr>
                <w:rFonts w:ascii="Arial" w:cs="Arial" w:eastAsia="Arial" w:hAnsi="Arial"/>
                <w:sz w:val="9"/>
                <w:szCs w:val="9"/>
                <w:b w:val="1"/>
                <w:bCs w:val="1"/>
                <w:color w:val="auto"/>
                <w:w w:val="97"/>
              </w:rPr>
              <w:t>13,535,438</w:t>
            </w:r>
          </w:p>
        </w:tc>
        <w:tc>
          <w:tcPr>
            <w:tcW w:w="1280" w:type="dxa"/>
            <w:vAlign w:val="bottom"/>
            <w:tcBorders>
              <w:bottom w:val="single" w:sz="8" w:color="auto"/>
              <w:right w:val="single" w:sz="8" w:color="auto"/>
            </w:tcBorders>
          </w:tcPr>
          <w:p>
            <w:pPr>
              <w:jc w:val="center"/>
              <w:ind w:left="75"/>
              <w:spacing w:after="0" w:line="88" w:lineRule="exact"/>
              <w:rPr>
                <w:sz w:val="20"/>
                <w:szCs w:val="20"/>
                <w:color w:val="auto"/>
              </w:rPr>
            </w:pPr>
            <w:r>
              <w:rPr>
                <w:rFonts w:ascii="Arial" w:cs="Arial" w:eastAsia="Arial" w:hAnsi="Arial"/>
                <w:sz w:val="9"/>
                <w:szCs w:val="9"/>
                <w:b w:val="1"/>
                <w:bCs w:val="1"/>
                <w:color w:val="auto"/>
                <w:w w:val="97"/>
              </w:rPr>
              <w:t>20,132,347</w:t>
            </w:r>
          </w:p>
        </w:tc>
        <w:tc>
          <w:tcPr>
            <w:tcW w:w="560" w:type="dxa"/>
            <w:vAlign w:val="bottom"/>
            <w:tcBorders>
              <w:bottom w:val="single" w:sz="8" w:color="auto"/>
            </w:tcBorders>
          </w:tcPr>
          <w:p>
            <w:pPr>
              <w:jc w:val="center"/>
              <w:ind w:left="135"/>
              <w:spacing w:after="0" w:line="88" w:lineRule="exact"/>
              <w:rPr>
                <w:sz w:val="20"/>
                <w:szCs w:val="20"/>
                <w:color w:val="auto"/>
              </w:rPr>
            </w:pPr>
            <w:r>
              <w:rPr>
                <w:rFonts w:ascii="Arial" w:cs="Arial" w:eastAsia="Arial" w:hAnsi="Arial"/>
                <w:sz w:val="9"/>
                <w:szCs w:val="9"/>
                <w:b w:val="1"/>
                <w:bCs w:val="1"/>
                <w:color w:val="auto"/>
              </w:rPr>
              <w:t>11.8%</w:t>
            </w:r>
          </w:p>
        </w:tc>
        <w:tc>
          <w:tcPr>
            <w:tcW w:w="900" w:type="dxa"/>
            <w:vAlign w:val="bottom"/>
            <w:tcBorders>
              <w:bottom w:val="single" w:sz="8" w:color="auto"/>
              <w:right w:val="single" w:sz="8" w:color="auto"/>
            </w:tcBorders>
          </w:tcPr>
          <w:p>
            <w:pPr>
              <w:jc w:val="center"/>
              <w:ind w:left="135"/>
              <w:spacing w:after="0" w:line="88" w:lineRule="exact"/>
              <w:rPr>
                <w:sz w:val="20"/>
                <w:szCs w:val="20"/>
                <w:color w:val="auto"/>
              </w:rPr>
            </w:pPr>
            <w:r>
              <w:rPr>
                <w:rFonts w:ascii="Arial" w:cs="Arial" w:eastAsia="Arial" w:hAnsi="Arial"/>
                <w:sz w:val="9"/>
                <w:szCs w:val="9"/>
                <w:b w:val="1"/>
                <w:bCs w:val="1"/>
                <w:color w:val="auto"/>
                <w:w w:val="93"/>
              </w:rPr>
              <w:t>17.9%</w:t>
            </w:r>
          </w:p>
        </w:tc>
      </w:tr>
      <w:tr>
        <w:trPr>
          <w:trHeight w:val="88"/>
        </w:trPr>
        <w:tc>
          <w:tcPr>
            <w:tcW w:w="2140" w:type="dxa"/>
            <w:vAlign w:val="bottom"/>
            <w:tcBorders>
              <w:left w:val="single" w:sz="8" w:color="auto"/>
              <w:bottom w:val="single" w:sz="8" w:color="auto"/>
              <w:right w:val="single" w:sz="8" w:color="auto"/>
            </w:tcBorders>
          </w:tcPr>
          <w:p>
            <w:pPr>
              <w:spacing w:after="0" w:line="88" w:lineRule="exact"/>
              <w:rPr>
                <w:sz w:val="20"/>
                <w:szCs w:val="20"/>
                <w:color w:val="auto"/>
              </w:rPr>
            </w:pPr>
            <w:r>
              <w:rPr>
                <w:rFonts w:ascii="Arial" w:cs="Arial" w:eastAsia="Arial" w:hAnsi="Arial"/>
                <w:sz w:val="9"/>
                <w:szCs w:val="9"/>
                <w:b w:val="1"/>
                <w:bCs w:val="1"/>
                <w:color w:val="auto"/>
              </w:rPr>
              <w:t>Total Deposits</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161,842,066</w:t>
            </w:r>
          </w:p>
        </w:tc>
        <w:tc>
          <w:tcPr>
            <w:tcW w:w="82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163,607,971</w:t>
            </w:r>
          </w:p>
        </w:tc>
        <w:tc>
          <w:tcPr>
            <w:tcW w:w="840" w:type="dxa"/>
            <w:vAlign w:val="bottom"/>
            <w:tcBorders>
              <w:bottom w:val="single" w:sz="8" w:color="auto"/>
              <w:right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9"/>
              </w:rPr>
              <w:t>172,605,609</w:t>
            </w:r>
          </w:p>
        </w:tc>
        <w:tc>
          <w:tcPr>
            <w:tcW w:w="600" w:type="dxa"/>
            <w:vAlign w:val="bottom"/>
            <w:tcBorders>
              <w:bottom w:val="single" w:sz="8" w:color="auto"/>
            </w:tcBorders>
          </w:tcPr>
          <w:p>
            <w:pPr>
              <w:jc w:val="center"/>
              <w:ind w:left="115"/>
              <w:spacing w:after="0" w:line="88" w:lineRule="exact"/>
              <w:rPr>
                <w:sz w:val="20"/>
                <w:szCs w:val="20"/>
                <w:color w:val="auto"/>
              </w:rPr>
            </w:pPr>
            <w:r>
              <w:rPr>
                <w:rFonts w:ascii="Arial" w:cs="Arial" w:eastAsia="Arial" w:hAnsi="Arial"/>
                <w:sz w:val="9"/>
                <w:szCs w:val="9"/>
                <w:b w:val="1"/>
                <w:bCs w:val="1"/>
                <w:color w:val="auto"/>
                <w:w w:val="99"/>
              </w:rPr>
              <w:t>8,997,638</w:t>
            </w:r>
          </w:p>
        </w:tc>
        <w:tc>
          <w:tcPr>
            <w:tcW w:w="1000" w:type="dxa"/>
            <w:vAlign w:val="bottom"/>
            <w:tcBorders>
              <w:bottom w:val="single" w:sz="8" w:color="auto"/>
              <w:right w:val="single" w:sz="8" w:color="auto"/>
            </w:tcBorders>
          </w:tcPr>
          <w:p>
            <w:pPr>
              <w:jc w:val="center"/>
              <w:ind w:left="95"/>
              <w:spacing w:after="0" w:line="88" w:lineRule="exact"/>
              <w:rPr>
                <w:sz w:val="20"/>
                <w:szCs w:val="20"/>
                <w:color w:val="auto"/>
              </w:rPr>
            </w:pPr>
            <w:r>
              <w:rPr>
                <w:rFonts w:ascii="Arial" w:cs="Arial" w:eastAsia="Arial" w:hAnsi="Arial"/>
                <w:sz w:val="9"/>
                <w:szCs w:val="9"/>
                <w:b w:val="1"/>
                <w:bCs w:val="1"/>
                <w:color w:val="auto"/>
              </w:rPr>
              <w:t>10,763,543</w:t>
            </w:r>
          </w:p>
        </w:tc>
        <w:tc>
          <w:tcPr>
            <w:tcW w:w="980" w:type="dxa"/>
            <w:vAlign w:val="bottom"/>
            <w:tcBorders>
              <w:bottom w:val="single" w:sz="8" w:color="auto"/>
            </w:tcBorders>
          </w:tcPr>
          <w:p>
            <w:pPr>
              <w:jc w:val="center"/>
              <w:ind w:right="175"/>
              <w:spacing w:after="0" w:line="88" w:lineRule="exact"/>
              <w:rPr>
                <w:sz w:val="20"/>
                <w:szCs w:val="20"/>
                <w:color w:val="auto"/>
              </w:rPr>
            </w:pPr>
            <w:r>
              <w:rPr>
                <w:rFonts w:ascii="Arial" w:cs="Arial" w:eastAsia="Arial" w:hAnsi="Arial"/>
                <w:sz w:val="9"/>
                <w:szCs w:val="9"/>
                <w:b w:val="1"/>
                <w:bCs w:val="1"/>
                <w:color w:val="auto"/>
                <w:w w:val="97"/>
              </w:rPr>
              <w:t>5.5%</w:t>
            </w:r>
          </w:p>
        </w:tc>
        <w:tc>
          <w:tcPr>
            <w:tcW w:w="600" w:type="dxa"/>
            <w:vAlign w:val="bottom"/>
            <w:tcBorders>
              <w:bottom w:val="single" w:sz="8" w:color="auto"/>
              <w:right w:val="single" w:sz="8" w:color="auto"/>
            </w:tcBorders>
          </w:tcPr>
          <w:p>
            <w:pPr>
              <w:jc w:val="center"/>
              <w:ind w:right="195"/>
              <w:spacing w:after="0" w:line="88" w:lineRule="exact"/>
              <w:rPr>
                <w:sz w:val="20"/>
                <w:szCs w:val="20"/>
                <w:color w:val="auto"/>
              </w:rPr>
            </w:pPr>
            <w:r>
              <w:rPr>
                <w:rFonts w:ascii="Arial" w:cs="Arial" w:eastAsia="Arial" w:hAnsi="Arial"/>
                <w:sz w:val="9"/>
                <w:szCs w:val="9"/>
                <w:b w:val="1"/>
                <w:bCs w:val="1"/>
                <w:color w:val="auto"/>
                <w:w w:val="97"/>
              </w:rPr>
              <w:t>6.7%</w:t>
            </w:r>
          </w:p>
        </w:tc>
        <w:tc>
          <w:tcPr>
            <w:tcW w:w="740" w:type="dxa"/>
            <w:vAlign w:val="bottom"/>
            <w:tcBorders>
              <w:bottom w:val="single" w:sz="8" w:color="auto"/>
            </w:tcBorders>
          </w:tcPr>
          <w:p>
            <w:pPr>
              <w:jc w:val="center"/>
              <w:ind w:left="95"/>
              <w:spacing w:after="0" w:line="88" w:lineRule="exact"/>
              <w:rPr>
                <w:sz w:val="20"/>
                <w:szCs w:val="20"/>
                <w:color w:val="auto"/>
              </w:rPr>
            </w:pPr>
            <w:r>
              <w:rPr>
                <w:rFonts w:ascii="Arial" w:cs="Arial" w:eastAsia="Arial" w:hAnsi="Arial"/>
                <w:sz w:val="9"/>
                <w:szCs w:val="9"/>
                <w:b w:val="1"/>
                <w:bCs w:val="1"/>
                <w:color w:val="auto"/>
                <w:w w:val="97"/>
              </w:rPr>
              <w:t>11,376,175</w:t>
            </w:r>
          </w:p>
        </w:tc>
        <w:tc>
          <w:tcPr>
            <w:tcW w:w="1280" w:type="dxa"/>
            <w:vAlign w:val="bottom"/>
            <w:tcBorders>
              <w:bottom w:val="single" w:sz="8" w:color="auto"/>
              <w:right w:val="single" w:sz="8" w:color="auto"/>
            </w:tcBorders>
          </w:tcPr>
          <w:p>
            <w:pPr>
              <w:jc w:val="center"/>
              <w:ind w:left="75"/>
              <w:spacing w:after="0" w:line="88" w:lineRule="exact"/>
              <w:rPr>
                <w:sz w:val="20"/>
                <w:szCs w:val="20"/>
                <w:color w:val="auto"/>
              </w:rPr>
            </w:pPr>
            <w:r>
              <w:rPr>
                <w:rFonts w:ascii="Arial" w:cs="Arial" w:eastAsia="Arial" w:hAnsi="Arial"/>
                <w:sz w:val="9"/>
                <w:szCs w:val="9"/>
                <w:b w:val="1"/>
                <w:bCs w:val="1"/>
                <w:color w:val="auto"/>
                <w:w w:val="97"/>
              </w:rPr>
              <w:t>19,677,501</w:t>
            </w:r>
          </w:p>
        </w:tc>
        <w:tc>
          <w:tcPr>
            <w:tcW w:w="560" w:type="dxa"/>
            <w:vAlign w:val="bottom"/>
            <w:tcBorders>
              <w:bottom w:val="single" w:sz="8" w:color="auto"/>
            </w:tcBorders>
          </w:tcPr>
          <w:p>
            <w:pPr>
              <w:jc w:val="center"/>
              <w:ind w:left="155"/>
              <w:spacing w:after="0" w:line="88" w:lineRule="exact"/>
              <w:rPr>
                <w:sz w:val="20"/>
                <w:szCs w:val="20"/>
                <w:color w:val="auto"/>
              </w:rPr>
            </w:pPr>
            <w:r>
              <w:rPr>
                <w:rFonts w:ascii="Arial" w:cs="Arial" w:eastAsia="Arial" w:hAnsi="Arial"/>
                <w:sz w:val="9"/>
                <w:szCs w:val="9"/>
                <w:b w:val="1"/>
                <w:bCs w:val="1"/>
                <w:color w:val="auto"/>
                <w:w w:val="97"/>
              </w:rPr>
              <w:t>7.0%</w:t>
            </w:r>
          </w:p>
        </w:tc>
        <w:tc>
          <w:tcPr>
            <w:tcW w:w="900" w:type="dxa"/>
            <w:vAlign w:val="bottom"/>
            <w:tcBorders>
              <w:bottom w:val="single" w:sz="8" w:color="auto"/>
              <w:right w:val="single" w:sz="8" w:color="auto"/>
            </w:tcBorders>
          </w:tcPr>
          <w:p>
            <w:pPr>
              <w:jc w:val="center"/>
              <w:ind w:left="135"/>
              <w:spacing w:after="0" w:line="88" w:lineRule="exact"/>
              <w:rPr>
                <w:sz w:val="20"/>
                <w:szCs w:val="20"/>
                <w:color w:val="auto"/>
              </w:rPr>
            </w:pPr>
            <w:r>
              <w:rPr>
                <w:rFonts w:ascii="Arial" w:cs="Arial" w:eastAsia="Arial" w:hAnsi="Arial"/>
                <w:sz w:val="9"/>
                <w:szCs w:val="9"/>
                <w:b w:val="1"/>
                <w:bCs w:val="1"/>
                <w:color w:val="auto"/>
                <w:w w:val="93"/>
              </w:rPr>
              <w:t>12.2%</w:t>
            </w:r>
          </w:p>
        </w:tc>
      </w:tr>
    </w:tbl>
    <w:p>
      <w:pPr>
        <w:spacing w:after="0" w:line="150" w:lineRule="exact"/>
        <w:rPr>
          <w:sz w:val="20"/>
          <w:szCs w:val="20"/>
          <w:color w:val="auto"/>
        </w:rPr>
      </w:pPr>
    </w:p>
    <w:p>
      <w:pPr>
        <w:ind w:left="327"/>
        <w:spacing w:after="0"/>
        <w:rPr>
          <w:sz w:val="20"/>
          <w:szCs w:val="20"/>
          <w:color w:val="auto"/>
        </w:rPr>
      </w:pPr>
      <w:r>
        <w:rPr>
          <w:rFonts w:ascii="Arial" w:cs="Arial" w:eastAsia="Arial" w:hAnsi="Arial"/>
          <w:sz w:val="12"/>
          <w:szCs w:val="12"/>
          <w:color w:val="auto"/>
        </w:rPr>
        <w:t>(1) Includes Demand Deposits and Saving Deposits</w:t>
      </w:r>
    </w:p>
    <w:p>
      <w:pPr>
        <w:spacing w:after="0" w:line="173" w:lineRule="exact"/>
        <w:rPr>
          <w:sz w:val="20"/>
          <w:szCs w:val="20"/>
          <w:color w:val="auto"/>
        </w:rPr>
      </w:pPr>
    </w:p>
    <w:p>
      <w:pPr>
        <w:jc w:val="both"/>
        <w:ind w:left="7"/>
        <w:spacing w:after="0" w:line="211" w:lineRule="auto"/>
        <w:rPr>
          <w:sz w:val="20"/>
          <w:szCs w:val="20"/>
          <w:color w:val="auto"/>
        </w:rPr>
      </w:pPr>
      <w:r>
        <w:rPr>
          <w:rFonts w:ascii="Arial" w:cs="Arial" w:eastAsia="Arial" w:hAnsi="Arial"/>
          <w:sz w:val="18"/>
          <w:szCs w:val="18"/>
          <w:color w:val="auto"/>
        </w:rPr>
        <w:t xml:space="preserve">This quarter, Total Deposits rose 7.6% and 5.3%,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w:t>
      </w:r>
      <w:r>
        <w:rPr>
          <w:rFonts w:ascii="Arial" w:cs="Arial" w:eastAsia="Arial" w:hAnsi="Arial"/>
          <w:sz w:val="18"/>
          <w:szCs w:val="18"/>
          <w:b w:val="1"/>
          <w:bCs w:val="1"/>
          <w:color w:val="auto"/>
        </w:rPr>
        <w:t>YoY</w:t>
      </w:r>
      <w:r>
        <w:rPr>
          <w:rFonts w:ascii="Arial" w:cs="Arial" w:eastAsia="Arial" w:hAnsi="Arial"/>
          <w:sz w:val="18"/>
          <w:szCs w:val="18"/>
          <w:color w:val="auto"/>
        </w:rPr>
        <w:t xml:space="preserve">, respectively. Both evolutions were impacted by asset revaluation at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Bolivia</w:t>
      </w:r>
      <w:r>
        <w:rPr>
          <w:rFonts w:ascii="Arial" w:cs="Arial" w:eastAsia="Arial" w:hAnsi="Arial"/>
          <w:sz w:val="29"/>
          <w:szCs w:val="29"/>
          <w:color w:val="auto"/>
          <w:vertAlign w:val="superscript"/>
        </w:rPr>
        <w:t>1</w:t>
      </w:r>
      <w:r>
        <w:rPr>
          <w:rFonts w:ascii="Arial" w:cs="Arial" w:eastAsia="Arial" w:hAnsi="Arial"/>
          <w:sz w:val="18"/>
          <w:szCs w:val="18"/>
          <w:color w:val="auto"/>
        </w:rPr>
        <w:t>. If we exclude this impact, Deposits rose 5.5%</w:t>
      </w:r>
      <w:r>
        <w:rPr>
          <w:rFonts w:ascii="Arial" w:cs="Arial" w:eastAsia="Arial" w:hAnsi="Arial"/>
          <w:sz w:val="18"/>
          <w:szCs w:val="18"/>
          <w:b w:val="1"/>
          <w:bCs w:val="1"/>
          <w:color w:val="auto"/>
        </w:rPr>
        <w:t xml:space="preserve"> QoQ </w:t>
      </w:r>
      <w:r>
        <w:rPr>
          <w:rFonts w:ascii="Arial" w:cs="Arial" w:eastAsia="Arial" w:hAnsi="Arial"/>
          <w:sz w:val="18"/>
          <w:szCs w:val="18"/>
          <w:color w:val="auto"/>
        </w:rPr>
        <w:t>and 6.7%</w:t>
      </w:r>
      <w:r>
        <w:rPr>
          <w:rFonts w:ascii="Arial" w:cs="Arial" w:eastAsia="Arial" w:hAnsi="Arial"/>
          <w:sz w:val="18"/>
          <w:szCs w:val="18"/>
          <w:b w:val="1"/>
          <w:bCs w:val="1"/>
          <w:color w:val="auto"/>
        </w:rPr>
        <w:t xml:space="preserve"> YoY. </w:t>
      </w:r>
      <w:r>
        <w:rPr>
          <w:rFonts w:ascii="Arial" w:cs="Arial" w:eastAsia="Arial" w:hAnsi="Arial"/>
          <w:sz w:val="18"/>
          <w:szCs w:val="18"/>
          <w:color w:val="auto"/>
        </w:rPr>
        <w:t>If we look at trends with a neutral USDPEN Exchange 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 balance rose 7.0%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12.2% </w:t>
      </w:r>
      <w:r>
        <w:rPr>
          <w:rFonts w:ascii="Arial" w:cs="Arial" w:eastAsia="Arial" w:hAnsi="Arial"/>
          <w:sz w:val="18"/>
          <w:szCs w:val="18"/>
          <w:b w:val="1"/>
          <w:bCs w:val="1"/>
          <w:color w:val="auto"/>
        </w:rPr>
        <w:t>YoY</w:t>
      </w:r>
      <w:r>
        <w:rPr>
          <w:rFonts w:ascii="Arial" w:cs="Arial" w:eastAsia="Arial" w:hAnsi="Arial"/>
          <w:sz w:val="18"/>
          <w:szCs w:val="18"/>
          <w:color w:val="auto"/>
        </w:rPr>
        <w:t>, driven by the following dynamics:</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our balance for</w:t>
      </w:r>
      <w:r>
        <w:rPr>
          <w:rFonts w:ascii="Arial" w:cs="Arial" w:eastAsia="Arial" w:hAnsi="Arial"/>
          <w:sz w:val="18"/>
          <w:szCs w:val="18"/>
          <w:b w:val="1"/>
          <w:bCs w:val="1"/>
          <w:color w:val="auto"/>
        </w:rPr>
        <w:t xml:space="preserve"> Total Deposits </w:t>
      </w:r>
      <w:r>
        <w:rPr>
          <w:rFonts w:ascii="Arial" w:cs="Arial" w:eastAsia="Arial" w:hAnsi="Arial"/>
          <w:sz w:val="18"/>
          <w:szCs w:val="18"/>
          <w:color w:val="auto"/>
        </w:rPr>
        <w:t>increased 7.0%, fueled mainly by:</w:t>
      </w:r>
    </w:p>
    <w:p>
      <w:pPr>
        <w:spacing w:after="0" w:line="20" w:lineRule="exact"/>
        <w:rPr>
          <w:sz w:val="20"/>
          <w:szCs w:val="20"/>
          <w:color w:val="auto"/>
        </w:rPr>
      </w:pPr>
    </w:p>
    <w:p>
      <w:pPr>
        <w:jc w:val="both"/>
        <w:ind w:left="807" w:hanging="326"/>
        <w:spacing w:after="0"/>
        <w:tabs>
          <w:tab w:leader="none" w:pos="8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12.1% increase in the balance for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and 11.6% for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The increase in both balances was primarily attributable to growth in LC volumes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in Individuals, which rose on the back of the eighth pension fund withdrawal. The balance for </w:t>
      </w:r>
      <w:r>
        <w:rPr>
          <w:rFonts w:ascii="Arial" w:cs="Arial" w:eastAsia="Arial" w:hAnsi="Arial"/>
          <w:sz w:val="18"/>
          <w:szCs w:val="18"/>
          <w:b w:val="1"/>
          <w:bCs w:val="1"/>
          <w:color w:val="auto"/>
        </w:rPr>
        <w:t>Savings Deposits</w:t>
      </w:r>
      <w:r>
        <w:rPr>
          <w:rFonts w:ascii="Arial" w:cs="Arial" w:eastAsia="Arial" w:hAnsi="Arial"/>
          <w:sz w:val="18"/>
          <w:szCs w:val="18"/>
          <w:color w:val="auto"/>
        </w:rPr>
        <w:t>, in turn, was pressured upward, by a lesser extent, by inflows from statutory bonuses in December.</w:t>
      </w:r>
    </w:p>
    <w:p>
      <w:pPr>
        <w:spacing w:after="0" w:line="161" w:lineRule="exact"/>
        <w:rPr>
          <w:sz w:val="20"/>
          <w:szCs w:val="20"/>
          <w:color w:val="auto"/>
        </w:rPr>
      </w:pPr>
    </w:p>
    <w:p>
      <w:pPr>
        <w:ind w:left="807" w:hanging="326"/>
        <w:spacing w:after="0" w:line="278"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5.3% reduction in the balance of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This evolution was driven by a decrease in LC volumes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which was fueled mainly by maturities of wholesale deposits.</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our balance for</w:t>
      </w:r>
      <w:r>
        <w:rPr>
          <w:rFonts w:ascii="Arial" w:cs="Arial" w:eastAsia="Arial" w:hAnsi="Arial"/>
          <w:sz w:val="18"/>
          <w:szCs w:val="18"/>
          <w:b w:val="1"/>
          <w:bCs w:val="1"/>
          <w:color w:val="auto"/>
        </w:rPr>
        <w:t xml:space="preserve"> Total Deposits </w:t>
      </w:r>
      <w:r>
        <w:rPr>
          <w:rFonts w:ascii="Arial" w:cs="Arial" w:eastAsia="Arial" w:hAnsi="Arial"/>
          <w:sz w:val="18"/>
          <w:szCs w:val="18"/>
          <w:color w:val="auto"/>
        </w:rPr>
        <w:t>increased 12.2%, driven primarily by:</w:t>
      </w:r>
    </w:p>
    <w:p>
      <w:pPr>
        <w:spacing w:after="0" w:line="185" w:lineRule="exact"/>
        <w:rPr>
          <w:sz w:val="20"/>
          <w:szCs w:val="20"/>
          <w:color w:val="auto"/>
        </w:rPr>
      </w:pPr>
    </w:p>
    <w:p>
      <w:pPr>
        <w:jc w:val="both"/>
        <w:ind w:left="7"/>
        <w:spacing w:after="0" w:line="245" w:lineRule="auto"/>
        <w:rPr>
          <w:sz w:val="20"/>
          <w:szCs w:val="20"/>
          <w:color w:val="auto"/>
        </w:rPr>
      </w:pPr>
      <w:r>
        <w:rPr>
          <w:rFonts w:ascii="Arial" w:cs="Arial" w:eastAsia="Arial" w:hAnsi="Arial"/>
          <w:sz w:val="18"/>
          <w:szCs w:val="18"/>
          <w:color w:val="auto"/>
        </w:rPr>
        <w:t xml:space="preserve">An increase of 16.4% and 19.3% in the balance of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and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respectively. Growth in both balances was driven by the same dynamics seen QoQ and by an increase in the FC volume at </w:t>
      </w:r>
      <w:r>
        <w:rPr>
          <w:rFonts w:ascii="Arial" w:cs="Arial" w:eastAsia="Arial" w:hAnsi="Arial"/>
          <w:sz w:val="18"/>
          <w:szCs w:val="18"/>
          <w:b w:val="1"/>
          <w:bCs w:val="1"/>
          <w:color w:val="auto"/>
        </w:rPr>
        <w:t>BCP Individual</w:t>
      </w:r>
      <w:r>
        <w:rPr>
          <w:rFonts w:ascii="Arial" w:cs="Arial" w:eastAsia="Arial" w:hAnsi="Arial"/>
          <w:sz w:val="18"/>
          <w:szCs w:val="18"/>
          <w:color w:val="auto"/>
        </w:rPr>
        <w:t>. This volume rose on the back of a 10.5% YoY appreciation in the exchange rate in 2025, which led both wholesale and retail clients to increase their balances in US Dollars. Growth in both balance types reflects our ongoing efforts to offer a differentiated transactional proposition to facilitate deposit capture in a context of high liquidity across the system.</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aforementioned was slightly offset by:</w:t>
      </w:r>
    </w:p>
    <w:p>
      <w:pPr>
        <w:spacing w:after="0" w:line="183" w:lineRule="exact"/>
        <w:rPr>
          <w:sz w:val="20"/>
          <w:szCs w:val="20"/>
          <w:color w:val="auto"/>
        </w:rPr>
      </w:pPr>
    </w:p>
    <w:p>
      <w:pPr>
        <w:jc w:val="both"/>
        <w:ind w:left="7"/>
        <w:spacing w:after="0" w:line="249" w:lineRule="auto"/>
        <w:rPr>
          <w:sz w:val="20"/>
          <w:szCs w:val="20"/>
          <w:color w:val="auto"/>
        </w:rPr>
      </w:pPr>
      <w:r>
        <w:rPr>
          <w:rFonts w:ascii="Arial" w:cs="Arial" w:eastAsia="Arial" w:hAnsi="Arial"/>
          <w:sz w:val="18"/>
          <w:szCs w:val="18"/>
          <w:color w:val="auto"/>
        </w:rPr>
        <w:t xml:space="preserve">A 1.6% decrease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This evolution was mainly attributable to a drop in FC balances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which were impacted by a reduction in interest rates following reference rate cuts. This decline was partially offset by growth in LC balances at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Stand-alone</w:t>
      </w:r>
      <w:r>
        <w:rPr>
          <w:rFonts w:ascii="Arial" w:cs="Arial" w:eastAsia="Arial" w:hAnsi="Arial"/>
          <w:sz w:val="18"/>
          <w:szCs w:val="18"/>
          <w:color w:val="auto"/>
        </w:rPr>
        <w:t>, which was supported by high deposit captures last quarter under our ongoing strategy to strengthen funding by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share of the funding mix.</w:t>
      </w:r>
    </w:p>
    <w:p>
      <w:pPr>
        <w:spacing w:after="0" w:line="83" w:lineRule="exact"/>
        <w:rPr>
          <w:sz w:val="20"/>
          <w:szCs w:val="20"/>
          <w:color w:val="auto"/>
        </w:rPr>
      </w:pPr>
    </w:p>
    <w:p>
      <w:pPr>
        <w:ind w:left="107" w:hanging="107"/>
        <w:spacing w:after="0"/>
        <w:tabs>
          <w:tab w:leader="none" w:pos="107"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Como en trimestres recientes, esta evolución está impactada por un ajuste contable no monetario por la revalorización de activos relacionado al balance de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2152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20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716280</wp:posOffset>
            </wp:positionV>
            <wp:extent cx="71577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107950</wp:posOffset>
            </wp:positionV>
            <wp:extent cx="6780530" cy="4972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80530" cy="49720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5772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-359410</wp:posOffset>
            </wp:positionV>
            <wp:extent cx="95123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b w:val="1"/>
          <w:bCs w:val="1"/>
          <w:color w:val="FFFFFF"/>
        </w:rPr>
        <w:t>02. Deposits</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Finally, thanks to investment in digital infrastructure and improved client relations, we increased our </w:t>
      </w:r>
      <w:r>
        <w:rPr>
          <w:rFonts w:ascii="Arial" w:cs="Arial" w:eastAsia="Arial" w:hAnsi="Arial"/>
          <w:sz w:val="18"/>
          <w:szCs w:val="18"/>
          <w:b w:val="1"/>
          <w:bCs w:val="1"/>
          <w:color w:val="auto"/>
        </w:rPr>
        <w:t>Low-cost Deposit Balance</w:t>
      </w:r>
      <w:r>
        <w:rPr>
          <w:rFonts w:ascii="Arial" w:cs="Arial" w:eastAsia="Arial" w:hAnsi="Arial"/>
          <w:sz w:val="18"/>
          <w:szCs w:val="18"/>
          <w:color w:val="auto"/>
        </w:rPr>
        <w:t xml:space="preserve"> by 357 bps YoY. At the end of December, Low-Cost deposits represented 73.0% of our total deposits. In this scenario, our share of the market for low-cost deposits stood at 40.7% at year-end.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0"/>
                <w:szCs w:val="20"/>
                <w:color w:val="auto"/>
              </w:rPr>
            </w:pPr>
            <w:r>
              <w:rPr>
                <w:rFonts w:ascii="Arial" w:cs="Arial" w:eastAsia="Arial" w:hAnsi="Arial"/>
                <w:sz w:val="18"/>
                <w:szCs w:val="18"/>
                <w:b w:val="1"/>
                <w:bCs w:val="1"/>
                <w:color w:val="auto"/>
              </w:rPr>
              <w:t>Level of Dollarization of Deposits</w:t>
            </w:r>
          </w:p>
        </w:tc>
        <w:tc>
          <w:tcPr>
            <w:tcW w:w="7120" w:type="dxa"/>
            <w:vAlign w:val="bottom"/>
          </w:tcPr>
          <w:p>
            <w:pPr>
              <w:spacing w:after="0"/>
              <w:rPr>
                <w:sz w:val="21"/>
                <w:szCs w:val="21"/>
                <w:color w:val="auto"/>
              </w:rPr>
            </w:pPr>
          </w:p>
        </w:tc>
      </w:tr>
      <w:tr>
        <w:trPr>
          <w:trHeight w:val="355"/>
        </w:trPr>
        <w:tc>
          <w:tcPr>
            <w:tcW w:w="4140" w:type="dxa"/>
            <w:vAlign w:val="bottom"/>
          </w:tcPr>
          <w:p>
            <w:pPr>
              <w:jc w:val="center"/>
              <w:ind w:left="1156"/>
              <w:spacing w:after="0"/>
              <w:rPr>
                <w:sz w:val="20"/>
                <w:szCs w:val="20"/>
                <w:color w:val="auto"/>
              </w:rPr>
            </w:pPr>
            <w:r>
              <w:rPr>
                <w:rFonts w:ascii="Arial" w:cs="Arial" w:eastAsia="Arial" w:hAnsi="Arial"/>
                <w:sz w:val="18"/>
                <w:szCs w:val="18"/>
                <w:b w:val="1"/>
                <w:bCs w:val="1"/>
                <w:color w:val="auto"/>
                <w:w w:val="99"/>
              </w:rPr>
              <w:t>Deposits by Currency</w:t>
            </w:r>
          </w:p>
        </w:tc>
        <w:tc>
          <w:tcPr>
            <w:tcW w:w="7120" w:type="dxa"/>
            <w:vAlign w:val="bottom"/>
          </w:tcPr>
          <w:p>
            <w:pPr>
              <w:ind w:left="1720"/>
              <w:spacing w:after="0"/>
              <w:rPr>
                <w:sz w:val="20"/>
                <w:szCs w:val="20"/>
                <w:color w:val="auto"/>
              </w:rPr>
            </w:pPr>
            <w:r>
              <w:rPr>
                <w:rFonts w:ascii="Arial" w:cs="Arial" w:eastAsia="Arial" w:hAnsi="Arial"/>
                <w:sz w:val="18"/>
                <w:szCs w:val="18"/>
                <w:color w:val="auto"/>
              </w:rPr>
              <w:t xml:space="preserve">At the end of December 2025, the dollarization level of </w:t>
            </w:r>
            <w:r>
              <w:rPr>
                <w:rFonts w:ascii="Arial" w:cs="Arial" w:eastAsia="Arial" w:hAnsi="Arial"/>
                <w:sz w:val="18"/>
                <w:szCs w:val="18"/>
                <w:b w:val="1"/>
                <w:bCs w:val="1"/>
                <w:color w:val="auto"/>
              </w:rPr>
              <w:t>Total</w:t>
            </w:r>
          </w:p>
        </w:tc>
      </w:tr>
      <w:tr>
        <w:trPr>
          <w:trHeight w:val="205"/>
        </w:trPr>
        <w:tc>
          <w:tcPr>
            <w:tcW w:w="4140" w:type="dxa"/>
            <w:vAlign w:val="bottom"/>
          </w:tcPr>
          <w:p>
            <w:pPr>
              <w:jc w:val="center"/>
              <w:ind w:left="1176"/>
              <w:spacing w:after="0"/>
              <w:rPr>
                <w:sz w:val="20"/>
                <w:szCs w:val="20"/>
                <w:color w:val="auto"/>
              </w:rPr>
            </w:pPr>
            <w:r>
              <w:rPr>
                <w:rFonts w:ascii="Arial" w:cs="Arial" w:eastAsia="Arial" w:hAnsi="Arial"/>
                <w:sz w:val="14"/>
                <w:szCs w:val="14"/>
                <w:color w:val="auto"/>
              </w:rPr>
              <w:t>(measured at quarter-end balances)</w:t>
            </w:r>
          </w:p>
        </w:tc>
        <w:tc>
          <w:tcPr>
            <w:tcW w:w="7120" w:type="dxa"/>
            <w:vAlign w:val="bottom"/>
          </w:tcPr>
          <w:p>
            <w:pPr>
              <w:ind w:left="1720"/>
              <w:spacing w:after="0" w:line="205" w:lineRule="exact"/>
              <w:rPr>
                <w:sz w:val="20"/>
                <w:szCs w:val="20"/>
                <w:color w:val="auto"/>
              </w:rPr>
            </w:pPr>
            <w:r>
              <w:rPr>
                <w:rFonts w:ascii="Arial" w:cs="Arial" w:eastAsia="Arial" w:hAnsi="Arial"/>
                <w:sz w:val="18"/>
                <w:szCs w:val="18"/>
                <w:b w:val="1"/>
                <w:bCs w:val="1"/>
                <w:color w:val="auto"/>
              </w:rPr>
              <w:t xml:space="preserve">Deposits </w:t>
            </w:r>
            <w:r>
              <w:rPr>
                <w:rFonts w:ascii="Arial" w:cs="Arial" w:eastAsia="Arial" w:hAnsi="Arial"/>
                <w:sz w:val="18"/>
                <w:szCs w:val="18"/>
                <w:color w:val="auto"/>
              </w:rPr>
              <w:t>dropped 206 bps</w:t>
            </w:r>
            <w:r>
              <w:rPr>
                <w:rFonts w:ascii="Arial" w:cs="Arial" w:eastAsia="Arial" w:hAnsi="Arial"/>
                <w:sz w:val="18"/>
                <w:szCs w:val="18"/>
                <w:b w:val="1"/>
                <w:bCs w:val="1"/>
                <w:color w:val="auto"/>
              </w:rPr>
              <w:t xml:space="preserve"> QoQ </w:t>
            </w:r>
            <w:r>
              <w:rPr>
                <w:rFonts w:ascii="Arial" w:cs="Arial" w:eastAsia="Arial" w:hAnsi="Arial"/>
                <w:sz w:val="18"/>
                <w:szCs w:val="18"/>
                <w:color w:val="auto"/>
              </w:rPr>
              <w:t>to stand at 42.6%; this level</w:t>
            </w:r>
          </w:p>
        </w:tc>
      </w:tr>
      <w:tr>
        <w:trPr>
          <w:trHeight w:val="200"/>
        </w:trPr>
        <w:tc>
          <w:tcPr>
            <w:tcW w:w="4140" w:type="dxa"/>
            <w:vAlign w:val="bottom"/>
          </w:tcPr>
          <w:p>
            <w:pPr>
              <w:spacing w:after="0"/>
              <w:rPr>
                <w:sz w:val="17"/>
                <w:szCs w:val="17"/>
                <w:color w:val="auto"/>
              </w:rPr>
            </w:pPr>
          </w:p>
        </w:tc>
        <w:tc>
          <w:tcPr>
            <w:tcW w:w="7120" w:type="dxa"/>
            <w:vAlign w:val="bottom"/>
          </w:tcPr>
          <w:p>
            <w:pPr>
              <w:ind w:left="1720"/>
              <w:spacing w:after="0" w:line="201" w:lineRule="exact"/>
              <w:rPr>
                <w:sz w:val="20"/>
                <w:szCs w:val="20"/>
                <w:color w:val="auto"/>
              </w:rPr>
            </w:pPr>
            <w:r>
              <w:rPr>
                <w:rFonts w:ascii="Arial" w:cs="Arial" w:eastAsia="Arial" w:hAnsi="Arial"/>
                <w:sz w:val="18"/>
                <w:szCs w:val="18"/>
                <w:color w:val="auto"/>
              </w:rPr>
              <w:t>remains below the average of the past 4 years (48.1%). This result</w:t>
            </w:r>
          </w:p>
        </w:tc>
      </w:tr>
      <w:tr>
        <w:trPr>
          <w:trHeight w:val="203"/>
        </w:trPr>
        <w:tc>
          <w:tcPr>
            <w:tcW w:w="4140" w:type="dxa"/>
            <w:vAlign w:val="bottom"/>
          </w:tcPr>
          <w:p>
            <w:pPr>
              <w:spacing w:after="0"/>
              <w:rPr>
                <w:sz w:val="17"/>
                <w:szCs w:val="17"/>
                <w:color w:val="auto"/>
              </w:rPr>
            </w:pPr>
          </w:p>
        </w:tc>
        <w:tc>
          <w:tcPr>
            <w:tcW w:w="7120" w:type="dxa"/>
            <w:vAlign w:val="bottom"/>
          </w:tcPr>
          <w:p>
            <w:pPr>
              <w:ind w:left="1720"/>
              <w:spacing w:after="0" w:line="202" w:lineRule="exact"/>
              <w:rPr>
                <w:sz w:val="20"/>
                <w:szCs w:val="20"/>
                <w:color w:val="auto"/>
              </w:rPr>
            </w:pPr>
            <w:r>
              <w:rPr>
                <w:rFonts w:ascii="Arial" w:cs="Arial" w:eastAsia="Arial" w:hAnsi="Arial"/>
                <w:sz w:val="18"/>
                <w:szCs w:val="18"/>
                <w:color w:val="auto"/>
              </w:rPr>
              <w:t xml:space="preserve">was primarily attributable to growth in </w:t>
            </w:r>
            <w:r>
              <w:rPr>
                <w:rFonts w:ascii="Arial" w:cs="Arial" w:eastAsia="Arial" w:hAnsi="Arial"/>
                <w:sz w:val="18"/>
                <w:szCs w:val="18"/>
                <w:b w:val="1"/>
                <w:bCs w:val="1"/>
                <w:color w:val="auto"/>
              </w:rPr>
              <w:t>Savings Deposits and</w:t>
            </w:r>
          </w:p>
        </w:tc>
      </w:tr>
      <w:tr>
        <w:trPr>
          <w:trHeight w:val="205"/>
        </w:trPr>
        <w:tc>
          <w:tcPr>
            <w:tcW w:w="4140" w:type="dxa"/>
            <w:vAlign w:val="bottom"/>
          </w:tcPr>
          <w:p>
            <w:pPr>
              <w:spacing w:after="0"/>
              <w:rPr>
                <w:sz w:val="17"/>
                <w:szCs w:val="17"/>
                <w:color w:val="auto"/>
              </w:rPr>
            </w:pPr>
          </w:p>
        </w:tc>
        <w:tc>
          <w:tcPr>
            <w:tcW w:w="7120" w:type="dxa"/>
            <w:vAlign w:val="bottom"/>
          </w:tcPr>
          <w:p>
            <w:pPr>
              <w:ind w:left="1720"/>
              <w:spacing w:after="0" w:line="205" w:lineRule="exact"/>
              <w:rPr>
                <w:sz w:val="20"/>
                <w:szCs w:val="20"/>
                <w:color w:val="auto"/>
              </w:rPr>
            </w:pPr>
            <w:r>
              <w:rPr>
                <w:rFonts w:ascii="Arial" w:cs="Arial" w:eastAsia="Arial" w:hAnsi="Arial"/>
                <w:sz w:val="18"/>
                <w:szCs w:val="18"/>
                <w:b w:val="1"/>
                <w:bCs w:val="1"/>
                <w:color w:val="auto"/>
              </w:rPr>
              <w:t xml:space="preserve">Demand Deposits </w:t>
            </w:r>
            <w:r>
              <w:rPr>
                <w:rFonts w:ascii="Arial" w:cs="Arial" w:eastAsia="Arial" w:hAnsi="Arial"/>
                <w:sz w:val="18"/>
                <w:szCs w:val="18"/>
                <w:color w:val="auto"/>
              </w:rPr>
              <w:t>in LC, which rose mainly through inflows from</w:t>
            </w:r>
          </w:p>
        </w:tc>
      </w:tr>
      <w:tr>
        <w:trPr>
          <w:trHeight w:val="203"/>
        </w:trPr>
        <w:tc>
          <w:tcPr>
            <w:tcW w:w="4140" w:type="dxa"/>
            <w:vAlign w:val="bottom"/>
          </w:tcPr>
          <w:p>
            <w:pPr>
              <w:spacing w:after="0"/>
              <w:rPr>
                <w:sz w:val="17"/>
                <w:szCs w:val="17"/>
                <w:color w:val="auto"/>
              </w:rPr>
            </w:pPr>
          </w:p>
        </w:tc>
        <w:tc>
          <w:tcPr>
            <w:tcW w:w="7120" w:type="dxa"/>
            <w:vAlign w:val="bottom"/>
          </w:tcPr>
          <w:p>
            <w:pPr>
              <w:ind w:left="1720"/>
              <w:spacing w:after="0" w:line="202" w:lineRule="exact"/>
              <w:rPr>
                <w:sz w:val="20"/>
                <w:szCs w:val="20"/>
                <w:color w:val="auto"/>
              </w:rPr>
            </w:pPr>
            <w:r>
              <w:rPr>
                <w:rFonts w:ascii="Arial" w:cs="Arial" w:eastAsia="Arial" w:hAnsi="Arial"/>
                <w:sz w:val="18"/>
                <w:szCs w:val="18"/>
                <w:color w:val="auto"/>
              </w:rPr>
              <w:t>pension fund withdrawals and secondarily, through statutory bonus</w:t>
            </w:r>
          </w:p>
        </w:tc>
      </w:tr>
      <w:tr>
        <w:trPr>
          <w:trHeight w:val="243"/>
        </w:trPr>
        <w:tc>
          <w:tcPr>
            <w:tcW w:w="4140" w:type="dxa"/>
            <w:vAlign w:val="bottom"/>
          </w:tcPr>
          <w:p>
            <w:pPr>
              <w:spacing w:after="0"/>
              <w:rPr>
                <w:sz w:val="21"/>
                <w:szCs w:val="21"/>
                <w:color w:val="auto"/>
              </w:rPr>
            </w:pPr>
          </w:p>
        </w:tc>
        <w:tc>
          <w:tcPr>
            <w:tcW w:w="7120" w:type="dxa"/>
            <w:vAlign w:val="bottom"/>
          </w:tcPr>
          <w:p>
            <w:pPr>
              <w:ind w:left="1720"/>
              <w:spacing w:after="0"/>
              <w:rPr>
                <w:sz w:val="20"/>
                <w:szCs w:val="20"/>
                <w:color w:val="auto"/>
              </w:rPr>
            </w:pPr>
            <w:r>
              <w:rPr>
                <w:rFonts w:ascii="Arial" w:cs="Arial" w:eastAsia="Arial" w:hAnsi="Arial"/>
                <w:sz w:val="18"/>
                <w:szCs w:val="18"/>
                <w:color w:val="auto"/>
              </w:rPr>
              <w:t>payments in December.</w:t>
            </w:r>
          </w:p>
        </w:tc>
      </w:tr>
      <w:tr>
        <w:trPr>
          <w:trHeight w:val="351"/>
        </w:trPr>
        <w:tc>
          <w:tcPr>
            <w:tcW w:w="4140" w:type="dxa"/>
            <w:vAlign w:val="bottom"/>
          </w:tcPr>
          <w:p>
            <w:pPr>
              <w:spacing w:after="0"/>
              <w:rPr>
                <w:sz w:val="24"/>
                <w:szCs w:val="24"/>
                <w:color w:val="auto"/>
              </w:rPr>
            </w:pPr>
          </w:p>
        </w:tc>
        <w:tc>
          <w:tcPr>
            <w:tcW w:w="7120" w:type="dxa"/>
            <w:vAlign w:val="bottom"/>
          </w:tcPr>
          <w:p>
            <w:pPr>
              <w:ind w:left="1720"/>
              <w:spacing w:after="0"/>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dollarization level dropped 423 bps. This evolution was</w:t>
            </w:r>
          </w:p>
        </w:tc>
      </w:tr>
      <w:tr>
        <w:trPr>
          <w:trHeight w:val="203"/>
        </w:trPr>
        <w:tc>
          <w:tcPr>
            <w:tcW w:w="4140" w:type="dxa"/>
            <w:vAlign w:val="bottom"/>
          </w:tcPr>
          <w:p>
            <w:pPr>
              <w:spacing w:after="0"/>
              <w:rPr>
                <w:sz w:val="17"/>
                <w:szCs w:val="17"/>
                <w:color w:val="auto"/>
              </w:rPr>
            </w:pPr>
          </w:p>
        </w:tc>
        <w:tc>
          <w:tcPr>
            <w:tcW w:w="7120" w:type="dxa"/>
            <w:vAlign w:val="bottom"/>
          </w:tcPr>
          <w:p>
            <w:pPr>
              <w:ind w:left="1720"/>
              <w:spacing w:after="0" w:line="202" w:lineRule="exact"/>
              <w:rPr>
                <w:sz w:val="20"/>
                <w:szCs w:val="20"/>
                <w:color w:val="auto"/>
              </w:rPr>
            </w:pPr>
            <w:r>
              <w:rPr>
                <w:rFonts w:ascii="Arial" w:cs="Arial" w:eastAsia="Arial" w:hAnsi="Arial"/>
                <w:sz w:val="18"/>
                <w:szCs w:val="18"/>
                <w:color w:val="auto"/>
              </w:rPr>
              <w:t>fueled mainly by a decline in the USD PEN exchange rate, which</w:t>
            </w:r>
          </w:p>
        </w:tc>
      </w:tr>
      <w:tr>
        <w:trPr>
          <w:trHeight w:val="203"/>
        </w:trPr>
        <w:tc>
          <w:tcPr>
            <w:tcW w:w="4140" w:type="dxa"/>
            <w:vAlign w:val="bottom"/>
          </w:tcPr>
          <w:p>
            <w:pPr>
              <w:spacing w:after="0"/>
              <w:rPr>
                <w:sz w:val="17"/>
                <w:szCs w:val="17"/>
                <w:color w:val="auto"/>
              </w:rPr>
            </w:pPr>
          </w:p>
        </w:tc>
        <w:tc>
          <w:tcPr>
            <w:tcW w:w="7120" w:type="dxa"/>
            <w:vAlign w:val="bottom"/>
          </w:tcPr>
          <w:p>
            <w:pPr>
              <w:ind w:left="1720"/>
              <w:spacing w:after="0" w:line="202" w:lineRule="exact"/>
              <w:rPr>
                <w:sz w:val="20"/>
                <w:szCs w:val="20"/>
                <w:color w:val="auto"/>
              </w:rPr>
            </w:pPr>
            <w:r>
              <w:rPr>
                <w:rFonts w:ascii="Arial" w:cs="Arial" w:eastAsia="Arial" w:hAnsi="Arial"/>
                <w:sz w:val="18"/>
                <w:szCs w:val="18"/>
                <w:color w:val="auto"/>
                <w:w w:val="99"/>
              </w:rPr>
              <w:t>impacted our FC balances, and by the same dynamics for growth in</w:t>
            </w:r>
          </w:p>
        </w:tc>
      </w:tr>
      <w:tr>
        <w:trPr>
          <w:trHeight w:val="243"/>
        </w:trPr>
        <w:tc>
          <w:tcPr>
            <w:tcW w:w="4140" w:type="dxa"/>
            <w:vAlign w:val="bottom"/>
          </w:tcPr>
          <w:p>
            <w:pPr>
              <w:spacing w:after="0"/>
              <w:rPr>
                <w:sz w:val="21"/>
                <w:szCs w:val="21"/>
                <w:color w:val="auto"/>
              </w:rPr>
            </w:pPr>
          </w:p>
        </w:tc>
        <w:tc>
          <w:tcPr>
            <w:tcW w:w="7120" w:type="dxa"/>
            <w:vAlign w:val="bottom"/>
          </w:tcPr>
          <w:p>
            <w:pPr>
              <w:ind w:left="1720"/>
              <w:spacing w:after="0"/>
              <w:rPr>
                <w:sz w:val="20"/>
                <w:szCs w:val="20"/>
                <w:color w:val="auto"/>
              </w:rPr>
            </w:pPr>
            <w:r>
              <w:rPr>
                <w:rFonts w:ascii="Arial" w:cs="Arial" w:eastAsia="Arial" w:hAnsi="Arial"/>
                <w:sz w:val="18"/>
                <w:szCs w:val="18"/>
                <w:color w:val="auto"/>
              </w:rPr>
              <w:t>LC balances seen in the QoQ analysis.</w:t>
            </w:r>
          </w:p>
        </w:tc>
      </w:tr>
      <w:tr>
        <w:trPr>
          <w:trHeight w:val="703"/>
        </w:trPr>
        <w:tc>
          <w:tcPr>
            <w:tcW w:w="4140" w:type="dxa"/>
            <w:vAlign w:val="bottom"/>
          </w:tcPr>
          <w:p>
            <w:pPr>
              <w:spacing w:after="0"/>
              <w:rPr>
                <w:sz w:val="24"/>
                <w:szCs w:val="24"/>
                <w:color w:val="auto"/>
              </w:rPr>
            </w:pPr>
          </w:p>
        </w:tc>
        <w:tc>
          <w:tcPr>
            <w:tcW w:w="7120" w:type="dxa"/>
            <w:vAlign w:val="bottom"/>
          </w:tcPr>
          <w:p>
            <w:pPr>
              <w:ind w:left="280"/>
              <w:spacing w:after="0"/>
              <w:rPr>
                <w:sz w:val="20"/>
                <w:szCs w:val="20"/>
                <w:color w:val="auto"/>
              </w:rPr>
            </w:pPr>
            <w:r>
              <w:rPr>
                <w:rFonts w:ascii="Arial" w:cs="Arial" w:eastAsia="Arial" w:hAnsi="Arial"/>
                <w:sz w:val="16"/>
                <w:szCs w:val="16"/>
                <w:b w:val="1"/>
                <w:bCs w:val="1"/>
                <w:color w:val="auto"/>
              </w:rPr>
              <w:t>Deposits by Currency and Type</w:t>
            </w:r>
          </w:p>
        </w:tc>
      </w:tr>
      <w:tr>
        <w:trPr>
          <w:trHeight w:val="170"/>
        </w:trPr>
        <w:tc>
          <w:tcPr>
            <w:tcW w:w="4140" w:type="dxa"/>
            <w:vAlign w:val="bottom"/>
          </w:tcPr>
          <w:p>
            <w:pPr>
              <w:spacing w:after="0"/>
              <w:rPr>
                <w:sz w:val="14"/>
                <w:szCs w:val="14"/>
                <w:color w:val="auto"/>
              </w:rPr>
            </w:pPr>
          </w:p>
        </w:tc>
        <w:tc>
          <w:tcPr>
            <w:tcW w:w="7120" w:type="dxa"/>
            <w:vAlign w:val="bottom"/>
          </w:tcPr>
          <w:p>
            <w:pPr>
              <w:ind w:left="520"/>
              <w:spacing w:after="0"/>
              <w:rPr>
                <w:sz w:val="20"/>
                <w:szCs w:val="20"/>
                <w:color w:val="auto"/>
              </w:rPr>
            </w:pPr>
            <w:r>
              <w:rPr>
                <w:rFonts w:ascii="Arial" w:cs="Arial" w:eastAsia="Arial" w:hAnsi="Arial"/>
                <w:sz w:val="13"/>
                <w:szCs w:val="13"/>
                <w:color w:val="auto"/>
              </w:rPr>
              <w:t>(measured at quarter-end 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-1867535</wp:posOffset>
            </wp:positionV>
            <wp:extent cx="2219960" cy="15005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19960" cy="1500505"/>
                    </a:xfrm>
                    <a:prstGeom prst="rect">
                      <a:avLst/>
                    </a:prstGeom>
                    <a:noFill/>
                  </pic:spPr>
                </pic:pic>
              </a:graphicData>
            </a:graphic>
          </wp:anchor>
        </w:drawing>
        <w:drawing>
          <wp:anchor simplePos="0" relativeHeight="251657728" behindDoc="1" locked="0" layoutInCell="0" allowOverlap="1">
            <wp:simplePos x="0" y="0"/>
            <wp:positionH relativeFrom="column">
              <wp:posOffset>475615</wp:posOffset>
            </wp:positionH>
            <wp:positionV relativeFrom="paragraph">
              <wp:posOffset>-7620</wp:posOffset>
            </wp:positionV>
            <wp:extent cx="6206490" cy="1465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0649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 Deposit Ratio (Ratio C/D)</w:t>
      </w:r>
    </w:p>
    <w:p>
      <w:pPr>
        <w:spacing w:after="0" w:line="198" w:lineRule="exact"/>
        <w:rPr>
          <w:sz w:val="20"/>
          <w:szCs w:val="20"/>
          <w:color w:val="auto"/>
        </w:rPr>
      </w:pPr>
    </w:p>
    <w:p>
      <w:pPr>
        <w:jc w:val="both"/>
        <w:ind w:left="5860"/>
        <w:spacing w:after="0" w:line="242" w:lineRule="auto"/>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the L/D dropped 464 bps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This evolution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was driven by an uptick in the balance of </w:t>
      </w:r>
      <w:r>
        <w:rPr>
          <w:rFonts w:ascii="Arial" w:cs="Arial" w:eastAsia="Arial" w:hAnsi="Arial"/>
          <w:sz w:val="18"/>
          <w:szCs w:val="18"/>
          <w:b w:val="1"/>
          <w:bCs w:val="1"/>
          <w:color w:val="auto"/>
        </w:rPr>
        <w:t>Low-cost Deposits,</w:t>
      </w:r>
      <w:r>
        <w:rPr>
          <w:rFonts w:ascii="Arial" w:cs="Arial" w:eastAsia="Arial" w:hAnsi="Arial"/>
          <w:sz w:val="18"/>
          <w:szCs w:val="18"/>
          <w:color w:val="auto"/>
        </w:rPr>
        <w:t xml:space="preserve"> which rose on the back of inflows from pension fund withdrawals. Growth in low-cost deposits was offset by an expansion in retail loans.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the ratio increased 254 bps. This evolution, which was driven mainly by loan growth, and an increase in small-ticket loans in particular, was partially offset by an increase in </w:t>
      </w: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in an environment marked by higher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-1043940</wp:posOffset>
            </wp:positionV>
            <wp:extent cx="2768600" cy="13633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68600" cy="13633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5860"/>
        <w:spacing w:after="0" w:line="248" w:lineRule="auto"/>
        <w:rPr>
          <w:sz w:val="20"/>
          <w:szCs w:val="20"/>
          <w:color w:val="auto"/>
        </w:rPr>
      </w:pPr>
      <w:r>
        <w:rPr>
          <w:rFonts w:ascii="Arial" w:cs="Arial" w:eastAsia="Arial" w:hAnsi="Arial"/>
          <w:sz w:val="18"/>
          <w:szCs w:val="18"/>
          <w:b w:val="1"/>
          <w:bCs w:val="1"/>
          <w:color w:val="auto"/>
        </w:rPr>
        <w:t xml:space="preserve">YoY, </w:t>
      </w:r>
      <w:r>
        <w:rPr>
          <w:rFonts w:ascii="Arial" w:cs="Arial" w:eastAsia="Arial" w:hAnsi="Arial"/>
          <w:sz w:val="18"/>
          <w:szCs w:val="18"/>
          <w:color w:val="auto"/>
        </w:rPr>
        <w:t>the L/D ratio dropped 247 bps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color w:val="auto"/>
        </w:rPr>
        <w:t>trajectory</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was fueled by the same dynamics seen QoQ.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the ratio increased 12 pp on the back of an uptick in loan growth after the pace of disbursements gained traction in 4Q24 and continued to rise throughout the year. This growth was partially offset by an increase in </w:t>
      </w:r>
      <w:r>
        <w:rPr>
          <w:rFonts w:ascii="Arial" w:cs="Arial" w:eastAsia="Arial" w:hAnsi="Arial"/>
          <w:sz w:val="18"/>
          <w:szCs w:val="18"/>
          <w:b w:val="1"/>
          <w:bCs w:val="1"/>
          <w:color w:val="auto"/>
        </w:rPr>
        <w:t>Savings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Deposits, </w:t>
      </w:r>
      <w:r>
        <w:rPr>
          <w:rFonts w:ascii="Arial" w:cs="Arial" w:eastAsia="Arial" w:hAnsi="Arial"/>
          <w:sz w:val="18"/>
          <w:szCs w:val="18"/>
          <w:color w:val="auto"/>
        </w:rPr>
        <w:t>which ran hand-in-hand with high liquidity levels across the system.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the aforementioned scenario, the L/D ratio at Credicorp stood at 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706120</wp:posOffset>
            </wp:positionV>
            <wp:extent cx="71577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131445</wp:posOffset>
            </wp:positionV>
            <wp:extent cx="6755130" cy="4629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55130" cy="46291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bookmarkStart w:id="24" w:name="page25"/>
    <w:bookmarkEnd w:id="24"/>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772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67"/>
        <w:spacing w:after="0"/>
        <w:rPr>
          <w:sz w:val="20"/>
          <w:szCs w:val="20"/>
          <w:color w:val="auto"/>
        </w:rPr>
      </w:pPr>
      <w:r>
        <w:rPr>
          <w:rFonts w:ascii="Arial" w:cs="Arial" w:eastAsia="Arial" w:hAnsi="Arial"/>
          <w:sz w:val="22"/>
          <w:szCs w:val="22"/>
          <w:b w:val="1"/>
          <w:bCs w:val="1"/>
          <w:color w:val="FFFFFF"/>
        </w:rPr>
        <w:t>02. Deposits</w:t>
      </w:r>
    </w:p>
    <w:p>
      <w:pPr>
        <w:spacing w:after="0" w:line="245" w:lineRule="exact"/>
        <w:rPr>
          <w:sz w:val="20"/>
          <w:szCs w:val="20"/>
          <w:color w:val="auto"/>
        </w:rPr>
      </w:pPr>
    </w:p>
    <w:p>
      <w:pPr>
        <w:ind w:left="1627"/>
        <w:spacing w:after="0"/>
        <w:tabs>
          <w:tab w:leader="none" w:pos="7547" w:val="left"/>
        </w:tabs>
        <w:rPr>
          <w:sz w:val="20"/>
          <w:szCs w:val="20"/>
          <w:color w:val="auto"/>
        </w:rPr>
      </w:pPr>
      <w:r>
        <w:rPr>
          <w:rFonts w:ascii="Arial" w:cs="Arial" w:eastAsia="Arial" w:hAnsi="Arial"/>
          <w:sz w:val="18"/>
          <w:szCs w:val="18"/>
          <w:b w:val="1"/>
          <w:bCs w:val="1"/>
          <w:color w:val="auto"/>
        </w:rPr>
        <w:t>L/D Ratio Local Currency</w:t>
      </w:r>
      <w:r>
        <w:rPr>
          <w:sz w:val="20"/>
          <w:szCs w:val="20"/>
          <w:color w:val="auto"/>
        </w:rPr>
        <w:tab/>
      </w:r>
      <w:r>
        <w:rPr>
          <w:rFonts w:ascii="Arial" w:cs="Arial" w:eastAsia="Arial" w:hAnsi="Arial"/>
          <w:sz w:val="17"/>
          <w:szCs w:val="17"/>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12700</wp:posOffset>
            </wp:positionV>
            <wp:extent cx="6858000" cy="1234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0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Market Share (MS) of Deposits in the Peruvian Financial System</w:t>
      </w:r>
    </w:p>
    <w:p>
      <w:pPr>
        <w:spacing w:after="0" w:line="186" w:lineRule="exact"/>
        <w:rPr>
          <w:sz w:val="20"/>
          <w:szCs w:val="20"/>
          <w:color w:val="auto"/>
        </w:rPr>
      </w:pPr>
    </w:p>
    <w:p>
      <w:pPr>
        <w:jc w:val="center"/>
        <w:ind w:right="233"/>
        <w:spacing w:after="0"/>
        <w:rPr>
          <w:sz w:val="20"/>
          <w:szCs w:val="20"/>
          <w:color w:val="auto"/>
        </w:rPr>
      </w:pPr>
      <w:r>
        <w:rPr>
          <w:rFonts w:ascii="Arial" w:cs="Arial" w:eastAsia="Arial" w:hAnsi="Arial"/>
          <w:sz w:val="22"/>
          <w:szCs w:val="22"/>
          <w:b w:val="1"/>
          <w:bCs w:val="1"/>
          <w:color w:val="auto"/>
        </w:rPr>
        <w:t>Share of the Deposit Market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17145</wp:posOffset>
            </wp:positionV>
            <wp:extent cx="5949315" cy="2254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4931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7"/>
        <w:spacing w:after="0" w:line="278" w:lineRule="auto"/>
        <w:rPr>
          <w:sz w:val="20"/>
          <w:szCs w:val="20"/>
          <w:color w:val="auto"/>
        </w:rPr>
      </w:pPr>
      <w:r>
        <w:rPr>
          <w:rFonts w:ascii="Arial" w:cs="Arial" w:eastAsia="Arial" w:hAnsi="Arial"/>
          <w:sz w:val="18"/>
          <w:szCs w:val="18"/>
          <w:color w:val="auto"/>
        </w:rPr>
        <w:t xml:space="preserve">At the end of December 2025, the MS of </w:t>
      </w:r>
      <w:r>
        <w:rPr>
          <w:rFonts w:ascii="Arial" w:cs="Arial" w:eastAsia="Arial" w:hAnsi="Arial"/>
          <w:sz w:val="18"/>
          <w:szCs w:val="18"/>
          <w:b w:val="1"/>
          <w:bCs w:val="1"/>
          <w:color w:val="auto"/>
        </w:rPr>
        <w:t>Total Deposit</w:t>
      </w:r>
      <w:r>
        <w:rPr>
          <w:rFonts w:ascii="Arial" w:cs="Arial" w:eastAsia="Arial" w:hAnsi="Arial"/>
          <w:sz w:val="18"/>
          <w:szCs w:val="18"/>
          <w:color w:val="auto"/>
        </w:rPr>
        <w:t xml:space="preserve"> held by BCP and Mibanco in Peru was 33.0% and 2.5% (66 bps and -9 bps vs December 2024, respectively). In this context, BCP continued to lead the market for total deposits.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BCP </w:t>
      </w:r>
      <w:r>
        <w:rPr>
          <w:rFonts w:ascii="Arial" w:cs="Arial" w:eastAsia="Arial" w:hAnsi="Arial"/>
          <w:sz w:val="18"/>
          <w:szCs w:val="18"/>
          <w:color w:val="auto"/>
        </w:rPr>
        <w:t>reported growth in</w:t>
      </w:r>
      <w:r>
        <w:rPr>
          <w:rFonts w:ascii="Arial" w:cs="Arial" w:eastAsia="Arial" w:hAnsi="Arial"/>
          <w:sz w:val="18"/>
          <w:szCs w:val="18"/>
          <w:b w:val="1"/>
          <w:bCs w:val="1"/>
          <w:color w:val="auto"/>
        </w:rPr>
        <w:t xml:space="preserve"> Low-cost deposits </w:t>
      </w:r>
      <w:r>
        <w:rPr>
          <w:rFonts w:ascii="Arial" w:cs="Arial" w:eastAsia="Arial" w:hAnsi="Arial"/>
          <w:sz w:val="18"/>
          <w:szCs w:val="18"/>
          <w:color w:val="auto"/>
        </w:rPr>
        <w:t>(+10.2% YoY), but this figure was below the print for the financial system (+11.2</w:t>
      </w:r>
    </w:p>
    <w:p>
      <w:pPr>
        <w:spacing w:after="0" w:line="198" w:lineRule="exact"/>
        <w:rPr>
          <w:sz w:val="20"/>
          <w:szCs w:val="20"/>
          <w:color w:val="auto"/>
        </w:rPr>
      </w:pPr>
    </w:p>
    <w:p>
      <w:pPr>
        <w:jc w:val="both"/>
        <w:ind w:left="7" w:hanging="7"/>
        <w:spacing w:after="0" w:line="24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YoY). Regardless, </w:t>
      </w:r>
      <w:r>
        <w:rPr>
          <w:rFonts w:ascii="Arial" w:cs="Arial" w:eastAsia="Arial" w:hAnsi="Arial"/>
          <w:sz w:val="18"/>
          <w:szCs w:val="18"/>
          <w:b w:val="1"/>
          <w:bCs w:val="1"/>
          <w:color w:val="auto"/>
        </w:rPr>
        <w:t>BCP</w:t>
      </w:r>
      <w:r>
        <w:rPr>
          <w:rFonts w:ascii="Arial" w:cs="Arial" w:eastAsia="Arial" w:hAnsi="Arial"/>
          <w:sz w:val="18"/>
          <w:szCs w:val="18"/>
          <w:color w:val="auto"/>
        </w:rPr>
        <w:t xml:space="preserve"> continued to lead the market for </w:t>
      </w:r>
      <w:r>
        <w:rPr>
          <w:rFonts w:ascii="Arial" w:cs="Arial" w:eastAsia="Arial" w:hAnsi="Arial"/>
          <w:sz w:val="18"/>
          <w:szCs w:val="18"/>
          <w:b w:val="1"/>
          <w:bCs w:val="1"/>
          <w:color w:val="auto"/>
        </w:rPr>
        <w:t>Low-Cost Deposits</w:t>
      </w:r>
      <w:r>
        <w:rPr>
          <w:rFonts w:ascii="Arial" w:cs="Arial" w:eastAsia="Arial" w:hAnsi="Arial"/>
          <w:sz w:val="18"/>
          <w:szCs w:val="18"/>
          <w:color w:val="auto"/>
        </w:rPr>
        <w:t xml:space="preserve"> with a very solid MS of 40.0% at the end of December 2025 (-34 bps vs Dec 2024). In terms of Time </w:t>
      </w:r>
      <w:r>
        <w:rPr>
          <w:rFonts w:ascii="Arial" w:cs="Arial" w:eastAsia="Arial" w:hAnsi="Arial"/>
          <w:sz w:val="18"/>
          <w:szCs w:val="18"/>
          <w:b w:val="1"/>
          <w:bCs w:val="1"/>
          <w:color w:val="auto"/>
        </w:rPr>
        <w:t>Deposits</w:t>
      </w:r>
      <w:r>
        <w:rPr>
          <w:rFonts w:ascii="Arial" w:cs="Arial" w:eastAsia="Arial" w:hAnsi="Arial"/>
          <w:sz w:val="18"/>
          <w:szCs w:val="18"/>
          <w:color w:val="auto"/>
        </w:rPr>
        <w:t>, although fell across the financial system (-4.8% vs Dec 2024), BCP sustained a less marked reduction of 1.5% versus the print in December 2024. In this context, BCP’s market share rose (66 bps vs Sept 2024) to stand at 19.1% at the end of December 2025.</w:t>
      </w:r>
    </w:p>
    <w:p>
      <w:pPr>
        <w:spacing w:after="0" w:line="154" w:lineRule="exact"/>
        <w:rPr>
          <w:sz w:val="20"/>
          <w:szCs w:val="20"/>
          <w:color w:val="auto"/>
        </w:rPr>
      </w:pPr>
    </w:p>
    <w:p>
      <w:pPr>
        <w:ind w:left="7" w:right="40"/>
        <w:spacing w:after="0" w:line="256" w:lineRule="auto"/>
        <w:rPr>
          <w:sz w:val="20"/>
          <w:szCs w:val="20"/>
          <w:color w:val="auto"/>
        </w:rPr>
      </w:pPr>
      <w:r>
        <w:rPr>
          <w:rFonts w:ascii="Arial" w:cs="Arial" w:eastAsia="Arial" w:hAnsi="Arial"/>
          <w:sz w:val="18"/>
          <w:szCs w:val="18"/>
          <w:color w:val="auto"/>
        </w:rPr>
        <w:t xml:space="preserve">The market share of Low-cost Deposits held by </w:t>
      </w:r>
      <w:r>
        <w:rPr>
          <w:rFonts w:ascii="Arial" w:cs="Arial" w:eastAsia="Arial" w:hAnsi="Arial"/>
          <w:sz w:val="18"/>
          <w:szCs w:val="18"/>
          <w:b w:val="1"/>
          <w:bCs w:val="1"/>
          <w:color w:val="auto"/>
        </w:rPr>
        <w:t>Credicorp (BCP + Mibanco)</w:t>
      </w:r>
      <w:r>
        <w:rPr>
          <w:rFonts w:ascii="Arial" w:cs="Arial" w:eastAsia="Arial" w:hAnsi="Arial"/>
          <w:sz w:val="18"/>
          <w:szCs w:val="18"/>
          <w:color w:val="auto"/>
        </w:rPr>
        <w:t xml:space="preserve"> dropped 31bps compared to the print in December 2024 and stood at 40.7% at the end of December 2025. Credicorp’s market share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rose 41bps above the figure reported in December 2024 to stand at 25.2% at the end of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683895</wp:posOffset>
            </wp:positionV>
            <wp:extent cx="71577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109855</wp:posOffset>
            </wp:positionV>
            <wp:extent cx="6755130" cy="462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55130" cy="46291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25" w:name="page26"/>
    <w:bookmarkEnd w:id="25"/>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131" w:lineRule="exact"/>
        <w:rPr>
          <w:sz w:val="20"/>
          <w:szCs w:val="20"/>
          <w:color w:val="auto"/>
        </w:rPr>
      </w:pPr>
    </w:p>
    <w:p>
      <w:pPr>
        <w:ind w:left="687" w:hanging="687"/>
        <w:spacing w:after="0"/>
        <w:tabs>
          <w:tab w:leader="none" w:pos="687" w:val="left"/>
        </w:tabs>
        <w:numPr>
          <w:ilvl w:val="0"/>
          <w:numId w:val="21"/>
        </w:numPr>
        <w:rPr>
          <w:rFonts w:ascii="Arial" w:cs="Arial" w:eastAsia="Arial" w:hAnsi="Arial"/>
          <w:sz w:val="32"/>
          <w:szCs w:val="32"/>
          <w:b w:val="1"/>
          <w:bCs w:val="1"/>
          <w:color w:val="E93BAC"/>
        </w:rPr>
      </w:pPr>
      <w:r>
        <w:rPr>
          <w:rFonts w:ascii="Arial" w:cs="Arial" w:eastAsia="Arial" w:hAnsi="Arial"/>
          <w:sz w:val="32"/>
          <w:szCs w:val="32"/>
          <w:color w:val="E93BAC"/>
        </w:rPr>
        <w:t>Interest-earning Assets (IEA) and Funding</w:t>
      </w:r>
    </w:p>
    <w:p>
      <w:pPr>
        <w:spacing w:after="0" w:line="228" w:lineRule="exact"/>
        <w:rPr>
          <w:sz w:val="20"/>
          <w:szCs w:val="20"/>
          <w:color w:val="auto"/>
        </w:rPr>
      </w:pPr>
    </w:p>
    <w:p>
      <w:pPr>
        <w:jc w:val="both"/>
        <w:ind w:left="107" w:right="100"/>
        <w:spacing w:after="0" w:line="255" w:lineRule="auto"/>
        <w:rPr>
          <w:sz w:val="20"/>
          <w:szCs w:val="20"/>
          <w:color w:val="auto"/>
        </w:rPr>
      </w:pPr>
      <w:r>
        <w:rPr>
          <w:rFonts w:ascii="Arial" w:cs="Arial" w:eastAsia="Arial" w:hAnsi="Arial"/>
          <w:sz w:val="18"/>
          <w:szCs w:val="18"/>
          <w:color w:val="FFFFFF"/>
        </w:rPr>
        <w:t>In 4Q25, IEA increased 4.7% QoQ and 2.3% YoY. Funding, in turn, dropped 5.9% QoQ and 2.2% YoY. If we exclude the impact of BCP Bolivia’s accounting adjustment on Credicorp’s balance sheet, and assume a constant USD/PEN exchange rate, the evolution of IEA and Funding was marked by the following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-403860</wp:posOffset>
            </wp:positionV>
            <wp:extent cx="7157720" cy="1543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1543050"/>
                    </a:xfrm>
                    <a:prstGeom prst="rect">
                      <a:avLst/>
                    </a:prstGeom>
                    <a:noFill/>
                  </pic:spPr>
                </pic:pic>
              </a:graphicData>
            </a:graphic>
          </wp:anchor>
        </w:drawing>
      </w:r>
    </w:p>
    <w:p>
      <w:pPr>
        <w:spacing w:after="0" w:line="130" w:lineRule="exact"/>
        <w:rPr>
          <w:sz w:val="20"/>
          <w:szCs w:val="20"/>
          <w:color w:val="auto"/>
        </w:rPr>
      </w:pPr>
    </w:p>
    <w:p>
      <w:pPr>
        <w:jc w:val="both"/>
        <w:ind w:left="107" w:right="100"/>
        <w:spacing w:after="0" w:line="255" w:lineRule="auto"/>
        <w:rPr>
          <w:sz w:val="20"/>
          <w:szCs w:val="20"/>
          <w:color w:val="auto"/>
        </w:rPr>
      </w:pPr>
      <w:r>
        <w:rPr>
          <w:rFonts w:ascii="Arial" w:cs="Arial" w:eastAsia="Arial" w:hAnsi="Arial"/>
          <w:sz w:val="18"/>
          <w:szCs w:val="18"/>
          <w:color w:val="FFFFFF"/>
        </w:rPr>
        <w:t>QoQ, IEA rose 5.1%. This evolution reflects an expansion in Cash and due from banks, which rose after liquidity levels increased on the back of inflows from pension fund withdrawals. Loan growth was a secondary contributor to higher IEA this quarter. Funding, in turn, increased 5.7%. This evolution was driven by growth in deposits following pension fund releases.</w:t>
      </w:r>
    </w:p>
    <w:p>
      <w:pPr>
        <w:spacing w:after="0" w:line="150" w:lineRule="exact"/>
        <w:rPr>
          <w:sz w:val="20"/>
          <w:szCs w:val="20"/>
          <w:color w:val="auto"/>
        </w:rPr>
      </w:pPr>
    </w:p>
    <w:p>
      <w:pPr>
        <w:jc w:val="both"/>
        <w:ind w:left="107" w:right="100"/>
        <w:spacing w:after="0" w:line="255" w:lineRule="auto"/>
        <w:rPr>
          <w:sz w:val="20"/>
          <w:szCs w:val="20"/>
          <w:color w:val="auto"/>
        </w:rPr>
      </w:pPr>
      <w:r>
        <w:rPr>
          <w:rFonts w:ascii="Arial" w:cs="Arial" w:eastAsia="Arial" w:hAnsi="Arial"/>
          <w:sz w:val="18"/>
          <w:szCs w:val="18"/>
          <w:color w:val="FFFFFF"/>
        </w:rPr>
        <w:t>YoY, IEA increased 8.6%, bolstered by loan growth, mainly at BCP. The rise in Cash and due from banks also drove growth in IEA, albeit to a lesser extent. Finally, funding rose 9.1% on the back of an uptick in deposits, which were impacted by inflows from pension funds and bolstered by the broad transactional offering available through Credicorp’s ecosystem.</w:t>
      </w:r>
    </w:p>
    <w:p>
      <w:pPr>
        <w:spacing w:after="0" w:line="353"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As was the case in previous quarters, the figures in our 4Q25 balance continue to reflect the impact of asset revaluation at BCP Bolivia (which did not affect cash flow). Accounting revaluations throughout 2025 applied exchange rates that were better aligned with the market. As of December, this revaluation generated an accounting contraction of 1.0% of Credicorp’s total assets.</w:t>
      </w:r>
    </w:p>
    <w:p>
      <w:pPr>
        <w:spacing w:after="0" w:line="150" w:lineRule="exact"/>
        <w:rPr>
          <w:sz w:val="20"/>
          <w:szCs w:val="20"/>
          <w:color w:val="auto"/>
        </w:rPr>
      </w:pPr>
    </w:p>
    <w:p>
      <w:pPr>
        <w:jc w:val="both"/>
        <w:ind w:left="7"/>
        <w:spacing w:after="0" w:line="276" w:lineRule="auto"/>
        <w:rPr>
          <w:sz w:val="20"/>
          <w:szCs w:val="20"/>
          <w:color w:val="auto"/>
        </w:rPr>
      </w:pPr>
      <w:r>
        <w:rPr>
          <w:rFonts w:ascii="Arial" w:cs="Arial" w:eastAsia="Arial" w:hAnsi="Arial"/>
          <w:sz w:val="18"/>
          <w:szCs w:val="18"/>
          <w:color w:val="auto"/>
        </w:rPr>
        <w:t>The analysis of the evolution of IEA and Funding will focus on the business’s underlying dynamics, excluding the impact of th e aforementioned accounting adjustment.</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3.1. IEA</w:t>
      </w:r>
    </w:p>
    <w:p>
      <w:pPr>
        <w:spacing w:after="0" w:line="203" w:lineRule="exact"/>
        <w:rPr>
          <w:sz w:val="20"/>
          <w:szCs w:val="20"/>
          <w:color w:val="auto"/>
        </w:rPr>
      </w:pPr>
    </w:p>
    <w:tbl>
      <w:tblPr>
        <w:tblLayout w:type="fixed"/>
        <w:tblInd w:w="17" w:type="dxa"/>
        <w:tblCellMar>
          <w:top w:w="0" w:type="dxa"/>
          <w:left w:w="0" w:type="dxa"/>
          <w:bottom w:w="0" w:type="dxa"/>
          <w:right w:w="0" w:type="dxa"/>
        </w:tblCellMar>
      </w:tblPr>
      <w:tr>
        <w:trPr>
          <w:trHeight w:val="172"/>
        </w:trPr>
        <w:tc>
          <w:tcPr>
            <w:tcW w:w="5940" w:type="dxa"/>
            <w:vAlign w:val="bottom"/>
            <w:tcBorders>
              <w:top w:val="single" w:sz="8" w:color="auto"/>
              <w:left w:val="single" w:sz="8" w:color="auto"/>
              <w:right w:val="single" w:sz="8" w:color="auto"/>
            </w:tcBorders>
            <w:shd w:val="clear" w:color="auto" w:fill="33CCCC"/>
          </w:tcPr>
          <w:p>
            <w:pPr>
              <w:spacing w:after="0" w:line="172" w:lineRule="exact"/>
              <w:rPr>
                <w:sz w:val="20"/>
                <w:szCs w:val="20"/>
                <w:color w:val="auto"/>
              </w:rPr>
            </w:pPr>
            <w:r>
              <w:rPr>
                <w:rFonts w:ascii="Arial" w:cs="Arial" w:eastAsia="Arial" w:hAnsi="Arial"/>
                <w:sz w:val="17"/>
                <w:szCs w:val="17"/>
                <w:b w:val="1"/>
                <w:bCs w:val="1"/>
                <w:color w:val="FFFFFF"/>
              </w:rPr>
              <w:t>Interest Earning Assets</w:t>
            </w:r>
          </w:p>
        </w:tc>
        <w:tc>
          <w:tcPr>
            <w:tcW w:w="1220" w:type="dxa"/>
            <w:vAlign w:val="bottom"/>
            <w:tcBorders>
              <w:top w:val="single" w:sz="8" w:color="auto"/>
            </w:tcBorders>
            <w:shd w:val="clear" w:color="auto" w:fill="33CCCC"/>
          </w:tcPr>
          <w:p>
            <w:pPr>
              <w:spacing w:after="0"/>
              <w:rPr>
                <w:sz w:val="14"/>
                <w:szCs w:val="14"/>
                <w:color w:val="auto"/>
              </w:rPr>
            </w:pPr>
          </w:p>
        </w:tc>
        <w:tc>
          <w:tcPr>
            <w:tcW w:w="1240" w:type="dxa"/>
            <w:vAlign w:val="bottom"/>
            <w:tcBorders>
              <w:top w:val="single" w:sz="8" w:color="auto"/>
            </w:tcBorders>
            <w:shd w:val="clear" w:color="auto" w:fill="33CCCC"/>
          </w:tcPr>
          <w:p>
            <w:pPr>
              <w:jc w:val="center"/>
              <w:spacing w:after="0" w:line="172" w:lineRule="exact"/>
              <w:rPr>
                <w:sz w:val="20"/>
                <w:szCs w:val="20"/>
                <w:color w:val="auto"/>
              </w:rPr>
            </w:pPr>
            <w:r>
              <w:rPr>
                <w:rFonts w:ascii="Arial" w:cs="Arial" w:eastAsia="Arial" w:hAnsi="Arial"/>
                <w:sz w:val="17"/>
                <w:szCs w:val="17"/>
                <w:b w:val="1"/>
                <w:bCs w:val="1"/>
                <w:color w:val="FFFFFF"/>
              </w:rPr>
              <w:t>As of</w:t>
            </w:r>
          </w:p>
        </w:tc>
        <w:tc>
          <w:tcPr>
            <w:tcW w:w="1240" w:type="dxa"/>
            <w:vAlign w:val="bottom"/>
            <w:tcBorders>
              <w:top w:val="single" w:sz="8" w:color="auto"/>
              <w:right w:val="single" w:sz="8" w:color="auto"/>
            </w:tcBorders>
            <w:shd w:val="clear" w:color="auto" w:fill="33CCCC"/>
          </w:tcPr>
          <w:p>
            <w:pPr>
              <w:spacing w:after="0"/>
              <w:rPr>
                <w:sz w:val="14"/>
                <w:szCs w:val="14"/>
                <w:color w:val="auto"/>
              </w:rPr>
            </w:pPr>
          </w:p>
        </w:tc>
        <w:tc>
          <w:tcPr>
            <w:tcW w:w="1640" w:type="dxa"/>
            <w:vAlign w:val="bottom"/>
            <w:tcBorders>
              <w:top w:val="single" w:sz="8" w:color="auto"/>
              <w:right w:val="single" w:sz="8" w:color="auto"/>
            </w:tcBorders>
            <w:gridSpan w:val="2"/>
            <w:shd w:val="clear" w:color="auto" w:fill="33CCCC"/>
          </w:tcPr>
          <w:p>
            <w:pPr>
              <w:ind w:left="400"/>
              <w:spacing w:after="0" w:line="172" w:lineRule="exact"/>
              <w:rPr>
                <w:sz w:val="20"/>
                <w:szCs w:val="20"/>
                <w:color w:val="auto"/>
              </w:rPr>
            </w:pPr>
            <w:r>
              <w:rPr>
                <w:rFonts w:ascii="Arial" w:cs="Arial" w:eastAsia="Arial" w:hAnsi="Arial"/>
                <w:sz w:val="17"/>
                <w:szCs w:val="17"/>
                <w:b w:val="1"/>
                <w:bCs w:val="1"/>
                <w:color w:val="FFFFFF"/>
              </w:rPr>
              <w:t>% change</w:t>
            </w:r>
          </w:p>
        </w:tc>
      </w:tr>
      <w:tr>
        <w:trPr>
          <w:trHeight w:val="219"/>
        </w:trPr>
        <w:tc>
          <w:tcPr>
            <w:tcW w:w="594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7"/>
                <w:szCs w:val="17"/>
                <w:b w:val="1"/>
                <w:bCs w:val="1"/>
                <w:color w:val="FFFFFF"/>
              </w:rPr>
              <w:t>S/000</w:t>
            </w:r>
          </w:p>
        </w:tc>
        <w:tc>
          <w:tcPr>
            <w:tcW w:w="122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7"/>
                <w:szCs w:val="17"/>
                <w:b w:val="1"/>
                <w:bCs w:val="1"/>
                <w:color w:val="FFFFFF"/>
              </w:rPr>
              <w:t>Dec 24</w:t>
            </w:r>
          </w:p>
        </w:tc>
        <w:tc>
          <w:tcPr>
            <w:tcW w:w="12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7"/>
                <w:szCs w:val="17"/>
                <w:b w:val="1"/>
                <w:bCs w:val="1"/>
                <w:color w:val="FFFFFF"/>
              </w:rPr>
              <w:t>Sep 25</w:t>
            </w:r>
          </w:p>
        </w:tc>
        <w:tc>
          <w:tcPr>
            <w:tcW w:w="124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Arial" w:cs="Arial" w:eastAsia="Arial" w:hAnsi="Arial"/>
                <w:sz w:val="17"/>
                <w:szCs w:val="17"/>
                <w:b w:val="1"/>
                <w:bCs w:val="1"/>
                <w:color w:val="FFFFFF"/>
              </w:rPr>
              <w:t>Dec 25</w:t>
            </w:r>
          </w:p>
        </w:tc>
        <w:tc>
          <w:tcPr>
            <w:tcW w:w="78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7"/>
                <w:szCs w:val="17"/>
                <w:b w:val="1"/>
                <w:bCs w:val="1"/>
                <w:color w:val="FFFFFF"/>
              </w:rPr>
              <w:t>QoQ</w:t>
            </w:r>
          </w:p>
        </w:tc>
        <w:tc>
          <w:tcPr>
            <w:tcW w:w="860" w:type="dxa"/>
            <w:vAlign w:val="bottom"/>
            <w:tcBorders>
              <w:bottom w:val="single" w:sz="8" w:color="auto"/>
              <w:right w:val="single" w:sz="8" w:color="auto"/>
            </w:tcBorders>
            <w:shd w:val="clear" w:color="auto" w:fill="33CCCC"/>
          </w:tcPr>
          <w:p>
            <w:pPr>
              <w:ind w:left="260"/>
              <w:spacing w:after="0"/>
              <w:rPr>
                <w:sz w:val="20"/>
                <w:szCs w:val="20"/>
                <w:color w:val="auto"/>
              </w:rPr>
            </w:pPr>
            <w:r>
              <w:rPr>
                <w:rFonts w:ascii="Arial" w:cs="Arial" w:eastAsia="Arial" w:hAnsi="Arial"/>
                <w:sz w:val="17"/>
                <w:szCs w:val="17"/>
                <w:b w:val="1"/>
                <w:bCs w:val="1"/>
                <w:color w:val="FFFFFF"/>
              </w:rPr>
              <w:t>YoY</w:t>
            </w:r>
          </w:p>
        </w:tc>
      </w:tr>
      <w:tr>
        <w:trPr>
          <w:trHeight w:val="154"/>
        </w:trPr>
        <w:tc>
          <w:tcPr>
            <w:tcW w:w="5940" w:type="dxa"/>
            <w:vAlign w:val="bottom"/>
            <w:tcBorders>
              <w:left w:val="single" w:sz="8" w:color="auto"/>
              <w:right w:val="single" w:sz="8" w:color="auto"/>
            </w:tcBorders>
          </w:tcPr>
          <w:p>
            <w:pPr>
              <w:spacing w:after="0" w:line="154" w:lineRule="exact"/>
              <w:rPr>
                <w:sz w:val="20"/>
                <w:szCs w:val="20"/>
                <w:color w:val="auto"/>
              </w:rPr>
            </w:pPr>
            <w:r>
              <w:rPr>
                <w:rFonts w:ascii="Arial" w:cs="Arial" w:eastAsia="Arial" w:hAnsi="Arial"/>
                <w:sz w:val="17"/>
                <w:szCs w:val="17"/>
                <w:color w:val="auto"/>
              </w:rPr>
              <w:t>Cash and due from banks</w:t>
            </w:r>
          </w:p>
        </w:tc>
        <w:tc>
          <w:tcPr>
            <w:tcW w:w="1220" w:type="dxa"/>
            <w:vAlign w:val="bottom"/>
          </w:tcPr>
          <w:p>
            <w:pPr>
              <w:jc w:val="center"/>
              <w:spacing w:after="0" w:line="154" w:lineRule="exact"/>
              <w:rPr>
                <w:sz w:val="20"/>
                <w:szCs w:val="20"/>
                <w:color w:val="auto"/>
              </w:rPr>
            </w:pPr>
            <w:r>
              <w:rPr>
                <w:rFonts w:ascii="Arial" w:cs="Arial" w:eastAsia="Arial" w:hAnsi="Arial"/>
                <w:sz w:val="17"/>
                <w:szCs w:val="17"/>
                <w:color w:val="auto"/>
              </w:rPr>
              <w:t>40,119,937</w:t>
            </w:r>
          </w:p>
        </w:tc>
        <w:tc>
          <w:tcPr>
            <w:tcW w:w="1240" w:type="dxa"/>
            <w:vAlign w:val="bottom"/>
          </w:tcPr>
          <w:p>
            <w:pPr>
              <w:jc w:val="center"/>
              <w:spacing w:after="0" w:line="154" w:lineRule="exact"/>
              <w:rPr>
                <w:sz w:val="20"/>
                <w:szCs w:val="20"/>
                <w:color w:val="auto"/>
              </w:rPr>
            </w:pPr>
            <w:r>
              <w:rPr>
                <w:rFonts w:ascii="Arial" w:cs="Arial" w:eastAsia="Arial" w:hAnsi="Arial"/>
                <w:sz w:val="17"/>
                <w:szCs w:val="17"/>
                <w:color w:val="auto"/>
                <w:w w:val="98"/>
              </w:rPr>
              <w:t>35,862,184</w:t>
            </w:r>
          </w:p>
        </w:tc>
        <w:tc>
          <w:tcPr>
            <w:tcW w:w="12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41,394,817</w:t>
            </w:r>
          </w:p>
        </w:tc>
        <w:tc>
          <w:tcPr>
            <w:tcW w:w="780" w:type="dxa"/>
            <w:vAlign w:val="bottom"/>
          </w:tcPr>
          <w:p>
            <w:pPr>
              <w:jc w:val="center"/>
              <w:spacing w:after="0" w:line="154" w:lineRule="exact"/>
              <w:rPr>
                <w:sz w:val="20"/>
                <w:szCs w:val="20"/>
                <w:color w:val="auto"/>
              </w:rPr>
            </w:pPr>
            <w:r>
              <w:rPr>
                <w:rFonts w:ascii="Arial" w:cs="Arial" w:eastAsia="Arial" w:hAnsi="Arial"/>
                <w:sz w:val="17"/>
                <w:szCs w:val="17"/>
                <w:color w:val="auto"/>
              </w:rPr>
              <w:t>15.4%</w:t>
            </w:r>
          </w:p>
        </w:tc>
        <w:tc>
          <w:tcPr>
            <w:tcW w:w="8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3.2%</w:t>
            </w:r>
          </w:p>
        </w:tc>
      </w:tr>
      <w:tr>
        <w:trPr>
          <w:trHeight w:val="189"/>
        </w:trPr>
        <w:tc>
          <w:tcPr>
            <w:tcW w:w="5940" w:type="dxa"/>
            <w:vAlign w:val="bottom"/>
            <w:tcBorders>
              <w:left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Total investments</w:t>
            </w:r>
          </w:p>
        </w:tc>
        <w:tc>
          <w:tcPr>
            <w:tcW w:w="1220" w:type="dxa"/>
            <w:vAlign w:val="bottom"/>
          </w:tcPr>
          <w:p>
            <w:pPr>
              <w:jc w:val="center"/>
              <w:spacing w:after="0" w:line="189" w:lineRule="exact"/>
              <w:rPr>
                <w:sz w:val="20"/>
                <w:szCs w:val="20"/>
                <w:color w:val="auto"/>
              </w:rPr>
            </w:pPr>
            <w:r>
              <w:rPr>
                <w:rFonts w:ascii="Arial" w:cs="Arial" w:eastAsia="Arial" w:hAnsi="Arial"/>
                <w:sz w:val="17"/>
                <w:szCs w:val="17"/>
                <w:color w:val="auto"/>
              </w:rPr>
              <w:t>53,825,858</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w w:val="98"/>
              </w:rPr>
              <w:t>51,186,579</w:t>
            </w:r>
          </w:p>
        </w:tc>
        <w:tc>
          <w:tcPr>
            <w:tcW w:w="12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52,804,942</w:t>
            </w:r>
          </w:p>
        </w:tc>
        <w:tc>
          <w:tcPr>
            <w:tcW w:w="780" w:type="dxa"/>
            <w:vAlign w:val="bottom"/>
          </w:tcPr>
          <w:p>
            <w:pPr>
              <w:jc w:val="center"/>
              <w:spacing w:after="0" w:line="189" w:lineRule="exact"/>
              <w:rPr>
                <w:sz w:val="20"/>
                <w:szCs w:val="20"/>
                <w:color w:val="auto"/>
              </w:rPr>
            </w:pPr>
            <w:r>
              <w:rPr>
                <w:rFonts w:ascii="Arial" w:cs="Arial" w:eastAsia="Arial" w:hAnsi="Arial"/>
                <w:sz w:val="17"/>
                <w:szCs w:val="17"/>
                <w:color w:val="auto"/>
                <w:w w:val="97"/>
              </w:rPr>
              <w:t>3.2%</w:t>
            </w:r>
          </w:p>
        </w:tc>
        <w:tc>
          <w:tcPr>
            <w:tcW w:w="8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8"/>
              </w:rPr>
              <w:t>-1.9%</w:t>
            </w:r>
          </w:p>
        </w:tc>
      </w:tr>
      <w:tr>
        <w:trPr>
          <w:trHeight w:val="189"/>
        </w:trPr>
        <w:tc>
          <w:tcPr>
            <w:tcW w:w="5940" w:type="dxa"/>
            <w:vAlign w:val="bottom"/>
            <w:tcBorders>
              <w:left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Cash collateral, reverse repurchase agreements and securities borrowing</w:t>
            </w:r>
          </w:p>
        </w:tc>
        <w:tc>
          <w:tcPr>
            <w:tcW w:w="1220" w:type="dxa"/>
            <w:vAlign w:val="bottom"/>
          </w:tcPr>
          <w:p>
            <w:pPr>
              <w:jc w:val="center"/>
              <w:spacing w:after="0" w:line="189" w:lineRule="exact"/>
              <w:rPr>
                <w:sz w:val="20"/>
                <w:szCs w:val="20"/>
                <w:color w:val="auto"/>
              </w:rPr>
            </w:pPr>
            <w:r>
              <w:rPr>
                <w:rFonts w:ascii="Arial" w:cs="Arial" w:eastAsia="Arial" w:hAnsi="Arial"/>
                <w:sz w:val="17"/>
                <w:szCs w:val="17"/>
                <w:color w:val="auto"/>
              </w:rPr>
              <w:t>1,033,177</w:t>
            </w: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rPr>
              <w:t>3,404,639</w:t>
            </w:r>
          </w:p>
        </w:tc>
        <w:tc>
          <w:tcPr>
            <w:tcW w:w="12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2,177,200</w:t>
            </w:r>
          </w:p>
        </w:tc>
        <w:tc>
          <w:tcPr>
            <w:tcW w:w="780" w:type="dxa"/>
            <w:vAlign w:val="bottom"/>
          </w:tcPr>
          <w:p>
            <w:pPr>
              <w:jc w:val="center"/>
              <w:spacing w:after="0" w:line="189" w:lineRule="exact"/>
              <w:rPr>
                <w:sz w:val="20"/>
                <w:szCs w:val="20"/>
                <w:color w:val="auto"/>
              </w:rPr>
            </w:pPr>
            <w:r>
              <w:rPr>
                <w:rFonts w:ascii="Arial" w:cs="Arial" w:eastAsia="Arial" w:hAnsi="Arial"/>
                <w:sz w:val="17"/>
                <w:szCs w:val="17"/>
                <w:color w:val="auto"/>
              </w:rPr>
              <w:t>-36.1%</w:t>
            </w:r>
          </w:p>
        </w:tc>
        <w:tc>
          <w:tcPr>
            <w:tcW w:w="8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7"/>
              </w:rPr>
              <w:t>110.7%</w:t>
            </w:r>
          </w:p>
        </w:tc>
      </w:tr>
      <w:tr>
        <w:trPr>
          <w:trHeight w:val="217"/>
        </w:trPr>
        <w:tc>
          <w:tcPr>
            <w:tcW w:w="59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Total loans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145,732,273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144,752,254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149,984,954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3.6%</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2.9%</w:t>
            </w:r>
          </w:p>
        </w:tc>
      </w:tr>
      <w:tr>
        <w:trPr>
          <w:trHeight w:val="183"/>
        </w:trPr>
        <w:tc>
          <w:tcPr>
            <w:tcW w:w="594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Total interest earning assets</w:t>
            </w:r>
          </w:p>
        </w:tc>
        <w:tc>
          <w:tcPr>
            <w:tcW w:w="1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9"/>
              </w:rPr>
              <w:t>240,711,245</w:t>
            </w:r>
          </w:p>
        </w:tc>
        <w:tc>
          <w:tcPr>
            <w:tcW w:w="12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235,205,656</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9"/>
              </w:rPr>
              <w:t>246,361,913</w:t>
            </w:r>
          </w:p>
        </w:tc>
        <w:tc>
          <w:tcPr>
            <w:tcW w:w="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7"/>
              </w:rPr>
              <w:t>4.7%</w:t>
            </w:r>
          </w:p>
        </w:tc>
        <w:tc>
          <w:tcPr>
            <w:tcW w:w="8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2.3%</w:t>
            </w:r>
          </w:p>
        </w:tc>
      </w:tr>
      <w:tr>
        <w:trPr>
          <w:trHeight w:val="183"/>
        </w:trPr>
        <w:tc>
          <w:tcPr>
            <w:tcW w:w="594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Total interest earning assets (Adjusted for Asset Revaluation)</w:t>
            </w:r>
          </w:p>
        </w:tc>
        <w:tc>
          <w:tcPr>
            <w:tcW w:w="1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9"/>
              </w:rPr>
              <w:t>240,711,245</w:t>
            </w:r>
          </w:p>
        </w:tc>
        <w:tc>
          <w:tcPr>
            <w:tcW w:w="12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239,824,996</w:t>
            </w:r>
          </w:p>
        </w:tc>
        <w:tc>
          <w:tcPr>
            <w:tcW w:w="1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9"/>
              </w:rPr>
              <w:t>248,477,652</w:t>
            </w:r>
          </w:p>
        </w:tc>
        <w:tc>
          <w:tcPr>
            <w:tcW w:w="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7"/>
              </w:rPr>
              <w:t>3.6%</w:t>
            </w:r>
          </w:p>
        </w:tc>
        <w:tc>
          <w:tcPr>
            <w:tcW w:w="8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3.2%</w:t>
            </w:r>
          </w:p>
        </w:tc>
      </w:tr>
      <w:tr>
        <w:trPr>
          <w:trHeight w:val="183"/>
        </w:trPr>
        <w:tc>
          <w:tcPr>
            <w:tcW w:w="5940" w:type="dxa"/>
            <w:vAlign w:val="bottom"/>
            <w:tcBorders>
              <w:left w:val="single" w:sz="8" w:color="auto"/>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Total interest earning assets (Adjusted for Asset Revaluation, FX Neutral</w:t>
            </w:r>
          </w:p>
        </w:tc>
        <w:tc>
          <w:tcPr>
            <w:tcW w:w="1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USD/PEN)</w:t>
            </w:r>
          </w:p>
        </w:tc>
        <w:tc>
          <w:tcPr>
            <w:tcW w:w="124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7"/>
              </w:rPr>
              <w:t>5.1%</w:t>
            </w:r>
          </w:p>
        </w:tc>
        <w:tc>
          <w:tcPr>
            <w:tcW w:w="8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8.6%</w:t>
            </w:r>
          </w:p>
        </w:tc>
      </w:tr>
    </w:tbl>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color w:val="auto"/>
        </w:rPr>
        <w:t>IEA increased 4.7% QoQ and 2.3% YoY. Excluding the impact of both, the accounting adjustment at BCP Bolivia and the depreciation of the</w:t>
      </w:r>
    </w:p>
    <w:p>
      <w:pPr>
        <w:spacing w:after="0" w:line="18" w:lineRule="exact"/>
        <w:rPr>
          <w:sz w:val="20"/>
          <w:szCs w:val="20"/>
          <w:color w:val="auto"/>
        </w:rPr>
      </w:pPr>
    </w:p>
    <w:p>
      <w:pPr>
        <w:ind w:left="7"/>
        <w:spacing w:after="0"/>
        <w:rPr>
          <w:sz w:val="20"/>
          <w:szCs w:val="20"/>
          <w:color w:val="auto"/>
        </w:rPr>
      </w:pPr>
      <w:r>
        <w:rPr>
          <w:rFonts w:ascii="Arial" w:cs="Arial" w:eastAsia="Arial" w:hAnsi="Arial"/>
          <w:sz w:val="18"/>
          <w:szCs w:val="18"/>
          <w:color w:val="auto"/>
        </w:rPr>
        <w:t>USD against PEN, IEA presented the following dynamics:</w:t>
      </w:r>
    </w:p>
    <w:p>
      <w:pPr>
        <w:spacing w:after="0" w:line="174" w:lineRule="exact"/>
        <w:rPr>
          <w:sz w:val="20"/>
          <w:szCs w:val="20"/>
          <w:color w:val="auto"/>
        </w:rPr>
      </w:pPr>
    </w:p>
    <w:p>
      <w:pPr>
        <w:jc w:val="both"/>
        <w:ind w:left="7"/>
        <w:spacing w:after="0" w:line="249"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IEA rose 5.1%. This evolution was driven mainly by Cash and due from banks, buoyed by high levels of market liquidity, which rose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back of inflows from pension fund withdrawals and a subordinated bond issuance at BCP. Loan growth was a secondary contributor to the rise in IEA (see the dynamics in </w:t>
      </w:r>
      <w:r>
        <w:rPr>
          <w:rFonts w:ascii="Arial" w:cs="Arial" w:eastAsia="Arial" w:hAnsi="Arial"/>
          <w:sz w:val="18"/>
          <w:szCs w:val="18"/>
          <w:b w:val="1"/>
          <w:bCs w:val="1"/>
          <w:color w:val="auto"/>
        </w:rPr>
        <w:t>Chapter 1. Loan Portfolio).</w:t>
      </w:r>
      <w:r>
        <w:rPr>
          <w:rFonts w:ascii="Arial" w:cs="Arial" w:eastAsia="Arial" w:hAnsi="Arial"/>
          <w:sz w:val="18"/>
          <w:szCs w:val="18"/>
          <w:color w:val="auto"/>
        </w:rPr>
        <w:t xml:space="preserve"> The drop in Cash collateral, reverse repurchase agreements and securities borrowing, was driven by the expiration of positions taken by Credicorp Capital, offset the upward trend in IEA this quarter.</w:t>
      </w:r>
    </w:p>
    <w:p>
      <w:pPr>
        <w:spacing w:after="0" w:line="154" w:lineRule="exact"/>
        <w:rPr>
          <w:sz w:val="20"/>
          <w:szCs w:val="20"/>
          <w:color w:val="auto"/>
        </w:rPr>
      </w:pPr>
    </w:p>
    <w:p>
      <w:pPr>
        <w:jc w:val="both"/>
        <w:ind w:left="7"/>
        <w:spacing w:after="0" w:line="256"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IEA expanded 8.6%. This evolution was driven by, in order of impact, by: i) growth in the Loan balance, which was primarily fueled by</w:t>
      </w:r>
      <w:r>
        <w:rPr>
          <w:rFonts w:ascii="Arial" w:cs="Arial" w:eastAsia="Arial" w:hAnsi="Arial"/>
          <w:sz w:val="18"/>
          <w:szCs w:val="18"/>
          <w:b w:val="1"/>
          <w:bCs w:val="1"/>
          <w:color w:val="auto"/>
        </w:rPr>
        <w:t xml:space="preserve"> </w:t>
      </w:r>
      <w:r>
        <w:rPr>
          <w:rFonts w:ascii="Arial" w:cs="Arial" w:eastAsia="Arial" w:hAnsi="Arial"/>
          <w:sz w:val="18"/>
          <w:szCs w:val="18"/>
          <w:color w:val="auto"/>
        </w:rPr>
        <w:t>retail segments at BCP Stand-alone; ii) an uptick in Available Funds, which rose through the same dynamics seen QoQ; iii) growth in cash collateral, reverse repurchasing agreements and securities borrowing; and iv) a mild increase in the Investment portfolio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683895</wp:posOffset>
            </wp:positionV>
            <wp:extent cx="71577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109855</wp:posOffset>
            </wp:positionV>
            <wp:extent cx="6764020" cy="462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64020" cy="46291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26" w:name="page27"/>
    <w:bookmarkEnd w:id="26"/>
    <w:p>
      <w:pPr>
        <w:ind w:left="2680"/>
        <w:spacing w:after="0"/>
        <w:tabs>
          <w:tab w:leader="none" w:pos="3000" w:val="left"/>
          <w:tab w:leader="none" w:pos="9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246380</wp:posOffset>
            </wp:positionV>
            <wp:extent cx="715772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03. Interest-earning Assets (IEA) and Funding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Funding</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6200" w:type="dxa"/>
            <w:vAlign w:val="bottom"/>
            <w:tcBorders>
              <w:top w:val="single" w:sz="8" w:color="auto"/>
              <w:left w:val="single" w:sz="8" w:color="auto"/>
              <w:right w:val="single" w:sz="8" w:color="auto"/>
            </w:tcBorders>
            <w:shd w:val="clear" w:color="auto" w:fill="33CCCC"/>
          </w:tcPr>
          <w:p>
            <w:pPr>
              <w:spacing w:after="0" w:line="191" w:lineRule="exact"/>
              <w:rPr>
                <w:sz w:val="20"/>
                <w:szCs w:val="20"/>
                <w:color w:val="auto"/>
              </w:rPr>
            </w:pPr>
            <w:r>
              <w:rPr>
                <w:rFonts w:ascii="Arial" w:cs="Arial" w:eastAsia="Arial" w:hAnsi="Arial"/>
                <w:sz w:val="18"/>
                <w:szCs w:val="18"/>
                <w:b w:val="1"/>
                <w:bCs w:val="1"/>
                <w:color w:val="FFFFFF"/>
              </w:rPr>
              <w:t>Funding</w:t>
            </w:r>
          </w:p>
        </w:tc>
        <w:tc>
          <w:tcPr>
            <w:tcW w:w="1240" w:type="dxa"/>
            <w:vAlign w:val="bottom"/>
            <w:tcBorders>
              <w:top w:val="single" w:sz="8" w:color="auto"/>
            </w:tcBorders>
            <w:shd w:val="clear" w:color="auto" w:fill="33CCCC"/>
          </w:tcPr>
          <w:p>
            <w:pPr>
              <w:spacing w:after="0"/>
              <w:rPr>
                <w:sz w:val="16"/>
                <w:szCs w:val="16"/>
                <w:color w:val="auto"/>
              </w:rPr>
            </w:pPr>
          </w:p>
        </w:tc>
        <w:tc>
          <w:tcPr>
            <w:tcW w:w="1280" w:type="dxa"/>
            <w:vAlign w:val="bottom"/>
            <w:tcBorders>
              <w:top w:val="single" w:sz="8" w:color="auto"/>
            </w:tcBorders>
            <w:shd w:val="clear" w:color="auto" w:fill="33CCCC"/>
          </w:tcPr>
          <w:p>
            <w:pPr>
              <w:jc w:val="center"/>
              <w:spacing w:after="0" w:line="191" w:lineRule="exact"/>
              <w:rPr>
                <w:sz w:val="20"/>
                <w:szCs w:val="20"/>
                <w:color w:val="auto"/>
              </w:rPr>
            </w:pPr>
            <w:r>
              <w:rPr>
                <w:rFonts w:ascii="Arial" w:cs="Arial" w:eastAsia="Arial" w:hAnsi="Arial"/>
                <w:sz w:val="18"/>
                <w:szCs w:val="18"/>
                <w:b w:val="1"/>
                <w:bCs w:val="1"/>
                <w:color w:val="FFFFFF"/>
                <w:w w:val="97"/>
              </w:rPr>
              <w:t>As of</w:t>
            </w:r>
          </w:p>
        </w:tc>
        <w:tc>
          <w:tcPr>
            <w:tcW w:w="1300" w:type="dxa"/>
            <w:vAlign w:val="bottom"/>
            <w:tcBorders>
              <w:top w:val="single" w:sz="8" w:color="auto"/>
              <w:right w:val="single" w:sz="8" w:color="auto"/>
            </w:tcBorders>
            <w:shd w:val="clear" w:color="auto" w:fill="33CCCC"/>
          </w:tcPr>
          <w:p>
            <w:pPr>
              <w:spacing w:after="0"/>
              <w:rPr>
                <w:sz w:val="16"/>
                <w:szCs w:val="16"/>
                <w:color w:val="auto"/>
              </w:rPr>
            </w:pPr>
          </w:p>
        </w:tc>
        <w:tc>
          <w:tcPr>
            <w:tcW w:w="1260" w:type="dxa"/>
            <w:vAlign w:val="bottom"/>
            <w:tcBorders>
              <w:top w:val="single" w:sz="8" w:color="auto"/>
              <w:right w:val="single" w:sz="8" w:color="auto"/>
            </w:tcBorders>
            <w:gridSpan w:val="2"/>
            <w:shd w:val="clear" w:color="auto" w:fill="33CCCC"/>
          </w:tcPr>
          <w:p>
            <w:pPr>
              <w:jc w:val="right"/>
              <w:ind w:right="150"/>
              <w:spacing w:after="0" w:line="191" w:lineRule="exact"/>
              <w:rPr>
                <w:sz w:val="20"/>
                <w:szCs w:val="20"/>
                <w:color w:val="auto"/>
              </w:rPr>
            </w:pPr>
            <w:r>
              <w:rPr>
                <w:rFonts w:ascii="Arial" w:cs="Arial" w:eastAsia="Arial" w:hAnsi="Arial"/>
                <w:sz w:val="18"/>
                <w:szCs w:val="18"/>
                <w:b w:val="1"/>
                <w:bCs w:val="1"/>
                <w:color w:val="FFFFFF"/>
              </w:rPr>
              <w:t>% change</w:t>
            </w:r>
          </w:p>
        </w:tc>
      </w:tr>
      <w:tr>
        <w:trPr>
          <w:trHeight w:val="227"/>
        </w:trPr>
        <w:tc>
          <w:tcPr>
            <w:tcW w:w="620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8"/>
                <w:szCs w:val="18"/>
                <w:b w:val="1"/>
                <w:bCs w:val="1"/>
                <w:color w:val="FFFFFF"/>
              </w:rPr>
              <w:t>S/ 000</w:t>
            </w:r>
          </w:p>
        </w:tc>
        <w:tc>
          <w:tcPr>
            <w:tcW w:w="1240" w:type="dxa"/>
            <w:vAlign w:val="bottom"/>
            <w:tcBorders>
              <w:bottom w:val="single" w:sz="8" w:color="auto"/>
            </w:tcBorders>
            <w:shd w:val="clear" w:color="auto" w:fill="33CCCC"/>
          </w:tcPr>
          <w:p>
            <w:pPr>
              <w:ind w:left="320"/>
              <w:spacing w:after="0"/>
              <w:rPr>
                <w:sz w:val="20"/>
                <w:szCs w:val="20"/>
                <w:color w:val="auto"/>
              </w:rPr>
            </w:pPr>
            <w:r>
              <w:rPr>
                <w:rFonts w:ascii="Arial" w:cs="Arial" w:eastAsia="Arial" w:hAnsi="Arial"/>
                <w:sz w:val="18"/>
                <w:szCs w:val="18"/>
                <w:b w:val="1"/>
                <w:bCs w:val="1"/>
                <w:color w:val="FFFFFF"/>
              </w:rPr>
              <w:t>Dec 24</w:t>
            </w:r>
          </w:p>
        </w:tc>
        <w:tc>
          <w:tcPr>
            <w:tcW w:w="12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Sep 25</w:t>
            </w:r>
          </w:p>
        </w:tc>
        <w:tc>
          <w:tcPr>
            <w:tcW w:w="1300" w:type="dxa"/>
            <w:vAlign w:val="bottom"/>
            <w:tcBorders>
              <w:bottom w:val="single" w:sz="8" w:color="auto"/>
              <w:right w:val="single" w:sz="8" w:color="auto"/>
            </w:tcBorders>
            <w:shd w:val="clear" w:color="auto" w:fill="33CCCC"/>
          </w:tcPr>
          <w:p>
            <w:pPr>
              <w:jc w:val="right"/>
              <w:ind w:right="290"/>
              <w:spacing w:after="0"/>
              <w:rPr>
                <w:sz w:val="20"/>
                <w:szCs w:val="20"/>
                <w:color w:val="auto"/>
              </w:rPr>
            </w:pPr>
            <w:r>
              <w:rPr>
                <w:rFonts w:ascii="Arial" w:cs="Arial" w:eastAsia="Arial" w:hAnsi="Arial"/>
                <w:sz w:val="18"/>
                <w:szCs w:val="18"/>
                <w:b w:val="1"/>
                <w:bCs w:val="1"/>
                <w:color w:val="FFFFFF"/>
              </w:rPr>
              <w:t>Dec 25</w:t>
            </w:r>
          </w:p>
        </w:tc>
        <w:tc>
          <w:tcPr>
            <w:tcW w:w="620" w:type="dxa"/>
            <w:vAlign w:val="bottom"/>
            <w:tcBorders>
              <w:bottom w:val="single" w:sz="8" w:color="auto"/>
            </w:tcBorders>
            <w:shd w:val="clear" w:color="auto" w:fill="33CCCC"/>
          </w:tcPr>
          <w:p>
            <w:pPr>
              <w:ind w:left="120"/>
              <w:spacing w:after="0"/>
              <w:rPr>
                <w:sz w:val="20"/>
                <w:szCs w:val="20"/>
                <w:color w:val="auto"/>
              </w:rPr>
            </w:pPr>
            <w:r>
              <w:rPr>
                <w:rFonts w:ascii="Arial" w:cs="Arial" w:eastAsia="Arial" w:hAnsi="Arial"/>
                <w:sz w:val="18"/>
                <w:szCs w:val="18"/>
                <w:b w:val="1"/>
                <w:bCs w:val="1"/>
                <w:color w:val="FFFFFF"/>
              </w:rPr>
              <w:t>QoQ</w:t>
            </w:r>
          </w:p>
        </w:tc>
        <w:tc>
          <w:tcPr>
            <w:tcW w:w="640" w:type="dxa"/>
            <w:vAlign w:val="bottom"/>
            <w:tcBorders>
              <w:bottom w:val="single" w:sz="8" w:color="auto"/>
              <w:right w:val="single" w:sz="8" w:color="auto"/>
            </w:tcBorders>
            <w:shd w:val="clear" w:color="auto" w:fill="33CCCC"/>
          </w:tcPr>
          <w:p>
            <w:pPr>
              <w:jc w:val="right"/>
              <w:ind w:right="50"/>
              <w:spacing w:after="0"/>
              <w:rPr>
                <w:sz w:val="20"/>
                <w:szCs w:val="20"/>
                <w:color w:val="auto"/>
              </w:rPr>
            </w:pPr>
            <w:r>
              <w:rPr>
                <w:rFonts w:ascii="Arial" w:cs="Arial" w:eastAsia="Arial" w:hAnsi="Arial"/>
                <w:sz w:val="18"/>
                <w:szCs w:val="18"/>
                <w:b w:val="1"/>
                <w:bCs w:val="1"/>
                <w:color w:val="FFFFFF"/>
              </w:rPr>
              <w:t>YoY</w:t>
            </w:r>
          </w:p>
        </w:tc>
      </w:tr>
      <w:tr>
        <w:trPr>
          <w:trHeight w:val="173"/>
        </w:trPr>
        <w:tc>
          <w:tcPr>
            <w:tcW w:w="6200" w:type="dxa"/>
            <w:vAlign w:val="bottom"/>
            <w:tcBorders>
              <w:left w:val="single" w:sz="8" w:color="auto"/>
              <w:right w:val="single" w:sz="8" w:color="auto"/>
            </w:tcBorders>
          </w:tcPr>
          <w:p>
            <w:pPr>
              <w:spacing w:after="0" w:line="173" w:lineRule="exact"/>
              <w:rPr>
                <w:sz w:val="20"/>
                <w:szCs w:val="20"/>
                <w:color w:val="auto"/>
              </w:rPr>
            </w:pPr>
            <w:r>
              <w:rPr>
                <w:rFonts w:ascii="Arial" w:cs="Arial" w:eastAsia="Arial" w:hAnsi="Arial"/>
                <w:sz w:val="18"/>
                <w:szCs w:val="18"/>
                <w:color w:val="auto"/>
              </w:rPr>
              <w:t>Deposits and obligations</w:t>
            </w:r>
          </w:p>
        </w:tc>
        <w:tc>
          <w:tcPr>
            <w:tcW w:w="1240" w:type="dxa"/>
            <w:vAlign w:val="bottom"/>
          </w:tcPr>
          <w:p>
            <w:pPr>
              <w:jc w:val="center"/>
              <w:spacing w:after="0" w:line="173" w:lineRule="exact"/>
              <w:rPr>
                <w:sz w:val="20"/>
                <w:szCs w:val="20"/>
                <w:color w:val="auto"/>
              </w:rPr>
            </w:pPr>
            <w:r>
              <w:rPr>
                <w:rFonts w:ascii="Arial" w:cs="Arial" w:eastAsia="Arial" w:hAnsi="Arial"/>
                <w:sz w:val="18"/>
                <w:szCs w:val="18"/>
                <w:color w:val="auto"/>
                <w:w w:val="99"/>
              </w:rPr>
              <w:t>161,842,066</w:t>
            </w:r>
          </w:p>
        </w:tc>
        <w:tc>
          <w:tcPr>
            <w:tcW w:w="2580" w:type="dxa"/>
            <w:vAlign w:val="bottom"/>
            <w:tcBorders>
              <w:right w:val="single" w:sz="8" w:color="auto"/>
            </w:tcBorders>
            <w:gridSpan w:val="2"/>
          </w:tcPr>
          <w:p>
            <w:pPr>
              <w:jc w:val="right"/>
              <w:ind w:right="70"/>
              <w:spacing w:after="0" w:line="173" w:lineRule="exact"/>
              <w:rPr>
                <w:sz w:val="20"/>
                <w:szCs w:val="20"/>
                <w:color w:val="auto"/>
              </w:rPr>
            </w:pPr>
            <w:r>
              <w:rPr>
                <w:rFonts w:ascii="Arial" w:cs="Arial" w:eastAsia="Arial" w:hAnsi="Arial"/>
                <w:sz w:val="18"/>
                <w:szCs w:val="18"/>
                <w:color w:val="auto"/>
              </w:rPr>
              <w:t>158,430,455   170,401,633</w:t>
            </w:r>
          </w:p>
        </w:tc>
        <w:tc>
          <w:tcPr>
            <w:tcW w:w="620" w:type="dxa"/>
            <w:vAlign w:val="bottom"/>
          </w:tcPr>
          <w:p>
            <w:pPr>
              <w:jc w:val="center"/>
              <w:spacing w:after="0" w:line="173" w:lineRule="exact"/>
              <w:rPr>
                <w:sz w:val="20"/>
                <w:szCs w:val="20"/>
                <w:color w:val="auto"/>
              </w:rPr>
            </w:pPr>
            <w:r>
              <w:rPr>
                <w:rFonts w:ascii="Arial" w:cs="Arial" w:eastAsia="Arial" w:hAnsi="Arial"/>
                <w:sz w:val="18"/>
                <w:szCs w:val="18"/>
                <w:color w:val="auto"/>
                <w:w w:val="97"/>
              </w:rPr>
              <w:t>7.6%</w:t>
            </w:r>
          </w:p>
        </w:tc>
        <w:tc>
          <w:tcPr>
            <w:tcW w:w="6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7"/>
              </w:rPr>
              <w:t>5.3%</w:t>
            </w:r>
          </w:p>
        </w:tc>
      </w:tr>
      <w:tr>
        <w:trPr>
          <w:trHeight w:val="203"/>
        </w:trPr>
        <w:tc>
          <w:tcPr>
            <w:tcW w:w="620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Due to banks and correspondents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10,754,385</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9"/>
              </w:rPr>
              <w:t>11,241,079</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10,675,238</w:t>
            </w:r>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rPr>
              <w:t>-5.0%</w:t>
            </w:r>
          </w:p>
        </w:tc>
        <w:tc>
          <w:tcPr>
            <w:tcW w:w="6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-0.7%</w:t>
            </w:r>
          </w:p>
        </w:tc>
      </w:tr>
      <w:tr>
        <w:trPr>
          <w:trHeight w:val="203"/>
        </w:trPr>
        <w:tc>
          <w:tcPr>
            <w:tcW w:w="620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BCRP instruments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6,646,830</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9"/>
              </w:rPr>
              <w:t>6,643,892</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4,776,512</w:t>
            </w:r>
          </w:p>
        </w:tc>
        <w:tc>
          <w:tcPr>
            <w:tcW w:w="1260" w:type="dxa"/>
            <w:vAlign w:val="bottom"/>
            <w:tcBorders>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-28.1% -28.1%</w:t>
            </w:r>
          </w:p>
        </w:tc>
      </w:tr>
      <w:tr>
        <w:trPr>
          <w:trHeight w:val="203"/>
        </w:trPr>
        <w:tc>
          <w:tcPr>
            <w:tcW w:w="620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Repurchase agreements with clients and third parties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2,413,880</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9"/>
              </w:rPr>
              <w:t>3,537,281</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3,467,275</w:t>
            </w:r>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rPr>
              <w:t>-2.0%</w:t>
            </w:r>
          </w:p>
        </w:tc>
        <w:tc>
          <w:tcPr>
            <w:tcW w:w="6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43.6%</w:t>
            </w:r>
          </w:p>
        </w:tc>
      </w:tr>
      <w:tr>
        <w:trPr>
          <w:trHeight w:val="225"/>
        </w:trPr>
        <w:tc>
          <w:tcPr>
            <w:tcW w:w="62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Bonds and notes issued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17,268,443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12,209,724</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14,025,535</w:t>
            </w:r>
          </w:p>
        </w:tc>
        <w:tc>
          <w:tcPr>
            <w:tcW w:w="12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14.9% -18.8%</w:t>
            </w:r>
          </w:p>
        </w:tc>
      </w:tr>
      <w:tr>
        <w:trPr>
          <w:trHeight w:val="196"/>
        </w:trPr>
        <w:tc>
          <w:tcPr>
            <w:tcW w:w="6200" w:type="dxa"/>
            <w:vAlign w:val="bottom"/>
            <w:tcBorders>
              <w:left w:val="single" w:sz="8" w:color="auto"/>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funding</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198,925,604</w:t>
            </w:r>
          </w:p>
        </w:tc>
        <w:tc>
          <w:tcPr>
            <w:tcW w:w="2580" w:type="dxa"/>
            <w:vAlign w:val="bottom"/>
            <w:tcBorders>
              <w:bottom w:val="single" w:sz="8" w:color="auto"/>
              <w:right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192,062,431   203,346,193</w:t>
            </w:r>
          </w:p>
        </w:tc>
        <w:tc>
          <w:tcPr>
            <w:tcW w:w="6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5.9%</w:t>
            </w:r>
          </w:p>
        </w:tc>
        <w:tc>
          <w:tcPr>
            <w:tcW w:w="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2.2%</w:t>
            </w:r>
          </w:p>
        </w:tc>
      </w:tr>
      <w:tr>
        <w:trPr>
          <w:trHeight w:val="196"/>
        </w:trPr>
        <w:tc>
          <w:tcPr>
            <w:tcW w:w="6200" w:type="dxa"/>
            <w:vAlign w:val="bottom"/>
            <w:tcBorders>
              <w:left w:val="single" w:sz="8" w:color="auto"/>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funding (Adjusted for Asset Revaluation)</w:t>
            </w:r>
          </w:p>
        </w:tc>
        <w:tc>
          <w:tcPr>
            <w:tcW w:w="12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198,925,604</w:t>
            </w:r>
          </w:p>
        </w:tc>
        <w:tc>
          <w:tcPr>
            <w:tcW w:w="12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197,503,936</w:t>
            </w:r>
          </w:p>
        </w:tc>
        <w:tc>
          <w:tcPr>
            <w:tcW w:w="130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205,659,047</w:t>
            </w:r>
          </w:p>
        </w:tc>
        <w:tc>
          <w:tcPr>
            <w:tcW w:w="6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4.1%</w:t>
            </w:r>
          </w:p>
        </w:tc>
        <w:tc>
          <w:tcPr>
            <w:tcW w:w="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3.4%</w:t>
            </w:r>
          </w:p>
        </w:tc>
      </w:tr>
      <w:tr>
        <w:trPr>
          <w:trHeight w:val="196"/>
        </w:trPr>
        <w:tc>
          <w:tcPr>
            <w:tcW w:w="6200" w:type="dxa"/>
            <w:vAlign w:val="bottom"/>
            <w:tcBorders>
              <w:left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funding (Adjusted for Asset Revaluation, FX Neutral USD/PEN)</w:t>
            </w:r>
          </w:p>
        </w:tc>
        <w:tc>
          <w:tcPr>
            <w:tcW w:w="1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5.7%</w:t>
            </w:r>
          </w:p>
        </w:tc>
        <w:tc>
          <w:tcPr>
            <w:tcW w:w="6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9.1%</w:t>
            </w: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Funding increased by 5.9% QoQ and 2.2% YoY. Excluding the impact of both, the accounting adjustment at BCP Bolivia and the depreciation of the USD against PEN, funding presented the following dynamics:</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 funding rose 5.7%, driven primarily by an increase in Deposits and obligations, which rose mainly through growth in low-cost deposits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(See </w:t>
      </w:r>
      <w:r>
        <w:rPr>
          <w:rFonts w:ascii="Arial" w:cs="Arial" w:eastAsia="Arial" w:hAnsi="Arial"/>
          <w:sz w:val="18"/>
          <w:szCs w:val="18"/>
          <w:b w:val="1"/>
          <w:bCs w:val="1"/>
          <w:color w:val="auto"/>
        </w:rPr>
        <w:t>Chapter 2. Deposits for more details)</w:t>
      </w:r>
      <w:r>
        <w:rPr>
          <w:rFonts w:ascii="Arial" w:cs="Arial" w:eastAsia="Arial" w:hAnsi="Arial"/>
          <w:sz w:val="18"/>
          <w:szCs w:val="18"/>
          <w:color w:val="auto"/>
        </w:rPr>
        <w:t xml:space="preserve"> and secondarily by Bonds and notes issued through a subordinated bond issuance at BCP. These positive contributions were partially offset by a drop in BCRP Instruments, which were impacted by expirations and a reduction in BCRP’s offerings in a high liquidity context.</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funding grew 9.1%, driven mainly by an uptick in Deposits and obligations. Although pension fund withdrawals were a relevant external</w:t>
      </w:r>
      <w:r>
        <w:rPr>
          <w:rFonts w:ascii="Arial" w:cs="Arial" w:eastAsia="Arial" w:hAnsi="Arial"/>
          <w:sz w:val="18"/>
          <w:szCs w:val="18"/>
          <w:b w:val="1"/>
          <w:bCs w:val="1"/>
          <w:color w:val="auto"/>
        </w:rPr>
        <w:t xml:space="preserve"> </w:t>
      </w:r>
      <w:r>
        <w:rPr>
          <w:rFonts w:ascii="Arial" w:cs="Arial" w:eastAsia="Arial" w:hAnsi="Arial"/>
          <w:sz w:val="18"/>
          <w:szCs w:val="18"/>
          <w:color w:val="auto"/>
        </w:rPr>
        <w:t>catalyst to growth in deposit balances, the solid transactional offering provided by Credicorp’s ecosystem also played a major role in driving structural growth in low-cost deposits. Growth in funding was partially offset by: i) expirations of BCP bonds, which were registered during the year, and ii) the reduction in the balance of BCRP instruments, which reflect the same dynamics mentioned in the QoQ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687705</wp:posOffset>
            </wp:positionV>
            <wp:extent cx="71577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113030</wp:posOffset>
            </wp:positionV>
            <wp:extent cx="6764020" cy="462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64020" cy="462915"/>
                    </a:xfrm>
                    <a:prstGeom prst="rect">
                      <a:avLst/>
                    </a:prstGeom>
                    <a:noFill/>
                  </pic:spPr>
                </pic:pic>
              </a:graphicData>
            </a:graphic>
          </wp:anchor>
        </w:drawing>
      </w:r>
    </w:p>
    <w:p>
      <w:pPr>
        <w:sectPr>
          <w:pgSz w:w="11920" w:h="16838" w:orient="portrait"/>
          <w:cols w:equalWidth="0" w:num="1">
            <w:col w:w="11260"/>
          </w:cols>
          <w:pgMar w:left="340" w:top="481" w:right="318" w:bottom="1440" w:gutter="0" w:footer="0" w:header="0"/>
        </w:sectPr>
      </w:pPr>
    </w:p>
    <w:bookmarkStart w:id="27" w:name="page28"/>
    <w:bookmarkEnd w:id="27"/>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687" w:hanging="687"/>
        <w:spacing w:after="0"/>
        <w:tabs>
          <w:tab w:leader="none" w:pos="687" w:val="left"/>
        </w:tabs>
        <w:numPr>
          <w:ilvl w:val="0"/>
          <w:numId w:val="22"/>
        </w:numPr>
        <w:rPr>
          <w:rFonts w:ascii="Arial" w:cs="Arial" w:eastAsia="Arial" w:hAnsi="Arial"/>
          <w:sz w:val="32"/>
          <w:szCs w:val="32"/>
          <w:b w:val="1"/>
          <w:bCs w:val="1"/>
          <w:color w:val="E93BAC"/>
        </w:rPr>
      </w:pPr>
      <w:r>
        <w:rPr>
          <w:rFonts w:ascii="Arial" w:cs="Arial" w:eastAsia="Arial" w:hAnsi="Arial"/>
          <w:sz w:val="32"/>
          <w:szCs w:val="32"/>
          <w:color w:val="E93BAC"/>
        </w:rPr>
        <w:t>Net Interest Income (NII)</w:t>
      </w:r>
    </w:p>
    <w:p>
      <w:pPr>
        <w:spacing w:after="0" w:line="176" w:lineRule="exact"/>
        <w:rPr>
          <w:sz w:val="20"/>
          <w:szCs w:val="20"/>
          <w:color w:val="auto"/>
        </w:rPr>
      </w:pPr>
    </w:p>
    <w:p>
      <w:pPr>
        <w:jc w:val="both"/>
        <w:ind w:left="107" w:right="100"/>
        <w:spacing w:after="0" w:line="276" w:lineRule="auto"/>
        <w:rPr>
          <w:sz w:val="20"/>
          <w:szCs w:val="20"/>
          <w:color w:val="auto"/>
        </w:rPr>
      </w:pPr>
      <w:r>
        <w:rPr>
          <w:rFonts w:ascii="Arial" w:cs="Arial" w:eastAsia="Arial" w:hAnsi="Arial"/>
          <w:sz w:val="18"/>
          <w:szCs w:val="18"/>
          <w:color w:val="FFFFFF"/>
        </w:rPr>
        <w:t>Net Interest Income (INI) rose 4.2% QoQ, driven mainly by an increase in Interest from loans and secondarily by surplus liquidity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157720" cy="1569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1569085"/>
                    </a:xfrm>
                    <a:prstGeom prst="rect">
                      <a:avLst/>
                    </a:prstGeom>
                    <a:noFill/>
                  </pic:spPr>
                </pic:pic>
              </a:graphicData>
            </a:graphic>
          </wp:anchor>
        </w:drawing>
      </w:r>
    </w:p>
    <w:p>
      <w:pPr>
        <w:spacing w:after="0" w:line="111" w:lineRule="exact"/>
        <w:rPr>
          <w:sz w:val="20"/>
          <w:szCs w:val="20"/>
          <w:color w:val="auto"/>
        </w:rPr>
      </w:pPr>
    </w:p>
    <w:p>
      <w:pPr>
        <w:jc w:val="both"/>
        <w:ind w:left="107" w:right="100"/>
        <w:spacing w:after="0" w:line="255" w:lineRule="auto"/>
        <w:rPr>
          <w:sz w:val="20"/>
          <w:szCs w:val="20"/>
          <w:color w:val="auto"/>
        </w:rPr>
      </w:pPr>
      <w:r>
        <w:rPr>
          <w:rFonts w:ascii="Arial" w:cs="Arial" w:eastAsia="Arial" w:hAnsi="Arial"/>
          <w:sz w:val="18"/>
          <w:szCs w:val="18"/>
          <w:color w:val="FFFFFF"/>
        </w:rPr>
        <w:t>YoY, NII rose 5.8%, triggered primarily by an increase in Interest and Similar Income. This item rose on the back of growth in loans volumes, which benefitted from an uptick in volumes and a more profitable mix. The decrease in Interest and Similar Expenses, which was attributable to a drop in market rates and an increase in balances for low-cost deposits, also contributed to growth in NII.</w:t>
      </w:r>
    </w:p>
    <w:p>
      <w:pPr>
        <w:spacing w:after="0" w:line="150" w:lineRule="exact"/>
        <w:rPr>
          <w:sz w:val="20"/>
          <w:szCs w:val="20"/>
          <w:color w:val="auto"/>
        </w:rPr>
      </w:pPr>
    </w:p>
    <w:p>
      <w:pPr>
        <w:jc w:val="both"/>
        <w:ind w:left="107" w:right="100"/>
        <w:spacing w:after="0" w:line="223" w:lineRule="exact"/>
        <w:rPr>
          <w:sz w:val="20"/>
          <w:szCs w:val="20"/>
          <w:color w:val="auto"/>
        </w:rPr>
      </w:pPr>
      <w:r>
        <w:rPr>
          <w:rFonts w:ascii="Arial" w:cs="Arial" w:eastAsia="Arial" w:hAnsi="Arial"/>
          <w:sz w:val="18"/>
          <w:szCs w:val="18"/>
          <w:color w:val="FFFFFF"/>
        </w:rPr>
        <w:t>NIM increased by 5 bps YoY to 6.62% in 4Q25, driven by a reduction in the cost of funding and by higher yields on IEAs, associated with loan growth. Risk</w:t>
      </w:r>
      <w:r>
        <w:rPr>
          <w:rFonts w:ascii="MS PGothic" w:cs="MS PGothic" w:eastAsia="MS PGothic" w:hAnsi="MS PGothic"/>
          <w:sz w:val="18"/>
          <w:szCs w:val="18"/>
          <w:color w:val="FFFFFF"/>
        </w:rPr>
        <w:t>‑</w:t>
      </w:r>
      <w:r>
        <w:rPr>
          <w:rFonts w:ascii="Arial" w:cs="Arial" w:eastAsia="Arial" w:hAnsi="Arial"/>
          <w:sz w:val="18"/>
          <w:szCs w:val="18"/>
          <w:color w:val="FFFFFF"/>
        </w:rPr>
        <w:t>adjusted NIM reached a new peak</w:t>
      </w:r>
      <w:r>
        <w:rPr>
          <w:rFonts w:ascii="Arial" w:cs="Arial" w:eastAsia="Arial" w:hAnsi="Arial"/>
          <w:sz w:val="29"/>
          <w:szCs w:val="29"/>
          <w:color w:val="FFFFFF"/>
          <w:vertAlign w:val="superscript"/>
        </w:rPr>
        <w:t>1</w:t>
      </w:r>
      <w:r>
        <w:rPr>
          <w:rFonts w:ascii="Arial" w:cs="Arial" w:eastAsia="Arial" w:hAnsi="Arial"/>
          <w:sz w:val="18"/>
          <w:szCs w:val="18"/>
          <w:color w:val="FFFFFF"/>
        </w:rPr>
        <w:t xml:space="preserve"> of 5.55% in 4Q25 and rose 51 bps over the year. This performance was driven by a shift in our loan portfolio mix toward retail segments, strengthened by improvements in risk management, and supported by a favorable macroeconomic environment.</w:t>
      </w:r>
    </w:p>
    <w:p>
      <w:pPr>
        <w:spacing w:after="0" w:line="354" w:lineRule="exact"/>
        <w:rPr>
          <w:sz w:val="20"/>
          <w:szCs w:val="20"/>
          <w:color w:val="auto"/>
        </w:rPr>
      </w:pPr>
    </w:p>
    <w:tbl>
      <w:tblPr>
        <w:tblLayout w:type="fixed"/>
        <w:tblInd w:w="17" w:type="dxa"/>
        <w:tblCellMar>
          <w:top w:w="0" w:type="dxa"/>
          <w:left w:w="0" w:type="dxa"/>
          <w:bottom w:w="0" w:type="dxa"/>
          <w:right w:w="0" w:type="dxa"/>
        </w:tblCellMar>
      </w:tblPr>
      <w:tr>
        <w:trPr>
          <w:trHeight w:val="149"/>
        </w:trPr>
        <w:tc>
          <w:tcPr>
            <w:tcW w:w="392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2"/>
                <w:szCs w:val="12"/>
                <w:b w:val="1"/>
                <w:bCs w:val="1"/>
                <w:color w:val="FFFFFF"/>
              </w:rPr>
              <w:t>Net interest income</w:t>
            </w:r>
          </w:p>
        </w:tc>
        <w:tc>
          <w:tcPr>
            <w:tcW w:w="880" w:type="dxa"/>
            <w:vAlign w:val="bottom"/>
            <w:tcBorders>
              <w:top w:val="single" w:sz="8" w:color="auto"/>
            </w:tcBorders>
            <w:shd w:val="clear" w:color="auto" w:fill="33CCCC"/>
          </w:tcPr>
          <w:p>
            <w:pPr>
              <w:spacing w:after="0"/>
              <w:rPr>
                <w:sz w:val="12"/>
                <w:szCs w:val="12"/>
                <w:color w:val="auto"/>
              </w:rPr>
            </w:pPr>
          </w:p>
        </w:tc>
        <w:tc>
          <w:tcPr>
            <w:tcW w:w="880" w:type="dxa"/>
            <w:vAlign w:val="bottom"/>
            <w:tcBorders>
              <w:top w:val="single" w:sz="8" w:color="auto"/>
            </w:tcBorders>
            <w:shd w:val="clear" w:color="auto" w:fill="33CCCC"/>
          </w:tcPr>
          <w:p>
            <w:pPr>
              <w:ind w:left="220"/>
              <w:spacing w:after="0"/>
              <w:rPr>
                <w:sz w:val="20"/>
                <w:szCs w:val="20"/>
                <w:color w:val="auto"/>
              </w:rPr>
            </w:pPr>
            <w:r>
              <w:rPr>
                <w:rFonts w:ascii="Arial" w:cs="Arial" w:eastAsia="Arial" w:hAnsi="Arial"/>
                <w:sz w:val="12"/>
                <w:szCs w:val="12"/>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2"/>
                <w:szCs w:val="12"/>
                <w:color w:val="auto"/>
              </w:rPr>
            </w:pPr>
          </w:p>
        </w:tc>
        <w:tc>
          <w:tcPr>
            <w:tcW w:w="1660" w:type="dxa"/>
            <w:vAlign w:val="bottom"/>
            <w:tcBorders>
              <w:top w:val="single" w:sz="8" w:color="auto"/>
              <w:right w:val="single" w:sz="8" w:color="auto"/>
            </w:tcBorders>
            <w:gridSpan w:val="2"/>
            <w:shd w:val="clear" w:color="auto" w:fill="33CCCC"/>
          </w:tcPr>
          <w:p>
            <w:pPr>
              <w:ind w:left="540"/>
              <w:spacing w:after="0"/>
              <w:rPr>
                <w:sz w:val="20"/>
                <w:szCs w:val="20"/>
                <w:color w:val="auto"/>
              </w:rPr>
            </w:pPr>
            <w:r>
              <w:rPr>
                <w:rFonts w:ascii="Arial" w:cs="Arial" w:eastAsia="Arial" w:hAnsi="Arial"/>
                <w:sz w:val="12"/>
                <w:szCs w:val="12"/>
                <w:b w:val="1"/>
                <w:bCs w:val="1"/>
                <w:color w:val="FFFFFF"/>
              </w:rPr>
              <w:t>% change</w:t>
            </w:r>
          </w:p>
        </w:tc>
        <w:tc>
          <w:tcPr>
            <w:tcW w:w="1760" w:type="dxa"/>
            <w:vAlign w:val="bottom"/>
            <w:tcBorders>
              <w:top w:val="single" w:sz="8" w:color="auto"/>
              <w:right w:val="single" w:sz="8" w:color="auto"/>
            </w:tcBorders>
            <w:gridSpan w:val="2"/>
            <w:shd w:val="clear" w:color="auto" w:fill="33CCCC"/>
          </w:tcPr>
          <w:p>
            <w:pPr>
              <w:ind w:left="720"/>
              <w:spacing w:after="0"/>
              <w:rPr>
                <w:sz w:val="20"/>
                <w:szCs w:val="20"/>
                <w:color w:val="auto"/>
              </w:rPr>
            </w:pPr>
            <w:r>
              <w:rPr>
                <w:rFonts w:ascii="Arial" w:cs="Arial" w:eastAsia="Arial" w:hAnsi="Arial"/>
                <w:sz w:val="12"/>
                <w:szCs w:val="12"/>
                <w:b w:val="1"/>
                <w:bCs w:val="1"/>
                <w:color w:val="FFFFFF"/>
              </w:rPr>
              <w:t>Up to</w:t>
            </w:r>
          </w:p>
        </w:tc>
        <w:tc>
          <w:tcPr>
            <w:tcW w:w="12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6"/>
              </w:rPr>
              <w:t>% Change</w:t>
            </w:r>
          </w:p>
        </w:tc>
      </w:tr>
      <w:tr>
        <w:trPr>
          <w:trHeight w:val="135"/>
        </w:trPr>
        <w:tc>
          <w:tcPr>
            <w:tcW w:w="3920" w:type="dxa"/>
            <w:vAlign w:val="bottom"/>
            <w:tcBorders>
              <w:left w:val="single" w:sz="8" w:color="auto"/>
              <w:bottom w:val="single" w:sz="8" w:color="auto"/>
              <w:right w:val="single" w:sz="8" w:color="auto"/>
            </w:tcBorders>
            <w:shd w:val="clear" w:color="auto" w:fill="33CCCC"/>
          </w:tcPr>
          <w:p>
            <w:pPr>
              <w:spacing w:after="0" w:line="135" w:lineRule="exact"/>
              <w:rPr>
                <w:sz w:val="20"/>
                <w:szCs w:val="20"/>
                <w:color w:val="auto"/>
              </w:rPr>
            </w:pPr>
            <w:r>
              <w:rPr>
                <w:rFonts w:ascii="Arial" w:cs="Arial" w:eastAsia="Arial" w:hAnsi="Arial"/>
                <w:sz w:val="12"/>
                <w:szCs w:val="12"/>
                <w:b w:val="1"/>
                <w:bCs w:val="1"/>
                <w:color w:val="FFFFFF"/>
              </w:rPr>
              <w:t>S/000</w:t>
            </w:r>
          </w:p>
        </w:tc>
        <w:tc>
          <w:tcPr>
            <w:tcW w:w="88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rPr>
              <w:t>4Q24</w:t>
            </w:r>
          </w:p>
        </w:tc>
        <w:tc>
          <w:tcPr>
            <w:tcW w:w="88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3Q25</w:t>
            </w:r>
          </w:p>
        </w:tc>
        <w:tc>
          <w:tcPr>
            <w:tcW w:w="90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5"/>
              </w:rPr>
              <w:t>4Q25</w:t>
            </w:r>
          </w:p>
        </w:tc>
        <w:tc>
          <w:tcPr>
            <w:tcW w:w="820" w:type="dxa"/>
            <w:vAlign w:val="bottom"/>
            <w:tcBorders>
              <w:bottom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2"/>
              </w:rPr>
              <w:t>QoQ</w:t>
            </w:r>
          </w:p>
        </w:tc>
        <w:tc>
          <w:tcPr>
            <w:tcW w:w="84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4"/>
              </w:rPr>
              <w:t>YoY</w:t>
            </w:r>
          </w:p>
        </w:tc>
        <w:tc>
          <w:tcPr>
            <w:tcW w:w="860" w:type="dxa"/>
            <w:vAlign w:val="bottom"/>
            <w:tcBorders>
              <w:bottom w:val="single" w:sz="8" w:color="auto"/>
            </w:tcBorders>
            <w:shd w:val="clear" w:color="auto" w:fill="33CCCC"/>
          </w:tcPr>
          <w:p>
            <w:pPr>
              <w:ind w:left="240"/>
              <w:spacing w:after="0" w:line="135" w:lineRule="exact"/>
              <w:rPr>
                <w:sz w:val="20"/>
                <w:szCs w:val="20"/>
                <w:color w:val="auto"/>
              </w:rPr>
            </w:pPr>
            <w:r>
              <w:rPr>
                <w:rFonts w:ascii="Arial" w:cs="Arial" w:eastAsia="Arial" w:hAnsi="Arial"/>
                <w:sz w:val="12"/>
                <w:szCs w:val="12"/>
                <w:b w:val="1"/>
                <w:bCs w:val="1"/>
                <w:color w:val="FFFFFF"/>
              </w:rPr>
              <w:t>Dec 24</w:t>
            </w:r>
          </w:p>
        </w:tc>
        <w:tc>
          <w:tcPr>
            <w:tcW w:w="900" w:type="dxa"/>
            <w:vAlign w:val="bottom"/>
            <w:tcBorders>
              <w:bottom w:val="single" w:sz="8" w:color="auto"/>
              <w:right w:val="single" w:sz="8" w:color="auto"/>
            </w:tcBorders>
            <w:shd w:val="clear" w:color="auto" w:fill="33CCCC"/>
          </w:tcPr>
          <w:p>
            <w:pPr>
              <w:ind w:left="260"/>
              <w:spacing w:after="0" w:line="135" w:lineRule="exact"/>
              <w:rPr>
                <w:sz w:val="20"/>
                <w:szCs w:val="20"/>
                <w:color w:val="auto"/>
              </w:rPr>
            </w:pPr>
            <w:r>
              <w:rPr>
                <w:rFonts w:ascii="Arial" w:cs="Arial" w:eastAsia="Arial" w:hAnsi="Arial"/>
                <w:sz w:val="12"/>
                <w:szCs w:val="12"/>
                <w:b w:val="1"/>
                <w:bCs w:val="1"/>
                <w:color w:val="FFFFFF"/>
              </w:rPr>
              <w:t>Dec 25</w:t>
            </w:r>
          </w:p>
        </w:tc>
        <w:tc>
          <w:tcPr>
            <w:tcW w:w="1280" w:type="dxa"/>
            <w:vAlign w:val="bottom"/>
            <w:tcBorders>
              <w:bottom w:val="single" w:sz="8" w:color="auto"/>
              <w:right w:val="single" w:sz="8" w:color="auto"/>
            </w:tcBorders>
            <w:shd w:val="clear" w:color="auto" w:fill="33CCCC"/>
          </w:tcPr>
          <w:p>
            <w:pPr>
              <w:jc w:val="center"/>
              <w:spacing w:after="0" w:line="135" w:lineRule="exact"/>
              <w:rPr>
                <w:sz w:val="20"/>
                <w:szCs w:val="20"/>
                <w:color w:val="auto"/>
              </w:rPr>
            </w:pPr>
            <w:r>
              <w:rPr>
                <w:rFonts w:ascii="Arial" w:cs="Arial" w:eastAsia="Arial" w:hAnsi="Arial"/>
                <w:sz w:val="12"/>
                <w:szCs w:val="12"/>
                <w:b w:val="1"/>
                <w:bCs w:val="1"/>
                <w:color w:val="FFFFFF"/>
                <w:w w:val="98"/>
              </w:rPr>
              <w:t>Dec 25 / Dec 24</w:t>
            </w:r>
          </w:p>
        </w:tc>
      </w:tr>
      <w:tr>
        <w:trPr>
          <w:trHeight w:val="117"/>
        </w:trPr>
        <w:tc>
          <w:tcPr>
            <w:tcW w:w="3920" w:type="dxa"/>
            <w:vAlign w:val="bottom"/>
            <w:tcBorders>
              <w:left w:val="single" w:sz="8" w:color="auto"/>
              <w:right w:val="single" w:sz="8" w:color="auto"/>
            </w:tcBorders>
          </w:tcPr>
          <w:p>
            <w:pPr>
              <w:ind w:left="340"/>
              <w:spacing w:after="0" w:line="117" w:lineRule="exact"/>
              <w:rPr>
                <w:sz w:val="20"/>
                <w:szCs w:val="20"/>
                <w:color w:val="auto"/>
              </w:rPr>
            </w:pPr>
            <w:r>
              <w:rPr>
                <w:rFonts w:ascii="Arial" w:cs="Arial" w:eastAsia="Arial" w:hAnsi="Arial"/>
                <w:sz w:val="12"/>
                <w:szCs w:val="12"/>
                <w:color w:val="auto"/>
              </w:rPr>
              <w:t>Interest and Similar Income</w:t>
            </w:r>
          </w:p>
        </w:tc>
        <w:tc>
          <w:tcPr>
            <w:tcW w:w="8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7"/>
              </w:rPr>
              <w:t>5,012,121</w:t>
            </w:r>
          </w:p>
        </w:tc>
        <w:tc>
          <w:tcPr>
            <w:tcW w:w="8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7"/>
              </w:rPr>
              <w:t>4,987,693</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5,125,394</w:t>
            </w:r>
          </w:p>
        </w:tc>
        <w:tc>
          <w:tcPr>
            <w:tcW w:w="8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2.8%</w:t>
            </w:r>
          </w:p>
        </w:tc>
        <w:tc>
          <w:tcPr>
            <w:tcW w:w="8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4"/>
              </w:rPr>
              <w:t>2.3%</w:t>
            </w:r>
          </w:p>
        </w:tc>
        <w:tc>
          <w:tcPr>
            <w:tcW w:w="860" w:type="dxa"/>
            <w:vAlign w:val="bottom"/>
          </w:tcPr>
          <w:p>
            <w:pPr>
              <w:jc w:val="center"/>
              <w:spacing w:after="0" w:line="117" w:lineRule="exact"/>
              <w:rPr>
                <w:sz w:val="20"/>
                <w:szCs w:val="20"/>
                <w:color w:val="auto"/>
              </w:rPr>
            </w:pPr>
            <w:r>
              <w:rPr>
                <w:rFonts w:ascii="Arial" w:cs="Arial" w:eastAsia="Arial" w:hAnsi="Arial"/>
                <w:sz w:val="12"/>
                <w:szCs w:val="12"/>
                <w:color w:val="auto"/>
                <w:w w:val="96"/>
              </w:rPr>
              <w:t>19,869,256</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6"/>
              </w:rPr>
              <w:t>19,930,169</w:t>
            </w:r>
          </w:p>
        </w:tc>
        <w:tc>
          <w:tcPr>
            <w:tcW w:w="12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4"/>
              </w:rPr>
              <w:t>0.3%</w:t>
            </w:r>
          </w:p>
        </w:tc>
      </w:tr>
      <w:tr>
        <w:trPr>
          <w:trHeight w:val="135"/>
        </w:trPr>
        <w:tc>
          <w:tcPr>
            <w:tcW w:w="392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Interest and Similar Expenses</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7"/>
              </w:rPr>
              <w:t>(1,382,327)</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7"/>
              </w:rPr>
              <w:t>(1,299,864)</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(1,284,127)</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rPr>
              <w:t>-1.2%</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-7.1%</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4"/>
              </w:rPr>
              <w:t>(5,754,125)</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(5,213,690)</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-9.4%</w:t>
            </w:r>
          </w:p>
        </w:tc>
      </w:tr>
      <w:tr>
        <w:trPr>
          <w:trHeight w:val="135"/>
        </w:trPr>
        <w:tc>
          <w:tcPr>
            <w:tcW w:w="392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Interest Expense (excluding Net Insurance Financial Expenses)</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7"/>
              </w:rPr>
              <w:t>(1,250,239)</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7"/>
              </w:rPr>
              <w:t>(1,158,421)</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(1,140,166)</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rPr>
              <w:t>-1.6%</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-8.8%</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4"/>
              </w:rPr>
              <w:t>(5,246,769)</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(4,653,609)</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-11.3%</w:t>
            </w:r>
          </w:p>
        </w:tc>
      </w:tr>
      <w:tr>
        <w:trPr>
          <w:trHeight w:val="147"/>
        </w:trPr>
        <w:tc>
          <w:tcPr>
            <w:tcW w:w="39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Net Insurance Financial Expenses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(132,088)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(141,443)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(143,961)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1.8%</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9.0%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(507,356)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(560,081)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10.4%</w:t>
            </w:r>
          </w:p>
        </w:tc>
      </w:tr>
      <w:tr>
        <w:trPr>
          <w:trHeight w:val="157"/>
        </w:trPr>
        <w:tc>
          <w:tcPr>
            <w:tcW w:w="3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Net Interest, similar income and expenses</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7"/>
              </w:rPr>
              <w:t>3,629,794</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7"/>
              </w:rPr>
              <w:t>3,687,829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3,841,267</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4.2%</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5.8%</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6"/>
              </w:rPr>
              <w:t>14,115,131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14,716,479</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4.3%</w:t>
            </w:r>
          </w:p>
        </w:tc>
      </w:tr>
      <w:tr>
        <w:trPr>
          <w:trHeight w:val="106"/>
        </w:trPr>
        <w:tc>
          <w:tcPr>
            <w:tcW w:w="392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r>
      <w:tr>
        <w:trPr>
          <w:trHeight w:val="117"/>
        </w:trPr>
        <w:tc>
          <w:tcPr>
            <w:tcW w:w="3920" w:type="dxa"/>
            <w:vAlign w:val="bottom"/>
            <w:tcBorders>
              <w:left w:val="single" w:sz="8" w:color="auto"/>
              <w:right w:val="single" w:sz="8" w:color="auto"/>
            </w:tcBorders>
          </w:tcPr>
          <w:p>
            <w:pPr>
              <w:spacing w:after="0" w:line="117" w:lineRule="exact"/>
              <w:rPr>
                <w:sz w:val="20"/>
                <w:szCs w:val="20"/>
                <w:color w:val="auto"/>
              </w:rPr>
            </w:pPr>
            <w:r>
              <w:rPr>
                <w:rFonts w:ascii="Arial" w:cs="Arial" w:eastAsia="Arial" w:hAnsi="Arial"/>
                <w:sz w:val="12"/>
                <w:szCs w:val="12"/>
                <w:b w:val="1"/>
                <w:bCs w:val="1"/>
                <w:color w:val="auto"/>
              </w:rPr>
              <w:t>Balances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r>
      <w:tr>
        <w:trPr>
          <w:trHeight w:val="135"/>
        </w:trPr>
        <w:tc>
          <w:tcPr>
            <w:tcW w:w="39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Average Interest Earning Assets (IEA)</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8"/>
              </w:rPr>
              <w:t>237,518,087</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8"/>
              </w:rPr>
              <w:t>233,285,291</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240,783,785</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rPr>
              <w:t>3.2%</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1.4%</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8"/>
              </w:rPr>
              <w:t>232,646,024</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243,536,579</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4.7%</w:t>
            </w:r>
          </w:p>
        </w:tc>
      </w:tr>
      <w:tr>
        <w:trPr>
          <w:trHeight w:val="156"/>
        </w:trPr>
        <w:tc>
          <w:tcPr>
            <w:tcW w:w="3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Average Funding</w:t>
            </w:r>
          </w:p>
        </w:tc>
        <w:tc>
          <w:tcPr>
            <w:tcW w:w="880" w:type="dxa"/>
            <w:vAlign w:val="bottom"/>
          </w:tcPr>
          <w:p>
            <w:pPr>
              <w:jc w:val="center"/>
              <w:spacing w:after="0"/>
              <w:rPr>
                <w:sz w:val="20"/>
                <w:szCs w:val="20"/>
                <w:color w:val="auto"/>
              </w:rPr>
            </w:pPr>
            <w:r>
              <w:rPr>
                <w:rFonts w:ascii="Arial" w:cs="Arial" w:eastAsia="Arial" w:hAnsi="Arial"/>
                <w:sz w:val="12"/>
                <w:szCs w:val="12"/>
                <w:color w:val="auto"/>
                <w:w w:val="98"/>
              </w:rPr>
              <w:t>195,200,202</w:t>
            </w:r>
          </w:p>
        </w:tc>
        <w:tc>
          <w:tcPr>
            <w:tcW w:w="880" w:type="dxa"/>
            <w:vAlign w:val="bottom"/>
          </w:tcPr>
          <w:p>
            <w:pPr>
              <w:jc w:val="center"/>
              <w:spacing w:after="0"/>
              <w:rPr>
                <w:sz w:val="20"/>
                <w:szCs w:val="20"/>
                <w:color w:val="auto"/>
              </w:rPr>
            </w:pPr>
            <w:r>
              <w:rPr>
                <w:rFonts w:ascii="Arial" w:cs="Arial" w:eastAsia="Arial" w:hAnsi="Arial"/>
                <w:sz w:val="12"/>
                <w:szCs w:val="12"/>
                <w:color w:val="auto"/>
                <w:w w:val="98"/>
              </w:rPr>
              <w:t>190,658,187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197,704,312</w:t>
            </w:r>
          </w:p>
        </w:tc>
        <w:tc>
          <w:tcPr>
            <w:tcW w:w="820" w:type="dxa"/>
            <w:vAlign w:val="bottom"/>
          </w:tcPr>
          <w:p>
            <w:pPr>
              <w:jc w:val="center"/>
              <w:spacing w:after="0"/>
              <w:rPr>
                <w:sz w:val="20"/>
                <w:szCs w:val="20"/>
                <w:color w:val="auto"/>
              </w:rPr>
            </w:pPr>
            <w:r>
              <w:rPr>
                <w:rFonts w:ascii="Arial" w:cs="Arial" w:eastAsia="Arial" w:hAnsi="Arial"/>
                <w:sz w:val="12"/>
                <w:szCs w:val="12"/>
                <w:color w:val="auto"/>
              </w:rPr>
              <w:t>3.7%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1.3%</w:t>
            </w:r>
          </w:p>
        </w:tc>
        <w:tc>
          <w:tcPr>
            <w:tcW w:w="860" w:type="dxa"/>
            <w:vAlign w:val="bottom"/>
          </w:tcPr>
          <w:p>
            <w:pPr>
              <w:jc w:val="center"/>
              <w:spacing w:after="0"/>
              <w:rPr>
                <w:sz w:val="20"/>
                <w:szCs w:val="20"/>
                <w:color w:val="auto"/>
              </w:rPr>
            </w:pPr>
            <w:r>
              <w:rPr>
                <w:rFonts w:ascii="Arial" w:cs="Arial" w:eastAsia="Arial" w:hAnsi="Arial"/>
                <w:sz w:val="12"/>
                <w:szCs w:val="12"/>
                <w:color w:val="auto"/>
                <w:w w:val="98"/>
              </w:rPr>
              <w:t>191,836,246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201,135,899</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4.8%</w:t>
            </w:r>
          </w:p>
        </w:tc>
      </w:tr>
      <w:tr>
        <w:trPr>
          <w:trHeight w:val="249"/>
        </w:trPr>
        <w:tc>
          <w:tcPr>
            <w:tcW w:w="392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Yields</w:t>
            </w: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128"/>
        </w:trPr>
        <w:tc>
          <w:tcPr>
            <w:tcW w:w="3920" w:type="dxa"/>
            <w:vAlign w:val="bottom"/>
            <w:tcBorders>
              <w:left w:val="single" w:sz="8" w:color="auto"/>
              <w:right w:val="single" w:sz="8" w:color="auto"/>
            </w:tcBorders>
          </w:tcPr>
          <w:p>
            <w:pPr>
              <w:ind w:left="160"/>
              <w:spacing w:after="0" w:line="128" w:lineRule="exact"/>
              <w:rPr>
                <w:sz w:val="20"/>
                <w:szCs w:val="20"/>
                <w:color w:val="auto"/>
              </w:rPr>
            </w:pPr>
            <w:r>
              <w:rPr>
                <w:rFonts w:ascii="Arial" w:cs="Arial" w:eastAsia="Arial" w:hAnsi="Arial"/>
                <w:sz w:val="12"/>
                <w:szCs w:val="12"/>
                <w:color w:val="auto"/>
              </w:rPr>
              <w:t>Yield on IEAs</w:t>
            </w:r>
          </w:p>
        </w:tc>
        <w:tc>
          <w:tcPr>
            <w:tcW w:w="880" w:type="dxa"/>
            <w:vAlign w:val="bottom"/>
          </w:tcPr>
          <w:p>
            <w:pPr>
              <w:jc w:val="center"/>
              <w:spacing w:after="0" w:line="128" w:lineRule="exact"/>
              <w:rPr>
                <w:sz w:val="20"/>
                <w:szCs w:val="20"/>
                <w:color w:val="auto"/>
              </w:rPr>
            </w:pPr>
            <w:r>
              <w:rPr>
                <w:rFonts w:ascii="Arial" w:cs="Arial" w:eastAsia="Arial" w:hAnsi="Arial"/>
                <w:sz w:val="12"/>
                <w:szCs w:val="12"/>
                <w:color w:val="auto"/>
                <w:w w:val="99"/>
              </w:rPr>
              <w:t>8.44%</w:t>
            </w:r>
          </w:p>
        </w:tc>
        <w:tc>
          <w:tcPr>
            <w:tcW w:w="880" w:type="dxa"/>
            <w:vAlign w:val="bottom"/>
          </w:tcPr>
          <w:p>
            <w:pPr>
              <w:jc w:val="center"/>
              <w:spacing w:after="0" w:line="128" w:lineRule="exact"/>
              <w:rPr>
                <w:sz w:val="20"/>
                <w:szCs w:val="20"/>
                <w:color w:val="auto"/>
              </w:rPr>
            </w:pPr>
            <w:r>
              <w:rPr>
                <w:rFonts w:ascii="Arial" w:cs="Arial" w:eastAsia="Arial" w:hAnsi="Arial"/>
                <w:sz w:val="12"/>
                <w:szCs w:val="12"/>
                <w:color w:val="auto"/>
                <w:w w:val="99"/>
              </w:rPr>
              <w:t>8.55%</w:t>
            </w:r>
          </w:p>
        </w:tc>
        <w:tc>
          <w:tcPr>
            <w:tcW w:w="9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9"/>
              </w:rPr>
              <w:t>8.51%</w:t>
            </w:r>
          </w:p>
        </w:tc>
        <w:tc>
          <w:tcPr>
            <w:tcW w:w="820" w:type="dxa"/>
            <w:vAlign w:val="bottom"/>
          </w:tcPr>
          <w:p>
            <w:pPr>
              <w:jc w:val="center"/>
              <w:spacing w:after="0" w:line="128" w:lineRule="exact"/>
              <w:rPr>
                <w:sz w:val="20"/>
                <w:szCs w:val="20"/>
                <w:color w:val="auto"/>
              </w:rPr>
            </w:pPr>
            <w:r>
              <w:rPr>
                <w:rFonts w:ascii="Arial" w:cs="Arial" w:eastAsia="Arial" w:hAnsi="Arial"/>
                <w:sz w:val="12"/>
                <w:szCs w:val="12"/>
                <w:color w:val="auto"/>
                <w:w w:val="95"/>
              </w:rPr>
              <w:t>-4 bps</w:t>
            </w:r>
          </w:p>
        </w:tc>
        <w:tc>
          <w:tcPr>
            <w:tcW w:w="8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5"/>
              </w:rPr>
              <w:t>7 bps</w:t>
            </w:r>
          </w:p>
        </w:tc>
        <w:tc>
          <w:tcPr>
            <w:tcW w:w="860" w:type="dxa"/>
            <w:vAlign w:val="bottom"/>
          </w:tcPr>
          <w:p>
            <w:pPr>
              <w:jc w:val="center"/>
              <w:spacing w:after="0" w:line="128" w:lineRule="exact"/>
              <w:rPr>
                <w:sz w:val="20"/>
                <w:szCs w:val="20"/>
                <w:color w:val="auto"/>
              </w:rPr>
            </w:pPr>
            <w:r>
              <w:rPr>
                <w:rFonts w:ascii="Arial" w:cs="Arial" w:eastAsia="Arial" w:hAnsi="Arial"/>
                <w:sz w:val="12"/>
                <w:szCs w:val="12"/>
                <w:color w:val="auto"/>
                <w:w w:val="99"/>
              </w:rPr>
              <w:t>8.54%</w:t>
            </w:r>
          </w:p>
        </w:tc>
        <w:tc>
          <w:tcPr>
            <w:tcW w:w="9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9"/>
              </w:rPr>
              <w:t>8.18%</w:t>
            </w:r>
          </w:p>
        </w:tc>
        <w:tc>
          <w:tcPr>
            <w:tcW w:w="128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color w:val="auto"/>
                <w:w w:val="94"/>
              </w:rPr>
              <w:t>-36 bps</w:t>
            </w:r>
          </w:p>
        </w:tc>
      </w:tr>
      <w:tr>
        <w:trPr>
          <w:trHeight w:val="135"/>
        </w:trPr>
        <w:tc>
          <w:tcPr>
            <w:tcW w:w="39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0"/>
                <w:szCs w:val="10"/>
                <w:color w:val="auto"/>
              </w:rPr>
              <w:t>Cost of Funds</w:t>
            </w:r>
            <w:r>
              <w:rPr>
                <w:rFonts w:ascii="Arial" w:cs="Arial" w:eastAsia="Arial" w:hAnsi="Arial"/>
                <w:sz w:val="15"/>
                <w:szCs w:val="15"/>
                <w:color w:val="auto"/>
                <w:vertAlign w:val="superscript"/>
              </w:rPr>
              <w:t>(1)</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9"/>
              </w:rPr>
              <w:t>2.56%</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9"/>
              </w:rPr>
              <w:t>2.43%</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2.31%</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-12 bps</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-25 bps</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9"/>
              </w:rPr>
              <w:t>2.74%</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2.31%</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-43 bps</w:t>
            </w:r>
          </w:p>
        </w:tc>
      </w:tr>
      <w:tr>
        <w:trPr>
          <w:trHeight w:val="135"/>
        </w:trPr>
        <w:tc>
          <w:tcPr>
            <w:tcW w:w="39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0"/>
                <w:szCs w:val="10"/>
                <w:b w:val="1"/>
                <w:bCs w:val="1"/>
                <w:color w:val="auto"/>
              </w:rPr>
              <w:t>Net Interest Margin (NIM)</w:t>
            </w:r>
            <w:r>
              <w:rPr>
                <w:rFonts w:ascii="Arial" w:cs="Arial" w:eastAsia="Arial" w:hAnsi="Arial"/>
                <w:sz w:val="15"/>
                <w:szCs w:val="15"/>
                <w:b w:val="1"/>
                <w:bCs w:val="1"/>
                <w:color w:val="auto"/>
                <w:vertAlign w:val="superscript"/>
              </w:rPr>
              <w:t>(1)</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6.34%</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6.57%</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9"/>
              </w:rPr>
              <w:t>6.62%</w:t>
            </w:r>
          </w:p>
        </w:tc>
        <w:tc>
          <w:tcPr>
            <w:tcW w:w="8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5 bps</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4"/>
              </w:rPr>
              <w:t>28 bps</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6.29%</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9"/>
              </w:rPr>
              <w:t>6.27%</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-2 bps</w:t>
            </w:r>
          </w:p>
        </w:tc>
      </w:tr>
      <w:tr>
        <w:trPr>
          <w:trHeight w:val="154"/>
        </w:trPr>
        <w:tc>
          <w:tcPr>
            <w:tcW w:w="3920" w:type="dxa"/>
            <w:vAlign w:val="bottom"/>
            <w:tcBorders>
              <w:left w:val="single" w:sz="8" w:color="auto"/>
              <w:bottom w:val="single" w:sz="8" w:color="auto"/>
              <w:right w:val="single" w:sz="8" w:color="auto"/>
            </w:tcBorders>
          </w:tcPr>
          <w:p>
            <w:pPr>
              <w:ind w:left="160"/>
              <w:spacing w:after="0" w:line="154" w:lineRule="exact"/>
              <w:rPr>
                <w:sz w:val="20"/>
                <w:szCs w:val="20"/>
                <w:color w:val="auto"/>
              </w:rPr>
            </w:pPr>
            <w:r>
              <w:rPr>
                <w:rFonts w:ascii="Arial" w:cs="Arial" w:eastAsia="Arial" w:hAnsi="Arial"/>
                <w:sz w:val="11"/>
                <w:szCs w:val="11"/>
                <w:b w:val="1"/>
                <w:bCs w:val="1"/>
                <w:color w:val="auto"/>
              </w:rPr>
              <w:t>Risk-Adjusted Net Interest Margin</w:t>
            </w:r>
            <w:r>
              <w:rPr>
                <w:rFonts w:ascii="Arial" w:cs="Arial" w:eastAsia="Arial" w:hAnsi="Arial"/>
                <w:sz w:val="17"/>
                <w:szCs w:val="17"/>
                <w:b w:val="1"/>
                <w:bCs w:val="1"/>
                <w:color w:val="auto"/>
                <w:vertAlign w:val="superscript"/>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5.08%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5.53%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5.55%</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 bps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47 bps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4.77%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5.28%</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51 bps</w:t>
            </w:r>
          </w:p>
        </w:tc>
      </w:tr>
      <w:tr>
        <w:trPr>
          <w:trHeight w:val="115"/>
        </w:trPr>
        <w:tc>
          <w:tcPr>
            <w:tcW w:w="3920" w:type="dxa"/>
            <w:vAlign w:val="bottom"/>
            <w:tcBorders>
              <w:left w:val="single" w:sz="8" w:color="auto"/>
              <w:right w:val="single" w:sz="8" w:color="auto"/>
            </w:tcBorders>
          </w:tcPr>
          <w:p>
            <w:pPr>
              <w:ind w:left="160"/>
              <w:spacing w:after="0" w:line="115" w:lineRule="exact"/>
              <w:rPr>
                <w:sz w:val="20"/>
                <w:szCs w:val="20"/>
                <w:color w:val="auto"/>
              </w:rPr>
            </w:pPr>
            <w:r>
              <w:rPr>
                <w:rFonts w:ascii="Arial" w:cs="Arial" w:eastAsia="Arial" w:hAnsi="Arial"/>
                <w:sz w:val="12"/>
                <w:szCs w:val="12"/>
                <w:b w:val="1"/>
                <w:bCs w:val="1"/>
                <w:color w:val="auto"/>
              </w:rPr>
              <w:t>Peru’s Reference Rate</w:t>
            </w: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5.00%</w:t>
            </w: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4.25%</w:t>
            </w:r>
          </w:p>
        </w:tc>
        <w:tc>
          <w:tcPr>
            <w:tcW w:w="9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4.25%</w:t>
            </w:r>
          </w:p>
        </w:tc>
        <w:tc>
          <w:tcPr>
            <w:tcW w:w="8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0 bps</w:t>
            </w:r>
          </w:p>
        </w:tc>
        <w:tc>
          <w:tcPr>
            <w:tcW w:w="8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5"/>
              </w:rPr>
              <w:t>-75 bps</w:t>
            </w: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5.00%</w:t>
            </w:r>
          </w:p>
        </w:tc>
        <w:tc>
          <w:tcPr>
            <w:tcW w:w="90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4.25%</w:t>
            </w:r>
          </w:p>
        </w:tc>
        <w:tc>
          <w:tcPr>
            <w:tcW w:w="128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-75 bps</w:t>
            </w:r>
          </w:p>
        </w:tc>
      </w:tr>
      <w:tr>
        <w:trPr>
          <w:trHeight w:val="149"/>
        </w:trPr>
        <w:tc>
          <w:tcPr>
            <w:tcW w:w="3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FED funds rate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4.50%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4.25%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3.75%</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-50 bps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-75 bps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4.50%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3.75%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-75 bps</w:t>
            </w:r>
          </w:p>
        </w:tc>
      </w:tr>
    </w:tbl>
    <w:p>
      <w:pPr>
        <w:ind w:left="7"/>
        <w:spacing w:after="0"/>
        <w:rPr>
          <w:sz w:val="20"/>
          <w:szCs w:val="20"/>
          <w:color w:val="auto"/>
        </w:rPr>
      </w:pPr>
      <w:r>
        <w:rPr>
          <w:rFonts w:ascii="Arial" w:cs="Arial" w:eastAsia="Arial" w:hAnsi="Arial"/>
          <w:sz w:val="12"/>
          <w:szCs w:val="12"/>
          <w:color w:val="auto"/>
        </w:rPr>
        <w:t>(1) For further detail on the NIM and Cost of Funds calculation, please refer to Annex 12.8</w:t>
      </w:r>
    </w:p>
    <w:p>
      <w:pPr>
        <w:spacing w:after="0" w:line="175" w:lineRule="exact"/>
        <w:rPr>
          <w:sz w:val="20"/>
          <w:szCs w:val="20"/>
          <w:color w:val="auto"/>
        </w:rPr>
      </w:pPr>
    </w:p>
    <w:p>
      <w:pPr>
        <w:jc w:val="both"/>
        <w:ind w:left="7"/>
        <w:spacing w:after="0" w:line="243"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Net Interest Income (NII) rose 4.2%. This result was driven mainly by an increase in Interest and Similar Income, where growth was</w:t>
      </w:r>
      <w:r>
        <w:rPr>
          <w:rFonts w:ascii="Arial" w:cs="Arial" w:eastAsia="Arial" w:hAnsi="Arial"/>
          <w:sz w:val="18"/>
          <w:szCs w:val="18"/>
          <w:b w:val="1"/>
          <w:bCs w:val="1"/>
          <w:color w:val="auto"/>
        </w:rPr>
        <w:t xml:space="preserve"> </w:t>
      </w:r>
      <w:r>
        <w:rPr>
          <w:rFonts w:ascii="Arial" w:cs="Arial" w:eastAsia="Arial" w:hAnsi="Arial"/>
          <w:sz w:val="18"/>
          <w:szCs w:val="18"/>
          <w:color w:val="auto"/>
        </w:rPr>
        <w:t>propelled by the following factors (in order of impact): i) an uptick in interest on loans, which rose through growth in volumes at BCP and Mibanco, and ii) an increase in interest on deposits in other banks, which rose through extraordinary inflows of liquidity from pension fund withdrawals; these funds were mainly capitalized through BCRP deposits. To a lesser extent, Interest and Similar Expenses also contributed to NII’s advance because ample liquidity was captured as low-cost deposits, which improved the funding cost by reducing dependency on more expensive sources such as time deposits and BCRP instruments.</w:t>
      </w:r>
    </w:p>
    <w:p>
      <w:pPr>
        <w:spacing w:after="0" w:line="160" w:lineRule="exact"/>
        <w:rPr>
          <w:sz w:val="20"/>
          <w:szCs w:val="20"/>
          <w:color w:val="auto"/>
        </w:rPr>
      </w:pPr>
    </w:p>
    <w:p>
      <w:pPr>
        <w:jc w:val="both"/>
        <w:ind w:left="7"/>
        <w:spacing w:after="0" w:line="245"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NII reported growth of 5.8%. This evolution was driven, as was the case QoQ, mainly by Interest and Similar Income and secondarily,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Similar Expenses. It is important to note that loans were the main source of growth in Interest and Similar Income. This evolution was buoyed by a positive volume effect across segments and solid growth in retail loans in particular, which improved the mix. The drop in Interest and Similar Expenses over the period was driven by a reduction in interest on deposits, which fell due to both lower market rates and an increase in low-cost deposits’ share of the funding mix.</w:t>
      </w:r>
    </w:p>
    <w:p>
      <w:pPr>
        <w:spacing w:after="0" w:line="159" w:lineRule="exact"/>
        <w:rPr>
          <w:sz w:val="20"/>
          <w:szCs w:val="20"/>
          <w:color w:val="auto"/>
        </w:rPr>
      </w:pPr>
    </w:p>
    <w:p>
      <w:pPr>
        <w:jc w:val="both"/>
        <w:ind w:left="7"/>
        <w:spacing w:after="0" w:line="256" w:lineRule="auto"/>
        <w:rPr>
          <w:sz w:val="20"/>
          <w:szCs w:val="20"/>
          <w:color w:val="auto"/>
        </w:rPr>
      </w:pPr>
      <w:r>
        <w:rPr>
          <w:rFonts w:ascii="Arial" w:cs="Arial" w:eastAsia="Arial" w:hAnsi="Arial"/>
          <w:sz w:val="18"/>
          <w:szCs w:val="18"/>
          <w:b w:val="1"/>
          <w:bCs w:val="1"/>
          <w:color w:val="auto"/>
        </w:rPr>
        <w:t>YTD</w:t>
      </w:r>
      <w:r>
        <w:rPr>
          <w:rFonts w:ascii="Arial" w:cs="Arial" w:eastAsia="Arial" w:hAnsi="Arial"/>
          <w:sz w:val="18"/>
          <w:szCs w:val="18"/>
          <w:color w:val="auto"/>
        </w:rPr>
        <w:t>, NII rose 4.3%, mainly on the back of a drop in Interest and Similar Expenses. This decline was fueled by a decrease in Interest on</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which was driven by the same factors seen in the YoY analysis. A secondary driver of growth YTD was Interest and Similar Income, which was impacted by an uptick in loan volumes and a consequent increase in interest income.</w:t>
      </w:r>
    </w:p>
    <w:p>
      <w:pPr>
        <w:spacing w:after="0" w:line="47" w:lineRule="exact"/>
        <w:rPr>
          <w:sz w:val="20"/>
          <w:szCs w:val="20"/>
          <w:color w:val="auto"/>
        </w:rPr>
      </w:pPr>
    </w:p>
    <w:p>
      <w:pPr>
        <w:ind w:left="227" w:hanging="227"/>
        <w:spacing w:after="0"/>
        <w:tabs>
          <w:tab w:leader="none" w:pos="227" w:val="left"/>
        </w:tabs>
        <w:numPr>
          <w:ilvl w:val="0"/>
          <w:numId w:val="23"/>
        </w:numPr>
        <w:rPr>
          <w:rFonts w:ascii="Arial" w:cs="Arial" w:eastAsia="Arial" w:hAnsi="Arial"/>
          <w:sz w:val="29"/>
          <w:szCs w:val="29"/>
          <w:color w:val="auto"/>
          <w:vertAlign w:val="superscript"/>
        </w:rPr>
      </w:pPr>
      <w:r>
        <w:rPr>
          <w:rFonts w:ascii="Arial" w:cs="Arial" w:eastAsia="Arial" w:hAnsi="Arial"/>
          <w:sz w:val="14"/>
          <w:szCs w:val="14"/>
          <w:color w:val="auto"/>
        </w:rPr>
        <w:t>Since the implementation of IFRS 9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716915</wp:posOffset>
            </wp:positionV>
            <wp:extent cx="71577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99695</wp:posOffset>
            </wp:positionV>
            <wp:extent cx="6764020" cy="5060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64020" cy="50609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28" w:name="page29"/>
    <w:bookmarkEnd w:id="28"/>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772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67"/>
        <w:spacing w:after="0"/>
        <w:rPr>
          <w:sz w:val="20"/>
          <w:szCs w:val="20"/>
          <w:color w:val="auto"/>
        </w:rPr>
      </w:pPr>
      <w:r>
        <w:rPr>
          <w:rFonts w:ascii="Arial" w:cs="Arial" w:eastAsia="Arial" w:hAnsi="Arial"/>
          <w:sz w:val="22"/>
          <w:szCs w:val="22"/>
          <w:b w:val="1"/>
          <w:bCs w:val="1"/>
          <w:color w:val="FFFFFF"/>
        </w:rPr>
        <w:t>04. Net Interest Income (NII)</w:t>
      </w:r>
    </w:p>
    <w:p>
      <w:pPr>
        <w:spacing w:after="0" w:line="25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-114935</wp:posOffset>
            </wp:positionV>
            <wp:extent cx="3017520" cy="1680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17520" cy="1680210"/>
                    </a:xfrm>
                    <a:prstGeom prst="rect">
                      <a:avLst/>
                    </a:prstGeom>
                    <a:noFill/>
                  </pic:spPr>
                </pic:pic>
              </a:graphicData>
            </a:graphic>
          </wp:anchor>
        </w:drawing>
      </w:r>
    </w:p>
    <w:p>
      <w:pPr>
        <w:spacing w:after="0" w:line="178" w:lineRule="exact"/>
        <w:rPr>
          <w:sz w:val="20"/>
          <w:szCs w:val="20"/>
          <w:color w:val="auto"/>
        </w:rPr>
      </w:pPr>
    </w:p>
    <w:p>
      <w:pPr>
        <w:jc w:val="both"/>
        <w:ind w:left="7" w:right="5860"/>
        <w:spacing w:after="0" w:line="239" w:lineRule="auto"/>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rose 5 bps YoY to stand at 6.62% at the end of 4Q25.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expansion reflected a 25 bps drop in the cost of funding, which was impacted by a downward trend in interest rates. The IEA yield rose 7 bps YoY, buoyed by a positive impact from loan growth. In full-year 2025, NIM dropped 2 bps, demonstrating resilience in a low-interest rate environment. </w:t>
      </w:r>
      <w:r>
        <w:rPr>
          <w:rFonts w:ascii="Arial" w:cs="Arial" w:eastAsia="Arial" w:hAnsi="Arial"/>
          <w:sz w:val="18"/>
          <w:szCs w:val="18"/>
          <w:b w:val="1"/>
          <w:bCs w:val="1"/>
          <w:color w:val="auto"/>
        </w:rPr>
        <w:t>Risk-adjusted NIM</w:t>
      </w:r>
      <w:r>
        <w:rPr>
          <w:rFonts w:ascii="Arial" w:cs="Arial" w:eastAsia="Arial" w:hAnsi="Arial"/>
          <w:sz w:val="18"/>
          <w:szCs w:val="18"/>
          <w:color w:val="auto"/>
        </w:rPr>
        <w:t xml:space="preserve"> reported a new peak of 5.55% in 4Q25 and rose 51 bps in the full-year print. These results reflect the improvements made to risk management since 2024 which, coupled with a favorable macroeconomic context, led to better client payment performance.</w:t>
      </w:r>
    </w:p>
    <w:p>
      <w:pPr>
        <w:spacing w:after="0" w:line="3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Dynamics of the Net Interest Margin by Currency</w:t>
      </w:r>
    </w:p>
    <w:p>
      <w:pPr>
        <w:spacing w:after="0" w:line="203" w:lineRule="exact"/>
        <w:rPr>
          <w:sz w:val="20"/>
          <w:szCs w:val="20"/>
          <w:color w:val="auto"/>
        </w:rPr>
      </w:pPr>
    </w:p>
    <w:tbl>
      <w:tblPr>
        <w:tblLayout w:type="fixed"/>
        <w:tblInd w:w="17" w:type="dxa"/>
        <w:tblCellMar>
          <w:top w:w="0" w:type="dxa"/>
          <w:left w:w="0" w:type="dxa"/>
          <w:bottom w:w="0" w:type="dxa"/>
          <w:right w:w="0" w:type="dxa"/>
        </w:tblCellMar>
      </w:tblPr>
      <w:tr>
        <w:trPr>
          <w:trHeight w:val="135"/>
        </w:trPr>
        <w:tc>
          <w:tcPr>
            <w:tcW w:w="214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0"/>
                <w:szCs w:val="10"/>
                <w:b w:val="1"/>
                <w:bCs w:val="1"/>
                <w:color w:val="FFFFFF"/>
              </w:rPr>
              <w:t>Interest Income / IEA</w:t>
            </w:r>
          </w:p>
        </w:tc>
        <w:tc>
          <w:tcPr>
            <w:tcW w:w="640" w:type="dxa"/>
            <w:vAlign w:val="bottom"/>
            <w:tcBorders>
              <w:top w:val="single" w:sz="8" w:color="auto"/>
            </w:tcBorders>
            <w:vMerge w:val="restart"/>
            <w:shd w:val="clear" w:color="auto" w:fill="33CCCC"/>
          </w:tcPr>
          <w:p>
            <w:pPr>
              <w:ind w:left="120"/>
              <w:spacing w:after="0"/>
              <w:rPr>
                <w:sz w:val="20"/>
                <w:szCs w:val="20"/>
                <w:color w:val="auto"/>
              </w:rPr>
            </w:pPr>
            <w:r>
              <w:rPr>
                <w:rFonts w:ascii="Arial" w:cs="Arial" w:eastAsia="Arial" w:hAnsi="Arial"/>
                <w:sz w:val="10"/>
                <w:szCs w:val="10"/>
                <w:b w:val="1"/>
                <w:bCs w:val="1"/>
                <w:color w:val="FFFFFF"/>
              </w:rPr>
              <w:t>Average</w:t>
            </w:r>
          </w:p>
        </w:tc>
        <w:tc>
          <w:tcPr>
            <w:tcW w:w="680" w:type="dxa"/>
            <w:vAlign w:val="bottom"/>
            <w:tcBorders>
              <w:top w:val="single" w:sz="8" w:color="auto"/>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4Q24</w:t>
            </w:r>
          </w:p>
        </w:tc>
        <w:tc>
          <w:tcPr>
            <w:tcW w:w="520" w:type="dxa"/>
            <w:vAlign w:val="bottom"/>
            <w:tcBorders>
              <w:top w:val="single" w:sz="8" w:color="auto"/>
              <w:right w:val="single" w:sz="8" w:color="auto"/>
            </w:tcBorders>
            <w:shd w:val="clear" w:color="auto" w:fill="33CCCC"/>
          </w:tcPr>
          <w:p>
            <w:pPr>
              <w:spacing w:after="0"/>
              <w:rPr>
                <w:sz w:val="11"/>
                <w:szCs w:val="11"/>
                <w:color w:val="auto"/>
              </w:rPr>
            </w:pPr>
          </w:p>
        </w:tc>
        <w:tc>
          <w:tcPr>
            <w:tcW w:w="660" w:type="dxa"/>
            <w:vAlign w:val="bottom"/>
            <w:tcBorders>
              <w:top w:val="single" w:sz="8" w:color="auto"/>
            </w:tcBorders>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60" w:type="dxa"/>
            <w:vAlign w:val="bottom"/>
            <w:tcBorders>
              <w:top w:val="single" w:sz="8" w:color="auto"/>
            </w:tcBorders>
            <w:shd w:val="clear" w:color="auto" w:fill="33CCCC"/>
          </w:tcPr>
          <w:p>
            <w:pPr>
              <w:ind w:left="120"/>
              <w:spacing w:after="0"/>
              <w:rPr>
                <w:sz w:val="20"/>
                <w:szCs w:val="20"/>
                <w:color w:val="auto"/>
              </w:rPr>
            </w:pPr>
            <w:r>
              <w:rPr>
                <w:rFonts w:ascii="Arial" w:cs="Arial" w:eastAsia="Arial" w:hAnsi="Arial"/>
                <w:sz w:val="10"/>
                <w:szCs w:val="10"/>
                <w:b w:val="1"/>
                <w:bCs w:val="1"/>
                <w:color w:val="FFFFFF"/>
              </w:rPr>
              <w:t>3Q25</w:t>
            </w:r>
          </w:p>
        </w:tc>
        <w:tc>
          <w:tcPr>
            <w:tcW w:w="520" w:type="dxa"/>
            <w:vAlign w:val="bottom"/>
            <w:tcBorders>
              <w:top w:val="single" w:sz="8" w:color="auto"/>
              <w:right w:val="single" w:sz="8" w:color="auto"/>
            </w:tcBorders>
            <w:shd w:val="clear" w:color="auto" w:fill="33CCCC"/>
          </w:tcPr>
          <w:p>
            <w:pPr>
              <w:spacing w:after="0"/>
              <w:rPr>
                <w:sz w:val="11"/>
                <w:szCs w:val="11"/>
                <w:color w:val="auto"/>
              </w:rPr>
            </w:pPr>
          </w:p>
        </w:tc>
        <w:tc>
          <w:tcPr>
            <w:tcW w:w="660" w:type="dxa"/>
            <w:vAlign w:val="bottom"/>
            <w:tcBorders>
              <w:top w:val="single" w:sz="8" w:color="auto"/>
            </w:tcBorders>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60" w:type="dxa"/>
            <w:vAlign w:val="bottom"/>
            <w:tcBorders>
              <w:top w:val="single" w:sz="8" w:color="auto"/>
            </w:tcBorders>
            <w:shd w:val="clear" w:color="auto" w:fill="33CCCC"/>
          </w:tcPr>
          <w:p>
            <w:pPr>
              <w:ind w:left="120"/>
              <w:spacing w:after="0"/>
              <w:rPr>
                <w:sz w:val="20"/>
                <w:szCs w:val="20"/>
                <w:color w:val="auto"/>
              </w:rPr>
            </w:pPr>
            <w:r>
              <w:rPr>
                <w:rFonts w:ascii="Arial" w:cs="Arial" w:eastAsia="Arial" w:hAnsi="Arial"/>
                <w:sz w:val="10"/>
                <w:szCs w:val="10"/>
                <w:b w:val="1"/>
                <w:bCs w:val="1"/>
                <w:color w:val="FFFFFF"/>
              </w:rPr>
              <w:t>4Q25</w:t>
            </w:r>
          </w:p>
        </w:tc>
        <w:tc>
          <w:tcPr>
            <w:tcW w:w="520" w:type="dxa"/>
            <w:vAlign w:val="bottom"/>
            <w:tcBorders>
              <w:top w:val="single" w:sz="8" w:color="auto"/>
              <w:right w:val="single" w:sz="8" w:color="auto"/>
            </w:tcBorders>
            <w:shd w:val="clear" w:color="auto" w:fill="33CCCC"/>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60" w:type="dxa"/>
            <w:vAlign w:val="bottom"/>
            <w:tcBorders>
              <w:top w:val="single" w:sz="8" w:color="auto"/>
            </w:tcBorders>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60" w:type="dxa"/>
            <w:vAlign w:val="bottom"/>
            <w:tcBorders>
              <w:top w:val="single" w:sz="8" w:color="auto"/>
            </w:tcBorders>
            <w:shd w:val="clear" w:color="auto" w:fill="33CCCC"/>
          </w:tcPr>
          <w:p>
            <w:pPr>
              <w:ind w:left="100"/>
              <w:spacing w:after="0"/>
              <w:rPr>
                <w:sz w:val="20"/>
                <w:szCs w:val="20"/>
                <w:color w:val="auto"/>
              </w:rPr>
            </w:pPr>
            <w:r>
              <w:rPr>
                <w:rFonts w:ascii="Arial" w:cs="Arial" w:eastAsia="Arial" w:hAnsi="Arial"/>
                <w:sz w:val="10"/>
                <w:szCs w:val="10"/>
                <w:b w:val="1"/>
                <w:bCs w:val="1"/>
                <w:color w:val="FFFFFF"/>
              </w:rPr>
              <w:t>Dec 24</w:t>
            </w:r>
          </w:p>
        </w:tc>
        <w:tc>
          <w:tcPr>
            <w:tcW w:w="520" w:type="dxa"/>
            <w:vAlign w:val="bottom"/>
            <w:tcBorders>
              <w:top w:val="single" w:sz="8" w:color="auto"/>
              <w:right w:val="single" w:sz="8" w:color="auto"/>
            </w:tcBorders>
            <w:shd w:val="clear" w:color="auto" w:fill="33CCCC"/>
          </w:tcPr>
          <w:p>
            <w:pPr>
              <w:spacing w:after="0"/>
              <w:rPr>
                <w:sz w:val="11"/>
                <w:szCs w:val="11"/>
                <w:color w:val="auto"/>
              </w:rPr>
            </w:pPr>
          </w:p>
        </w:tc>
        <w:tc>
          <w:tcPr>
            <w:tcW w:w="600" w:type="dxa"/>
            <w:vAlign w:val="bottom"/>
            <w:tcBorders>
              <w:top w:val="single" w:sz="8" w:color="auto"/>
            </w:tcBorders>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80" w:type="dxa"/>
            <w:vAlign w:val="bottom"/>
            <w:tcBorders>
              <w:top w:val="single" w:sz="8" w:color="auto"/>
            </w:tcBorders>
            <w:shd w:val="clear" w:color="auto" w:fill="33CCCC"/>
          </w:tcPr>
          <w:p>
            <w:pPr>
              <w:ind w:left="60"/>
              <w:spacing w:after="0"/>
              <w:rPr>
                <w:sz w:val="20"/>
                <w:szCs w:val="20"/>
                <w:color w:val="auto"/>
              </w:rPr>
            </w:pPr>
            <w:r>
              <w:rPr>
                <w:rFonts w:ascii="Arial" w:cs="Arial" w:eastAsia="Arial" w:hAnsi="Arial"/>
                <w:sz w:val="10"/>
                <w:szCs w:val="10"/>
                <w:b w:val="1"/>
                <w:bCs w:val="1"/>
                <w:color w:val="FFFFFF"/>
              </w:rPr>
              <w:t>Dec 25</w:t>
            </w:r>
          </w:p>
        </w:tc>
        <w:tc>
          <w:tcPr>
            <w:tcW w:w="380" w:type="dxa"/>
            <w:vAlign w:val="bottom"/>
            <w:tcBorders>
              <w:top w:val="single" w:sz="8" w:color="auto"/>
              <w:right w:val="single" w:sz="8" w:color="auto"/>
            </w:tcBorders>
            <w:shd w:val="clear" w:color="auto" w:fill="33CC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shd w:val="clear" w:color="auto" w:fill="33CCCC"/>
          </w:tcPr>
          <w:p>
            <w:pPr>
              <w:spacing w:after="0"/>
              <w:rPr>
                <w:sz w:val="10"/>
                <w:szCs w:val="10"/>
                <w:color w:val="auto"/>
              </w:rPr>
            </w:pPr>
          </w:p>
        </w:tc>
        <w:tc>
          <w:tcPr>
            <w:tcW w:w="640" w:type="dxa"/>
            <w:vAlign w:val="bottom"/>
            <w:vMerge w:val="continue"/>
            <w:shd w:val="clear" w:color="auto" w:fill="33CCCC"/>
          </w:tcPr>
          <w:p>
            <w:pPr>
              <w:spacing w:after="0"/>
              <w:rPr>
                <w:sz w:val="10"/>
                <w:szCs w:val="10"/>
                <w:color w:val="auto"/>
              </w:rPr>
            </w:pPr>
          </w:p>
        </w:tc>
        <w:tc>
          <w:tcPr>
            <w:tcW w:w="680" w:type="dxa"/>
            <w:vAlign w:val="bottom"/>
            <w:vMerge w:val="restart"/>
            <w:shd w:val="clear" w:color="auto" w:fill="33CCCC"/>
          </w:tcPr>
          <w:p>
            <w:pPr>
              <w:ind w:left="180"/>
              <w:spacing w:after="0"/>
              <w:rPr>
                <w:sz w:val="20"/>
                <w:szCs w:val="20"/>
                <w:color w:val="auto"/>
              </w:rPr>
            </w:pPr>
            <w:r>
              <w:rPr>
                <w:rFonts w:ascii="Arial" w:cs="Arial" w:eastAsia="Arial" w:hAnsi="Arial"/>
                <w:sz w:val="10"/>
                <w:szCs w:val="10"/>
                <w:b w:val="1"/>
                <w:bCs w:val="1"/>
                <w:color w:val="FFFFFF"/>
              </w:rPr>
              <w:t>Income</w:t>
            </w:r>
          </w:p>
        </w:tc>
        <w:tc>
          <w:tcPr>
            <w:tcW w:w="520" w:type="dxa"/>
            <w:vAlign w:val="bottom"/>
            <w:tcBorders>
              <w:right w:val="single" w:sz="8" w:color="auto"/>
            </w:tcBorders>
            <w:vMerge w:val="restart"/>
            <w:shd w:val="clear" w:color="auto" w:fill="33CCCC"/>
          </w:tcPr>
          <w:p>
            <w:pPr>
              <w:ind w:left="100"/>
              <w:spacing w:after="0"/>
              <w:rPr>
                <w:sz w:val="20"/>
                <w:szCs w:val="20"/>
                <w:color w:val="auto"/>
              </w:rPr>
            </w:pPr>
            <w:r>
              <w:rPr>
                <w:rFonts w:ascii="Arial" w:cs="Arial" w:eastAsia="Arial" w:hAnsi="Arial"/>
                <w:sz w:val="10"/>
                <w:szCs w:val="10"/>
                <w:b w:val="1"/>
                <w:bCs w:val="1"/>
                <w:color w:val="FFFFFF"/>
              </w:rPr>
              <w:t>Yields</w:t>
            </w:r>
          </w:p>
        </w:tc>
        <w:tc>
          <w:tcPr>
            <w:tcW w:w="660" w:type="dxa"/>
            <w:vAlign w:val="bottom"/>
            <w:vMerge w:val="continue"/>
            <w:shd w:val="clear" w:color="auto" w:fill="33CCCC"/>
          </w:tcPr>
          <w:p>
            <w:pPr>
              <w:spacing w:after="0"/>
              <w:rPr>
                <w:sz w:val="10"/>
                <w:szCs w:val="10"/>
                <w:color w:val="auto"/>
              </w:rPr>
            </w:pPr>
          </w:p>
        </w:tc>
        <w:tc>
          <w:tcPr>
            <w:tcW w:w="660" w:type="dxa"/>
            <w:vAlign w:val="bottom"/>
            <w:vMerge w:val="restart"/>
            <w:shd w:val="clear" w:color="auto" w:fill="33CCCC"/>
          </w:tcPr>
          <w:p>
            <w:pPr>
              <w:ind w:left="160"/>
              <w:spacing w:after="0"/>
              <w:rPr>
                <w:sz w:val="20"/>
                <w:szCs w:val="20"/>
                <w:color w:val="auto"/>
              </w:rPr>
            </w:pPr>
            <w:r>
              <w:rPr>
                <w:rFonts w:ascii="Arial" w:cs="Arial" w:eastAsia="Arial" w:hAnsi="Arial"/>
                <w:sz w:val="10"/>
                <w:szCs w:val="10"/>
                <w:b w:val="1"/>
                <w:bCs w:val="1"/>
                <w:color w:val="FFFFFF"/>
              </w:rPr>
              <w:t>Income</w:t>
            </w:r>
          </w:p>
        </w:tc>
        <w:tc>
          <w:tcPr>
            <w:tcW w:w="520" w:type="dxa"/>
            <w:vAlign w:val="bottom"/>
            <w:tcBorders>
              <w:right w:val="single" w:sz="8" w:color="auto"/>
            </w:tcBorders>
            <w:vMerge w:val="restart"/>
            <w:shd w:val="clear" w:color="auto" w:fill="33CCCC"/>
          </w:tcPr>
          <w:p>
            <w:pPr>
              <w:ind w:left="120"/>
              <w:spacing w:after="0"/>
              <w:rPr>
                <w:sz w:val="20"/>
                <w:szCs w:val="20"/>
                <w:color w:val="auto"/>
              </w:rPr>
            </w:pPr>
            <w:r>
              <w:rPr>
                <w:rFonts w:ascii="Arial" w:cs="Arial" w:eastAsia="Arial" w:hAnsi="Arial"/>
                <w:sz w:val="10"/>
                <w:szCs w:val="10"/>
                <w:b w:val="1"/>
                <w:bCs w:val="1"/>
                <w:color w:val="FFFFFF"/>
              </w:rPr>
              <w:t>Yields</w:t>
            </w:r>
          </w:p>
        </w:tc>
        <w:tc>
          <w:tcPr>
            <w:tcW w:w="660" w:type="dxa"/>
            <w:vAlign w:val="bottom"/>
            <w:vMerge w:val="continue"/>
            <w:shd w:val="clear" w:color="auto" w:fill="33CCCC"/>
          </w:tcPr>
          <w:p>
            <w:pPr>
              <w:spacing w:after="0"/>
              <w:rPr>
                <w:sz w:val="10"/>
                <w:szCs w:val="10"/>
                <w:color w:val="auto"/>
              </w:rPr>
            </w:pPr>
          </w:p>
        </w:tc>
        <w:tc>
          <w:tcPr>
            <w:tcW w:w="660" w:type="dxa"/>
            <w:vAlign w:val="bottom"/>
            <w:vMerge w:val="restart"/>
            <w:shd w:val="clear" w:color="auto" w:fill="33CCCC"/>
          </w:tcPr>
          <w:p>
            <w:pPr>
              <w:ind w:left="160"/>
              <w:spacing w:after="0"/>
              <w:rPr>
                <w:sz w:val="20"/>
                <w:szCs w:val="20"/>
                <w:color w:val="auto"/>
              </w:rPr>
            </w:pPr>
            <w:r>
              <w:rPr>
                <w:rFonts w:ascii="Arial" w:cs="Arial" w:eastAsia="Arial" w:hAnsi="Arial"/>
                <w:sz w:val="10"/>
                <w:szCs w:val="10"/>
                <w:b w:val="1"/>
                <w:bCs w:val="1"/>
                <w:color w:val="FFFFFF"/>
              </w:rPr>
              <w:t>Income</w:t>
            </w:r>
          </w:p>
        </w:tc>
        <w:tc>
          <w:tcPr>
            <w:tcW w:w="520" w:type="dxa"/>
            <w:vAlign w:val="bottom"/>
            <w:tcBorders>
              <w:right w:val="single" w:sz="8" w:color="auto"/>
            </w:tcBorders>
            <w:vMerge w:val="restart"/>
            <w:shd w:val="clear" w:color="auto" w:fill="33CCCC"/>
          </w:tcPr>
          <w:p>
            <w:pPr>
              <w:ind w:left="120"/>
              <w:spacing w:after="0"/>
              <w:rPr>
                <w:sz w:val="20"/>
                <w:szCs w:val="20"/>
                <w:color w:val="auto"/>
              </w:rPr>
            </w:pPr>
            <w:r>
              <w:rPr>
                <w:rFonts w:ascii="Arial" w:cs="Arial" w:eastAsia="Arial" w:hAnsi="Arial"/>
                <w:sz w:val="10"/>
                <w:szCs w:val="10"/>
                <w:b w:val="1"/>
                <w:bCs w:val="1"/>
                <w:color w:val="FFFFFF"/>
              </w:rPr>
              <w:t>Yields</w:t>
            </w:r>
          </w:p>
        </w:tc>
        <w:tc>
          <w:tcPr>
            <w:tcW w:w="120" w:type="dxa"/>
            <w:vAlign w:val="bottom"/>
            <w:tcBorders>
              <w:right w:val="single" w:sz="8" w:color="auto"/>
            </w:tcBorders>
          </w:tcPr>
          <w:p>
            <w:pPr>
              <w:spacing w:after="0"/>
              <w:rPr>
                <w:sz w:val="10"/>
                <w:szCs w:val="10"/>
                <w:color w:val="auto"/>
              </w:rPr>
            </w:pPr>
          </w:p>
        </w:tc>
        <w:tc>
          <w:tcPr>
            <w:tcW w:w="660" w:type="dxa"/>
            <w:vAlign w:val="bottom"/>
            <w:vMerge w:val="continue"/>
            <w:shd w:val="clear" w:color="auto" w:fill="33CCCC"/>
          </w:tcPr>
          <w:p>
            <w:pPr>
              <w:spacing w:after="0"/>
              <w:rPr>
                <w:sz w:val="10"/>
                <w:szCs w:val="10"/>
                <w:color w:val="auto"/>
              </w:rPr>
            </w:pPr>
          </w:p>
        </w:tc>
        <w:tc>
          <w:tcPr>
            <w:tcW w:w="660" w:type="dxa"/>
            <w:vAlign w:val="bottom"/>
            <w:shd w:val="clear" w:color="auto" w:fill="33CCCC"/>
          </w:tcPr>
          <w:p>
            <w:pPr>
              <w:spacing w:after="0"/>
              <w:rPr>
                <w:sz w:val="10"/>
                <w:szCs w:val="10"/>
                <w:color w:val="auto"/>
              </w:rPr>
            </w:pPr>
          </w:p>
        </w:tc>
        <w:tc>
          <w:tcPr>
            <w:tcW w:w="520" w:type="dxa"/>
            <w:vAlign w:val="bottom"/>
            <w:tcBorders>
              <w:right w:val="single" w:sz="8" w:color="auto"/>
            </w:tcBorders>
            <w:shd w:val="clear" w:color="auto" w:fill="33CCCC"/>
          </w:tcPr>
          <w:p>
            <w:pPr>
              <w:spacing w:after="0"/>
              <w:rPr>
                <w:sz w:val="10"/>
                <w:szCs w:val="10"/>
                <w:color w:val="auto"/>
              </w:rPr>
            </w:pPr>
          </w:p>
        </w:tc>
        <w:tc>
          <w:tcPr>
            <w:tcW w:w="600" w:type="dxa"/>
            <w:vAlign w:val="bottom"/>
            <w:vMerge w:val="continue"/>
            <w:shd w:val="clear" w:color="auto" w:fill="33CCCC"/>
          </w:tcPr>
          <w:p>
            <w:pPr>
              <w:spacing w:after="0"/>
              <w:rPr>
                <w:sz w:val="10"/>
                <w:szCs w:val="10"/>
                <w:color w:val="auto"/>
              </w:rPr>
            </w:pPr>
          </w:p>
        </w:tc>
        <w:tc>
          <w:tcPr>
            <w:tcW w:w="680" w:type="dxa"/>
            <w:vAlign w:val="bottom"/>
            <w:shd w:val="clear" w:color="auto" w:fill="33CCCC"/>
          </w:tcPr>
          <w:p>
            <w:pPr>
              <w:spacing w:after="0"/>
              <w:rPr>
                <w:sz w:val="10"/>
                <w:szCs w:val="10"/>
                <w:color w:val="auto"/>
              </w:rPr>
            </w:pPr>
          </w:p>
        </w:tc>
        <w:tc>
          <w:tcPr>
            <w:tcW w:w="38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bottom w:val="single" w:sz="8" w:color="33CCCC"/>
              <w:right w:val="single" w:sz="8" w:color="auto"/>
            </w:tcBorders>
            <w:shd w:val="clear" w:color="auto" w:fill="33CCCC"/>
          </w:tcPr>
          <w:p>
            <w:pPr>
              <w:spacing w:after="0"/>
              <w:rPr>
                <w:sz w:val="20"/>
                <w:szCs w:val="20"/>
                <w:color w:val="auto"/>
              </w:rPr>
            </w:pPr>
            <w:r>
              <w:rPr>
                <w:rFonts w:ascii="Arial" w:cs="Arial" w:eastAsia="Arial" w:hAnsi="Arial"/>
                <w:sz w:val="10"/>
                <w:szCs w:val="10"/>
                <w:b w:val="1"/>
                <w:bCs w:val="1"/>
                <w:color w:val="FFFFFF"/>
              </w:rPr>
              <w:t>S/ millions</w:t>
            </w:r>
          </w:p>
        </w:tc>
        <w:tc>
          <w:tcPr>
            <w:tcW w:w="64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80" w:type="dxa"/>
            <w:vAlign w:val="bottom"/>
            <w:tcBorders>
              <w:bottom w:val="single" w:sz="8" w:color="33CCCC"/>
            </w:tcBorders>
            <w:vMerge w:val="continue"/>
            <w:shd w:val="clear" w:color="auto" w:fill="33CCCC"/>
          </w:tcPr>
          <w:p>
            <w:pPr>
              <w:spacing w:after="0"/>
              <w:rPr>
                <w:sz w:val="10"/>
                <w:szCs w:val="10"/>
                <w:color w:val="auto"/>
              </w:rPr>
            </w:pPr>
          </w:p>
        </w:tc>
        <w:tc>
          <w:tcPr>
            <w:tcW w:w="52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6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60" w:type="dxa"/>
            <w:vAlign w:val="bottom"/>
            <w:tcBorders>
              <w:bottom w:val="single" w:sz="8" w:color="33CCCC"/>
            </w:tcBorders>
            <w:vMerge w:val="continue"/>
            <w:shd w:val="clear" w:color="auto" w:fill="33CCCC"/>
          </w:tcPr>
          <w:p>
            <w:pPr>
              <w:spacing w:after="0"/>
              <w:rPr>
                <w:sz w:val="10"/>
                <w:szCs w:val="10"/>
                <w:color w:val="auto"/>
              </w:rPr>
            </w:pPr>
          </w:p>
        </w:tc>
        <w:tc>
          <w:tcPr>
            <w:tcW w:w="52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6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60" w:type="dxa"/>
            <w:vAlign w:val="bottom"/>
            <w:tcBorders>
              <w:bottom w:val="single" w:sz="8" w:color="33CCCC"/>
            </w:tcBorders>
            <w:vMerge w:val="continue"/>
            <w:shd w:val="clear" w:color="auto" w:fill="33CCCC"/>
          </w:tcPr>
          <w:p>
            <w:pPr>
              <w:spacing w:after="0"/>
              <w:rPr>
                <w:sz w:val="10"/>
                <w:szCs w:val="10"/>
                <w:color w:val="auto"/>
              </w:rPr>
            </w:pPr>
          </w:p>
        </w:tc>
        <w:tc>
          <w:tcPr>
            <w:tcW w:w="52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6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Income</w:t>
            </w:r>
          </w:p>
        </w:tc>
        <w:tc>
          <w:tcPr>
            <w:tcW w:w="520" w:type="dxa"/>
            <w:vAlign w:val="bottom"/>
            <w:tcBorders>
              <w:bottom w:val="single" w:sz="8" w:color="33CCCC"/>
              <w:right w:val="single" w:sz="8" w:color="auto"/>
            </w:tcBorders>
            <w:shd w:val="clear" w:color="auto" w:fill="33CCCC"/>
          </w:tcPr>
          <w:p>
            <w:pPr>
              <w:ind w:left="120"/>
              <w:spacing w:after="0"/>
              <w:rPr>
                <w:sz w:val="20"/>
                <w:szCs w:val="20"/>
                <w:color w:val="auto"/>
              </w:rPr>
            </w:pPr>
            <w:r>
              <w:rPr>
                <w:rFonts w:ascii="Arial" w:cs="Arial" w:eastAsia="Arial" w:hAnsi="Arial"/>
                <w:sz w:val="10"/>
                <w:szCs w:val="10"/>
                <w:b w:val="1"/>
                <w:bCs w:val="1"/>
                <w:color w:val="FFFFFF"/>
              </w:rPr>
              <w:t>Yields</w:t>
            </w:r>
          </w:p>
        </w:tc>
        <w:tc>
          <w:tcPr>
            <w:tcW w:w="60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80" w:type="dxa"/>
            <w:vAlign w:val="bottom"/>
            <w:tcBorders>
              <w:bottom w:val="single" w:sz="8" w:color="33CCCC"/>
            </w:tcBorders>
            <w:shd w:val="clear" w:color="auto" w:fill="33CCCC"/>
          </w:tcPr>
          <w:p>
            <w:pPr>
              <w:jc w:val="center"/>
              <w:ind w:left="91"/>
              <w:spacing w:after="0"/>
              <w:rPr>
                <w:sz w:val="20"/>
                <w:szCs w:val="20"/>
                <w:color w:val="auto"/>
              </w:rPr>
            </w:pPr>
            <w:r>
              <w:rPr>
                <w:rFonts w:ascii="Arial" w:cs="Arial" w:eastAsia="Arial" w:hAnsi="Arial"/>
                <w:sz w:val="10"/>
                <w:szCs w:val="10"/>
                <w:b w:val="1"/>
                <w:bCs w:val="1"/>
                <w:color w:val="FFFFFF"/>
                <w:w w:val="96"/>
              </w:rPr>
              <w:t>Income</w:t>
            </w:r>
          </w:p>
        </w:tc>
        <w:tc>
          <w:tcPr>
            <w:tcW w:w="380" w:type="dxa"/>
            <w:vAlign w:val="bottom"/>
            <w:tcBorders>
              <w:bottom w:val="single" w:sz="8" w:color="33CCCC"/>
              <w:right w:val="single" w:sz="8" w:color="auto"/>
            </w:tcBorders>
            <w:shd w:val="clear" w:color="auto" w:fill="33CCCC"/>
          </w:tcPr>
          <w:p>
            <w:pPr>
              <w:ind w:left="60"/>
              <w:spacing w:after="0"/>
              <w:rPr>
                <w:sz w:val="20"/>
                <w:szCs w:val="20"/>
                <w:color w:val="auto"/>
              </w:rPr>
            </w:pPr>
            <w:r>
              <w:rPr>
                <w:rFonts w:ascii="Arial" w:cs="Arial" w:eastAsia="Arial" w:hAnsi="Arial"/>
                <w:sz w:val="10"/>
                <w:szCs w:val="10"/>
                <w:b w:val="1"/>
                <w:bCs w:val="1"/>
                <w:color w:val="FFFFFF"/>
                <w:w w:val="94"/>
              </w:rPr>
              <w:t>Yields</w:t>
            </w:r>
          </w:p>
        </w:tc>
        <w:tc>
          <w:tcPr>
            <w:tcW w:w="0" w:type="dxa"/>
            <w:vAlign w:val="bottom"/>
          </w:tcPr>
          <w:p>
            <w:pPr>
              <w:spacing w:after="0"/>
              <w:rPr>
                <w:sz w:val="1"/>
                <w:szCs w:val="1"/>
                <w:color w:val="auto"/>
              </w:rPr>
            </w:pPr>
          </w:p>
        </w:tc>
      </w:tr>
      <w:tr>
        <w:trPr>
          <w:trHeight w:val="108"/>
        </w:trPr>
        <w:tc>
          <w:tcPr>
            <w:tcW w:w="2140" w:type="dxa"/>
            <w:vAlign w:val="bottom"/>
            <w:tcBorders>
              <w:top w:val="single" w:sz="8" w:color="auto"/>
              <w:left w:val="single" w:sz="8" w:color="auto"/>
              <w:right w:val="single" w:sz="8" w:color="auto"/>
            </w:tcBorders>
          </w:tcPr>
          <w:p>
            <w:pPr>
              <w:spacing w:after="0" w:line="108" w:lineRule="exact"/>
              <w:rPr>
                <w:sz w:val="20"/>
                <w:szCs w:val="20"/>
                <w:color w:val="auto"/>
              </w:rPr>
            </w:pPr>
            <w:r>
              <w:rPr>
                <w:rFonts w:ascii="Arial" w:cs="Arial" w:eastAsia="Arial" w:hAnsi="Arial"/>
                <w:sz w:val="10"/>
                <w:szCs w:val="10"/>
                <w:b w:val="1"/>
                <w:bCs w:val="1"/>
                <w:color w:val="auto"/>
              </w:rPr>
              <w:t>Total (LC + FC)</w:t>
            </w:r>
          </w:p>
        </w:tc>
        <w:tc>
          <w:tcPr>
            <w:tcW w:w="6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Cash and equivalents</w:t>
            </w:r>
          </w:p>
        </w:tc>
        <w:tc>
          <w:tcPr>
            <w:tcW w:w="640" w:type="dxa"/>
            <w:vAlign w:val="bottom"/>
          </w:tcPr>
          <w:p>
            <w:pPr>
              <w:jc w:val="center"/>
              <w:spacing w:after="0"/>
              <w:rPr>
                <w:sz w:val="20"/>
                <w:szCs w:val="20"/>
                <w:color w:val="auto"/>
              </w:rPr>
            </w:pPr>
            <w:r>
              <w:rPr>
                <w:rFonts w:ascii="Arial" w:cs="Arial" w:eastAsia="Arial" w:hAnsi="Arial"/>
                <w:sz w:val="10"/>
                <w:szCs w:val="10"/>
                <w:color w:val="auto"/>
              </w:rPr>
              <w:t>38,564</w:t>
            </w:r>
          </w:p>
        </w:tc>
        <w:tc>
          <w:tcPr>
            <w:tcW w:w="680" w:type="dxa"/>
            <w:vAlign w:val="bottom"/>
          </w:tcPr>
          <w:p>
            <w:pPr>
              <w:jc w:val="center"/>
              <w:spacing w:after="0"/>
              <w:rPr>
                <w:sz w:val="20"/>
                <w:szCs w:val="20"/>
                <w:color w:val="auto"/>
              </w:rPr>
            </w:pPr>
            <w:r>
              <w:rPr>
                <w:rFonts w:ascii="Arial" w:cs="Arial" w:eastAsia="Arial" w:hAnsi="Arial"/>
                <w:sz w:val="10"/>
                <w:szCs w:val="10"/>
                <w:color w:val="auto"/>
              </w:rPr>
              <w:t>386</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4.0%</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35,034</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316</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3.6%</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38,628</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366</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3.8%</w:t>
            </w:r>
          </w:p>
        </w:tc>
        <w:tc>
          <w:tcPr>
            <w:tcW w:w="120" w:type="dxa"/>
            <w:vAlign w:val="bottom"/>
            <w:tcBorders>
              <w:right w:val="single" w:sz="8" w:color="auto"/>
            </w:tcBorders>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33,050</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1,406</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4.3%</w:t>
            </w:r>
          </w:p>
        </w:tc>
        <w:tc>
          <w:tcPr>
            <w:tcW w:w="600" w:type="dxa"/>
            <w:vAlign w:val="bottom"/>
          </w:tcPr>
          <w:p>
            <w:pPr>
              <w:jc w:val="center"/>
              <w:ind w:left="11"/>
              <w:spacing w:after="0"/>
              <w:rPr>
                <w:sz w:val="20"/>
                <w:szCs w:val="20"/>
                <w:color w:val="auto"/>
              </w:rPr>
            </w:pPr>
            <w:r>
              <w:rPr>
                <w:rFonts w:ascii="Arial" w:cs="Arial" w:eastAsia="Arial" w:hAnsi="Arial"/>
                <w:sz w:val="10"/>
                <w:szCs w:val="10"/>
                <w:color w:val="auto"/>
                <w:w w:val="97"/>
              </w:rPr>
              <w:t>40,757</w:t>
            </w:r>
          </w:p>
        </w:tc>
        <w:tc>
          <w:tcPr>
            <w:tcW w:w="680" w:type="dxa"/>
            <w:vAlign w:val="bottom"/>
          </w:tcPr>
          <w:p>
            <w:pPr>
              <w:jc w:val="center"/>
              <w:ind w:left="71"/>
              <w:spacing w:after="0"/>
              <w:rPr>
                <w:sz w:val="20"/>
                <w:szCs w:val="20"/>
                <w:color w:val="auto"/>
              </w:rPr>
            </w:pPr>
            <w:r>
              <w:rPr>
                <w:rFonts w:ascii="Arial" w:cs="Arial" w:eastAsia="Arial" w:hAnsi="Arial"/>
                <w:sz w:val="10"/>
                <w:szCs w:val="10"/>
                <w:color w:val="auto"/>
                <w:w w:val="95"/>
              </w:rPr>
              <w:t>1,369</w:t>
            </w: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3.4%</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Other IEA</w:t>
            </w:r>
          </w:p>
        </w:tc>
        <w:tc>
          <w:tcPr>
            <w:tcW w:w="640" w:type="dxa"/>
            <w:vAlign w:val="bottom"/>
          </w:tcPr>
          <w:p>
            <w:pPr>
              <w:jc w:val="center"/>
              <w:spacing w:after="0"/>
              <w:rPr>
                <w:sz w:val="20"/>
                <w:szCs w:val="20"/>
                <w:color w:val="auto"/>
              </w:rPr>
            </w:pPr>
            <w:r>
              <w:rPr>
                <w:rFonts w:ascii="Arial" w:cs="Arial" w:eastAsia="Arial" w:hAnsi="Arial"/>
                <w:sz w:val="10"/>
                <w:szCs w:val="10"/>
                <w:color w:val="auto"/>
                <w:w w:val="95"/>
              </w:rPr>
              <w:t>1,227</w:t>
            </w:r>
          </w:p>
        </w:tc>
        <w:tc>
          <w:tcPr>
            <w:tcW w:w="680" w:type="dxa"/>
            <w:vAlign w:val="bottom"/>
          </w:tcPr>
          <w:p>
            <w:pPr>
              <w:jc w:val="center"/>
              <w:spacing w:after="0"/>
              <w:rPr>
                <w:sz w:val="20"/>
                <w:szCs w:val="20"/>
                <w:color w:val="auto"/>
              </w:rPr>
            </w:pPr>
            <w:r>
              <w:rPr>
                <w:rFonts w:ascii="Arial" w:cs="Arial" w:eastAsia="Arial" w:hAnsi="Arial"/>
                <w:sz w:val="10"/>
                <w:szCs w:val="10"/>
                <w:color w:val="auto"/>
                <w:w w:val="89"/>
              </w:rPr>
              <w:t>18</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5.9%</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3,999</w:t>
            </w:r>
          </w:p>
        </w:tc>
        <w:tc>
          <w:tcPr>
            <w:tcW w:w="660" w:type="dxa"/>
            <w:vAlign w:val="bottom"/>
          </w:tcPr>
          <w:p>
            <w:pPr>
              <w:jc w:val="center"/>
              <w:spacing w:after="0"/>
              <w:rPr>
                <w:sz w:val="20"/>
                <w:szCs w:val="20"/>
                <w:color w:val="auto"/>
              </w:rPr>
            </w:pPr>
            <w:r>
              <w:rPr>
                <w:rFonts w:ascii="Arial" w:cs="Arial" w:eastAsia="Arial" w:hAnsi="Arial"/>
                <w:sz w:val="10"/>
                <w:szCs w:val="10"/>
                <w:color w:val="auto"/>
                <w:w w:val="89"/>
              </w:rPr>
              <w:t>68</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6.8%</w:t>
            </w:r>
          </w:p>
        </w:tc>
        <w:tc>
          <w:tcPr>
            <w:tcW w:w="660" w:type="dxa"/>
            <w:vAlign w:val="bottom"/>
          </w:tcPr>
          <w:p>
            <w:pPr>
              <w:jc w:val="center"/>
              <w:spacing w:after="0"/>
              <w:rPr>
                <w:sz w:val="20"/>
                <w:szCs w:val="20"/>
                <w:color w:val="auto"/>
              </w:rPr>
            </w:pPr>
            <w:r>
              <w:rPr>
                <w:rFonts w:ascii="Arial" w:cs="Arial" w:eastAsia="Arial" w:hAnsi="Arial"/>
                <w:sz w:val="10"/>
                <w:szCs w:val="10"/>
                <w:color w:val="auto"/>
              </w:rPr>
              <w:t>2,791</w:t>
            </w:r>
          </w:p>
        </w:tc>
        <w:tc>
          <w:tcPr>
            <w:tcW w:w="660" w:type="dxa"/>
            <w:vAlign w:val="bottom"/>
          </w:tcPr>
          <w:p>
            <w:pPr>
              <w:jc w:val="center"/>
              <w:spacing w:after="0"/>
              <w:rPr>
                <w:sz w:val="20"/>
                <w:szCs w:val="20"/>
                <w:color w:val="auto"/>
              </w:rPr>
            </w:pPr>
            <w:r>
              <w:rPr>
                <w:rFonts w:ascii="Arial" w:cs="Arial" w:eastAsia="Arial" w:hAnsi="Arial"/>
                <w:sz w:val="10"/>
                <w:szCs w:val="10"/>
                <w:color w:val="auto"/>
              </w:rPr>
              <w:t>26</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3.7%</w:t>
            </w:r>
          </w:p>
        </w:tc>
        <w:tc>
          <w:tcPr>
            <w:tcW w:w="120" w:type="dxa"/>
            <w:vAlign w:val="bottom"/>
            <w:tcBorders>
              <w:right w:val="single" w:sz="8" w:color="auto"/>
            </w:tcBorders>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rPr>
              <w:t>1,222</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100</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8.2%</w:t>
            </w:r>
          </w:p>
        </w:tc>
        <w:tc>
          <w:tcPr>
            <w:tcW w:w="600" w:type="dxa"/>
            <w:vAlign w:val="bottom"/>
          </w:tcPr>
          <w:p>
            <w:pPr>
              <w:jc w:val="center"/>
              <w:ind w:left="31"/>
              <w:spacing w:after="0"/>
              <w:rPr>
                <w:sz w:val="20"/>
                <w:szCs w:val="20"/>
                <w:color w:val="auto"/>
              </w:rPr>
            </w:pPr>
            <w:r>
              <w:rPr>
                <w:rFonts w:ascii="Arial" w:cs="Arial" w:eastAsia="Arial" w:hAnsi="Arial"/>
                <w:sz w:val="10"/>
                <w:szCs w:val="10"/>
                <w:color w:val="auto"/>
                <w:w w:val="95"/>
              </w:rPr>
              <w:t>1,605</w:t>
            </w:r>
          </w:p>
        </w:tc>
        <w:tc>
          <w:tcPr>
            <w:tcW w:w="680" w:type="dxa"/>
            <w:vAlign w:val="bottom"/>
          </w:tcPr>
          <w:p>
            <w:pPr>
              <w:jc w:val="center"/>
              <w:ind w:left="71"/>
              <w:spacing w:after="0"/>
              <w:rPr>
                <w:sz w:val="20"/>
                <w:szCs w:val="20"/>
                <w:color w:val="auto"/>
              </w:rPr>
            </w:pPr>
            <w:r>
              <w:rPr>
                <w:rFonts w:ascii="Arial" w:cs="Arial" w:eastAsia="Arial" w:hAnsi="Arial"/>
                <w:sz w:val="10"/>
                <w:szCs w:val="10"/>
                <w:color w:val="auto"/>
                <w:w w:val="95"/>
              </w:rPr>
              <w:t>182</w:t>
            </w: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11.3%</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Investments</w:t>
            </w:r>
          </w:p>
        </w:tc>
        <w:tc>
          <w:tcPr>
            <w:tcW w:w="640" w:type="dxa"/>
            <w:vAlign w:val="bottom"/>
          </w:tcPr>
          <w:p>
            <w:pPr>
              <w:jc w:val="center"/>
              <w:spacing w:after="0"/>
              <w:rPr>
                <w:sz w:val="20"/>
                <w:szCs w:val="20"/>
                <w:color w:val="auto"/>
              </w:rPr>
            </w:pPr>
            <w:r>
              <w:rPr>
                <w:rFonts w:ascii="Arial" w:cs="Arial" w:eastAsia="Arial" w:hAnsi="Arial"/>
                <w:sz w:val="10"/>
                <w:szCs w:val="10"/>
                <w:color w:val="auto"/>
              </w:rPr>
              <w:t>53,578</w:t>
            </w:r>
          </w:p>
        </w:tc>
        <w:tc>
          <w:tcPr>
            <w:tcW w:w="680" w:type="dxa"/>
            <w:vAlign w:val="bottom"/>
          </w:tcPr>
          <w:p>
            <w:pPr>
              <w:jc w:val="center"/>
              <w:spacing w:after="0"/>
              <w:rPr>
                <w:sz w:val="20"/>
                <w:szCs w:val="20"/>
                <w:color w:val="auto"/>
              </w:rPr>
            </w:pPr>
            <w:r>
              <w:rPr>
                <w:rFonts w:ascii="Arial" w:cs="Arial" w:eastAsia="Arial" w:hAnsi="Arial"/>
                <w:sz w:val="10"/>
                <w:szCs w:val="10"/>
                <w:color w:val="auto"/>
              </w:rPr>
              <w:t>667</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5.0%</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51,396</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643</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5.0%</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51,996</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639</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4.9%</w:t>
            </w:r>
          </w:p>
        </w:tc>
        <w:tc>
          <w:tcPr>
            <w:tcW w:w="120" w:type="dxa"/>
            <w:vAlign w:val="bottom"/>
            <w:tcBorders>
              <w:right w:val="single" w:sz="8" w:color="auto"/>
            </w:tcBorders>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53,021</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2,710</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5.1%</w:t>
            </w:r>
          </w:p>
        </w:tc>
        <w:tc>
          <w:tcPr>
            <w:tcW w:w="600" w:type="dxa"/>
            <w:vAlign w:val="bottom"/>
          </w:tcPr>
          <w:p>
            <w:pPr>
              <w:jc w:val="center"/>
              <w:ind w:left="11"/>
              <w:spacing w:after="0"/>
              <w:rPr>
                <w:sz w:val="20"/>
                <w:szCs w:val="20"/>
                <w:color w:val="auto"/>
              </w:rPr>
            </w:pPr>
            <w:r>
              <w:rPr>
                <w:rFonts w:ascii="Arial" w:cs="Arial" w:eastAsia="Arial" w:hAnsi="Arial"/>
                <w:sz w:val="10"/>
                <w:szCs w:val="10"/>
                <w:color w:val="auto"/>
                <w:w w:val="97"/>
              </w:rPr>
              <w:t>53,315</w:t>
            </w:r>
          </w:p>
        </w:tc>
        <w:tc>
          <w:tcPr>
            <w:tcW w:w="680" w:type="dxa"/>
            <w:vAlign w:val="bottom"/>
          </w:tcPr>
          <w:p>
            <w:pPr>
              <w:jc w:val="center"/>
              <w:ind w:left="71"/>
              <w:spacing w:after="0"/>
              <w:rPr>
                <w:sz w:val="20"/>
                <w:szCs w:val="20"/>
                <w:color w:val="auto"/>
              </w:rPr>
            </w:pPr>
            <w:r>
              <w:rPr>
                <w:rFonts w:ascii="Arial" w:cs="Arial" w:eastAsia="Arial" w:hAnsi="Arial"/>
                <w:sz w:val="10"/>
                <w:szCs w:val="10"/>
                <w:color w:val="auto"/>
                <w:w w:val="95"/>
              </w:rPr>
              <w:t>2,634</w:t>
            </w: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4.9%</w:t>
            </w:r>
          </w:p>
        </w:tc>
        <w:tc>
          <w:tcPr>
            <w:tcW w:w="0" w:type="dxa"/>
            <w:vAlign w:val="bottom"/>
          </w:tcPr>
          <w:p>
            <w:pPr>
              <w:spacing w:after="0"/>
              <w:rPr>
                <w:sz w:val="1"/>
                <w:szCs w:val="1"/>
                <w:color w:val="auto"/>
              </w:rPr>
            </w:pPr>
          </w:p>
        </w:tc>
      </w:tr>
      <w:tr>
        <w:trPr>
          <w:trHeight w:val="129"/>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color w:val="auto"/>
              </w:rPr>
              <w:t>Loans</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144,150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3,940</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10.9%</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142,857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3,961</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11.1%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147,369</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4,094</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11.1%</w:t>
            </w:r>
          </w:p>
        </w:tc>
        <w:tc>
          <w:tcPr>
            <w:tcW w:w="120" w:type="dxa"/>
            <w:vAlign w:val="bottom"/>
            <w:tcBorders>
              <w:right w:val="single" w:sz="8" w:color="auto"/>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145,354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7"/>
              </w:rPr>
              <w:t>15,655</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10.8%</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color w:val="auto"/>
                <w:w w:val="99"/>
              </w:rPr>
              <w:t>147,859</w:t>
            </w:r>
          </w:p>
        </w:tc>
        <w:tc>
          <w:tcPr>
            <w:tcW w:w="680" w:type="dxa"/>
            <w:vAlign w:val="bottom"/>
            <w:tcBorders>
              <w:bottom w:val="single" w:sz="8" w:color="auto"/>
            </w:tcBorders>
          </w:tcPr>
          <w:p>
            <w:pPr>
              <w:jc w:val="center"/>
              <w:ind w:left="91"/>
              <w:spacing w:after="0"/>
              <w:rPr>
                <w:sz w:val="20"/>
                <w:szCs w:val="20"/>
                <w:color w:val="auto"/>
              </w:rPr>
            </w:pPr>
            <w:r>
              <w:rPr>
                <w:rFonts w:ascii="Arial" w:cs="Arial" w:eastAsia="Arial" w:hAnsi="Arial"/>
                <w:sz w:val="10"/>
                <w:szCs w:val="10"/>
                <w:color w:val="auto"/>
                <w:w w:val="97"/>
              </w:rPr>
              <w:t>15,743</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10.6%</w:t>
            </w:r>
          </w:p>
        </w:tc>
        <w:tc>
          <w:tcPr>
            <w:tcW w:w="0" w:type="dxa"/>
            <w:vAlign w:val="bottom"/>
          </w:tcPr>
          <w:p>
            <w:pPr>
              <w:spacing w:after="0"/>
              <w:rPr>
                <w:sz w:val="1"/>
                <w:szCs w:val="1"/>
                <w:color w:val="auto"/>
              </w:rPr>
            </w:pPr>
          </w:p>
        </w:tc>
      </w:tr>
      <w:tr>
        <w:trPr>
          <w:trHeight w:val="115"/>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Total IEA</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237,519</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5,011</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233,286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4,988</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240,784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5,125</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8.5%</w:t>
            </w: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232,647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19,871</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8.5%</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b w:val="1"/>
                <w:bCs w:val="1"/>
                <w:color w:val="auto"/>
                <w:w w:val="99"/>
              </w:rPr>
              <w:t>243,536</w:t>
            </w:r>
          </w:p>
        </w:tc>
        <w:tc>
          <w:tcPr>
            <w:tcW w:w="680" w:type="dxa"/>
            <w:vAlign w:val="bottom"/>
            <w:tcBorders>
              <w:bottom w:val="single" w:sz="8" w:color="auto"/>
            </w:tcBorders>
          </w:tcPr>
          <w:p>
            <w:pPr>
              <w:jc w:val="center"/>
              <w:ind w:left="91"/>
              <w:spacing w:after="0"/>
              <w:rPr>
                <w:sz w:val="20"/>
                <w:szCs w:val="20"/>
                <w:color w:val="auto"/>
              </w:rPr>
            </w:pPr>
            <w:r>
              <w:rPr>
                <w:rFonts w:ascii="Arial" w:cs="Arial" w:eastAsia="Arial" w:hAnsi="Arial"/>
                <w:sz w:val="10"/>
                <w:szCs w:val="10"/>
                <w:b w:val="1"/>
                <w:bCs w:val="1"/>
                <w:color w:val="auto"/>
                <w:w w:val="97"/>
              </w:rPr>
              <w:t>19,928</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8.2%</w:t>
            </w:r>
          </w:p>
        </w:tc>
        <w:tc>
          <w:tcPr>
            <w:tcW w:w="0" w:type="dxa"/>
            <w:vAlign w:val="bottom"/>
          </w:tcPr>
          <w:p>
            <w:pPr>
              <w:spacing w:after="0"/>
              <w:rPr>
                <w:sz w:val="1"/>
                <w:szCs w:val="1"/>
                <w:color w:val="auto"/>
              </w:rPr>
            </w:pPr>
          </w:p>
        </w:tc>
      </w:tr>
      <w:tr>
        <w:trPr>
          <w:trHeight w:val="115"/>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color w:val="auto"/>
              </w:rPr>
              <w:t>IEA (LC)</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54.7%</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68.8%</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56.7%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71.4%</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56.6%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71.2%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10.7%</w:t>
            </w: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56.2%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69.2%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10.5%</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color w:val="auto"/>
                <w:w w:val="98"/>
              </w:rPr>
              <w:t>55.6%</w:t>
            </w:r>
          </w:p>
        </w:tc>
        <w:tc>
          <w:tcPr>
            <w:tcW w:w="680" w:type="dxa"/>
            <w:vAlign w:val="bottom"/>
            <w:tcBorders>
              <w:bottom w:val="single" w:sz="8" w:color="auto"/>
            </w:tcBorders>
          </w:tcPr>
          <w:p>
            <w:pPr>
              <w:jc w:val="center"/>
              <w:ind w:left="71"/>
              <w:spacing w:after="0"/>
              <w:rPr>
                <w:sz w:val="20"/>
                <w:szCs w:val="20"/>
                <w:color w:val="auto"/>
              </w:rPr>
            </w:pPr>
            <w:r>
              <w:rPr>
                <w:rFonts w:ascii="Arial" w:cs="Arial" w:eastAsia="Arial" w:hAnsi="Arial"/>
                <w:sz w:val="10"/>
                <w:szCs w:val="10"/>
                <w:color w:val="auto"/>
                <w:w w:val="98"/>
              </w:rPr>
              <w:t>71.1%</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10.5%</w:t>
            </w:r>
          </w:p>
        </w:tc>
        <w:tc>
          <w:tcPr>
            <w:tcW w:w="0" w:type="dxa"/>
            <w:vAlign w:val="bottom"/>
          </w:tcPr>
          <w:p>
            <w:pPr>
              <w:spacing w:after="0"/>
              <w:rPr>
                <w:sz w:val="1"/>
                <w:szCs w:val="1"/>
                <w:color w:val="auto"/>
              </w:rPr>
            </w:pPr>
          </w:p>
        </w:tc>
      </w:tr>
      <w:tr>
        <w:trPr>
          <w:trHeight w:val="115"/>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color w:val="auto"/>
              </w:rPr>
              <w:t>IEA (FC)</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45.3%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31.2%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5.8%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43.3%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28.6%</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5.7%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43.4%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28.8%</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5.6%</w:t>
            </w: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43.8%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30.8%</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6.0%</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color w:val="auto"/>
                <w:w w:val="98"/>
              </w:rPr>
              <w:t>44.4%</w:t>
            </w:r>
          </w:p>
        </w:tc>
        <w:tc>
          <w:tcPr>
            <w:tcW w:w="680" w:type="dxa"/>
            <w:vAlign w:val="bottom"/>
            <w:tcBorders>
              <w:bottom w:val="single" w:sz="8" w:color="auto"/>
            </w:tcBorders>
          </w:tcPr>
          <w:p>
            <w:pPr>
              <w:jc w:val="center"/>
              <w:ind w:left="71"/>
              <w:spacing w:after="0"/>
              <w:rPr>
                <w:sz w:val="20"/>
                <w:szCs w:val="20"/>
                <w:color w:val="auto"/>
              </w:rPr>
            </w:pPr>
            <w:r>
              <w:rPr>
                <w:rFonts w:ascii="Arial" w:cs="Arial" w:eastAsia="Arial" w:hAnsi="Arial"/>
                <w:sz w:val="10"/>
                <w:szCs w:val="10"/>
                <w:color w:val="auto"/>
                <w:w w:val="98"/>
              </w:rPr>
              <w:t>28.9%</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5.3%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140" w:type="dxa"/>
            <w:vAlign w:val="bottom"/>
            <w:tcBorders>
              <w:left w:val="single" w:sz="8" w:color="auto"/>
              <w:right w:val="single" w:sz="8" w:color="auto"/>
            </w:tcBorders>
            <w:shd w:val="clear" w:color="auto" w:fill="33CCCC"/>
          </w:tcPr>
          <w:p>
            <w:pPr>
              <w:spacing w:after="0"/>
              <w:rPr>
                <w:sz w:val="20"/>
                <w:szCs w:val="20"/>
                <w:color w:val="auto"/>
              </w:rPr>
            </w:pPr>
            <w:r>
              <w:rPr>
                <w:rFonts w:ascii="Arial" w:cs="Arial" w:eastAsia="Arial" w:hAnsi="Arial"/>
                <w:sz w:val="10"/>
                <w:szCs w:val="10"/>
                <w:b w:val="1"/>
                <w:bCs w:val="1"/>
                <w:color w:val="FFFFFF"/>
              </w:rPr>
              <w:t>Interest Income / Funding</w:t>
            </w:r>
          </w:p>
        </w:tc>
        <w:tc>
          <w:tcPr>
            <w:tcW w:w="640" w:type="dxa"/>
            <w:vAlign w:val="bottom"/>
            <w:vMerge w:val="restart"/>
            <w:shd w:val="clear" w:color="auto" w:fill="33CCCC"/>
          </w:tcPr>
          <w:p>
            <w:pPr>
              <w:ind w:left="120"/>
              <w:spacing w:after="0"/>
              <w:rPr>
                <w:sz w:val="20"/>
                <w:szCs w:val="20"/>
                <w:color w:val="auto"/>
              </w:rPr>
            </w:pPr>
            <w:r>
              <w:rPr>
                <w:rFonts w:ascii="Arial" w:cs="Arial" w:eastAsia="Arial" w:hAnsi="Arial"/>
                <w:sz w:val="10"/>
                <w:szCs w:val="10"/>
                <w:b w:val="1"/>
                <w:bCs w:val="1"/>
                <w:color w:val="FFFFFF"/>
              </w:rPr>
              <w:t>Average</w:t>
            </w:r>
          </w:p>
        </w:tc>
        <w:tc>
          <w:tcPr>
            <w:tcW w:w="680" w:type="dxa"/>
            <w:vAlign w:val="bottom"/>
            <w:shd w:val="clear" w:color="auto" w:fill="33CCCC"/>
          </w:tcPr>
          <w:p>
            <w:pPr>
              <w:ind w:left="140"/>
              <w:spacing w:after="0"/>
              <w:rPr>
                <w:sz w:val="20"/>
                <w:szCs w:val="20"/>
                <w:color w:val="auto"/>
              </w:rPr>
            </w:pPr>
            <w:r>
              <w:rPr>
                <w:rFonts w:ascii="Arial" w:cs="Arial" w:eastAsia="Arial" w:hAnsi="Arial"/>
                <w:sz w:val="10"/>
                <w:szCs w:val="10"/>
                <w:b w:val="1"/>
                <w:bCs w:val="1"/>
                <w:color w:val="FFFFFF"/>
              </w:rPr>
              <w:t>4Q24</w:t>
            </w:r>
          </w:p>
        </w:tc>
        <w:tc>
          <w:tcPr>
            <w:tcW w:w="520" w:type="dxa"/>
            <w:vAlign w:val="bottom"/>
            <w:tcBorders>
              <w:right w:val="single" w:sz="8" w:color="auto"/>
            </w:tcBorders>
            <w:shd w:val="clear" w:color="auto" w:fill="33CCCC"/>
          </w:tcPr>
          <w:p>
            <w:pPr>
              <w:spacing w:after="0"/>
              <w:rPr>
                <w:sz w:val="10"/>
                <w:szCs w:val="10"/>
                <w:color w:val="auto"/>
              </w:rPr>
            </w:pPr>
          </w:p>
        </w:tc>
        <w:tc>
          <w:tcPr>
            <w:tcW w:w="660" w:type="dxa"/>
            <w:vAlign w:val="bottom"/>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60" w:type="dxa"/>
            <w:vAlign w:val="bottom"/>
            <w:shd w:val="clear" w:color="auto" w:fill="33CCCC"/>
          </w:tcPr>
          <w:p>
            <w:pPr>
              <w:ind w:left="120"/>
              <w:spacing w:after="0"/>
              <w:rPr>
                <w:sz w:val="20"/>
                <w:szCs w:val="20"/>
                <w:color w:val="auto"/>
              </w:rPr>
            </w:pPr>
            <w:r>
              <w:rPr>
                <w:rFonts w:ascii="Arial" w:cs="Arial" w:eastAsia="Arial" w:hAnsi="Arial"/>
                <w:sz w:val="10"/>
                <w:szCs w:val="10"/>
                <w:b w:val="1"/>
                <w:bCs w:val="1"/>
                <w:color w:val="FFFFFF"/>
              </w:rPr>
              <w:t>3Q25</w:t>
            </w:r>
          </w:p>
        </w:tc>
        <w:tc>
          <w:tcPr>
            <w:tcW w:w="520" w:type="dxa"/>
            <w:vAlign w:val="bottom"/>
            <w:tcBorders>
              <w:right w:val="single" w:sz="8" w:color="auto"/>
            </w:tcBorders>
            <w:shd w:val="clear" w:color="auto" w:fill="33CCCC"/>
          </w:tcPr>
          <w:p>
            <w:pPr>
              <w:spacing w:after="0"/>
              <w:rPr>
                <w:sz w:val="10"/>
                <w:szCs w:val="10"/>
                <w:color w:val="auto"/>
              </w:rPr>
            </w:pPr>
          </w:p>
        </w:tc>
        <w:tc>
          <w:tcPr>
            <w:tcW w:w="660" w:type="dxa"/>
            <w:vAlign w:val="bottom"/>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60" w:type="dxa"/>
            <w:vAlign w:val="bottom"/>
            <w:shd w:val="clear" w:color="auto" w:fill="33CCCC"/>
          </w:tcPr>
          <w:p>
            <w:pPr>
              <w:ind w:left="120"/>
              <w:spacing w:after="0"/>
              <w:rPr>
                <w:sz w:val="20"/>
                <w:szCs w:val="20"/>
                <w:color w:val="auto"/>
              </w:rPr>
            </w:pPr>
            <w:r>
              <w:rPr>
                <w:rFonts w:ascii="Arial" w:cs="Arial" w:eastAsia="Arial" w:hAnsi="Arial"/>
                <w:sz w:val="10"/>
                <w:szCs w:val="10"/>
                <w:b w:val="1"/>
                <w:bCs w:val="1"/>
                <w:color w:val="FFFFFF"/>
              </w:rPr>
              <w:t>4Q25</w:t>
            </w:r>
          </w:p>
        </w:tc>
        <w:tc>
          <w:tcPr>
            <w:tcW w:w="520" w:type="dxa"/>
            <w:vAlign w:val="bottom"/>
            <w:tcBorders>
              <w:right w:val="single" w:sz="8" w:color="auto"/>
            </w:tcBorders>
            <w:shd w:val="clear" w:color="auto" w:fill="33CCCC"/>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60" w:type="dxa"/>
            <w:vAlign w:val="bottom"/>
            <w:shd w:val="clear" w:color="auto" w:fill="33CCCC"/>
          </w:tcPr>
          <w:p>
            <w:pPr>
              <w:ind w:left="100"/>
              <w:spacing w:after="0"/>
              <w:rPr>
                <w:sz w:val="20"/>
                <w:szCs w:val="20"/>
                <w:color w:val="auto"/>
              </w:rPr>
            </w:pPr>
            <w:r>
              <w:rPr>
                <w:rFonts w:ascii="Arial" w:cs="Arial" w:eastAsia="Arial" w:hAnsi="Arial"/>
                <w:sz w:val="10"/>
                <w:szCs w:val="10"/>
                <w:b w:val="1"/>
                <w:bCs w:val="1"/>
                <w:color w:val="FFFFFF"/>
              </w:rPr>
              <w:t>Dec 24</w:t>
            </w:r>
          </w:p>
        </w:tc>
        <w:tc>
          <w:tcPr>
            <w:tcW w:w="520" w:type="dxa"/>
            <w:vAlign w:val="bottom"/>
            <w:tcBorders>
              <w:right w:val="single" w:sz="8" w:color="auto"/>
            </w:tcBorders>
            <w:shd w:val="clear" w:color="auto" w:fill="33CCCC"/>
          </w:tcPr>
          <w:p>
            <w:pPr>
              <w:spacing w:after="0"/>
              <w:rPr>
                <w:sz w:val="10"/>
                <w:szCs w:val="10"/>
                <w:color w:val="auto"/>
              </w:rPr>
            </w:pPr>
          </w:p>
        </w:tc>
        <w:tc>
          <w:tcPr>
            <w:tcW w:w="600" w:type="dxa"/>
            <w:vAlign w:val="bottom"/>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Average</w:t>
            </w:r>
          </w:p>
        </w:tc>
        <w:tc>
          <w:tcPr>
            <w:tcW w:w="680" w:type="dxa"/>
            <w:vAlign w:val="bottom"/>
            <w:shd w:val="clear" w:color="auto" w:fill="33CCCC"/>
          </w:tcPr>
          <w:p>
            <w:pPr>
              <w:ind w:left="60"/>
              <w:spacing w:after="0"/>
              <w:rPr>
                <w:sz w:val="20"/>
                <w:szCs w:val="20"/>
                <w:color w:val="auto"/>
              </w:rPr>
            </w:pPr>
            <w:r>
              <w:rPr>
                <w:rFonts w:ascii="Arial" w:cs="Arial" w:eastAsia="Arial" w:hAnsi="Arial"/>
                <w:sz w:val="10"/>
                <w:szCs w:val="10"/>
                <w:b w:val="1"/>
                <w:bCs w:val="1"/>
                <w:color w:val="FFFFFF"/>
              </w:rPr>
              <w:t>Dec 25</w:t>
            </w:r>
          </w:p>
        </w:tc>
        <w:tc>
          <w:tcPr>
            <w:tcW w:w="38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40" w:type="dxa"/>
            <w:vAlign w:val="bottom"/>
            <w:tcBorders>
              <w:left w:val="single" w:sz="8" w:color="auto"/>
              <w:right w:val="single" w:sz="8" w:color="auto"/>
            </w:tcBorders>
            <w:shd w:val="clear" w:color="auto" w:fill="33CCCC"/>
          </w:tcPr>
          <w:p>
            <w:pPr>
              <w:spacing w:after="0"/>
              <w:rPr>
                <w:sz w:val="10"/>
                <w:szCs w:val="10"/>
                <w:color w:val="auto"/>
              </w:rPr>
            </w:pPr>
          </w:p>
        </w:tc>
        <w:tc>
          <w:tcPr>
            <w:tcW w:w="640" w:type="dxa"/>
            <w:vAlign w:val="bottom"/>
            <w:vMerge w:val="continue"/>
            <w:shd w:val="clear" w:color="auto" w:fill="33CCCC"/>
          </w:tcPr>
          <w:p>
            <w:pPr>
              <w:spacing w:after="0"/>
              <w:rPr>
                <w:sz w:val="10"/>
                <w:szCs w:val="10"/>
                <w:color w:val="auto"/>
              </w:rPr>
            </w:pPr>
          </w:p>
        </w:tc>
        <w:tc>
          <w:tcPr>
            <w:tcW w:w="680" w:type="dxa"/>
            <w:vAlign w:val="bottom"/>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Expense</w:t>
            </w:r>
          </w:p>
        </w:tc>
        <w:tc>
          <w:tcPr>
            <w:tcW w:w="520" w:type="dxa"/>
            <w:vAlign w:val="bottom"/>
            <w:tcBorders>
              <w:right w:val="single" w:sz="8" w:color="auto"/>
            </w:tcBorders>
            <w:vMerge w:val="restart"/>
            <w:shd w:val="clear" w:color="auto" w:fill="33CCCC"/>
          </w:tcPr>
          <w:p>
            <w:pPr>
              <w:ind w:left="120"/>
              <w:spacing w:after="0"/>
              <w:rPr>
                <w:sz w:val="20"/>
                <w:szCs w:val="20"/>
                <w:color w:val="auto"/>
              </w:rPr>
            </w:pPr>
            <w:r>
              <w:rPr>
                <w:rFonts w:ascii="Arial" w:cs="Arial" w:eastAsia="Arial" w:hAnsi="Arial"/>
                <w:sz w:val="10"/>
                <w:szCs w:val="10"/>
                <w:b w:val="1"/>
                <w:bCs w:val="1"/>
                <w:color w:val="FFFFFF"/>
              </w:rPr>
              <w:t>Yields</w:t>
            </w:r>
          </w:p>
        </w:tc>
        <w:tc>
          <w:tcPr>
            <w:tcW w:w="660" w:type="dxa"/>
            <w:vAlign w:val="bottom"/>
            <w:vMerge w:val="continue"/>
            <w:shd w:val="clear" w:color="auto" w:fill="33CCCC"/>
          </w:tcPr>
          <w:p>
            <w:pPr>
              <w:spacing w:after="0"/>
              <w:rPr>
                <w:sz w:val="10"/>
                <w:szCs w:val="10"/>
                <w:color w:val="auto"/>
              </w:rPr>
            </w:pPr>
          </w:p>
        </w:tc>
        <w:tc>
          <w:tcPr>
            <w:tcW w:w="660" w:type="dxa"/>
            <w:vAlign w:val="bottom"/>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Expense</w:t>
            </w:r>
          </w:p>
        </w:tc>
        <w:tc>
          <w:tcPr>
            <w:tcW w:w="520" w:type="dxa"/>
            <w:vAlign w:val="bottom"/>
            <w:tcBorders>
              <w:right w:val="single" w:sz="8" w:color="auto"/>
            </w:tcBorders>
            <w:vMerge w:val="restart"/>
            <w:shd w:val="clear" w:color="auto" w:fill="33CCCC"/>
          </w:tcPr>
          <w:p>
            <w:pPr>
              <w:ind w:left="120"/>
              <w:spacing w:after="0"/>
              <w:rPr>
                <w:sz w:val="20"/>
                <w:szCs w:val="20"/>
                <w:color w:val="auto"/>
              </w:rPr>
            </w:pPr>
            <w:r>
              <w:rPr>
                <w:rFonts w:ascii="Arial" w:cs="Arial" w:eastAsia="Arial" w:hAnsi="Arial"/>
                <w:sz w:val="10"/>
                <w:szCs w:val="10"/>
                <w:b w:val="1"/>
                <w:bCs w:val="1"/>
                <w:color w:val="FFFFFF"/>
              </w:rPr>
              <w:t>Yields</w:t>
            </w:r>
          </w:p>
        </w:tc>
        <w:tc>
          <w:tcPr>
            <w:tcW w:w="660" w:type="dxa"/>
            <w:vAlign w:val="bottom"/>
            <w:vMerge w:val="continue"/>
            <w:shd w:val="clear" w:color="auto" w:fill="33CCCC"/>
          </w:tcPr>
          <w:p>
            <w:pPr>
              <w:spacing w:after="0"/>
              <w:rPr>
                <w:sz w:val="10"/>
                <w:szCs w:val="10"/>
                <w:color w:val="auto"/>
              </w:rPr>
            </w:pPr>
          </w:p>
        </w:tc>
        <w:tc>
          <w:tcPr>
            <w:tcW w:w="660" w:type="dxa"/>
            <w:vAlign w:val="bottom"/>
            <w:vMerge w:val="restart"/>
            <w:shd w:val="clear" w:color="auto" w:fill="33CCCC"/>
          </w:tcPr>
          <w:p>
            <w:pPr>
              <w:ind w:left="140"/>
              <w:spacing w:after="0"/>
              <w:rPr>
                <w:sz w:val="20"/>
                <w:szCs w:val="20"/>
                <w:color w:val="auto"/>
              </w:rPr>
            </w:pPr>
            <w:r>
              <w:rPr>
                <w:rFonts w:ascii="Arial" w:cs="Arial" w:eastAsia="Arial" w:hAnsi="Arial"/>
                <w:sz w:val="10"/>
                <w:szCs w:val="10"/>
                <w:b w:val="1"/>
                <w:bCs w:val="1"/>
                <w:color w:val="FFFFFF"/>
              </w:rPr>
              <w:t>Expense</w:t>
            </w:r>
          </w:p>
        </w:tc>
        <w:tc>
          <w:tcPr>
            <w:tcW w:w="520" w:type="dxa"/>
            <w:vAlign w:val="bottom"/>
            <w:tcBorders>
              <w:right w:val="single" w:sz="8" w:color="auto"/>
            </w:tcBorders>
            <w:vMerge w:val="restart"/>
            <w:shd w:val="clear" w:color="auto" w:fill="33CCCC"/>
          </w:tcPr>
          <w:p>
            <w:pPr>
              <w:ind w:left="120"/>
              <w:spacing w:after="0"/>
              <w:rPr>
                <w:sz w:val="20"/>
                <w:szCs w:val="20"/>
                <w:color w:val="auto"/>
              </w:rPr>
            </w:pPr>
            <w:r>
              <w:rPr>
                <w:rFonts w:ascii="Arial" w:cs="Arial" w:eastAsia="Arial" w:hAnsi="Arial"/>
                <w:sz w:val="10"/>
                <w:szCs w:val="10"/>
                <w:b w:val="1"/>
                <w:bCs w:val="1"/>
                <w:color w:val="FFFFFF"/>
              </w:rPr>
              <w:t>Yields</w:t>
            </w:r>
          </w:p>
        </w:tc>
        <w:tc>
          <w:tcPr>
            <w:tcW w:w="120" w:type="dxa"/>
            <w:vAlign w:val="bottom"/>
            <w:tcBorders>
              <w:right w:val="single" w:sz="8" w:color="auto"/>
            </w:tcBorders>
          </w:tcPr>
          <w:p>
            <w:pPr>
              <w:spacing w:after="0"/>
              <w:rPr>
                <w:sz w:val="10"/>
                <w:szCs w:val="10"/>
                <w:color w:val="auto"/>
              </w:rPr>
            </w:pPr>
          </w:p>
        </w:tc>
        <w:tc>
          <w:tcPr>
            <w:tcW w:w="660" w:type="dxa"/>
            <w:vAlign w:val="bottom"/>
            <w:vMerge w:val="continue"/>
            <w:shd w:val="clear" w:color="auto" w:fill="33CCCC"/>
          </w:tcPr>
          <w:p>
            <w:pPr>
              <w:spacing w:after="0"/>
              <w:rPr>
                <w:sz w:val="10"/>
                <w:szCs w:val="10"/>
                <w:color w:val="auto"/>
              </w:rPr>
            </w:pPr>
          </w:p>
        </w:tc>
        <w:tc>
          <w:tcPr>
            <w:tcW w:w="660" w:type="dxa"/>
            <w:vAlign w:val="bottom"/>
            <w:shd w:val="clear" w:color="auto" w:fill="33CCCC"/>
          </w:tcPr>
          <w:p>
            <w:pPr>
              <w:spacing w:after="0"/>
              <w:rPr>
                <w:sz w:val="10"/>
                <w:szCs w:val="10"/>
                <w:color w:val="auto"/>
              </w:rPr>
            </w:pPr>
          </w:p>
        </w:tc>
        <w:tc>
          <w:tcPr>
            <w:tcW w:w="520" w:type="dxa"/>
            <w:vAlign w:val="bottom"/>
            <w:tcBorders>
              <w:right w:val="single" w:sz="8" w:color="auto"/>
            </w:tcBorders>
            <w:shd w:val="clear" w:color="auto" w:fill="33CCCC"/>
          </w:tcPr>
          <w:p>
            <w:pPr>
              <w:spacing w:after="0"/>
              <w:rPr>
                <w:sz w:val="10"/>
                <w:szCs w:val="10"/>
                <w:color w:val="auto"/>
              </w:rPr>
            </w:pPr>
          </w:p>
        </w:tc>
        <w:tc>
          <w:tcPr>
            <w:tcW w:w="600" w:type="dxa"/>
            <w:vAlign w:val="bottom"/>
            <w:vMerge w:val="continue"/>
            <w:shd w:val="clear" w:color="auto" w:fill="33CCCC"/>
          </w:tcPr>
          <w:p>
            <w:pPr>
              <w:spacing w:after="0"/>
              <w:rPr>
                <w:sz w:val="10"/>
                <w:szCs w:val="10"/>
                <w:color w:val="auto"/>
              </w:rPr>
            </w:pPr>
          </w:p>
        </w:tc>
        <w:tc>
          <w:tcPr>
            <w:tcW w:w="680" w:type="dxa"/>
            <w:vAlign w:val="bottom"/>
            <w:shd w:val="clear" w:color="auto" w:fill="33CCCC"/>
          </w:tcPr>
          <w:p>
            <w:pPr>
              <w:spacing w:after="0"/>
              <w:rPr>
                <w:sz w:val="10"/>
                <w:szCs w:val="10"/>
                <w:color w:val="auto"/>
              </w:rPr>
            </w:pPr>
          </w:p>
        </w:tc>
        <w:tc>
          <w:tcPr>
            <w:tcW w:w="38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bottom w:val="single" w:sz="8" w:color="33CCCC"/>
              <w:right w:val="single" w:sz="8" w:color="auto"/>
            </w:tcBorders>
            <w:shd w:val="clear" w:color="auto" w:fill="33CCCC"/>
          </w:tcPr>
          <w:p>
            <w:pPr>
              <w:spacing w:after="0"/>
              <w:rPr>
                <w:sz w:val="20"/>
                <w:szCs w:val="20"/>
                <w:color w:val="auto"/>
              </w:rPr>
            </w:pPr>
            <w:r>
              <w:rPr>
                <w:rFonts w:ascii="Arial" w:cs="Arial" w:eastAsia="Arial" w:hAnsi="Arial"/>
                <w:sz w:val="10"/>
                <w:szCs w:val="10"/>
                <w:b w:val="1"/>
                <w:bCs w:val="1"/>
                <w:color w:val="FFFFFF"/>
              </w:rPr>
              <w:t>S/ millions</w:t>
            </w:r>
          </w:p>
        </w:tc>
        <w:tc>
          <w:tcPr>
            <w:tcW w:w="64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80" w:type="dxa"/>
            <w:vAlign w:val="bottom"/>
            <w:tcBorders>
              <w:bottom w:val="single" w:sz="8" w:color="33CCCC"/>
            </w:tcBorders>
            <w:vMerge w:val="continue"/>
            <w:shd w:val="clear" w:color="auto" w:fill="33CCCC"/>
          </w:tcPr>
          <w:p>
            <w:pPr>
              <w:spacing w:after="0"/>
              <w:rPr>
                <w:sz w:val="10"/>
                <w:szCs w:val="10"/>
                <w:color w:val="auto"/>
              </w:rPr>
            </w:pPr>
          </w:p>
        </w:tc>
        <w:tc>
          <w:tcPr>
            <w:tcW w:w="52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6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60" w:type="dxa"/>
            <w:vAlign w:val="bottom"/>
            <w:tcBorders>
              <w:bottom w:val="single" w:sz="8" w:color="33CCCC"/>
            </w:tcBorders>
            <w:vMerge w:val="continue"/>
            <w:shd w:val="clear" w:color="auto" w:fill="33CCCC"/>
          </w:tcPr>
          <w:p>
            <w:pPr>
              <w:spacing w:after="0"/>
              <w:rPr>
                <w:sz w:val="10"/>
                <w:szCs w:val="10"/>
                <w:color w:val="auto"/>
              </w:rPr>
            </w:pPr>
          </w:p>
        </w:tc>
        <w:tc>
          <w:tcPr>
            <w:tcW w:w="52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66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60" w:type="dxa"/>
            <w:vAlign w:val="bottom"/>
            <w:tcBorders>
              <w:bottom w:val="single" w:sz="8" w:color="33CCCC"/>
            </w:tcBorders>
            <w:vMerge w:val="continue"/>
            <w:shd w:val="clear" w:color="auto" w:fill="33CCCC"/>
          </w:tcPr>
          <w:p>
            <w:pPr>
              <w:spacing w:after="0"/>
              <w:rPr>
                <w:sz w:val="10"/>
                <w:szCs w:val="10"/>
                <w:color w:val="auto"/>
              </w:rPr>
            </w:pPr>
          </w:p>
        </w:tc>
        <w:tc>
          <w:tcPr>
            <w:tcW w:w="520" w:type="dxa"/>
            <w:vAlign w:val="bottom"/>
            <w:tcBorders>
              <w:bottom w:val="single" w:sz="8" w:color="33CCCC"/>
              <w:right w:val="single" w:sz="8" w:color="auto"/>
            </w:tcBorders>
            <w:vMerge w:val="continue"/>
            <w:shd w:val="clear" w:color="auto" w:fill="33CCCC"/>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6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7"/>
              </w:rPr>
              <w:t>Expense</w:t>
            </w:r>
          </w:p>
        </w:tc>
        <w:tc>
          <w:tcPr>
            <w:tcW w:w="520" w:type="dxa"/>
            <w:vAlign w:val="bottom"/>
            <w:tcBorders>
              <w:bottom w:val="single" w:sz="8" w:color="33CCCC"/>
              <w:right w:val="single" w:sz="8" w:color="auto"/>
            </w:tcBorders>
            <w:shd w:val="clear" w:color="auto" w:fill="33CCCC"/>
          </w:tcPr>
          <w:p>
            <w:pPr>
              <w:ind w:left="120"/>
              <w:spacing w:after="0"/>
              <w:rPr>
                <w:sz w:val="20"/>
                <w:szCs w:val="20"/>
                <w:color w:val="auto"/>
              </w:rPr>
            </w:pPr>
            <w:r>
              <w:rPr>
                <w:rFonts w:ascii="Arial" w:cs="Arial" w:eastAsia="Arial" w:hAnsi="Arial"/>
                <w:sz w:val="10"/>
                <w:szCs w:val="10"/>
                <w:b w:val="1"/>
                <w:bCs w:val="1"/>
                <w:color w:val="FFFFFF"/>
              </w:rPr>
              <w:t>Yields</w:t>
            </w:r>
          </w:p>
        </w:tc>
        <w:tc>
          <w:tcPr>
            <w:tcW w:w="600" w:type="dxa"/>
            <w:vAlign w:val="bottom"/>
            <w:tcBorders>
              <w:bottom w:val="single" w:sz="8" w:color="33CCCC"/>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Balance</w:t>
            </w:r>
          </w:p>
        </w:tc>
        <w:tc>
          <w:tcPr>
            <w:tcW w:w="680" w:type="dxa"/>
            <w:vAlign w:val="bottom"/>
            <w:tcBorders>
              <w:bottom w:val="single" w:sz="8" w:color="33CCCC"/>
            </w:tcBorders>
            <w:shd w:val="clear" w:color="auto" w:fill="33CCCC"/>
          </w:tcPr>
          <w:p>
            <w:pPr>
              <w:jc w:val="center"/>
              <w:ind w:left="71"/>
              <w:spacing w:after="0"/>
              <w:rPr>
                <w:sz w:val="20"/>
                <w:szCs w:val="20"/>
                <w:color w:val="auto"/>
              </w:rPr>
            </w:pPr>
            <w:r>
              <w:rPr>
                <w:rFonts w:ascii="Arial" w:cs="Arial" w:eastAsia="Arial" w:hAnsi="Arial"/>
                <w:sz w:val="10"/>
                <w:szCs w:val="10"/>
                <w:b w:val="1"/>
                <w:bCs w:val="1"/>
                <w:color w:val="FFFFFF"/>
                <w:w w:val="97"/>
              </w:rPr>
              <w:t>Expense</w:t>
            </w:r>
          </w:p>
        </w:tc>
        <w:tc>
          <w:tcPr>
            <w:tcW w:w="380" w:type="dxa"/>
            <w:vAlign w:val="bottom"/>
            <w:tcBorders>
              <w:bottom w:val="single" w:sz="8" w:color="33CCCC"/>
              <w:right w:val="single" w:sz="8" w:color="auto"/>
            </w:tcBorders>
            <w:shd w:val="clear" w:color="auto" w:fill="33CCCC"/>
          </w:tcPr>
          <w:p>
            <w:pPr>
              <w:ind w:left="60"/>
              <w:spacing w:after="0"/>
              <w:rPr>
                <w:sz w:val="20"/>
                <w:szCs w:val="20"/>
                <w:color w:val="auto"/>
              </w:rPr>
            </w:pPr>
            <w:r>
              <w:rPr>
                <w:rFonts w:ascii="Arial" w:cs="Arial" w:eastAsia="Arial" w:hAnsi="Arial"/>
                <w:sz w:val="10"/>
                <w:szCs w:val="10"/>
                <w:b w:val="1"/>
                <w:bCs w:val="1"/>
                <w:color w:val="FFFFFF"/>
                <w:w w:val="94"/>
              </w:rPr>
              <w:t>Yields</w:t>
            </w:r>
          </w:p>
        </w:tc>
        <w:tc>
          <w:tcPr>
            <w:tcW w:w="0" w:type="dxa"/>
            <w:vAlign w:val="bottom"/>
          </w:tcPr>
          <w:p>
            <w:pPr>
              <w:spacing w:after="0"/>
              <w:rPr>
                <w:sz w:val="1"/>
                <w:szCs w:val="1"/>
                <w:color w:val="auto"/>
              </w:rPr>
            </w:pPr>
          </w:p>
        </w:tc>
      </w:tr>
      <w:tr>
        <w:trPr>
          <w:trHeight w:val="108"/>
        </w:trPr>
        <w:tc>
          <w:tcPr>
            <w:tcW w:w="2140" w:type="dxa"/>
            <w:vAlign w:val="bottom"/>
            <w:tcBorders>
              <w:top w:val="single" w:sz="8" w:color="auto"/>
              <w:left w:val="single" w:sz="8" w:color="auto"/>
              <w:right w:val="single" w:sz="8" w:color="auto"/>
            </w:tcBorders>
          </w:tcPr>
          <w:p>
            <w:pPr>
              <w:spacing w:after="0" w:line="108" w:lineRule="exact"/>
              <w:rPr>
                <w:sz w:val="20"/>
                <w:szCs w:val="20"/>
                <w:color w:val="auto"/>
              </w:rPr>
            </w:pPr>
            <w:r>
              <w:rPr>
                <w:rFonts w:ascii="Arial" w:cs="Arial" w:eastAsia="Arial" w:hAnsi="Arial"/>
                <w:sz w:val="10"/>
                <w:szCs w:val="10"/>
                <w:b w:val="1"/>
                <w:bCs w:val="1"/>
                <w:color w:val="auto"/>
              </w:rPr>
              <w:t>Total (LC + FC)</w:t>
            </w:r>
          </w:p>
        </w:tc>
        <w:tc>
          <w:tcPr>
            <w:tcW w:w="6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520" w:type="dxa"/>
            <w:vAlign w:val="bottom"/>
            <w:tcBorders>
              <w:top w:val="single" w:sz="8" w:color="auto"/>
              <w:right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Deposits</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158,139</w:t>
            </w:r>
          </w:p>
        </w:tc>
        <w:tc>
          <w:tcPr>
            <w:tcW w:w="680" w:type="dxa"/>
            <w:vAlign w:val="bottom"/>
          </w:tcPr>
          <w:p>
            <w:pPr>
              <w:jc w:val="center"/>
              <w:spacing w:after="0"/>
              <w:rPr>
                <w:sz w:val="20"/>
                <w:szCs w:val="20"/>
                <w:color w:val="auto"/>
              </w:rPr>
            </w:pPr>
            <w:r>
              <w:rPr>
                <w:rFonts w:ascii="Arial" w:cs="Arial" w:eastAsia="Arial" w:hAnsi="Arial"/>
                <w:sz w:val="10"/>
                <w:szCs w:val="10"/>
                <w:color w:val="auto"/>
              </w:rPr>
              <w:t>655</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1.7%</w:t>
            </w:r>
          </w:p>
        </w:tc>
        <w:tc>
          <w:tcPr>
            <w:tcW w:w="660" w:type="dxa"/>
            <w:vAlign w:val="bottom"/>
          </w:tcPr>
          <w:p>
            <w:pPr>
              <w:jc w:val="center"/>
              <w:spacing w:after="0"/>
              <w:rPr>
                <w:sz w:val="20"/>
                <w:szCs w:val="20"/>
                <w:color w:val="auto"/>
              </w:rPr>
            </w:pPr>
            <w:r>
              <w:rPr>
                <w:rFonts w:ascii="Arial" w:cs="Arial" w:eastAsia="Arial" w:hAnsi="Arial"/>
                <w:sz w:val="10"/>
                <w:szCs w:val="10"/>
                <w:color w:val="auto"/>
                <w:w w:val="99"/>
              </w:rPr>
              <w:t>156,577</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565</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1.4%</w:t>
            </w:r>
          </w:p>
        </w:tc>
        <w:tc>
          <w:tcPr>
            <w:tcW w:w="660" w:type="dxa"/>
            <w:vAlign w:val="bottom"/>
          </w:tcPr>
          <w:p>
            <w:pPr>
              <w:jc w:val="center"/>
              <w:spacing w:after="0"/>
              <w:rPr>
                <w:sz w:val="20"/>
                <w:szCs w:val="20"/>
                <w:color w:val="auto"/>
              </w:rPr>
            </w:pPr>
            <w:r>
              <w:rPr>
                <w:rFonts w:ascii="Arial" w:cs="Arial" w:eastAsia="Arial" w:hAnsi="Arial"/>
                <w:sz w:val="10"/>
                <w:szCs w:val="10"/>
                <w:color w:val="auto"/>
                <w:w w:val="99"/>
              </w:rPr>
              <w:t>164,416</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578</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1.4%</w:t>
            </w:r>
          </w:p>
        </w:tc>
        <w:tc>
          <w:tcPr>
            <w:tcW w:w="120" w:type="dxa"/>
            <w:vAlign w:val="bottom"/>
            <w:tcBorders>
              <w:right w:val="single" w:sz="8" w:color="auto"/>
            </w:tcBorders>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w w:val="99"/>
              </w:rPr>
              <w:t>154,773</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2,850</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1.8%</w:t>
            </w:r>
          </w:p>
        </w:tc>
        <w:tc>
          <w:tcPr>
            <w:tcW w:w="600" w:type="dxa"/>
            <w:vAlign w:val="bottom"/>
          </w:tcPr>
          <w:p>
            <w:pPr>
              <w:jc w:val="center"/>
              <w:ind w:left="31"/>
              <w:spacing w:after="0"/>
              <w:rPr>
                <w:sz w:val="20"/>
                <w:szCs w:val="20"/>
                <w:color w:val="auto"/>
              </w:rPr>
            </w:pPr>
            <w:r>
              <w:rPr>
                <w:rFonts w:ascii="Arial" w:cs="Arial" w:eastAsia="Arial" w:hAnsi="Arial"/>
                <w:sz w:val="10"/>
                <w:szCs w:val="10"/>
                <w:color w:val="auto"/>
                <w:w w:val="99"/>
              </w:rPr>
              <w:t>166,122</w:t>
            </w:r>
          </w:p>
        </w:tc>
        <w:tc>
          <w:tcPr>
            <w:tcW w:w="680" w:type="dxa"/>
            <w:vAlign w:val="bottom"/>
          </w:tcPr>
          <w:p>
            <w:pPr>
              <w:jc w:val="center"/>
              <w:ind w:left="71"/>
              <w:spacing w:after="0"/>
              <w:rPr>
                <w:sz w:val="20"/>
                <w:szCs w:val="20"/>
                <w:color w:val="auto"/>
              </w:rPr>
            </w:pPr>
            <w:r>
              <w:rPr>
                <w:rFonts w:ascii="Arial" w:cs="Arial" w:eastAsia="Arial" w:hAnsi="Arial"/>
                <w:sz w:val="10"/>
                <w:szCs w:val="10"/>
                <w:color w:val="auto"/>
                <w:w w:val="95"/>
              </w:rPr>
              <w:t>2,304</w:t>
            </w: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1.4%</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BCRP + Due to Banks</w:t>
            </w:r>
          </w:p>
        </w:tc>
        <w:tc>
          <w:tcPr>
            <w:tcW w:w="640" w:type="dxa"/>
            <w:vAlign w:val="bottom"/>
          </w:tcPr>
          <w:p>
            <w:pPr>
              <w:jc w:val="center"/>
              <w:spacing w:after="0"/>
              <w:rPr>
                <w:sz w:val="20"/>
                <w:szCs w:val="20"/>
                <w:color w:val="auto"/>
              </w:rPr>
            </w:pPr>
            <w:r>
              <w:rPr>
                <w:rFonts w:ascii="Arial" w:cs="Arial" w:eastAsia="Arial" w:hAnsi="Arial"/>
                <w:sz w:val="10"/>
                <w:szCs w:val="10"/>
                <w:color w:val="auto"/>
                <w:w w:val="97"/>
              </w:rPr>
              <w:t>17,447</w:t>
            </w:r>
          </w:p>
        </w:tc>
        <w:tc>
          <w:tcPr>
            <w:tcW w:w="680" w:type="dxa"/>
            <w:vAlign w:val="bottom"/>
          </w:tcPr>
          <w:p>
            <w:pPr>
              <w:jc w:val="center"/>
              <w:spacing w:after="0"/>
              <w:rPr>
                <w:sz w:val="20"/>
                <w:szCs w:val="20"/>
                <w:color w:val="auto"/>
              </w:rPr>
            </w:pPr>
            <w:r>
              <w:rPr>
                <w:rFonts w:ascii="Arial" w:cs="Arial" w:eastAsia="Arial" w:hAnsi="Arial"/>
                <w:sz w:val="10"/>
                <w:szCs w:val="10"/>
                <w:color w:val="auto"/>
              </w:rPr>
              <w:t>287</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6.6%</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17,067</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253</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5.9%</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16,669</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245</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5.9%</w:t>
            </w:r>
          </w:p>
        </w:tc>
        <w:tc>
          <w:tcPr>
            <w:tcW w:w="120" w:type="dxa"/>
            <w:vAlign w:val="bottom"/>
            <w:tcBorders>
              <w:right w:val="single" w:sz="8" w:color="auto"/>
            </w:tcBorders>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18,571</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1,081</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5.8%</w:t>
            </w:r>
          </w:p>
        </w:tc>
        <w:tc>
          <w:tcPr>
            <w:tcW w:w="600" w:type="dxa"/>
            <w:vAlign w:val="bottom"/>
          </w:tcPr>
          <w:p>
            <w:pPr>
              <w:jc w:val="center"/>
              <w:ind w:left="11"/>
              <w:spacing w:after="0"/>
              <w:rPr>
                <w:sz w:val="20"/>
                <w:szCs w:val="20"/>
                <w:color w:val="auto"/>
              </w:rPr>
            </w:pPr>
            <w:r>
              <w:rPr>
                <w:rFonts w:ascii="Arial" w:cs="Arial" w:eastAsia="Arial" w:hAnsi="Arial"/>
                <w:sz w:val="10"/>
                <w:szCs w:val="10"/>
                <w:color w:val="auto"/>
                <w:w w:val="97"/>
              </w:rPr>
              <w:t>16,427</w:t>
            </w:r>
          </w:p>
        </w:tc>
        <w:tc>
          <w:tcPr>
            <w:tcW w:w="680" w:type="dxa"/>
            <w:vAlign w:val="bottom"/>
          </w:tcPr>
          <w:p>
            <w:pPr>
              <w:jc w:val="center"/>
              <w:ind w:left="71"/>
              <w:spacing w:after="0"/>
              <w:rPr>
                <w:sz w:val="20"/>
                <w:szCs w:val="20"/>
                <w:color w:val="auto"/>
              </w:rPr>
            </w:pPr>
            <w:r>
              <w:rPr>
                <w:rFonts w:ascii="Arial" w:cs="Arial" w:eastAsia="Arial" w:hAnsi="Arial"/>
                <w:sz w:val="10"/>
                <w:szCs w:val="10"/>
                <w:color w:val="auto"/>
                <w:w w:val="95"/>
              </w:rPr>
              <w:t>1,030</w:t>
            </w: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6.3%</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Bonds and Notes</w:t>
            </w:r>
          </w:p>
        </w:tc>
        <w:tc>
          <w:tcPr>
            <w:tcW w:w="640" w:type="dxa"/>
            <w:vAlign w:val="bottom"/>
          </w:tcPr>
          <w:p>
            <w:pPr>
              <w:jc w:val="center"/>
              <w:spacing w:after="0"/>
              <w:rPr>
                <w:sz w:val="20"/>
                <w:szCs w:val="20"/>
                <w:color w:val="auto"/>
              </w:rPr>
            </w:pPr>
            <w:r>
              <w:rPr>
                <w:rFonts w:ascii="Arial" w:cs="Arial" w:eastAsia="Arial" w:hAnsi="Arial"/>
                <w:sz w:val="10"/>
                <w:szCs w:val="10"/>
                <w:color w:val="auto"/>
                <w:w w:val="97"/>
              </w:rPr>
              <w:t>17,110</w:t>
            </w:r>
          </w:p>
        </w:tc>
        <w:tc>
          <w:tcPr>
            <w:tcW w:w="680" w:type="dxa"/>
            <w:vAlign w:val="bottom"/>
          </w:tcPr>
          <w:p>
            <w:pPr>
              <w:jc w:val="center"/>
              <w:spacing w:after="0"/>
              <w:rPr>
                <w:sz w:val="20"/>
                <w:szCs w:val="20"/>
                <w:color w:val="auto"/>
              </w:rPr>
            </w:pPr>
            <w:r>
              <w:rPr>
                <w:rFonts w:ascii="Arial" w:cs="Arial" w:eastAsia="Arial" w:hAnsi="Arial"/>
                <w:sz w:val="10"/>
                <w:szCs w:val="10"/>
                <w:color w:val="auto"/>
              </w:rPr>
              <w:t>201</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4.7%</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12,161</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165</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5.4%</w:t>
            </w: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13,117</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185</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5.6%</w:t>
            </w:r>
          </w:p>
        </w:tc>
        <w:tc>
          <w:tcPr>
            <w:tcW w:w="120" w:type="dxa"/>
            <w:vAlign w:val="bottom"/>
            <w:tcBorders>
              <w:right w:val="single" w:sz="8" w:color="auto"/>
            </w:tcBorders>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color w:val="auto"/>
                <w:w w:val="97"/>
              </w:rPr>
              <w:t>15,931</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800</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5.0%</w:t>
            </w:r>
          </w:p>
        </w:tc>
        <w:tc>
          <w:tcPr>
            <w:tcW w:w="600" w:type="dxa"/>
            <w:vAlign w:val="bottom"/>
          </w:tcPr>
          <w:p>
            <w:pPr>
              <w:jc w:val="center"/>
              <w:ind w:left="11"/>
              <w:spacing w:after="0"/>
              <w:rPr>
                <w:sz w:val="20"/>
                <w:szCs w:val="20"/>
                <w:color w:val="auto"/>
              </w:rPr>
            </w:pPr>
            <w:r>
              <w:rPr>
                <w:rFonts w:ascii="Arial" w:cs="Arial" w:eastAsia="Arial" w:hAnsi="Arial"/>
                <w:sz w:val="10"/>
                <w:szCs w:val="10"/>
                <w:color w:val="auto"/>
                <w:w w:val="97"/>
              </w:rPr>
              <w:t>15,647</w:t>
            </w:r>
          </w:p>
        </w:tc>
        <w:tc>
          <w:tcPr>
            <w:tcW w:w="680" w:type="dxa"/>
            <w:vAlign w:val="bottom"/>
          </w:tcPr>
          <w:p>
            <w:pPr>
              <w:jc w:val="center"/>
              <w:ind w:left="71"/>
              <w:spacing w:after="0"/>
              <w:rPr>
                <w:sz w:val="20"/>
                <w:szCs w:val="20"/>
                <w:color w:val="auto"/>
              </w:rPr>
            </w:pPr>
            <w:r>
              <w:rPr>
                <w:rFonts w:ascii="Arial" w:cs="Arial" w:eastAsia="Arial" w:hAnsi="Arial"/>
                <w:sz w:val="10"/>
                <w:szCs w:val="10"/>
                <w:color w:val="auto"/>
                <w:w w:val="95"/>
              </w:rPr>
              <w:t>710</w:t>
            </w: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4.5%</w:t>
            </w:r>
          </w:p>
        </w:tc>
        <w:tc>
          <w:tcPr>
            <w:tcW w:w="0" w:type="dxa"/>
            <w:vAlign w:val="bottom"/>
          </w:tcPr>
          <w:p>
            <w:pPr>
              <w:spacing w:after="0"/>
              <w:rPr>
                <w:sz w:val="1"/>
                <w:szCs w:val="1"/>
                <w:color w:val="auto"/>
              </w:rPr>
            </w:pPr>
          </w:p>
        </w:tc>
      </w:tr>
      <w:tr>
        <w:trPr>
          <w:trHeight w:val="129"/>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color w:val="auto"/>
              </w:rPr>
              <w:t>Others</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2,504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239</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38.2%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4,853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317</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26.1%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3,502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276</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31.5%</w:t>
            </w:r>
          </w:p>
        </w:tc>
        <w:tc>
          <w:tcPr>
            <w:tcW w:w="120" w:type="dxa"/>
            <w:vAlign w:val="bottom"/>
            <w:tcBorders>
              <w:right w:val="single" w:sz="8" w:color="auto"/>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2,561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1,023</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39.9%</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color w:val="auto"/>
                <w:w w:val="95"/>
              </w:rPr>
              <w:t>2,940</w:t>
            </w:r>
          </w:p>
        </w:tc>
        <w:tc>
          <w:tcPr>
            <w:tcW w:w="680" w:type="dxa"/>
            <w:vAlign w:val="bottom"/>
            <w:tcBorders>
              <w:bottom w:val="single" w:sz="8" w:color="auto"/>
            </w:tcBorders>
          </w:tcPr>
          <w:p>
            <w:pPr>
              <w:jc w:val="center"/>
              <w:ind w:left="71"/>
              <w:spacing w:after="0"/>
              <w:rPr>
                <w:sz w:val="20"/>
                <w:szCs w:val="20"/>
                <w:color w:val="auto"/>
              </w:rPr>
            </w:pPr>
            <w:r>
              <w:rPr>
                <w:rFonts w:ascii="Arial" w:cs="Arial" w:eastAsia="Arial" w:hAnsi="Arial"/>
                <w:sz w:val="10"/>
                <w:szCs w:val="10"/>
                <w:color w:val="auto"/>
                <w:w w:val="95"/>
              </w:rPr>
              <w:t>1,170</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39.8%</w:t>
            </w:r>
          </w:p>
        </w:tc>
        <w:tc>
          <w:tcPr>
            <w:tcW w:w="0" w:type="dxa"/>
            <w:vAlign w:val="bottom"/>
          </w:tcPr>
          <w:p>
            <w:pPr>
              <w:spacing w:after="0"/>
              <w:rPr>
                <w:sz w:val="1"/>
                <w:szCs w:val="1"/>
                <w:color w:val="auto"/>
              </w:rPr>
            </w:pPr>
          </w:p>
        </w:tc>
      </w:tr>
      <w:tr>
        <w:trPr>
          <w:trHeight w:val="115"/>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Total Funding</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195,200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1,382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2.8%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190,658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1,300</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2.7%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197,704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1,284</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2.6%</w:t>
            </w: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191,836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5,754</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3.0%</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b w:val="1"/>
                <w:bCs w:val="1"/>
                <w:color w:val="auto"/>
                <w:w w:val="99"/>
              </w:rPr>
              <w:t>201,136</w:t>
            </w:r>
          </w:p>
        </w:tc>
        <w:tc>
          <w:tcPr>
            <w:tcW w:w="680" w:type="dxa"/>
            <w:vAlign w:val="bottom"/>
            <w:tcBorders>
              <w:bottom w:val="single" w:sz="8" w:color="auto"/>
            </w:tcBorders>
          </w:tcPr>
          <w:p>
            <w:pPr>
              <w:jc w:val="center"/>
              <w:ind w:left="71"/>
              <w:spacing w:after="0"/>
              <w:rPr>
                <w:sz w:val="20"/>
                <w:szCs w:val="20"/>
                <w:color w:val="auto"/>
              </w:rPr>
            </w:pPr>
            <w:r>
              <w:rPr>
                <w:rFonts w:ascii="Arial" w:cs="Arial" w:eastAsia="Arial" w:hAnsi="Arial"/>
                <w:sz w:val="10"/>
                <w:szCs w:val="10"/>
                <w:b w:val="1"/>
                <w:bCs w:val="1"/>
                <w:color w:val="auto"/>
                <w:w w:val="95"/>
              </w:rPr>
              <w:t>5,214</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2.6%</w:t>
            </w:r>
          </w:p>
        </w:tc>
        <w:tc>
          <w:tcPr>
            <w:tcW w:w="0" w:type="dxa"/>
            <w:vAlign w:val="bottom"/>
          </w:tcPr>
          <w:p>
            <w:pPr>
              <w:spacing w:after="0"/>
              <w:rPr>
                <w:sz w:val="1"/>
                <w:szCs w:val="1"/>
                <w:color w:val="auto"/>
              </w:rPr>
            </w:pPr>
          </w:p>
        </w:tc>
      </w:tr>
      <w:tr>
        <w:trPr>
          <w:trHeight w:val="115"/>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color w:val="auto"/>
              </w:rPr>
              <w:t>Funding (LC)</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49.6%</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49.8%</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2.8%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52.6%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52.8%</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2.7%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54.1%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54.0%</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2.6%</w:t>
            </w: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50.1%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50.5%</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3.0%</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color w:val="auto"/>
                <w:w w:val="98"/>
              </w:rPr>
              <w:t>52.6%</w:t>
            </w:r>
          </w:p>
        </w:tc>
        <w:tc>
          <w:tcPr>
            <w:tcW w:w="680" w:type="dxa"/>
            <w:vAlign w:val="bottom"/>
            <w:tcBorders>
              <w:bottom w:val="single" w:sz="8" w:color="auto"/>
            </w:tcBorders>
          </w:tcPr>
          <w:p>
            <w:pPr>
              <w:jc w:val="center"/>
              <w:ind w:left="71"/>
              <w:spacing w:after="0"/>
              <w:rPr>
                <w:sz w:val="20"/>
                <w:szCs w:val="20"/>
                <w:color w:val="auto"/>
              </w:rPr>
            </w:pPr>
            <w:r>
              <w:rPr>
                <w:rFonts w:ascii="Arial" w:cs="Arial" w:eastAsia="Arial" w:hAnsi="Arial"/>
                <w:sz w:val="10"/>
                <w:szCs w:val="10"/>
                <w:color w:val="auto"/>
                <w:w w:val="98"/>
              </w:rPr>
              <w:t>53.0%</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2.6%</w:t>
            </w:r>
          </w:p>
        </w:tc>
        <w:tc>
          <w:tcPr>
            <w:tcW w:w="0" w:type="dxa"/>
            <w:vAlign w:val="bottom"/>
          </w:tcPr>
          <w:p>
            <w:pPr>
              <w:spacing w:after="0"/>
              <w:rPr>
                <w:sz w:val="1"/>
                <w:szCs w:val="1"/>
                <w:color w:val="auto"/>
              </w:rPr>
            </w:pPr>
          </w:p>
        </w:tc>
      </w:tr>
      <w:tr>
        <w:trPr>
          <w:trHeight w:val="115"/>
        </w:trPr>
        <w:tc>
          <w:tcPr>
            <w:tcW w:w="2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color w:val="auto"/>
              </w:rPr>
              <w:t>Funding (FC)</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50.4%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50.2%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2.8%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47.4%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47.2%</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2.7%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45.9%</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46.0%</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2.6%</w:t>
            </w:r>
          </w:p>
        </w:tc>
        <w:tc>
          <w:tcPr>
            <w:tcW w:w="12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49.9%</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49.5%</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3.0%</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color w:val="auto"/>
                <w:w w:val="98"/>
              </w:rPr>
              <w:t>47.4%</w:t>
            </w:r>
          </w:p>
        </w:tc>
        <w:tc>
          <w:tcPr>
            <w:tcW w:w="680" w:type="dxa"/>
            <w:vAlign w:val="bottom"/>
            <w:tcBorders>
              <w:bottom w:val="single" w:sz="8" w:color="auto"/>
            </w:tcBorders>
          </w:tcPr>
          <w:p>
            <w:pPr>
              <w:jc w:val="center"/>
              <w:ind w:left="71"/>
              <w:spacing w:after="0"/>
              <w:rPr>
                <w:sz w:val="20"/>
                <w:szCs w:val="20"/>
                <w:color w:val="auto"/>
              </w:rPr>
            </w:pPr>
            <w:r>
              <w:rPr>
                <w:rFonts w:ascii="Arial" w:cs="Arial" w:eastAsia="Arial" w:hAnsi="Arial"/>
                <w:sz w:val="10"/>
                <w:szCs w:val="10"/>
                <w:color w:val="auto"/>
                <w:w w:val="98"/>
              </w:rPr>
              <w:t>47.0%</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2.6%</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line="115" w:lineRule="exact"/>
              <w:rPr>
                <w:sz w:val="20"/>
                <w:szCs w:val="20"/>
                <w:color w:val="auto"/>
              </w:rPr>
            </w:pPr>
            <w:r>
              <w:rPr>
                <w:rFonts w:ascii="Arial" w:cs="Arial" w:eastAsia="Arial" w:hAnsi="Arial"/>
                <w:sz w:val="8"/>
                <w:szCs w:val="8"/>
                <w:b w:val="1"/>
                <w:bCs w:val="1"/>
                <w:color w:val="auto"/>
              </w:rPr>
              <w:t>NIM</w:t>
            </w:r>
            <w:r>
              <w:rPr>
                <w:rFonts w:ascii="Arial" w:cs="Arial" w:eastAsia="Arial" w:hAnsi="Arial"/>
                <w:sz w:val="13"/>
                <w:szCs w:val="13"/>
                <w:b w:val="1"/>
                <w:bCs w:val="1"/>
                <w:color w:val="auto"/>
                <w:vertAlign w:val="superscript"/>
              </w:rPr>
              <w:t>(1)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237,519</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3,629</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6.1%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233,286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3,688</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6.3%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240,784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3,841</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6.4%</w:t>
            </w:r>
          </w:p>
        </w:tc>
        <w:tc>
          <w:tcPr>
            <w:tcW w:w="12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232,647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14,117</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6.1%</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b w:val="1"/>
                <w:bCs w:val="1"/>
                <w:color w:val="auto"/>
                <w:w w:val="99"/>
              </w:rPr>
              <w:t>243,536</w:t>
            </w:r>
          </w:p>
        </w:tc>
        <w:tc>
          <w:tcPr>
            <w:tcW w:w="680" w:type="dxa"/>
            <w:vAlign w:val="bottom"/>
            <w:tcBorders>
              <w:bottom w:val="single" w:sz="8" w:color="auto"/>
            </w:tcBorders>
          </w:tcPr>
          <w:p>
            <w:pPr>
              <w:jc w:val="center"/>
              <w:ind w:left="91"/>
              <w:spacing w:after="0"/>
              <w:rPr>
                <w:sz w:val="20"/>
                <w:szCs w:val="20"/>
                <w:color w:val="auto"/>
              </w:rPr>
            </w:pPr>
            <w:r>
              <w:rPr>
                <w:rFonts w:ascii="Arial" w:cs="Arial" w:eastAsia="Arial" w:hAnsi="Arial"/>
                <w:sz w:val="10"/>
                <w:szCs w:val="10"/>
                <w:b w:val="1"/>
                <w:bCs w:val="1"/>
                <w:color w:val="auto"/>
                <w:w w:val="97"/>
              </w:rPr>
              <w:t>14,714</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6.0%</w:t>
            </w:r>
          </w:p>
        </w:tc>
        <w:tc>
          <w:tcPr>
            <w:tcW w:w="0" w:type="dxa"/>
            <w:vAlign w:val="bottom"/>
          </w:tcPr>
          <w:p>
            <w:pPr>
              <w:spacing w:after="0"/>
              <w:rPr>
                <w:sz w:val="1"/>
                <w:szCs w:val="1"/>
                <w:color w:val="auto"/>
              </w:rPr>
            </w:pPr>
          </w:p>
        </w:tc>
      </w:tr>
      <w:tr>
        <w:trPr>
          <w:trHeight w:val="115"/>
        </w:trPr>
        <w:tc>
          <w:tcPr>
            <w:tcW w:w="2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NIM (LC)</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54.7%</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76.1%</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8.5%</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56.7%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77.9%</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8.7%</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56.6%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77.0%</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8.7%</w:t>
            </w:r>
          </w:p>
        </w:tc>
        <w:tc>
          <w:tcPr>
            <w:tcW w:w="12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56.2%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76.9%</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8.3%</w:t>
            </w:r>
          </w:p>
        </w:tc>
        <w:tc>
          <w:tcPr>
            <w:tcW w:w="600" w:type="dxa"/>
            <w:vAlign w:val="bottom"/>
            <w:tcBorders>
              <w:bottom w:val="single" w:sz="8" w:color="auto"/>
            </w:tcBorders>
          </w:tcPr>
          <w:p>
            <w:pPr>
              <w:jc w:val="center"/>
              <w:ind w:left="31"/>
              <w:spacing w:after="0"/>
              <w:rPr>
                <w:sz w:val="20"/>
                <w:szCs w:val="20"/>
                <w:color w:val="auto"/>
              </w:rPr>
            </w:pPr>
            <w:r>
              <w:rPr>
                <w:rFonts w:ascii="Arial" w:cs="Arial" w:eastAsia="Arial" w:hAnsi="Arial"/>
                <w:sz w:val="10"/>
                <w:szCs w:val="10"/>
                <w:b w:val="1"/>
                <w:bCs w:val="1"/>
                <w:color w:val="auto"/>
                <w:w w:val="98"/>
              </w:rPr>
              <w:t>55.6%</w:t>
            </w:r>
          </w:p>
        </w:tc>
        <w:tc>
          <w:tcPr>
            <w:tcW w:w="680" w:type="dxa"/>
            <w:vAlign w:val="bottom"/>
            <w:tcBorders>
              <w:bottom w:val="single" w:sz="8" w:color="auto"/>
            </w:tcBorders>
          </w:tcPr>
          <w:p>
            <w:pPr>
              <w:jc w:val="center"/>
              <w:ind w:left="71"/>
              <w:spacing w:after="0"/>
              <w:rPr>
                <w:sz w:val="20"/>
                <w:szCs w:val="20"/>
                <w:color w:val="auto"/>
              </w:rPr>
            </w:pPr>
            <w:r>
              <w:rPr>
                <w:rFonts w:ascii="Arial" w:cs="Arial" w:eastAsia="Arial" w:hAnsi="Arial"/>
                <w:sz w:val="10"/>
                <w:szCs w:val="10"/>
                <w:b w:val="1"/>
                <w:bCs w:val="1"/>
                <w:color w:val="auto"/>
                <w:w w:val="98"/>
              </w:rPr>
              <w:t>77.4%</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8.4%</w:t>
            </w:r>
          </w:p>
        </w:tc>
        <w:tc>
          <w:tcPr>
            <w:tcW w:w="0" w:type="dxa"/>
            <w:vAlign w:val="bottom"/>
          </w:tcPr>
          <w:p>
            <w:pPr>
              <w:spacing w:after="0"/>
              <w:rPr>
                <w:sz w:val="1"/>
                <w:szCs w:val="1"/>
                <w:color w:val="auto"/>
              </w:rPr>
            </w:pPr>
          </w:p>
        </w:tc>
      </w:tr>
      <w:tr>
        <w:trPr>
          <w:trHeight w:val="124"/>
        </w:trPr>
        <w:tc>
          <w:tcPr>
            <w:tcW w:w="2140" w:type="dxa"/>
            <w:vAlign w:val="bottom"/>
          </w:tcPr>
          <w:p>
            <w:pPr>
              <w:spacing w:after="0"/>
              <w:rPr>
                <w:sz w:val="20"/>
                <w:szCs w:val="20"/>
                <w:color w:val="auto"/>
              </w:rPr>
            </w:pPr>
            <w:r>
              <w:rPr>
                <w:rFonts w:ascii="Arial" w:cs="Arial" w:eastAsia="Arial" w:hAnsi="Arial"/>
                <w:sz w:val="10"/>
                <w:szCs w:val="10"/>
                <w:b w:val="1"/>
                <w:bCs w:val="1"/>
                <w:color w:val="auto"/>
              </w:rPr>
              <w:t>NIM (FC)</w:t>
            </w:r>
          </w:p>
        </w:tc>
        <w:tc>
          <w:tcPr>
            <w:tcW w:w="640" w:type="dxa"/>
            <w:vAlign w:val="bottom"/>
          </w:tcPr>
          <w:p>
            <w:pPr>
              <w:jc w:val="center"/>
              <w:spacing w:after="0"/>
              <w:rPr>
                <w:sz w:val="20"/>
                <w:szCs w:val="20"/>
                <w:color w:val="auto"/>
              </w:rPr>
            </w:pPr>
            <w:r>
              <w:rPr>
                <w:rFonts w:ascii="Arial" w:cs="Arial" w:eastAsia="Arial" w:hAnsi="Arial"/>
                <w:sz w:val="10"/>
                <w:szCs w:val="10"/>
                <w:b w:val="1"/>
                <w:bCs w:val="1"/>
                <w:color w:val="auto"/>
                <w:w w:val="98"/>
              </w:rPr>
              <w:t>45.3%</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8"/>
              </w:rPr>
              <w:t>23.9%</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6"/>
              </w:rPr>
              <w:t>3.2%</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43.3%</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22.1%</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rPr>
              <w:t>3.2%</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43.4%</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23.0%</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rPr>
              <w:t>3.4%</w:t>
            </w:r>
          </w:p>
        </w:tc>
        <w:tc>
          <w:tcPr>
            <w:tcW w:w="1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43.8%</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8"/>
              </w:rPr>
              <w:t>23.1%</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6"/>
              </w:rPr>
              <w:t>3.2%</w:t>
            </w:r>
          </w:p>
        </w:tc>
        <w:tc>
          <w:tcPr>
            <w:tcW w:w="600" w:type="dxa"/>
            <w:vAlign w:val="bottom"/>
          </w:tcPr>
          <w:p>
            <w:pPr>
              <w:jc w:val="center"/>
              <w:ind w:left="31"/>
              <w:spacing w:after="0"/>
              <w:rPr>
                <w:sz w:val="20"/>
                <w:szCs w:val="20"/>
                <w:color w:val="auto"/>
              </w:rPr>
            </w:pPr>
            <w:r>
              <w:rPr>
                <w:rFonts w:ascii="Arial" w:cs="Arial" w:eastAsia="Arial" w:hAnsi="Arial"/>
                <w:sz w:val="10"/>
                <w:szCs w:val="10"/>
                <w:b w:val="1"/>
                <w:bCs w:val="1"/>
                <w:color w:val="auto"/>
                <w:w w:val="98"/>
              </w:rPr>
              <w:t>44.4%</w:t>
            </w:r>
          </w:p>
        </w:tc>
        <w:tc>
          <w:tcPr>
            <w:tcW w:w="680" w:type="dxa"/>
            <w:vAlign w:val="bottom"/>
          </w:tcPr>
          <w:p>
            <w:pPr>
              <w:jc w:val="center"/>
              <w:ind w:left="71"/>
              <w:spacing w:after="0"/>
              <w:rPr>
                <w:sz w:val="20"/>
                <w:szCs w:val="20"/>
                <w:color w:val="auto"/>
              </w:rPr>
            </w:pPr>
            <w:r>
              <w:rPr>
                <w:rFonts w:ascii="Arial" w:cs="Arial" w:eastAsia="Arial" w:hAnsi="Arial"/>
                <w:sz w:val="10"/>
                <w:szCs w:val="10"/>
                <w:b w:val="1"/>
                <w:bCs w:val="1"/>
                <w:color w:val="auto"/>
                <w:w w:val="98"/>
              </w:rPr>
              <w:t>22.6%</w:t>
            </w: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6"/>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7157720" cy="265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265430"/>
                    </a:xfrm>
                    <a:prstGeom prst="rect">
                      <a:avLst/>
                    </a:prstGeom>
                    <a:noFill/>
                  </pic:spPr>
                </pic:pic>
              </a:graphicData>
            </a:graphic>
          </wp:anchor>
        </w:drawing>
      </w:r>
    </w:p>
    <w:p>
      <w:pPr>
        <w:ind w:left="147" w:hanging="147"/>
        <w:spacing w:after="0" w:line="182" w:lineRule="auto"/>
        <w:tabs>
          <w:tab w:leader="none" w:pos="147" w:val="left"/>
        </w:tabs>
        <w:numPr>
          <w:ilvl w:val="0"/>
          <w:numId w:val="24"/>
        </w:numPr>
        <w:rPr>
          <w:rFonts w:ascii="Arial" w:cs="Arial" w:eastAsia="Arial" w:hAnsi="Arial"/>
          <w:sz w:val="17"/>
          <w:szCs w:val="17"/>
          <w:color w:val="auto"/>
          <w:vertAlign w:val="superscript"/>
        </w:rPr>
      </w:pPr>
      <w:r>
        <w:rPr>
          <w:rFonts w:ascii="Arial" w:cs="Arial" w:eastAsia="Arial" w:hAnsi="Arial"/>
          <w:sz w:val="11"/>
          <w:szCs w:val="11"/>
          <w:color w:val="auto"/>
        </w:rPr>
        <w:t>Unlike the NIM figure calculated according to the formula in Appendix 12.8, the NIM presented in this table includes “Financial Expense associated with the insurance and reinsurance activity, net”.</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u w:val="single" w:color="auto"/>
          <w:color w:val="auto"/>
        </w:rPr>
        <w:t>QoQ Analysis</w:t>
      </w:r>
    </w:p>
    <w:p>
      <w:pPr>
        <w:spacing w:after="0" w:line="198" w:lineRule="exact"/>
        <w:rPr>
          <w:sz w:val="20"/>
          <w:szCs w:val="20"/>
          <w:color w:val="auto"/>
        </w:rPr>
      </w:pPr>
    </w:p>
    <w:p>
      <w:pPr>
        <w:ind w:left="7"/>
        <w:spacing w:after="0" w:line="278" w:lineRule="auto"/>
        <w:rPr>
          <w:sz w:val="20"/>
          <w:szCs w:val="20"/>
          <w:color w:val="auto"/>
        </w:rPr>
      </w:pPr>
      <w:r>
        <w:rPr>
          <w:rFonts w:ascii="Arial" w:cs="Arial" w:eastAsia="Arial" w:hAnsi="Arial"/>
          <w:sz w:val="18"/>
          <w:szCs w:val="18"/>
          <w:color w:val="auto"/>
        </w:rPr>
        <w:t xml:space="preserve">QoQ, </w:t>
      </w:r>
      <w:r>
        <w:rPr>
          <w:rFonts w:ascii="Arial" w:cs="Arial" w:eastAsia="Arial" w:hAnsi="Arial"/>
          <w:sz w:val="18"/>
          <w:szCs w:val="18"/>
          <w:b w:val="1"/>
          <w:bCs w:val="1"/>
          <w:color w:val="auto"/>
        </w:rPr>
        <w:t>Net Interest Income (NII)</w:t>
      </w:r>
      <w:r>
        <w:rPr>
          <w:rFonts w:ascii="Arial" w:cs="Arial" w:eastAsia="Arial" w:hAnsi="Arial"/>
          <w:sz w:val="18"/>
          <w:szCs w:val="18"/>
          <w:color w:val="auto"/>
        </w:rPr>
        <w:t xml:space="preserve"> rose 4.2%, bolstered by growth in NII in both LC and FC. IEA in LC represented 56.6% of total IEA at the end of 4Q25 and represented 71.2% of interest income generated this quarter.</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Dynamics in Local Currency (LC)</w:t>
      </w:r>
    </w:p>
    <w:p>
      <w:pPr>
        <w:spacing w:after="0" w:line="198" w:lineRule="exact"/>
        <w:rPr>
          <w:sz w:val="20"/>
          <w:szCs w:val="20"/>
          <w:color w:val="auto"/>
        </w:rPr>
      </w:pPr>
    </w:p>
    <w:p>
      <w:pPr>
        <w:ind w:left="7"/>
        <w:spacing w:after="0" w:line="278" w:lineRule="auto"/>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LC </w:t>
      </w:r>
      <w:r>
        <w:rPr>
          <w:rFonts w:ascii="Arial" w:cs="Arial" w:eastAsia="Arial" w:hAnsi="Arial"/>
          <w:sz w:val="18"/>
          <w:szCs w:val="18"/>
          <w:color w:val="auto"/>
        </w:rPr>
        <w:t>rose 3.0%, driven by an uptick in interest income. This evolution reflects growth in income from Loans, which was fueled by growth</w:t>
      </w:r>
      <w:r>
        <w:rPr>
          <w:rFonts w:ascii="Arial" w:cs="Arial" w:eastAsia="Arial" w:hAnsi="Arial"/>
          <w:sz w:val="18"/>
          <w:szCs w:val="18"/>
          <w:b w:val="1"/>
          <w:bCs w:val="1"/>
          <w:color w:val="auto"/>
        </w:rPr>
        <w:t xml:space="preserve"> </w:t>
      </w:r>
      <w:r>
        <w:rPr>
          <w:rFonts w:ascii="Arial" w:cs="Arial" w:eastAsia="Arial" w:hAnsi="Arial"/>
          <w:sz w:val="18"/>
          <w:szCs w:val="18"/>
          <w:color w:val="auto"/>
        </w:rPr>
        <w:t>in volumes. Interest expenses rose slightly over the period, impacted by an increase in the funding volume.</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Dynamics in Foreign Currency (FC)</w:t>
      </w:r>
    </w:p>
    <w:p>
      <w:pPr>
        <w:spacing w:after="0" w:line="198" w:lineRule="exact"/>
        <w:rPr>
          <w:sz w:val="20"/>
          <w:szCs w:val="20"/>
          <w:color w:val="auto"/>
        </w:rPr>
      </w:pPr>
    </w:p>
    <w:p>
      <w:pPr>
        <w:ind w:left="7" w:right="60"/>
        <w:spacing w:after="0" w:line="256" w:lineRule="auto"/>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FC </w:t>
      </w:r>
      <w:r>
        <w:rPr>
          <w:rFonts w:ascii="Arial" w:cs="Arial" w:eastAsia="Arial" w:hAnsi="Arial"/>
          <w:sz w:val="18"/>
          <w:szCs w:val="18"/>
          <w:color w:val="auto"/>
        </w:rPr>
        <w:t>rose 8.2% QoQ. This evolution was mainly driven by growth in interest income, which rose primarily through an increase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equivalents (subsequently capitalized through BCRP deposits) and secondarily, through growth in loan placements. A drop in the funding volume, which reflects a decrease in liquidity needs in FC, also contributed to growth in NII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727075</wp:posOffset>
            </wp:positionV>
            <wp:extent cx="71577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109855</wp:posOffset>
            </wp:positionV>
            <wp:extent cx="6720840" cy="5054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20840" cy="505460"/>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57720" cy="222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-359410</wp:posOffset>
            </wp:positionV>
            <wp:extent cx="95123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b w:val="1"/>
          <w:bCs w:val="1"/>
          <w:color w:val="FFFFFF"/>
        </w:rPr>
        <w:t>04. Net Interest Income (NII)</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YoY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YoY, </w:t>
      </w:r>
      <w:r>
        <w:rPr>
          <w:rFonts w:ascii="Arial" w:cs="Arial" w:eastAsia="Arial" w:hAnsi="Arial"/>
          <w:sz w:val="18"/>
          <w:szCs w:val="18"/>
          <w:b w:val="1"/>
          <w:bCs w:val="1"/>
          <w:color w:val="auto"/>
        </w:rPr>
        <w:t>NII</w:t>
      </w:r>
      <w:r>
        <w:rPr>
          <w:rFonts w:ascii="Arial" w:cs="Arial" w:eastAsia="Arial" w:hAnsi="Arial"/>
          <w:sz w:val="18"/>
          <w:szCs w:val="18"/>
          <w:color w:val="auto"/>
        </w:rPr>
        <w:t xml:space="preserve"> rose 5.8%, driven by growth in NII in both LC and FC.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Local Currency (LC)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 LC rose 7.2% YoY, bolstered by growth in interest income, while interest expenses rose slightly. These results were driven by:</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Interest income from Loans through: i) higher total loan volumes, reflecting improving economic conditions; and ii) a more favorable loan mix, with a stronger contribution from retail loans. In this context, the IEA yield in LC rose 10 bps to 10.7%.</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rate expenses increased marginally due to an uptick in Insurance financial expenses. This was partially offset by a decrease in expenses for Deposits, which reflects the impact of downward pressure on rates and an increase in low-cost deposits’ share of the mix. Given the upswing in captures of low-cost deposits, time deposit captures and positions in BCRP instruments fell. In this context, the cost of funding in LC dropped 25 bps to stand at 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Foreign Currency (FC)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w:t>
      </w:r>
      <w:r>
        <w:rPr>
          <w:rFonts w:ascii="Arial" w:cs="Arial" w:eastAsia="Arial" w:hAnsi="Arial"/>
          <w:sz w:val="18"/>
          <w:szCs w:val="18"/>
          <w:b w:val="1"/>
          <w:bCs w:val="1"/>
          <w:color w:val="auto"/>
        </w:rPr>
        <w:t xml:space="preserve"> FC </w:t>
      </w:r>
      <w:r>
        <w:rPr>
          <w:rFonts w:ascii="Arial" w:cs="Arial" w:eastAsia="Arial" w:hAnsi="Arial"/>
          <w:sz w:val="18"/>
          <w:szCs w:val="18"/>
          <w:color w:val="auto"/>
        </w:rPr>
        <w:t>increased 1.6% YoY due to:</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expenses in FC dropped. This dynamic was driven mainly by a negative volume effect due to: i) a decrease in the balance for Bonds, following debt expirations in 2025 and ii) a drop in the balances for deposits and BCRP instruments in FC, which reflects high liquidity captured in LC. The decline in interest rates was also relevant but generated less impact. In this context, the funding cost in FC dropped 22 bps to stand at 2.6%.</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income decreased due to the negative impact of low interest rates on Loans and, to a lesser degree, for Cash and equivalents. The YoY reduction in the volume of Loans and Investments also impacted income, albeit to a lesser extent. In this context, the IEA yield in FC fell 17 bps to stand at 5.6%.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YTD Analysis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YTD, NII </w:t>
      </w:r>
      <w:r>
        <w:rPr>
          <w:rFonts w:ascii="Arial" w:cs="Arial" w:eastAsia="Arial" w:hAnsi="Arial"/>
          <w:sz w:val="18"/>
          <w:szCs w:val="18"/>
          <w:color w:val="auto"/>
        </w:rPr>
        <w:t>rose 4.2%, reflecting growth in both LC and FC.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Local Currency (LC)</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 LC increased 5.0%, driven mainly by an increase in interest income and secondarily by a drop in interest expenses. Expenses were up</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period, fueled primarily by growth in volume and by the same dynamics in play YoY. A secondary driver of the increase in expenses was the shift to a more profitable portfolio mix, where retail and microfinance loans registered growth. The drop in expenses was, in turn, driven by a decrease in expenses for deposits, which was fueled by the same factors seen YoY.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Dynamics in Foreign Currency (FC)</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in FC rose 1.6% due to a drop in interest expenses, which was partially offset by a decrease in interest income. The reduction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was primarily attributable to a decline in expenses for Deposits- in a scenario of low rates as described in the YoY analysis- and secondarily to a reduction in the funding volume through BCRP + Banks. Interest income, in turn, dropped due to a decrease in income from Loans, which was mainly attributable to a drop in market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721995</wp:posOffset>
            </wp:positionV>
            <wp:extent cx="71577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113030</wp:posOffset>
            </wp:positionV>
            <wp:extent cx="6764020" cy="4972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64020" cy="497205"/>
                    </a:xfrm>
                    <a:prstGeom prst="rect">
                      <a:avLst/>
                    </a:prstGeom>
                    <a:noFill/>
                  </pic:spPr>
                </pic:pic>
              </a:graphicData>
            </a:graphic>
          </wp:anchor>
        </w:drawing>
      </w:r>
    </w:p>
    <w:p>
      <w:pPr>
        <w:sectPr>
          <w:pgSz w:w="11920" w:h="16838" w:orient="portrait"/>
          <w:cols w:equalWidth="0" w:num="1">
            <w:col w:w="11260"/>
          </w:cols>
          <w:pgMar w:left="340" w:top="135" w:right="318" w:bottom="1440" w:gutter="0" w:footer="0" w:header="0"/>
        </w:sectPr>
      </w:pPr>
    </w:p>
    <w:bookmarkStart w:id="30" w:name="page31"/>
    <w:bookmarkEnd w:id="30"/>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144" w:lineRule="exact"/>
        <w:rPr>
          <w:sz w:val="20"/>
          <w:szCs w:val="20"/>
          <w:color w:val="auto"/>
        </w:rPr>
      </w:pPr>
    </w:p>
    <w:p>
      <w:pPr>
        <w:ind w:left="687" w:hanging="687"/>
        <w:spacing w:after="0"/>
        <w:tabs>
          <w:tab w:leader="none" w:pos="687" w:val="left"/>
        </w:tabs>
        <w:numPr>
          <w:ilvl w:val="0"/>
          <w:numId w:val="25"/>
        </w:numPr>
        <w:rPr>
          <w:rFonts w:ascii="Arial" w:cs="Arial" w:eastAsia="Arial" w:hAnsi="Arial"/>
          <w:sz w:val="32"/>
          <w:szCs w:val="32"/>
          <w:b w:val="1"/>
          <w:bCs w:val="1"/>
          <w:color w:val="E93BAC"/>
        </w:rPr>
      </w:pPr>
      <w:r>
        <w:rPr>
          <w:rFonts w:ascii="Arial" w:cs="Arial" w:eastAsia="Arial" w:hAnsi="Arial"/>
          <w:sz w:val="32"/>
          <w:szCs w:val="32"/>
          <w:color w:val="E93BAC"/>
        </w:rPr>
        <w:t>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57720" cy="2057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20574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107" w:right="100"/>
        <w:spacing w:after="0" w:line="276" w:lineRule="auto"/>
        <w:rPr>
          <w:sz w:val="20"/>
          <w:szCs w:val="20"/>
          <w:color w:val="auto"/>
        </w:rPr>
      </w:pPr>
      <w:r>
        <w:rPr>
          <w:rFonts w:ascii="Arial" w:cs="Arial" w:eastAsia="Arial" w:hAnsi="Arial"/>
          <w:sz w:val="18"/>
          <w:szCs w:val="18"/>
          <w:color w:val="FFFFFF"/>
        </w:rPr>
        <w:t>Portfolio quality indicators registered sustained improvement over the last 12 months, driven by fortified risk management and improvements in the payment performance and Peruvian economy.</w:t>
      </w:r>
    </w:p>
    <w:p>
      <w:pPr>
        <w:spacing w:after="0" w:line="131" w:lineRule="exact"/>
        <w:rPr>
          <w:sz w:val="20"/>
          <w:szCs w:val="20"/>
          <w:color w:val="auto"/>
        </w:rPr>
      </w:pPr>
    </w:p>
    <w:p>
      <w:pPr>
        <w:jc w:val="both"/>
        <w:ind w:left="107" w:right="100"/>
        <w:spacing w:after="0" w:line="248" w:lineRule="auto"/>
        <w:rPr>
          <w:sz w:val="20"/>
          <w:szCs w:val="20"/>
          <w:color w:val="auto"/>
        </w:rPr>
      </w:pPr>
      <w:r>
        <w:rPr>
          <w:rFonts w:ascii="Arial" w:cs="Arial" w:eastAsia="Arial" w:hAnsi="Arial"/>
          <w:sz w:val="18"/>
          <w:szCs w:val="18"/>
          <w:color w:val="FFFFFF"/>
        </w:rPr>
        <w:t>QoQ, the drop in NPLs at BCP Stand-alone was fueled mainly by debt repayments by Wholesale clients and, to lesser extent, by higher write-offs and repayments of loans under judicial recovery by SME Clients. At Mibanco, the decline in NPLs was fueled by a decrease in overdue loans. In this context, the NPL ratio fell 26 bps and 71 bps QoQ and YoY, respectively, to stand at 4.5%. This level is below those reported pre-economic recession in 2023.</w:t>
      </w:r>
    </w:p>
    <w:p>
      <w:pPr>
        <w:spacing w:after="0" w:line="157" w:lineRule="exact"/>
        <w:rPr>
          <w:sz w:val="20"/>
          <w:szCs w:val="20"/>
          <w:color w:val="auto"/>
        </w:rPr>
      </w:pPr>
    </w:p>
    <w:p>
      <w:pPr>
        <w:jc w:val="both"/>
        <w:ind w:left="107" w:right="100"/>
        <w:spacing w:after="0" w:line="243" w:lineRule="auto"/>
        <w:rPr>
          <w:sz w:val="20"/>
          <w:szCs w:val="20"/>
          <w:color w:val="auto"/>
        </w:rPr>
      </w:pPr>
      <w:r>
        <w:rPr>
          <w:rFonts w:ascii="Arial" w:cs="Arial" w:eastAsia="Arial" w:hAnsi="Arial"/>
          <w:sz w:val="18"/>
          <w:szCs w:val="18"/>
          <w:color w:val="FFFFFF"/>
        </w:rPr>
        <w:t>QoQ, provisions rose on the back of growth at BCP Stand-alone, impacted by the dynamics of the retail business and specific impacts in Wholesale Banking. The provisions level in the Individuals segment remained stable but increased in SMEs. While the underlying risk in SMEs remained stable, total provisions rose slightly due to an increase in write-offs. In Wholesale, provisions rose due to an increase in risk at indirect exposure related to specific clients in the construction sector. This evolution was partially offset by a drop in provisions at Mibanco, which was driven by an improvement in payment performance. On a full-year basis, provisions dropped 31.6%, fueled by BCP Stand-alone and Mibanco. In this context, the cost of risk rose 6 bps QoQ but dropped 79 bps for the full year to stand at 1.6% at year-end.</w:t>
      </w:r>
    </w:p>
    <w:p>
      <w:pPr>
        <w:spacing w:after="0" w:line="363" w:lineRule="exact"/>
        <w:rPr>
          <w:sz w:val="20"/>
          <w:szCs w:val="20"/>
          <w:color w:val="auto"/>
        </w:rPr>
      </w:pPr>
    </w:p>
    <w:p>
      <w:pPr>
        <w:jc w:val="both"/>
        <w:ind w:left="7"/>
        <w:spacing w:after="0" w:line="276" w:lineRule="auto"/>
        <w:rPr>
          <w:sz w:val="20"/>
          <w:szCs w:val="20"/>
          <w:color w:val="auto"/>
        </w:rPr>
      </w:pPr>
      <w:r>
        <w:rPr>
          <w:rFonts w:ascii="Arial" w:cs="Arial" w:eastAsia="Arial" w:hAnsi="Arial"/>
          <w:sz w:val="18"/>
          <w:szCs w:val="18"/>
          <w:color w:val="auto"/>
        </w:rPr>
        <w:t>Our portfolio quality indicators presented substantial improvement over the last year and continued to follow a positive trajectory in all segments, driven by fortified risk management and backed by improvements in the Peruvian economy and payment performance.</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5.1 Portfolio Quality</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Total Portfolio Quality (in Quarter-end balances)</w:t>
      </w:r>
    </w:p>
    <w:p>
      <w:pPr>
        <w:spacing w:after="0" w:line="179" w:lineRule="exact"/>
        <w:rPr>
          <w:sz w:val="20"/>
          <w:szCs w:val="20"/>
          <w:color w:val="auto"/>
        </w:rPr>
      </w:pPr>
    </w:p>
    <w:tbl>
      <w:tblPr>
        <w:tblLayout w:type="fixed"/>
        <w:tblInd w:w="17" w:type="dxa"/>
        <w:tblCellMar>
          <w:top w:w="0" w:type="dxa"/>
          <w:left w:w="0" w:type="dxa"/>
          <w:bottom w:w="0" w:type="dxa"/>
          <w:right w:w="0" w:type="dxa"/>
        </w:tblCellMar>
      </w:tblPr>
      <w:tr>
        <w:trPr>
          <w:trHeight w:val="183"/>
        </w:trPr>
        <w:tc>
          <w:tcPr>
            <w:tcW w:w="4520" w:type="dxa"/>
            <w:vAlign w:val="bottom"/>
            <w:tcBorders>
              <w:top w:val="single" w:sz="8" w:color="auto"/>
              <w:left w:val="single" w:sz="8" w:color="auto"/>
              <w:bottom w:val="single" w:sz="8" w:color="33CCCC"/>
              <w:right w:val="single" w:sz="8" w:color="auto"/>
            </w:tcBorders>
            <w:shd w:val="clear" w:color="auto" w:fill="33CCCC"/>
          </w:tcPr>
          <w:p>
            <w:pPr>
              <w:spacing w:after="0" w:line="172" w:lineRule="exact"/>
              <w:rPr>
                <w:sz w:val="20"/>
                <w:szCs w:val="20"/>
                <w:color w:val="auto"/>
              </w:rPr>
            </w:pPr>
            <w:r>
              <w:rPr>
                <w:rFonts w:ascii="Arial" w:cs="Arial" w:eastAsia="Arial" w:hAnsi="Arial"/>
                <w:sz w:val="17"/>
                <w:szCs w:val="17"/>
                <w:b w:val="1"/>
                <w:bCs w:val="1"/>
                <w:color w:val="FFFFFF"/>
              </w:rPr>
              <w:t>Loan Portfolio quality and Delinquency ratios</w:t>
            </w:r>
          </w:p>
        </w:tc>
        <w:tc>
          <w:tcPr>
            <w:tcW w:w="1340" w:type="dxa"/>
            <w:vAlign w:val="bottom"/>
            <w:tcBorders>
              <w:top w:val="single" w:sz="8" w:color="auto"/>
              <w:bottom w:val="single" w:sz="8" w:color="33CCCC"/>
            </w:tcBorders>
            <w:shd w:val="clear" w:color="auto" w:fill="33CCCC"/>
          </w:tcPr>
          <w:p>
            <w:pPr>
              <w:spacing w:after="0"/>
              <w:rPr>
                <w:sz w:val="15"/>
                <w:szCs w:val="15"/>
                <w:color w:val="auto"/>
              </w:rPr>
            </w:pPr>
          </w:p>
        </w:tc>
        <w:tc>
          <w:tcPr>
            <w:tcW w:w="1380" w:type="dxa"/>
            <w:vAlign w:val="bottom"/>
            <w:tcBorders>
              <w:top w:val="single" w:sz="8" w:color="auto"/>
              <w:bottom w:val="single" w:sz="8" w:color="33CCCC"/>
            </w:tcBorders>
            <w:shd w:val="clear" w:color="auto" w:fill="33CCCC"/>
          </w:tcPr>
          <w:p>
            <w:pPr>
              <w:jc w:val="center"/>
              <w:spacing w:after="0" w:line="172" w:lineRule="exact"/>
              <w:rPr>
                <w:sz w:val="20"/>
                <w:szCs w:val="20"/>
                <w:color w:val="auto"/>
              </w:rPr>
            </w:pPr>
            <w:r>
              <w:rPr>
                <w:rFonts w:ascii="Arial" w:cs="Arial" w:eastAsia="Arial" w:hAnsi="Arial"/>
                <w:sz w:val="17"/>
                <w:szCs w:val="17"/>
                <w:b w:val="1"/>
                <w:bCs w:val="1"/>
                <w:color w:val="FFFFFF"/>
                <w:w w:val="98"/>
              </w:rPr>
              <w:t>As of</w:t>
            </w:r>
          </w:p>
        </w:tc>
        <w:tc>
          <w:tcPr>
            <w:tcW w:w="1400" w:type="dxa"/>
            <w:vAlign w:val="bottom"/>
            <w:tcBorders>
              <w:top w:val="single" w:sz="8" w:color="auto"/>
              <w:bottom w:val="single" w:sz="8" w:color="33CCCC"/>
              <w:right w:val="single" w:sz="8" w:color="auto"/>
            </w:tcBorders>
            <w:shd w:val="clear" w:color="auto" w:fill="33CCCC"/>
          </w:tcPr>
          <w:p>
            <w:pPr>
              <w:spacing w:after="0"/>
              <w:rPr>
                <w:sz w:val="15"/>
                <w:szCs w:val="15"/>
                <w:color w:val="auto"/>
              </w:rPr>
            </w:pPr>
          </w:p>
        </w:tc>
        <w:tc>
          <w:tcPr>
            <w:tcW w:w="2640" w:type="dxa"/>
            <w:vAlign w:val="bottom"/>
            <w:tcBorders>
              <w:top w:val="single" w:sz="8" w:color="auto"/>
              <w:bottom w:val="single" w:sz="8" w:color="33CCCC"/>
              <w:right w:val="single" w:sz="8" w:color="33CCCC"/>
            </w:tcBorders>
            <w:gridSpan w:val="2"/>
            <w:shd w:val="clear" w:color="auto" w:fill="33CCCC"/>
          </w:tcPr>
          <w:p>
            <w:pPr>
              <w:ind w:left="900"/>
              <w:spacing w:after="0" w:line="172" w:lineRule="exact"/>
              <w:rPr>
                <w:sz w:val="20"/>
                <w:szCs w:val="20"/>
                <w:color w:val="auto"/>
              </w:rPr>
            </w:pPr>
            <w:r>
              <w:rPr>
                <w:rFonts w:ascii="Arial" w:cs="Arial" w:eastAsia="Arial" w:hAnsi="Arial"/>
                <w:sz w:val="17"/>
                <w:szCs w:val="17"/>
                <w:b w:val="1"/>
                <w:bCs w:val="1"/>
                <w:color w:val="FFFFFF"/>
              </w:rPr>
              <w:t>% change</w:t>
            </w:r>
          </w:p>
        </w:tc>
      </w:tr>
      <w:tr>
        <w:trPr>
          <w:trHeight w:val="189"/>
        </w:trPr>
        <w:tc>
          <w:tcPr>
            <w:tcW w:w="4520" w:type="dxa"/>
            <w:vAlign w:val="bottom"/>
            <w:tcBorders>
              <w:left w:val="single" w:sz="8" w:color="auto"/>
              <w:bottom w:val="single" w:sz="8" w:color="auto"/>
              <w:right w:val="single" w:sz="8" w:color="auto"/>
            </w:tcBorders>
            <w:shd w:val="clear" w:color="auto" w:fill="33CCCC"/>
          </w:tcPr>
          <w:p>
            <w:pPr>
              <w:spacing w:after="0" w:line="189" w:lineRule="exact"/>
              <w:rPr>
                <w:sz w:val="20"/>
                <w:szCs w:val="20"/>
                <w:color w:val="auto"/>
              </w:rPr>
            </w:pPr>
            <w:r>
              <w:rPr>
                <w:rFonts w:ascii="Arial" w:cs="Arial" w:eastAsia="Arial" w:hAnsi="Arial"/>
                <w:sz w:val="17"/>
                <w:szCs w:val="17"/>
                <w:b w:val="1"/>
                <w:bCs w:val="1"/>
                <w:color w:val="FFFFFF"/>
              </w:rPr>
              <w:t>S/000</w:t>
            </w:r>
          </w:p>
        </w:tc>
        <w:tc>
          <w:tcPr>
            <w:tcW w:w="1340" w:type="dxa"/>
            <w:vAlign w:val="bottom"/>
            <w:tcBorders>
              <w:bottom w:val="single" w:sz="8" w:color="auto"/>
            </w:tcBorders>
            <w:shd w:val="clear" w:color="auto" w:fill="33CCCC"/>
          </w:tcPr>
          <w:p>
            <w:pPr>
              <w:ind w:left="380"/>
              <w:spacing w:after="0" w:line="189" w:lineRule="exact"/>
              <w:rPr>
                <w:sz w:val="20"/>
                <w:szCs w:val="20"/>
                <w:color w:val="auto"/>
              </w:rPr>
            </w:pPr>
            <w:r>
              <w:rPr>
                <w:rFonts w:ascii="Arial" w:cs="Arial" w:eastAsia="Arial" w:hAnsi="Arial"/>
                <w:sz w:val="17"/>
                <w:szCs w:val="17"/>
                <w:b w:val="1"/>
                <w:bCs w:val="1"/>
                <w:color w:val="FFFFFF"/>
              </w:rPr>
              <w:t>Dec 24</w:t>
            </w:r>
          </w:p>
        </w:tc>
        <w:tc>
          <w:tcPr>
            <w:tcW w:w="1380" w:type="dxa"/>
            <w:vAlign w:val="bottom"/>
            <w:tcBorders>
              <w:bottom w:val="single" w:sz="8" w:color="auto"/>
            </w:tcBorders>
            <w:shd w:val="clear" w:color="auto" w:fill="33CCCC"/>
          </w:tcPr>
          <w:p>
            <w:pPr>
              <w:jc w:val="center"/>
              <w:spacing w:after="0" w:line="189" w:lineRule="exact"/>
              <w:rPr>
                <w:sz w:val="20"/>
                <w:szCs w:val="20"/>
                <w:color w:val="auto"/>
              </w:rPr>
            </w:pPr>
            <w:r>
              <w:rPr>
                <w:rFonts w:ascii="Arial" w:cs="Arial" w:eastAsia="Arial" w:hAnsi="Arial"/>
                <w:sz w:val="17"/>
                <w:szCs w:val="17"/>
                <w:b w:val="1"/>
                <w:bCs w:val="1"/>
                <w:color w:val="FFFFFF"/>
                <w:w w:val="98"/>
              </w:rPr>
              <w:t>Sep 25</w:t>
            </w:r>
          </w:p>
        </w:tc>
        <w:tc>
          <w:tcPr>
            <w:tcW w:w="1400" w:type="dxa"/>
            <w:vAlign w:val="bottom"/>
            <w:tcBorders>
              <w:bottom w:val="single" w:sz="8" w:color="auto"/>
              <w:right w:val="single" w:sz="8" w:color="auto"/>
            </w:tcBorders>
            <w:shd w:val="clear" w:color="auto" w:fill="33CCCC"/>
          </w:tcPr>
          <w:p>
            <w:pPr>
              <w:ind w:left="420"/>
              <w:spacing w:after="0" w:line="189" w:lineRule="exact"/>
              <w:rPr>
                <w:sz w:val="20"/>
                <w:szCs w:val="20"/>
                <w:color w:val="auto"/>
              </w:rPr>
            </w:pPr>
            <w:r>
              <w:rPr>
                <w:rFonts w:ascii="Arial" w:cs="Arial" w:eastAsia="Arial" w:hAnsi="Arial"/>
                <w:sz w:val="17"/>
                <w:szCs w:val="17"/>
                <w:b w:val="1"/>
                <w:bCs w:val="1"/>
                <w:color w:val="FFFFFF"/>
              </w:rPr>
              <w:t>Dec 25</w:t>
            </w:r>
          </w:p>
        </w:tc>
        <w:tc>
          <w:tcPr>
            <w:tcW w:w="1320" w:type="dxa"/>
            <w:vAlign w:val="bottom"/>
            <w:tcBorders>
              <w:bottom w:val="single" w:sz="8" w:color="auto"/>
            </w:tcBorders>
            <w:shd w:val="clear" w:color="auto" w:fill="33CCCC"/>
          </w:tcPr>
          <w:p>
            <w:pPr>
              <w:jc w:val="center"/>
              <w:spacing w:after="0" w:line="189" w:lineRule="exact"/>
              <w:rPr>
                <w:sz w:val="20"/>
                <w:szCs w:val="20"/>
                <w:color w:val="auto"/>
              </w:rPr>
            </w:pPr>
            <w:r>
              <w:rPr>
                <w:rFonts w:ascii="Arial" w:cs="Arial" w:eastAsia="Arial" w:hAnsi="Arial"/>
                <w:sz w:val="17"/>
                <w:szCs w:val="17"/>
                <w:b w:val="1"/>
                <w:bCs w:val="1"/>
                <w:color w:val="FFFFFF"/>
              </w:rPr>
              <w:t>QoQ</w:t>
            </w:r>
          </w:p>
        </w:tc>
        <w:tc>
          <w:tcPr>
            <w:tcW w:w="1320" w:type="dxa"/>
            <w:vAlign w:val="bottom"/>
            <w:tcBorders>
              <w:bottom w:val="single" w:sz="8" w:color="auto"/>
              <w:right w:val="single" w:sz="8" w:color="auto"/>
            </w:tcBorders>
            <w:shd w:val="clear" w:color="auto" w:fill="33CCCC"/>
          </w:tcPr>
          <w:p>
            <w:pPr>
              <w:jc w:val="center"/>
              <w:spacing w:after="0" w:line="189" w:lineRule="exact"/>
              <w:rPr>
                <w:sz w:val="20"/>
                <w:szCs w:val="20"/>
                <w:color w:val="auto"/>
              </w:rPr>
            </w:pPr>
            <w:r>
              <w:rPr>
                <w:rFonts w:ascii="Arial" w:cs="Arial" w:eastAsia="Arial" w:hAnsi="Arial"/>
                <w:sz w:val="17"/>
                <w:szCs w:val="17"/>
                <w:b w:val="1"/>
                <w:bCs w:val="1"/>
                <w:color w:val="FFFFFF"/>
                <w:w w:val="96"/>
              </w:rPr>
              <w:t>YoY</w:t>
            </w:r>
          </w:p>
        </w:tc>
      </w:tr>
      <w:tr>
        <w:trPr>
          <w:trHeight w:val="183"/>
        </w:trPr>
        <w:tc>
          <w:tcPr>
            <w:tcW w:w="452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Total loans (Quarter-end balance)</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145,732,273</w:t>
            </w:r>
          </w:p>
        </w:tc>
        <w:tc>
          <w:tcPr>
            <w:tcW w:w="13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9"/>
              </w:rPr>
              <w:t>144,752,254</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9"/>
              </w:rPr>
              <w:t>149,984,954</w:t>
            </w:r>
          </w:p>
        </w:tc>
        <w:tc>
          <w:tcPr>
            <w:tcW w:w="1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7"/>
              </w:rPr>
              <w:t>3.6%</w:t>
            </w:r>
          </w:p>
        </w:tc>
        <w:tc>
          <w:tcPr>
            <w:tcW w:w="13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2.9%</w:t>
            </w:r>
          </w:p>
        </w:tc>
      </w:tr>
      <w:tr>
        <w:trPr>
          <w:trHeight w:val="183"/>
        </w:trPr>
        <w:tc>
          <w:tcPr>
            <w:tcW w:w="452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7"/>
                <w:szCs w:val="17"/>
                <w:color w:val="auto"/>
              </w:rPr>
              <w:t>Write-offs</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896,714</w:t>
            </w:r>
          </w:p>
        </w:tc>
        <w:tc>
          <w:tcPr>
            <w:tcW w:w="13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713,933</w:t>
            </w:r>
          </w:p>
        </w:tc>
        <w:tc>
          <w:tcPr>
            <w:tcW w:w="14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656,331</w:t>
            </w:r>
          </w:p>
        </w:tc>
        <w:tc>
          <w:tcPr>
            <w:tcW w:w="1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-8.1%</w:t>
            </w:r>
          </w:p>
        </w:tc>
        <w:tc>
          <w:tcPr>
            <w:tcW w:w="13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7"/>
                <w:szCs w:val="17"/>
                <w:color w:val="auto"/>
              </w:rPr>
              <w:t>-26.8%</w:t>
            </w:r>
          </w:p>
        </w:tc>
      </w:tr>
      <w:tr>
        <w:trPr>
          <w:trHeight w:val="154"/>
        </w:trPr>
        <w:tc>
          <w:tcPr>
            <w:tcW w:w="4520" w:type="dxa"/>
            <w:vAlign w:val="bottom"/>
            <w:tcBorders>
              <w:left w:val="single" w:sz="8" w:color="auto"/>
              <w:right w:val="single" w:sz="8" w:color="auto"/>
            </w:tcBorders>
          </w:tcPr>
          <w:p>
            <w:pPr>
              <w:spacing w:after="0" w:line="154" w:lineRule="exact"/>
              <w:rPr>
                <w:sz w:val="20"/>
                <w:szCs w:val="20"/>
                <w:color w:val="auto"/>
              </w:rPr>
            </w:pPr>
            <w:r>
              <w:rPr>
                <w:rFonts w:ascii="Arial" w:cs="Arial" w:eastAsia="Arial" w:hAnsi="Arial"/>
                <w:sz w:val="17"/>
                <w:szCs w:val="17"/>
                <w:color w:val="auto"/>
              </w:rPr>
              <w:t>Internal overdue loans (IOLs)</w:t>
            </w:r>
          </w:p>
        </w:tc>
        <w:tc>
          <w:tcPr>
            <w:tcW w:w="1340" w:type="dxa"/>
            <w:vAlign w:val="bottom"/>
          </w:tcPr>
          <w:p>
            <w:pPr>
              <w:jc w:val="center"/>
              <w:spacing w:after="0" w:line="154" w:lineRule="exact"/>
              <w:rPr>
                <w:sz w:val="20"/>
                <w:szCs w:val="20"/>
                <w:color w:val="auto"/>
              </w:rPr>
            </w:pPr>
            <w:r>
              <w:rPr>
                <w:rFonts w:ascii="Arial" w:cs="Arial" w:eastAsia="Arial" w:hAnsi="Arial"/>
                <w:sz w:val="17"/>
                <w:szCs w:val="17"/>
                <w:color w:val="auto"/>
              </w:rPr>
              <w:t>5,423,212</w:t>
            </w:r>
          </w:p>
        </w:tc>
        <w:tc>
          <w:tcPr>
            <w:tcW w:w="1380" w:type="dxa"/>
            <w:vAlign w:val="bottom"/>
          </w:tcPr>
          <w:p>
            <w:pPr>
              <w:jc w:val="center"/>
              <w:spacing w:after="0" w:line="154" w:lineRule="exact"/>
              <w:rPr>
                <w:sz w:val="20"/>
                <w:szCs w:val="20"/>
                <w:color w:val="auto"/>
              </w:rPr>
            </w:pPr>
            <w:r>
              <w:rPr>
                <w:rFonts w:ascii="Arial" w:cs="Arial" w:eastAsia="Arial" w:hAnsi="Arial"/>
                <w:sz w:val="17"/>
                <w:szCs w:val="17"/>
                <w:color w:val="auto"/>
              </w:rPr>
              <w:t>4,953,303</w:t>
            </w:r>
          </w:p>
        </w:tc>
        <w:tc>
          <w:tcPr>
            <w:tcW w:w="14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rPr>
              <w:t>4,813,536</w:t>
            </w:r>
          </w:p>
        </w:tc>
        <w:tc>
          <w:tcPr>
            <w:tcW w:w="1320" w:type="dxa"/>
            <w:vAlign w:val="bottom"/>
          </w:tcPr>
          <w:p>
            <w:pPr>
              <w:jc w:val="center"/>
              <w:spacing w:after="0" w:line="154" w:lineRule="exact"/>
              <w:rPr>
                <w:sz w:val="20"/>
                <w:szCs w:val="20"/>
                <w:color w:val="auto"/>
              </w:rPr>
            </w:pPr>
            <w:r>
              <w:rPr>
                <w:rFonts w:ascii="Arial" w:cs="Arial" w:eastAsia="Arial" w:hAnsi="Arial"/>
                <w:sz w:val="17"/>
                <w:szCs w:val="17"/>
                <w:color w:val="auto"/>
              </w:rPr>
              <w:t>-2.8%</w:t>
            </w:r>
          </w:p>
        </w:tc>
        <w:tc>
          <w:tcPr>
            <w:tcW w:w="13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7"/>
                <w:szCs w:val="17"/>
                <w:color w:val="auto"/>
                <w:w w:val="96"/>
              </w:rPr>
              <w:t>-11.2%</w:t>
            </w:r>
          </w:p>
        </w:tc>
      </w:tr>
      <w:tr>
        <w:trPr>
          <w:trHeight w:val="189"/>
        </w:trPr>
        <w:tc>
          <w:tcPr>
            <w:tcW w:w="4520" w:type="dxa"/>
            <w:vAlign w:val="bottom"/>
            <w:tcBorders>
              <w:left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Internal overdue loans over 90-days</w:t>
            </w:r>
          </w:p>
        </w:tc>
        <w:tc>
          <w:tcPr>
            <w:tcW w:w="1340" w:type="dxa"/>
            <w:vAlign w:val="bottom"/>
          </w:tcPr>
          <w:p>
            <w:pPr>
              <w:jc w:val="center"/>
              <w:spacing w:after="0" w:line="189" w:lineRule="exact"/>
              <w:rPr>
                <w:sz w:val="20"/>
                <w:szCs w:val="20"/>
                <w:color w:val="auto"/>
              </w:rPr>
            </w:pPr>
            <w:r>
              <w:rPr>
                <w:rFonts w:ascii="Arial" w:cs="Arial" w:eastAsia="Arial" w:hAnsi="Arial"/>
                <w:sz w:val="17"/>
                <w:szCs w:val="17"/>
                <w:color w:val="auto"/>
              </w:rPr>
              <w:t>4,383,795</w:t>
            </w:r>
          </w:p>
        </w:tc>
        <w:tc>
          <w:tcPr>
            <w:tcW w:w="1380" w:type="dxa"/>
            <w:vAlign w:val="bottom"/>
          </w:tcPr>
          <w:p>
            <w:pPr>
              <w:jc w:val="center"/>
              <w:spacing w:after="0" w:line="189" w:lineRule="exact"/>
              <w:rPr>
                <w:sz w:val="20"/>
                <w:szCs w:val="20"/>
                <w:color w:val="auto"/>
              </w:rPr>
            </w:pPr>
            <w:r>
              <w:rPr>
                <w:rFonts w:ascii="Arial" w:cs="Arial" w:eastAsia="Arial" w:hAnsi="Arial"/>
                <w:sz w:val="17"/>
                <w:szCs w:val="17"/>
                <w:color w:val="auto"/>
              </w:rPr>
              <w:t>4,142,080</w:t>
            </w: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4,073,183</w:t>
            </w:r>
          </w:p>
        </w:tc>
        <w:tc>
          <w:tcPr>
            <w:tcW w:w="1320" w:type="dxa"/>
            <w:vAlign w:val="bottom"/>
          </w:tcPr>
          <w:p>
            <w:pPr>
              <w:jc w:val="center"/>
              <w:spacing w:after="0" w:line="189" w:lineRule="exact"/>
              <w:rPr>
                <w:sz w:val="20"/>
                <w:szCs w:val="20"/>
                <w:color w:val="auto"/>
              </w:rPr>
            </w:pPr>
            <w:r>
              <w:rPr>
                <w:rFonts w:ascii="Arial" w:cs="Arial" w:eastAsia="Arial" w:hAnsi="Arial"/>
                <w:sz w:val="17"/>
                <w:szCs w:val="17"/>
                <w:color w:val="auto"/>
              </w:rPr>
              <w:t>-1.7%</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8"/>
              </w:rPr>
              <w:t>-7.1%</w:t>
            </w:r>
          </w:p>
        </w:tc>
      </w:tr>
      <w:tr>
        <w:trPr>
          <w:trHeight w:val="189"/>
        </w:trPr>
        <w:tc>
          <w:tcPr>
            <w:tcW w:w="4520" w:type="dxa"/>
            <w:vAlign w:val="bottom"/>
            <w:tcBorders>
              <w:left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Refinanced loans</w:t>
            </w:r>
          </w:p>
        </w:tc>
        <w:tc>
          <w:tcPr>
            <w:tcW w:w="1340" w:type="dxa"/>
            <w:vAlign w:val="bottom"/>
          </w:tcPr>
          <w:p>
            <w:pPr>
              <w:jc w:val="center"/>
              <w:spacing w:after="0" w:line="189" w:lineRule="exact"/>
              <w:rPr>
                <w:sz w:val="20"/>
                <w:szCs w:val="20"/>
                <w:color w:val="auto"/>
              </w:rPr>
            </w:pPr>
            <w:r>
              <w:rPr>
                <w:rFonts w:ascii="Arial" w:cs="Arial" w:eastAsia="Arial" w:hAnsi="Arial"/>
                <w:sz w:val="17"/>
                <w:szCs w:val="17"/>
                <w:color w:val="auto"/>
              </w:rPr>
              <w:t>2,239,445</w:t>
            </w:r>
          </w:p>
        </w:tc>
        <w:tc>
          <w:tcPr>
            <w:tcW w:w="1380" w:type="dxa"/>
            <w:vAlign w:val="bottom"/>
          </w:tcPr>
          <w:p>
            <w:pPr>
              <w:jc w:val="center"/>
              <w:spacing w:after="0" w:line="189" w:lineRule="exact"/>
              <w:rPr>
                <w:sz w:val="20"/>
                <w:szCs w:val="20"/>
                <w:color w:val="auto"/>
              </w:rPr>
            </w:pPr>
            <w:r>
              <w:rPr>
                <w:rFonts w:ascii="Arial" w:cs="Arial" w:eastAsia="Arial" w:hAnsi="Arial"/>
                <w:sz w:val="17"/>
                <w:szCs w:val="17"/>
                <w:color w:val="auto"/>
              </w:rPr>
              <w:t>2,016,442</w:t>
            </w: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2,007,364</w:t>
            </w:r>
          </w:p>
        </w:tc>
        <w:tc>
          <w:tcPr>
            <w:tcW w:w="1320" w:type="dxa"/>
            <w:vAlign w:val="bottom"/>
          </w:tcPr>
          <w:p>
            <w:pPr>
              <w:jc w:val="center"/>
              <w:spacing w:after="0" w:line="189" w:lineRule="exact"/>
              <w:rPr>
                <w:sz w:val="20"/>
                <w:szCs w:val="20"/>
                <w:color w:val="auto"/>
              </w:rPr>
            </w:pPr>
            <w:r>
              <w:rPr>
                <w:rFonts w:ascii="Arial" w:cs="Arial" w:eastAsia="Arial" w:hAnsi="Arial"/>
                <w:sz w:val="17"/>
                <w:szCs w:val="17"/>
                <w:color w:val="auto"/>
              </w:rPr>
              <w:t>-0.5%</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-10.4%</w:t>
            </w:r>
          </w:p>
        </w:tc>
      </w:tr>
      <w:tr>
        <w:trPr>
          <w:trHeight w:val="217"/>
        </w:trPr>
        <w:tc>
          <w:tcPr>
            <w:tcW w:w="45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Non-performing loans (NPLs)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7,662,657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6,969,745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6,820,900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-11.0%</w:t>
            </w:r>
          </w:p>
        </w:tc>
      </w:tr>
      <w:tr>
        <w:trPr>
          <w:trHeight w:val="152"/>
        </w:trPr>
        <w:tc>
          <w:tcPr>
            <w:tcW w:w="4520" w:type="dxa"/>
            <w:vAlign w:val="bottom"/>
            <w:tcBorders>
              <w:left w:val="single" w:sz="8" w:color="auto"/>
              <w:right w:val="single" w:sz="8" w:color="auto"/>
            </w:tcBorders>
          </w:tcPr>
          <w:p>
            <w:pPr>
              <w:spacing w:after="0" w:line="153" w:lineRule="exact"/>
              <w:rPr>
                <w:sz w:val="20"/>
                <w:szCs w:val="20"/>
                <w:color w:val="auto"/>
              </w:rPr>
            </w:pPr>
            <w:r>
              <w:rPr>
                <w:rFonts w:ascii="Arial" w:cs="Arial" w:eastAsia="Arial" w:hAnsi="Arial"/>
                <w:sz w:val="17"/>
                <w:szCs w:val="17"/>
                <w:b w:val="1"/>
                <w:bCs w:val="1"/>
                <w:color w:val="auto"/>
              </w:rPr>
              <w:t>IOL ratio</w:t>
            </w:r>
          </w:p>
        </w:tc>
        <w:tc>
          <w:tcPr>
            <w:tcW w:w="1340" w:type="dxa"/>
            <w:vAlign w:val="bottom"/>
          </w:tcPr>
          <w:p>
            <w:pPr>
              <w:jc w:val="center"/>
              <w:spacing w:after="0" w:line="153" w:lineRule="exact"/>
              <w:rPr>
                <w:sz w:val="20"/>
                <w:szCs w:val="20"/>
                <w:color w:val="auto"/>
              </w:rPr>
            </w:pPr>
            <w:r>
              <w:rPr>
                <w:rFonts w:ascii="Arial" w:cs="Arial" w:eastAsia="Arial" w:hAnsi="Arial"/>
                <w:sz w:val="17"/>
                <w:szCs w:val="17"/>
                <w:b w:val="1"/>
                <w:bCs w:val="1"/>
                <w:color w:val="auto"/>
              </w:rPr>
              <w:t>3.7%</w:t>
            </w:r>
          </w:p>
        </w:tc>
        <w:tc>
          <w:tcPr>
            <w:tcW w:w="1380" w:type="dxa"/>
            <w:vAlign w:val="bottom"/>
          </w:tcPr>
          <w:p>
            <w:pPr>
              <w:jc w:val="center"/>
              <w:spacing w:after="0" w:line="153" w:lineRule="exact"/>
              <w:rPr>
                <w:sz w:val="20"/>
                <w:szCs w:val="20"/>
                <w:color w:val="auto"/>
              </w:rPr>
            </w:pPr>
            <w:r>
              <w:rPr>
                <w:rFonts w:ascii="Arial" w:cs="Arial" w:eastAsia="Arial" w:hAnsi="Arial"/>
                <w:sz w:val="17"/>
                <w:szCs w:val="17"/>
                <w:b w:val="1"/>
                <w:bCs w:val="1"/>
                <w:color w:val="auto"/>
                <w:w w:val="97"/>
              </w:rPr>
              <w:t>3.4%</w:t>
            </w:r>
          </w:p>
        </w:tc>
        <w:tc>
          <w:tcPr>
            <w:tcW w:w="14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w w:val="97"/>
              </w:rPr>
              <w:t>3.2%</w:t>
            </w:r>
          </w:p>
        </w:tc>
        <w:tc>
          <w:tcPr>
            <w:tcW w:w="1320" w:type="dxa"/>
            <w:vAlign w:val="bottom"/>
          </w:tcPr>
          <w:p>
            <w:pPr>
              <w:jc w:val="center"/>
              <w:spacing w:after="0" w:line="153" w:lineRule="exact"/>
              <w:rPr>
                <w:sz w:val="20"/>
                <w:szCs w:val="20"/>
                <w:color w:val="auto"/>
              </w:rPr>
            </w:pPr>
            <w:r>
              <w:rPr>
                <w:rFonts w:ascii="Arial" w:cs="Arial" w:eastAsia="Arial" w:hAnsi="Arial"/>
                <w:sz w:val="17"/>
                <w:szCs w:val="17"/>
                <w:b w:val="1"/>
                <w:bCs w:val="1"/>
                <w:color w:val="auto"/>
              </w:rPr>
              <w:t>-21 bps</w:t>
            </w:r>
          </w:p>
        </w:tc>
        <w:tc>
          <w:tcPr>
            <w:tcW w:w="132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-51 bps</w:t>
            </w:r>
          </w:p>
        </w:tc>
      </w:tr>
      <w:tr>
        <w:trPr>
          <w:trHeight w:val="189"/>
        </w:trPr>
        <w:tc>
          <w:tcPr>
            <w:tcW w:w="4520" w:type="dxa"/>
            <w:vAlign w:val="bottom"/>
            <w:tcBorders>
              <w:left w:val="single" w:sz="8" w:color="auto"/>
              <w:right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IOL over 90-days ratio</w:t>
            </w:r>
          </w:p>
        </w:tc>
        <w:tc>
          <w:tcPr>
            <w:tcW w:w="13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3.0%</w:t>
            </w:r>
          </w:p>
        </w:tc>
        <w:tc>
          <w:tcPr>
            <w:tcW w:w="13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2.9%</w:t>
            </w: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7"/>
              </w:rPr>
              <w:t>2.7%</w:t>
            </w: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-14 bps</w:t>
            </w:r>
          </w:p>
        </w:tc>
        <w:tc>
          <w:tcPr>
            <w:tcW w:w="13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-29 bps</w:t>
            </w:r>
          </w:p>
        </w:tc>
      </w:tr>
      <w:tr>
        <w:trPr>
          <w:trHeight w:val="219"/>
        </w:trPr>
        <w:tc>
          <w:tcPr>
            <w:tcW w:w="45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NPL ratio</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5.3%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4.8%</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4.5%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-26 bps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-71 bps</w:t>
            </w:r>
          </w:p>
        </w:tc>
      </w:tr>
    </w:tbl>
    <w:p>
      <w:pPr>
        <w:spacing w:after="0" w:line="178" w:lineRule="exact"/>
        <w:rPr>
          <w:sz w:val="20"/>
          <w:szCs w:val="20"/>
          <w:color w:val="auto"/>
        </w:rPr>
      </w:pPr>
    </w:p>
    <w:p>
      <w:pPr>
        <w:jc w:val="both"/>
        <w:ind w:left="7"/>
        <w:spacing w:after="0" w:line="287" w:lineRule="auto"/>
        <w:rPr>
          <w:sz w:val="20"/>
          <w:szCs w:val="20"/>
          <w:color w:val="auto"/>
        </w:rPr>
      </w:pPr>
      <w:r>
        <w:rPr>
          <w:rFonts w:ascii="Arial" w:cs="Arial" w:eastAsia="Arial" w:hAnsi="Arial"/>
          <w:sz w:val="18"/>
          <w:szCs w:val="18"/>
          <w:b w:val="1"/>
          <w:bCs w:val="1"/>
          <w:color w:val="auto"/>
        </w:rPr>
        <w:t xml:space="preserve">QoQ, NPLs </w:t>
      </w:r>
      <w:r>
        <w:rPr>
          <w:rFonts w:ascii="Arial" w:cs="Arial" w:eastAsia="Arial" w:hAnsi="Arial"/>
          <w:sz w:val="18"/>
          <w:szCs w:val="18"/>
          <w:color w:val="auto"/>
        </w:rPr>
        <w:t>dropped 2.1%, led mainly by</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followed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Write-offs fell 8.1%, driven mainly by improvement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quality of origination in the </w:t>
      </w:r>
      <w:r>
        <w:rPr>
          <w:rFonts w:ascii="Arial" w:cs="Arial" w:eastAsia="Arial" w:hAnsi="Arial"/>
          <w:sz w:val="18"/>
          <w:szCs w:val="18"/>
          <w:b w:val="1"/>
          <w:bCs w:val="1"/>
          <w:color w:val="auto"/>
        </w:rPr>
        <w:t>Individuals</w:t>
      </w:r>
      <w:r>
        <w:rPr>
          <w:rFonts w:ascii="Arial" w:cs="Arial" w:eastAsia="Arial" w:hAnsi="Arial"/>
          <w:sz w:val="18"/>
          <w:szCs w:val="18"/>
          <w:color w:val="auto"/>
        </w:rPr>
        <w:t xml:space="preserve"> segment at </w:t>
      </w:r>
      <w:r>
        <w:rPr>
          <w:rFonts w:ascii="Arial" w:cs="Arial" w:eastAsia="Arial" w:hAnsi="Arial"/>
          <w:sz w:val="18"/>
          <w:szCs w:val="18"/>
          <w:b w:val="1"/>
          <w:bCs w:val="1"/>
          <w:color w:val="auto"/>
        </w:rPr>
        <w:t>BCP Stand-alone</w:t>
      </w:r>
      <w:r>
        <w:rPr>
          <w:rFonts w:ascii="Arial" w:cs="Arial" w:eastAsia="Arial" w:hAnsi="Arial"/>
          <w:sz w:val="18"/>
          <w:szCs w:val="18"/>
          <w:color w:val="auto"/>
        </w:rPr>
        <w:t>.</w:t>
      </w:r>
    </w:p>
    <w:p>
      <w:pPr>
        <w:spacing w:after="0" w:line="112" w:lineRule="exact"/>
        <w:rPr>
          <w:sz w:val="20"/>
          <w:szCs w:val="20"/>
          <w:color w:val="auto"/>
        </w:rPr>
      </w:pPr>
    </w:p>
    <w:p>
      <w:pPr>
        <w:jc w:val="both"/>
        <w:ind w:left="7"/>
        <w:spacing w:after="0" w:line="245"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w:t>
      </w:r>
      <w:r>
        <w:rPr>
          <w:rFonts w:ascii="Arial" w:cs="Arial" w:eastAsia="Arial" w:hAnsi="Arial"/>
          <w:sz w:val="18"/>
          <w:szCs w:val="18"/>
          <w:b w:val="1"/>
          <w:bCs w:val="1"/>
          <w:color w:val="auto"/>
        </w:rPr>
        <w:t xml:space="preserve"> at BCP </w:t>
      </w:r>
      <w:r>
        <w:rPr>
          <w:rFonts w:ascii="Arial" w:cs="Arial" w:eastAsia="Arial" w:hAnsi="Arial"/>
          <w:sz w:val="18"/>
          <w:szCs w:val="18"/>
          <w:color w:val="auto"/>
        </w:rPr>
        <w:t>Individual, the decline in NPLs was triggered mainly by</w:t>
      </w:r>
      <w:r>
        <w:rPr>
          <w:rFonts w:ascii="Arial" w:cs="Arial" w:eastAsia="Arial" w:hAnsi="Arial"/>
          <w:sz w:val="18"/>
          <w:szCs w:val="18"/>
          <w:b w:val="1"/>
          <w:bCs w:val="1"/>
          <w:color w:val="auto"/>
        </w:rPr>
        <w:t xml:space="preserve"> Wholesale</w:t>
      </w:r>
      <w:r>
        <w:rPr>
          <w:rFonts w:ascii="Arial" w:cs="Arial" w:eastAsia="Arial" w:hAnsi="Arial"/>
          <w:sz w:val="18"/>
          <w:szCs w:val="18"/>
          <w:color w:val="auto"/>
        </w:rPr>
        <w:t>, which reported total debt repayment by two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clients in the Construction and Transportation sectors, followed by </w:t>
      </w:r>
      <w:r>
        <w:rPr>
          <w:rFonts w:ascii="Arial" w:cs="Arial" w:eastAsia="Arial" w:hAnsi="Arial"/>
          <w:sz w:val="18"/>
          <w:szCs w:val="18"/>
          <w:b w:val="1"/>
          <w:bCs w:val="1"/>
          <w:color w:val="auto"/>
        </w:rPr>
        <w:t>Retail</w:t>
      </w:r>
      <w:r>
        <w:rPr>
          <w:rFonts w:ascii="Arial" w:cs="Arial" w:eastAsia="Arial" w:hAnsi="Arial"/>
          <w:sz w:val="18"/>
          <w:szCs w:val="18"/>
          <w:color w:val="auto"/>
        </w:rPr>
        <w:t xml:space="preserve">, which registered higher write-offs and debt repayments by clients with loans under judicial recovery in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At </w:t>
      </w:r>
      <w:r>
        <w:rPr>
          <w:rFonts w:ascii="Arial" w:cs="Arial" w:eastAsia="Arial" w:hAnsi="Arial"/>
          <w:sz w:val="18"/>
          <w:szCs w:val="18"/>
          <w:b w:val="1"/>
          <w:bCs w:val="1"/>
          <w:color w:val="auto"/>
        </w:rPr>
        <w:t>Mibanco</w:t>
      </w:r>
      <w:r>
        <w:rPr>
          <w:rFonts w:ascii="Arial" w:cs="Arial" w:eastAsia="Arial" w:hAnsi="Arial"/>
          <w:sz w:val="18"/>
          <w:szCs w:val="18"/>
          <w:color w:val="auto"/>
        </w:rPr>
        <w:t>, the drop in NPLs was fueled by a decrease in overdue loans, which was driven by a more cautious approach to origination and improvements in collections management in play since 2024. Thanks to these measures, 84% of our loan portfolio is currently comprised of new and healthier loans.</w:t>
      </w:r>
    </w:p>
    <w:p>
      <w:pPr>
        <w:spacing w:after="0" w:line="159" w:lineRule="exact"/>
        <w:rPr>
          <w:sz w:val="20"/>
          <w:szCs w:val="20"/>
          <w:color w:val="auto"/>
        </w:rPr>
      </w:pPr>
    </w:p>
    <w:p>
      <w:pPr>
        <w:jc w:val="both"/>
        <w:ind w:left="7"/>
        <w:spacing w:after="0" w:line="287"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NPLs dropped 11.0%, led primarily by</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and secondarily by</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The decline in write-offs (-26.8%) was mainly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same dynamics that drove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result.</w:t>
      </w:r>
    </w:p>
    <w:p>
      <w:pPr>
        <w:spacing w:after="0" w:line="112" w:lineRule="exact"/>
        <w:rPr>
          <w:sz w:val="20"/>
          <w:szCs w:val="20"/>
          <w:color w:val="auto"/>
        </w:rPr>
      </w:pPr>
    </w:p>
    <w:p>
      <w:pPr>
        <w:jc w:val="both"/>
        <w:ind w:left="7"/>
        <w:spacing w:after="0" w:line="248"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the decline in NPLs was primarily triggered by</w:t>
      </w:r>
      <w:r>
        <w:rPr>
          <w:rFonts w:ascii="Arial" w:cs="Arial" w:eastAsia="Arial" w:hAnsi="Arial"/>
          <w:sz w:val="18"/>
          <w:szCs w:val="18"/>
          <w:b w:val="1"/>
          <w:bCs w:val="1"/>
          <w:color w:val="auto"/>
        </w:rPr>
        <w:t xml:space="preserve"> Wholesale</w:t>
      </w:r>
      <w:r>
        <w:rPr>
          <w:rFonts w:ascii="Arial" w:cs="Arial" w:eastAsia="Arial" w:hAnsi="Arial"/>
          <w:sz w:val="18"/>
          <w:szCs w:val="18"/>
          <w:color w:val="auto"/>
        </w:rPr>
        <w:t>, through the same dynamics seen</w:t>
      </w:r>
      <w:r>
        <w:rPr>
          <w:rFonts w:ascii="Arial" w:cs="Arial" w:eastAsia="Arial" w:hAnsi="Arial"/>
          <w:sz w:val="18"/>
          <w:szCs w:val="18"/>
          <w:b w:val="1"/>
          <w:bCs w:val="1"/>
          <w:color w:val="auto"/>
        </w:rPr>
        <w:t xml:space="preserve"> QoQ </w:t>
      </w:r>
      <w:r>
        <w:rPr>
          <w:rFonts w:ascii="Arial" w:cs="Arial" w:eastAsia="Arial" w:hAnsi="Arial"/>
          <w:sz w:val="18"/>
          <w:szCs w:val="18"/>
          <w:color w:val="auto"/>
        </w:rPr>
        <w:t>and via debt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repayment for a refinanced client in the real estate sector, and secondarily by </w:t>
      </w:r>
      <w:r>
        <w:rPr>
          <w:rFonts w:ascii="Arial" w:cs="Arial" w:eastAsia="Arial" w:hAnsi="Arial"/>
          <w:sz w:val="18"/>
          <w:szCs w:val="18"/>
          <w:b w:val="1"/>
          <w:bCs w:val="1"/>
          <w:color w:val="auto"/>
        </w:rPr>
        <w:t>Retail</w:t>
      </w:r>
      <w:r>
        <w:rPr>
          <w:rFonts w:ascii="Arial" w:cs="Arial" w:eastAsia="Arial" w:hAnsi="Arial"/>
          <w:sz w:val="18"/>
          <w:szCs w:val="18"/>
          <w:color w:val="auto"/>
        </w:rPr>
        <w:t xml:space="preserve">. In this segment, the decline was fueled mainly by (i) the dynamics seen 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analysis in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and (ii) a drop in debt refinancing in </w:t>
      </w:r>
      <w:r>
        <w:rPr>
          <w:rFonts w:ascii="Arial" w:cs="Arial" w:eastAsia="Arial" w:hAnsi="Arial"/>
          <w:sz w:val="18"/>
          <w:szCs w:val="18"/>
          <w:b w:val="1"/>
          <w:bCs w:val="1"/>
          <w:color w:val="auto"/>
        </w:rPr>
        <w:t>Consumer and Credit Cards</w:t>
      </w:r>
      <w:r>
        <w:rPr>
          <w:rFonts w:ascii="Arial" w:cs="Arial" w:eastAsia="Arial" w:hAnsi="Arial"/>
          <w:sz w:val="18"/>
          <w:szCs w:val="18"/>
          <w:color w:val="auto"/>
        </w:rPr>
        <w:t xml:space="preserve">, thanks to an improvement in the quality of origination and in collections management and backed by a more favorable economic backdrop. Finally, at </w:t>
      </w:r>
      <w:r>
        <w:rPr>
          <w:rFonts w:ascii="Arial" w:cs="Arial" w:eastAsia="Arial" w:hAnsi="Arial"/>
          <w:sz w:val="18"/>
          <w:szCs w:val="18"/>
          <w:b w:val="1"/>
          <w:bCs w:val="1"/>
          <w:color w:val="auto"/>
        </w:rPr>
        <w:t>Mibanco</w:t>
      </w:r>
      <w:r>
        <w:rPr>
          <w:rFonts w:ascii="Arial" w:cs="Arial" w:eastAsia="Arial" w:hAnsi="Arial"/>
          <w:sz w:val="18"/>
          <w:szCs w:val="18"/>
          <w:color w:val="auto"/>
        </w:rPr>
        <w:t>, the reduction in NPLs was driven by the same dynamics in play</w:t>
      </w:r>
      <w:r>
        <w:rPr>
          <w:rFonts w:ascii="Arial" w:cs="Arial" w:eastAsia="Arial" w:hAnsi="Arial"/>
          <w:sz w:val="18"/>
          <w:szCs w:val="18"/>
          <w:b w:val="1"/>
          <w:bCs w:val="1"/>
          <w:color w:val="auto"/>
        </w:rPr>
        <w:t xml:space="preserve"> QoQ</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725170</wp:posOffset>
            </wp:positionV>
            <wp:extent cx="71577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107950</wp:posOffset>
            </wp:positionV>
            <wp:extent cx="6755130" cy="5054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55130" cy="505460"/>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31" w:name="page32"/>
    <w:bookmarkEnd w:id="31"/>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772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22288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ind w:left="47"/>
        <w:spacing w:after="0"/>
        <w:rPr>
          <w:sz w:val="20"/>
          <w:szCs w:val="20"/>
          <w:color w:val="auto"/>
        </w:rPr>
      </w:pPr>
      <w:r>
        <w:rPr>
          <w:rFonts w:ascii="Arial" w:cs="Arial" w:eastAsia="Arial" w:hAnsi="Arial"/>
          <w:sz w:val="22"/>
          <w:szCs w:val="22"/>
          <w:b w:val="1"/>
          <w:bCs w:val="1"/>
          <w:color w:val="FFFFFF"/>
        </w:rPr>
        <w:t>05. Portfolio Quality and Provisions</w:t>
      </w:r>
    </w:p>
    <w:p>
      <w:pPr>
        <w:spacing w:after="0" w:line="258" w:lineRule="exact"/>
        <w:rPr>
          <w:sz w:val="20"/>
          <w:szCs w:val="20"/>
          <w:color w:val="auto"/>
        </w:rPr>
      </w:pPr>
    </w:p>
    <w:p>
      <w:pPr>
        <w:ind w:left="1607"/>
        <w:spacing w:after="0"/>
        <w:rPr>
          <w:sz w:val="20"/>
          <w:szCs w:val="20"/>
          <w:color w:val="auto"/>
        </w:rPr>
      </w:pPr>
      <w:r>
        <w:rPr>
          <w:rFonts w:ascii="Arial" w:cs="Arial" w:eastAsia="Arial" w:hAnsi="Arial"/>
          <w:sz w:val="18"/>
          <w:szCs w:val="18"/>
          <w:b w:val="1"/>
          <w:bCs w:val="1"/>
          <w:color w:val="auto"/>
        </w:rPr>
        <w:t>NPL Ratio for Total Loans</w:t>
      </w:r>
    </w:p>
    <w:p>
      <w:pPr>
        <w:spacing w:after="0" w:line="20" w:lineRule="exact"/>
        <w:rPr>
          <w:sz w:val="20"/>
          <w:szCs w:val="20"/>
          <w:color w:val="auto"/>
        </w:rPr>
      </w:pPr>
    </w:p>
    <w:p>
      <w:pPr>
        <w:jc w:val="both"/>
        <w:ind w:left="5867"/>
        <w:spacing w:after="0" w:line="243" w:lineRule="auto"/>
        <w:rPr>
          <w:sz w:val="20"/>
          <w:szCs w:val="20"/>
          <w:color w:val="auto"/>
        </w:rPr>
      </w:pPr>
      <w:r>
        <w:rPr>
          <w:rFonts w:ascii="Arial" w:cs="Arial" w:eastAsia="Arial" w:hAnsi="Arial"/>
          <w:sz w:val="18"/>
          <w:szCs w:val="18"/>
          <w:color w:val="auto"/>
        </w:rPr>
        <w:t xml:space="preserve">The NPL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fell 26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to stand at 4.5%, which was below the levels reported pre-economic recession in 2023. This decline was mainly driven by loan growth and secondarily by the NPL dynamics described 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3043555" cy="1465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43555" cy="1465580"/>
                    </a:xfrm>
                    <a:prstGeom prst="rect">
                      <a:avLst/>
                    </a:prstGeom>
                    <a:noFill/>
                  </pic:spPr>
                </pic:pic>
              </a:graphicData>
            </a:graphic>
          </wp:anchor>
        </w:drawing>
      </w:r>
    </w:p>
    <w:p>
      <w:pPr>
        <w:spacing w:after="0" w:line="130" w:lineRule="exact"/>
        <w:rPr>
          <w:sz w:val="20"/>
          <w:szCs w:val="20"/>
          <w:color w:val="auto"/>
        </w:rPr>
      </w:pPr>
    </w:p>
    <w:p>
      <w:pPr>
        <w:jc w:val="both"/>
        <w:ind w:left="5867"/>
        <w:spacing w:after="0" w:line="287" w:lineRule="auto"/>
        <w:rPr>
          <w:sz w:val="20"/>
          <w:szCs w:val="20"/>
          <w:color w:val="auto"/>
        </w:rPr>
      </w:pPr>
      <w:r>
        <w:rPr>
          <w:rFonts w:ascii="Arial" w:cs="Arial" w:eastAsia="Arial" w:hAnsi="Arial"/>
          <w:sz w:val="18"/>
          <w:szCs w:val="18"/>
          <w:b w:val="1"/>
          <w:bCs w:val="1"/>
          <w:color w:val="auto"/>
        </w:rPr>
        <w:t>If we analyze the QoQ evolution of the NPL Ratio by subsidiary, we find:</w:t>
      </w:r>
    </w:p>
    <w:p>
      <w:pPr>
        <w:spacing w:after="0" w:line="112" w:lineRule="exact"/>
        <w:rPr>
          <w:sz w:val="20"/>
          <w:szCs w:val="20"/>
          <w:color w:val="auto"/>
        </w:rPr>
      </w:pPr>
    </w:p>
    <w:p>
      <w:pPr>
        <w:jc w:val="both"/>
        <w:ind w:left="5867"/>
        <w:spacing w:after="0" w:line="261" w:lineRule="auto"/>
        <w:rPr>
          <w:sz w:val="20"/>
          <w:szCs w:val="20"/>
          <w:color w:val="auto"/>
        </w:rPr>
      </w:pP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where the NPL ratio dropped 25 bps. In</w:t>
      </w:r>
      <w:r>
        <w:rPr>
          <w:rFonts w:ascii="Arial" w:cs="Arial" w:eastAsia="Arial" w:hAnsi="Arial"/>
          <w:sz w:val="18"/>
          <w:szCs w:val="18"/>
          <w:b w:val="1"/>
          <w:bCs w:val="1"/>
          <w:color w:val="auto"/>
        </w:rPr>
        <w:t xml:space="preserve"> Individuals and SME-Business, </w:t>
      </w:r>
      <w:r>
        <w:rPr>
          <w:rFonts w:ascii="Arial" w:cs="Arial" w:eastAsia="Arial" w:hAnsi="Arial"/>
          <w:sz w:val="18"/>
          <w:szCs w:val="18"/>
          <w:color w:val="auto"/>
        </w:rPr>
        <w:t>the reduction in the ratio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driven mainly by loan growth. In </w:t>
      </w:r>
      <w:r>
        <w:rPr>
          <w:rFonts w:ascii="Arial" w:cs="Arial" w:eastAsia="Arial" w:hAnsi="Arial"/>
          <w:sz w:val="18"/>
          <w:szCs w:val="18"/>
          <w:b w:val="1"/>
          <w:bCs w:val="1"/>
          <w:color w:val="auto"/>
        </w:rPr>
        <w:t>Wholesale</w:t>
      </w:r>
      <w:r>
        <w:rPr>
          <w:rFonts w:ascii="Arial" w:cs="Arial" w:eastAsia="Arial" w:hAnsi="Arial"/>
          <w:sz w:val="18"/>
          <w:szCs w:val="18"/>
          <w:color w:val="auto"/>
        </w:rPr>
        <w:t xml:space="preserve"> and</w:t>
      </w:r>
    </w:p>
    <w:p>
      <w:pPr>
        <w:spacing w:after="0" w:line="13" w:lineRule="exact"/>
        <w:rPr>
          <w:sz w:val="20"/>
          <w:szCs w:val="20"/>
          <w:color w:val="auto"/>
        </w:rPr>
      </w:pPr>
    </w:p>
    <w:p>
      <w:pPr>
        <w:ind w:left="167"/>
        <w:spacing w:after="0"/>
        <w:rPr>
          <w:sz w:val="20"/>
          <w:szCs w:val="20"/>
          <w:color w:val="auto"/>
        </w:rPr>
      </w:pPr>
      <w:r>
        <w:rPr>
          <w:rFonts w:ascii="Arial" w:cs="Arial" w:eastAsia="Arial" w:hAnsi="Arial"/>
          <w:sz w:val="18"/>
          <w:szCs w:val="18"/>
          <w:b w:val="1"/>
          <w:bCs w:val="1"/>
          <w:color w:val="auto"/>
        </w:rPr>
        <w:t xml:space="preserve">SME-Pyme, </w:t>
      </w:r>
      <w:r>
        <w:rPr>
          <w:rFonts w:ascii="Arial" w:cs="Arial" w:eastAsia="Arial" w:hAnsi="Arial"/>
          <w:sz w:val="18"/>
          <w:szCs w:val="18"/>
          <w:color w:val="auto"/>
        </w:rPr>
        <w:t>the decrease in the ratio was triggered primarily by a decrease in NPL volumes.</w:t>
      </w:r>
    </w:p>
    <w:p>
      <w:pPr>
        <w:spacing w:after="0" w:line="198" w:lineRule="exact"/>
        <w:rPr>
          <w:sz w:val="20"/>
          <w:szCs w:val="20"/>
          <w:color w:val="auto"/>
        </w:rPr>
      </w:pPr>
    </w:p>
    <w:p>
      <w:pPr>
        <w:ind w:left="167" w:hanging="167"/>
        <w:spacing w:after="0"/>
        <w:tabs>
          <w:tab w:leader="none" w:pos="167"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where the NPL ratio fell 43 bps, driven mainly a drop in NPL volumes and secondarily, by loan growth.</w:t>
      </w:r>
    </w:p>
    <w:p>
      <w:pPr>
        <w:spacing w:after="0" w:line="188" w:lineRule="exact"/>
        <w:rPr>
          <w:rFonts w:ascii="Arial" w:cs="Arial" w:eastAsia="Arial" w:hAnsi="Arial"/>
          <w:sz w:val="18"/>
          <w:szCs w:val="18"/>
          <w:color w:val="auto"/>
        </w:rPr>
      </w:pPr>
    </w:p>
    <w:p>
      <w:pPr>
        <w:ind w:left="1087"/>
        <w:spacing w:after="0"/>
        <w:rPr>
          <w:rFonts w:ascii="Arial" w:cs="Arial" w:eastAsia="Arial" w:hAnsi="Arial"/>
          <w:sz w:val="18"/>
          <w:szCs w:val="18"/>
          <w:color w:val="auto"/>
        </w:rPr>
      </w:pPr>
      <w:r>
        <w:rPr>
          <w:rFonts w:ascii="Arial" w:cs="Arial" w:eastAsia="Arial" w:hAnsi="Arial"/>
          <w:sz w:val="18"/>
          <w:szCs w:val="18"/>
          <w:b w:val="1"/>
          <w:bCs w:val="1"/>
          <w:color w:val="auto"/>
        </w:rPr>
        <w:t xml:space="preserve">NPL Ratio for Total Loans at BCP </w:t>
      </w:r>
      <w:r>
        <w:rPr>
          <w:rFonts w:ascii="Arial" w:cs="Arial" w:eastAsia="Arial" w:hAnsi="Arial"/>
          <w:sz w:val="29"/>
          <w:szCs w:val="29"/>
          <w:b w:val="1"/>
          <w:bCs w:val="1"/>
          <w:color w:val="auto"/>
          <w:vertAlign w:val="superscript"/>
        </w:rPr>
        <w:t>(1)</w:t>
      </w:r>
    </w:p>
    <w:p>
      <w:pPr>
        <w:spacing w:after="0" w:line="82" w:lineRule="exact"/>
        <w:rPr>
          <w:sz w:val="20"/>
          <w:szCs w:val="20"/>
          <w:color w:val="auto"/>
        </w:rPr>
      </w:pPr>
    </w:p>
    <w:p>
      <w:pPr>
        <w:jc w:val="both"/>
        <w:ind w:left="5867"/>
        <w:spacing w:after="0" w:line="256" w:lineRule="auto"/>
        <w:rPr>
          <w:sz w:val="20"/>
          <w:szCs w:val="20"/>
          <w:color w:val="auto"/>
        </w:rPr>
      </w:pPr>
      <w:r>
        <w:rPr>
          <w:rFonts w:ascii="Arial" w:cs="Arial" w:eastAsia="Arial" w:hAnsi="Arial"/>
          <w:sz w:val="18"/>
          <w:szCs w:val="18"/>
          <w:color w:val="auto"/>
        </w:rPr>
        <w:t xml:space="preserve">The NPL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fell 71 bps </w:t>
      </w:r>
      <w:r>
        <w:rPr>
          <w:rFonts w:ascii="Arial" w:cs="Arial" w:eastAsia="Arial" w:hAnsi="Arial"/>
          <w:sz w:val="18"/>
          <w:szCs w:val="18"/>
          <w:b w:val="1"/>
          <w:bCs w:val="1"/>
          <w:color w:val="auto"/>
        </w:rPr>
        <w:t>YoY</w:t>
      </w:r>
      <w:r>
        <w:rPr>
          <w:rFonts w:ascii="Arial" w:cs="Arial" w:eastAsia="Arial" w:hAnsi="Arial"/>
          <w:sz w:val="18"/>
          <w:szCs w:val="18"/>
          <w:color w:val="auto"/>
        </w:rPr>
        <w:t xml:space="preserve"> to stand at 4.5%. This decline was fueled mainly by the same dynamics in play </w:t>
      </w:r>
      <w:r>
        <w:rPr>
          <w:rFonts w:ascii="Arial" w:cs="Arial" w:eastAsia="Arial" w:hAnsi="Arial"/>
          <w:sz w:val="18"/>
          <w:szCs w:val="18"/>
          <w:b w:val="1"/>
          <w:bCs w:val="1"/>
          <w:color w:val="auto"/>
        </w:rPr>
        <w:t>YoY</w:t>
      </w:r>
      <w:r>
        <w:rPr>
          <w:rFonts w:ascii="Arial" w:cs="Arial" w:eastAsia="Arial" w:hAnsi="Arial"/>
          <w:sz w:val="18"/>
          <w:szCs w:val="18"/>
          <w:color w:val="auto"/>
        </w:rPr>
        <w:t xml:space="preserve"> and secondarily, by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3232150" cy="2228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2150" cy="2228850"/>
                    </a:xfrm>
                    <a:prstGeom prst="rect">
                      <a:avLst/>
                    </a:prstGeom>
                    <a:noFill/>
                  </pic:spPr>
                </pic:pic>
              </a:graphicData>
            </a:graphic>
          </wp:anchor>
        </w:drawing>
      </w:r>
    </w:p>
    <w:p>
      <w:pPr>
        <w:spacing w:after="0" w:line="127" w:lineRule="exact"/>
        <w:rPr>
          <w:sz w:val="20"/>
          <w:szCs w:val="20"/>
          <w:color w:val="auto"/>
        </w:rPr>
      </w:pPr>
    </w:p>
    <w:p>
      <w:pPr>
        <w:ind w:left="5867" w:right="100"/>
        <w:spacing w:after="0" w:line="287" w:lineRule="auto"/>
        <w:rPr>
          <w:sz w:val="20"/>
          <w:szCs w:val="20"/>
          <w:color w:val="auto"/>
        </w:rPr>
      </w:pPr>
      <w:r>
        <w:rPr>
          <w:rFonts w:ascii="Arial" w:cs="Arial" w:eastAsia="Arial" w:hAnsi="Arial"/>
          <w:sz w:val="18"/>
          <w:szCs w:val="18"/>
          <w:b w:val="1"/>
          <w:bCs w:val="1"/>
          <w:color w:val="auto"/>
        </w:rPr>
        <w:t>If we analyze the YoY evolution of the NPL ratio by Subsidiary, we see:</w:t>
      </w:r>
    </w:p>
    <w:p>
      <w:pPr>
        <w:spacing w:after="0" w:line="112" w:lineRule="exact"/>
        <w:rPr>
          <w:sz w:val="20"/>
          <w:szCs w:val="20"/>
          <w:color w:val="auto"/>
        </w:rPr>
      </w:pPr>
    </w:p>
    <w:p>
      <w:pPr>
        <w:jc w:val="both"/>
        <w:ind w:left="5867"/>
        <w:spacing w:after="0" w:line="24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where the NPL Ratio fell 74 bps </w:t>
      </w:r>
      <w:r>
        <w:rPr>
          <w:rFonts w:ascii="Arial" w:cs="Arial" w:eastAsia="Arial" w:hAnsi="Arial"/>
          <w:sz w:val="18"/>
          <w:szCs w:val="18"/>
          <w:b w:val="1"/>
          <w:bCs w:val="1"/>
          <w:color w:val="auto"/>
        </w:rPr>
        <w:t>YoY</w:t>
      </w:r>
      <w:r>
        <w:rPr>
          <w:rFonts w:ascii="Arial" w:cs="Arial" w:eastAsia="Arial" w:hAnsi="Arial"/>
          <w:sz w:val="18"/>
          <w:szCs w:val="18"/>
          <w:color w:val="auto"/>
        </w:rPr>
        <w:t xml:space="preserve">. In the case of </w:t>
      </w:r>
      <w:r>
        <w:rPr>
          <w:rFonts w:ascii="Arial" w:cs="Arial" w:eastAsia="Arial" w:hAnsi="Arial"/>
          <w:sz w:val="18"/>
          <w:szCs w:val="18"/>
          <w:b w:val="1"/>
          <w:bCs w:val="1"/>
          <w:color w:val="auto"/>
        </w:rPr>
        <w:t>Wholesale</w:t>
      </w:r>
      <w:r>
        <w:rPr>
          <w:rFonts w:ascii="Arial" w:cs="Arial" w:eastAsia="Arial" w:hAnsi="Arial"/>
          <w:sz w:val="18"/>
          <w:szCs w:val="18"/>
          <w:color w:val="auto"/>
        </w:rPr>
        <w:t xml:space="preserve"> and </w:t>
      </w:r>
      <w:r>
        <w:rPr>
          <w:rFonts w:ascii="Arial" w:cs="Arial" w:eastAsia="Arial" w:hAnsi="Arial"/>
          <w:sz w:val="18"/>
          <w:szCs w:val="18"/>
          <w:b w:val="1"/>
          <w:bCs w:val="1"/>
          <w:color w:val="auto"/>
        </w:rPr>
        <w:t>SMEs</w:t>
      </w:r>
      <w:r>
        <w:rPr>
          <w:rFonts w:ascii="Arial" w:cs="Arial" w:eastAsia="Arial" w:hAnsi="Arial"/>
          <w:sz w:val="18"/>
          <w:szCs w:val="18"/>
          <w:color w:val="auto"/>
        </w:rPr>
        <w:t xml:space="preserve">, the decrease in the ratio was triggered mainly by a drop in NPL volumes. In the case of </w:t>
      </w:r>
      <w:r>
        <w:rPr>
          <w:rFonts w:ascii="Arial" w:cs="Arial" w:eastAsia="Arial" w:hAnsi="Arial"/>
          <w:sz w:val="18"/>
          <w:szCs w:val="18"/>
          <w:b w:val="1"/>
          <w:bCs w:val="1"/>
          <w:color w:val="auto"/>
        </w:rPr>
        <w:t>Individuals</w:t>
      </w:r>
      <w:r>
        <w:rPr>
          <w:rFonts w:ascii="Arial" w:cs="Arial" w:eastAsia="Arial" w:hAnsi="Arial"/>
          <w:sz w:val="18"/>
          <w:szCs w:val="18"/>
          <w:color w:val="auto"/>
        </w:rPr>
        <w:t>, the reduction in the ratio was propelled primarily by</w:t>
      </w:r>
      <w:r>
        <w:rPr>
          <w:rFonts w:ascii="Arial" w:cs="Arial" w:eastAsia="Arial" w:hAnsi="Arial"/>
          <w:sz w:val="18"/>
          <w:szCs w:val="18"/>
          <w:b w:val="1"/>
          <w:bCs w:val="1"/>
          <w:color w:val="auto"/>
        </w:rPr>
        <w:t xml:space="preserve"> </w:t>
      </w:r>
      <w:r>
        <w:rPr>
          <w:rFonts w:ascii="Arial" w:cs="Arial" w:eastAsia="Arial" w:hAnsi="Arial"/>
          <w:sz w:val="18"/>
          <w:szCs w:val="18"/>
          <w:color w:val="auto"/>
        </w:rPr>
        <w:t>loan growth and secondarily, by a reduction in NPL volumes.</w:t>
      </w:r>
    </w:p>
    <w:p>
      <w:pPr>
        <w:spacing w:after="0" w:line="159" w:lineRule="exact"/>
        <w:rPr>
          <w:sz w:val="20"/>
          <w:szCs w:val="20"/>
          <w:color w:val="auto"/>
        </w:rPr>
      </w:pPr>
    </w:p>
    <w:p>
      <w:pPr>
        <w:jc w:val="both"/>
        <w:ind w:left="5867"/>
        <w:spacing w:after="0" w:line="27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where the NPL ratio fell 216 bps </w:t>
      </w:r>
      <w:r>
        <w:rPr>
          <w:rFonts w:ascii="Arial" w:cs="Arial" w:eastAsia="Arial" w:hAnsi="Arial"/>
          <w:sz w:val="18"/>
          <w:szCs w:val="18"/>
          <w:b w:val="1"/>
          <w:bCs w:val="1"/>
          <w:color w:val="auto"/>
        </w:rPr>
        <w:t>YoY</w:t>
      </w:r>
      <w:r>
        <w:rPr>
          <w:rFonts w:ascii="Arial" w:cs="Arial" w:eastAsia="Arial" w:hAnsi="Arial"/>
          <w:sz w:val="18"/>
          <w:szCs w:val="18"/>
          <w:color w:val="auto"/>
        </w:rPr>
        <w:t>, mainly through a decline in NPL volumes and secondarily, loan growth.</w:t>
      </w: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2"/>
          <w:szCs w:val="12"/>
          <w:color w:val="auto"/>
        </w:rPr>
        <w:t>(1) It corresponds to management information by segment in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742950</wp:posOffset>
            </wp:positionV>
            <wp:extent cx="71577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133985</wp:posOffset>
            </wp:positionV>
            <wp:extent cx="6755130" cy="4972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55130" cy="497205"/>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32" w:name="page33"/>
    <w:bookmarkEnd w:id="32"/>
    <w:p>
      <w:pPr>
        <w:ind w:left="2680"/>
        <w:spacing w:after="0"/>
        <w:tabs>
          <w:tab w:leader="none" w:pos="3000" w:val="left"/>
          <w:tab w:leader="none" w:pos="9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246380</wp:posOffset>
            </wp:positionV>
            <wp:extent cx="7157720" cy="222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05. Portfolio Quality and Provisions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Provisions and Cost of Risk for Total Loans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105"/>
        </w:trPr>
        <w:tc>
          <w:tcPr>
            <w:tcW w:w="3840" w:type="dxa"/>
            <w:vAlign w:val="bottom"/>
            <w:tcBorders>
              <w:top w:val="single" w:sz="8" w:color="auto"/>
              <w:left w:val="single" w:sz="8" w:color="auto"/>
              <w:right w:val="single" w:sz="8" w:color="auto"/>
            </w:tcBorders>
            <w:shd w:val="clear" w:color="auto" w:fill="33CCCC"/>
          </w:tcPr>
          <w:p>
            <w:pPr>
              <w:spacing w:after="0" w:line="105" w:lineRule="exact"/>
              <w:rPr>
                <w:sz w:val="20"/>
                <w:szCs w:val="20"/>
                <w:color w:val="auto"/>
              </w:rPr>
            </w:pPr>
            <w:r>
              <w:rPr>
                <w:rFonts w:ascii="Arial" w:cs="Arial" w:eastAsia="Arial" w:hAnsi="Arial"/>
                <w:sz w:val="12"/>
                <w:szCs w:val="12"/>
                <w:b w:val="1"/>
                <w:bCs w:val="1"/>
                <w:color w:val="FFFFFF"/>
              </w:rPr>
              <w:t>Loan Portfolio Provisions</w:t>
            </w:r>
          </w:p>
        </w:tc>
        <w:tc>
          <w:tcPr>
            <w:tcW w:w="900" w:type="dxa"/>
            <w:vAlign w:val="bottom"/>
            <w:tcBorders>
              <w:top w:val="single" w:sz="8" w:color="auto"/>
            </w:tcBorders>
            <w:shd w:val="clear" w:color="auto" w:fill="33CCCC"/>
          </w:tcPr>
          <w:p>
            <w:pPr>
              <w:spacing w:after="0"/>
              <w:rPr>
                <w:sz w:val="9"/>
                <w:szCs w:val="9"/>
                <w:color w:val="auto"/>
              </w:rPr>
            </w:pPr>
          </w:p>
        </w:tc>
        <w:tc>
          <w:tcPr>
            <w:tcW w:w="940" w:type="dxa"/>
            <w:vAlign w:val="bottom"/>
            <w:tcBorders>
              <w:top w:val="single" w:sz="8" w:color="auto"/>
            </w:tcBorders>
            <w:shd w:val="clear" w:color="auto" w:fill="33CCCC"/>
          </w:tcPr>
          <w:p>
            <w:pPr>
              <w:ind w:left="260"/>
              <w:spacing w:after="0" w:line="105" w:lineRule="exact"/>
              <w:rPr>
                <w:sz w:val="20"/>
                <w:szCs w:val="20"/>
                <w:color w:val="auto"/>
              </w:rPr>
            </w:pPr>
            <w:r>
              <w:rPr>
                <w:rFonts w:ascii="Arial" w:cs="Arial" w:eastAsia="Arial" w:hAnsi="Arial"/>
                <w:sz w:val="12"/>
                <w:szCs w:val="12"/>
                <w:b w:val="1"/>
                <w:bCs w:val="1"/>
                <w:color w:val="FFFFFF"/>
              </w:rPr>
              <w:t>Quarter</w:t>
            </w:r>
          </w:p>
        </w:tc>
        <w:tc>
          <w:tcPr>
            <w:tcW w:w="980" w:type="dxa"/>
            <w:vAlign w:val="bottom"/>
            <w:tcBorders>
              <w:top w:val="single" w:sz="8" w:color="auto"/>
              <w:right w:val="single" w:sz="8" w:color="auto"/>
            </w:tcBorders>
            <w:shd w:val="clear" w:color="auto" w:fill="33CCCC"/>
          </w:tcPr>
          <w:p>
            <w:pPr>
              <w:spacing w:after="0"/>
              <w:rPr>
                <w:sz w:val="9"/>
                <w:szCs w:val="9"/>
                <w:color w:val="auto"/>
              </w:rPr>
            </w:pPr>
          </w:p>
        </w:tc>
        <w:tc>
          <w:tcPr>
            <w:tcW w:w="480" w:type="dxa"/>
            <w:vAlign w:val="bottom"/>
            <w:tcBorders>
              <w:top w:val="single" w:sz="8" w:color="auto"/>
            </w:tcBorders>
            <w:shd w:val="clear" w:color="auto" w:fill="33CCCC"/>
          </w:tcPr>
          <w:p>
            <w:pPr>
              <w:spacing w:after="0"/>
              <w:rPr>
                <w:sz w:val="9"/>
                <w:szCs w:val="9"/>
                <w:color w:val="auto"/>
              </w:rPr>
            </w:pPr>
          </w:p>
        </w:tc>
        <w:tc>
          <w:tcPr>
            <w:tcW w:w="1140" w:type="dxa"/>
            <w:vAlign w:val="bottom"/>
            <w:tcBorders>
              <w:top w:val="single" w:sz="8" w:color="auto"/>
              <w:right w:val="single" w:sz="8" w:color="auto"/>
            </w:tcBorders>
            <w:shd w:val="clear" w:color="auto" w:fill="33CCCC"/>
          </w:tcPr>
          <w:p>
            <w:pPr>
              <w:ind w:left="20"/>
              <w:spacing w:after="0" w:line="105" w:lineRule="exact"/>
              <w:rPr>
                <w:sz w:val="20"/>
                <w:szCs w:val="20"/>
                <w:color w:val="auto"/>
              </w:rPr>
            </w:pPr>
            <w:r>
              <w:rPr>
                <w:rFonts w:ascii="Arial" w:cs="Arial" w:eastAsia="Arial" w:hAnsi="Arial"/>
                <w:sz w:val="12"/>
                <w:szCs w:val="12"/>
                <w:b w:val="1"/>
                <w:bCs w:val="1"/>
                <w:color w:val="FFFFFF"/>
              </w:rPr>
              <w:t>% change</w:t>
            </w:r>
          </w:p>
        </w:tc>
        <w:tc>
          <w:tcPr>
            <w:tcW w:w="1800" w:type="dxa"/>
            <w:vAlign w:val="bottom"/>
            <w:tcBorders>
              <w:top w:val="single" w:sz="8" w:color="auto"/>
              <w:right w:val="single" w:sz="8" w:color="auto"/>
            </w:tcBorders>
            <w:gridSpan w:val="2"/>
            <w:shd w:val="clear" w:color="auto" w:fill="33CCCC"/>
          </w:tcPr>
          <w:p>
            <w:pPr>
              <w:ind w:left="720"/>
              <w:spacing w:after="0" w:line="105" w:lineRule="exact"/>
              <w:rPr>
                <w:sz w:val="20"/>
                <w:szCs w:val="20"/>
                <w:color w:val="auto"/>
              </w:rPr>
            </w:pPr>
            <w:r>
              <w:rPr>
                <w:rFonts w:ascii="Arial" w:cs="Arial" w:eastAsia="Arial" w:hAnsi="Arial"/>
                <w:sz w:val="12"/>
                <w:szCs w:val="12"/>
                <w:b w:val="1"/>
                <w:bCs w:val="1"/>
                <w:color w:val="FFFFFF"/>
              </w:rPr>
              <w:t>Up to</w:t>
            </w:r>
          </w:p>
        </w:tc>
        <w:tc>
          <w:tcPr>
            <w:tcW w:w="1200" w:type="dxa"/>
            <w:vAlign w:val="bottom"/>
            <w:tcBorders>
              <w:top w:val="single" w:sz="8" w:color="auto"/>
              <w:right w:val="single" w:sz="8" w:color="auto"/>
            </w:tcBorders>
            <w:shd w:val="clear" w:color="auto" w:fill="33CCCC"/>
          </w:tcPr>
          <w:p>
            <w:pPr>
              <w:jc w:val="center"/>
              <w:spacing w:after="0" w:line="105" w:lineRule="exact"/>
              <w:rPr>
                <w:sz w:val="20"/>
                <w:szCs w:val="20"/>
                <w:color w:val="auto"/>
              </w:rPr>
            </w:pPr>
            <w:r>
              <w:rPr>
                <w:rFonts w:ascii="Arial" w:cs="Arial" w:eastAsia="Arial" w:hAnsi="Arial"/>
                <w:sz w:val="12"/>
                <w:szCs w:val="12"/>
                <w:b w:val="1"/>
                <w:bCs w:val="1"/>
                <w:color w:val="FFFFFF"/>
              </w:rPr>
              <w:t>% change</w:t>
            </w:r>
          </w:p>
        </w:tc>
      </w:tr>
      <w:tr>
        <w:trPr>
          <w:trHeight w:val="159"/>
        </w:trPr>
        <w:tc>
          <w:tcPr>
            <w:tcW w:w="384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S/000</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3Q25</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4Q25</w:t>
            </w:r>
          </w:p>
        </w:tc>
        <w:tc>
          <w:tcPr>
            <w:tcW w:w="480" w:type="dxa"/>
            <w:vAlign w:val="bottom"/>
            <w:tcBorders>
              <w:bottom w:val="single" w:sz="8" w:color="auto"/>
            </w:tcBorders>
            <w:shd w:val="clear" w:color="auto" w:fill="33CCCC"/>
          </w:tcPr>
          <w:p>
            <w:pPr>
              <w:ind w:left="180"/>
              <w:spacing w:after="0"/>
              <w:rPr>
                <w:sz w:val="20"/>
                <w:szCs w:val="20"/>
                <w:color w:val="auto"/>
              </w:rPr>
            </w:pPr>
            <w:r>
              <w:rPr>
                <w:rFonts w:ascii="Arial" w:cs="Arial" w:eastAsia="Arial" w:hAnsi="Arial"/>
                <w:sz w:val="13"/>
                <w:szCs w:val="13"/>
                <w:b w:val="1"/>
                <w:bCs w:val="1"/>
                <w:color w:val="FFFFFF"/>
                <w:w w:val="99"/>
              </w:rPr>
              <w:t>QoQ</w:t>
            </w:r>
          </w:p>
        </w:tc>
        <w:tc>
          <w:tcPr>
            <w:tcW w:w="1140" w:type="dxa"/>
            <w:vAlign w:val="bottom"/>
            <w:tcBorders>
              <w:bottom w:val="single" w:sz="8" w:color="auto"/>
              <w:right w:val="single" w:sz="8" w:color="auto"/>
            </w:tcBorders>
            <w:shd w:val="clear" w:color="auto" w:fill="33CCCC"/>
          </w:tcPr>
          <w:p>
            <w:pPr>
              <w:jc w:val="center"/>
              <w:ind w:left="99"/>
              <w:spacing w:after="0"/>
              <w:rPr>
                <w:sz w:val="20"/>
                <w:szCs w:val="20"/>
                <w:color w:val="auto"/>
              </w:rPr>
            </w:pPr>
            <w:r>
              <w:rPr>
                <w:rFonts w:ascii="Arial" w:cs="Arial" w:eastAsia="Arial" w:hAnsi="Arial"/>
                <w:sz w:val="13"/>
                <w:szCs w:val="13"/>
                <w:b w:val="1"/>
                <w:bCs w:val="1"/>
                <w:color w:val="FFFFFF"/>
                <w:w w:val="86"/>
              </w:rPr>
              <w:t>YoY</w:t>
            </w:r>
          </w:p>
        </w:tc>
        <w:tc>
          <w:tcPr>
            <w:tcW w:w="90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Dec 24</w:t>
            </w:r>
          </w:p>
        </w:tc>
        <w:tc>
          <w:tcPr>
            <w:tcW w:w="900" w:type="dxa"/>
            <w:vAlign w:val="bottom"/>
            <w:tcBorders>
              <w:bottom w:val="single" w:sz="8" w:color="auto"/>
              <w:right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Dec 25</w:t>
            </w:r>
          </w:p>
        </w:tc>
        <w:tc>
          <w:tcPr>
            <w:tcW w:w="12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7"/>
              </w:rPr>
              <w:t>Dec 25 / Dec 24</w:t>
            </w:r>
          </w:p>
        </w:tc>
      </w:tr>
      <w:tr>
        <w:trPr>
          <w:trHeight w:val="107"/>
        </w:trPr>
        <w:tc>
          <w:tcPr>
            <w:tcW w:w="3840" w:type="dxa"/>
            <w:vAlign w:val="bottom"/>
            <w:tcBorders>
              <w:left w:val="single" w:sz="8" w:color="auto"/>
              <w:right w:val="single" w:sz="8" w:color="auto"/>
            </w:tcBorders>
          </w:tcPr>
          <w:p>
            <w:pPr>
              <w:spacing w:after="0" w:line="107" w:lineRule="exact"/>
              <w:rPr>
                <w:sz w:val="20"/>
                <w:szCs w:val="20"/>
                <w:color w:val="auto"/>
              </w:rPr>
            </w:pPr>
            <w:r>
              <w:rPr>
                <w:rFonts w:ascii="Arial" w:cs="Arial" w:eastAsia="Arial" w:hAnsi="Arial"/>
                <w:sz w:val="12"/>
                <w:szCs w:val="12"/>
                <w:color w:val="auto"/>
              </w:rPr>
              <w:t>Gross provision for credit losses on loan portfolio</w:t>
            </w:r>
          </w:p>
        </w:tc>
        <w:tc>
          <w:tcPr>
            <w:tcW w:w="900" w:type="dxa"/>
            <w:vAlign w:val="bottom"/>
          </w:tcPr>
          <w:p>
            <w:pPr>
              <w:jc w:val="center"/>
              <w:spacing w:after="0" w:line="107" w:lineRule="exact"/>
              <w:rPr>
                <w:sz w:val="20"/>
                <w:szCs w:val="20"/>
                <w:color w:val="auto"/>
              </w:rPr>
            </w:pPr>
            <w:r>
              <w:rPr>
                <w:rFonts w:ascii="Arial" w:cs="Arial" w:eastAsia="Arial" w:hAnsi="Arial"/>
                <w:sz w:val="12"/>
                <w:szCs w:val="12"/>
                <w:color w:val="auto"/>
              </w:rPr>
              <w:t>(857,694)</w:t>
            </w:r>
          </w:p>
        </w:tc>
        <w:tc>
          <w:tcPr>
            <w:tcW w:w="940" w:type="dxa"/>
            <w:vAlign w:val="bottom"/>
          </w:tcPr>
          <w:p>
            <w:pPr>
              <w:jc w:val="center"/>
              <w:spacing w:after="0" w:line="107" w:lineRule="exact"/>
              <w:rPr>
                <w:sz w:val="20"/>
                <w:szCs w:val="20"/>
                <w:color w:val="auto"/>
              </w:rPr>
            </w:pPr>
            <w:r>
              <w:rPr>
                <w:rFonts w:ascii="Arial" w:cs="Arial" w:eastAsia="Arial" w:hAnsi="Arial"/>
                <w:sz w:val="12"/>
                <w:szCs w:val="12"/>
                <w:color w:val="auto"/>
              </w:rPr>
              <w:t>(720,445)</w:t>
            </w:r>
          </w:p>
        </w:tc>
        <w:tc>
          <w:tcPr>
            <w:tcW w:w="9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(773,311)</w:t>
            </w:r>
          </w:p>
        </w:tc>
        <w:tc>
          <w:tcPr>
            <w:tcW w:w="480" w:type="dxa"/>
            <w:vAlign w:val="bottom"/>
          </w:tcPr>
          <w:p>
            <w:pPr>
              <w:ind w:left="180"/>
              <w:spacing w:after="0" w:line="107" w:lineRule="exact"/>
              <w:rPr>
                <w:sz w:val="20"/>
                <w:szCs w:val="20"/>
                <w:color w:val="auto"/>
              </w:rPr>
            </w:pPr>
            <w:r>
              <w:rPr>
                <w:rFonts w:ascii="Arial" w:cs="Arial" w:eastAsia="Arial" w:hAnsi="Arial"/>
                <w:sz w:val="12"/>
                <w:szCs w:val="12"/>
                <w:color w:val="auto"/>
              </w:rPr>
              <w:t>7.3%</w:t>
            </w:r>
          </w:p>
        </w:tc>
        <w:tc>
          <w:tcPr>
            <w:tcW w:w="1140" w:type="dxa"/>
            <w:vAlign w:val="bottom"/>
            <w:tcBorders>
              <w:right w:val="single" w:sz="8" w:color="auto"/>
            </w:tcBorders>
          </w:tcPr>
          <w:p>
            <w:pPr>
              <w:jc w:val="center"/>
              <w:ind w:left="99"/>
              <w:spacing w:after="0" w:line="107" w:lineRule="exact"/>
              <w:rPr>
                <w:sz w:val="20"/>
                <w:szCs w:val="20"/>
                <w:color w:val="auto"/>
              </w:rPr>
            </w:pPr>
            <w:r>
              <w:rPr>
                <w:rFonts w:ascii="Arial" w:cs="Arial" w:eastAsia="Arial" w:hAnsi="Arial"/>
                <w:sz w:val="12"/>
                <w:szCs w:val="12"/>
                <w:color w:val="auto"/>
              </w:rPr>
              <w:t>-9.8%</w:t>
            </w:r>
          </w:p>
        </w:tc>
        <w:tc>
          <w:tcPr>
            <w:tcW w:w="900" w:type="dxa"/>
            <w:vAlign w:val="bottom"/>
          </w:tcPr>
          <w:p>
            <w:pPr>
              <w:jc w:val="center"/>
              <w:spacing w:after="0" w:line="107" w:lineRule="exact"/>
              <w:rPr>
                <w:sz w:val="20"/>
                <w:szCs w:val="20"/>
                <w:color w:val="auto"/>
              </w:rPr>
            </w:pPr>
            <w:r>
              <w:rPr>
                <w:rFonts w:ascii="Arial" w:cs="Arial" w:eastAsia="Arial" w:hAnsi="Arial"/>
                <w:sz w:val="12"/>
                <w:szCs w:val="12"/>
                <w:color w:val="auto"/>
              </w:rPr>
              <w:t>(3,943,301)</w:t>
            </w:r>
          </w:p>
        </w:tc>
        <w:tc>
          <w:tcPr>
            <w:tcW w:w="90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(2,873,454)</w:t>
            </w:r>
          </w:p>
        </w:tc>
        <w:tc>
          <w:tcPr>
            <w:tcW w:w="120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-27.1%</w:t>
            </w:r>
          </w:p>
        </w:tc>
      </w:tr>
      <w:tr>
        <w:trPr>
          <w:trHeight w:val="133"/>
        </w:trPr>
        <w:tc>
          <w:tcPr>
            <w:tcW w:w="384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Recoveries of written-off loans</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3"/>
              </w:rPr>
              <w:t>114,398</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3"/>
              </w:rPr>
              <w:t>117,527</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127,025</w:t>
            </w:r>
          </w:p>
        </w:tc>
        <w:tc>
          <w:tcPr>
            <w:tcW w:w="480" w:type="dxa"/>
            <w:vAlign w:val="bottom"/>
          </w:tcPr>
          <w:p>
            <w:pPr>
              <w:ind w:left="180"/>
              <w:spacing w:after="0" w:line="133" w:lineRule="exact"/>
              <w:rPr>
                <w:sz w:val="20"/>
                <w:szCs w:val="20"/>
                <w:color w:val="auto"/>
              </w:rPr>
            </w:pPr>
            <w:r>
              <w:rPr>
                <w:rFonts w:ascii="Arial" w:cs="Arial" w:eastAsia="Arial" w:hAnsi="Arial"/>
                <w:sz w:val="13"/>
                <w:szCs w:val="13"/>
                <w:color w:val="auto"/>
                <w:w w:val="94"/>
              </w:rPr>
              <w:t>8.1%</w:t>
            </w:r>
          </w:p>
        </w:tc>
        <w:tc>
          <w:tcPr>
            <w:tcW w:w="1140" w:type="dxa"/>
            <w:vAlign w:val="bottom"/>
            <w:tcBorders>
              <w:right w:val="single" w:sz="8" w:color="auto"/>
            </w:tcBorders>
          </w:tcPr>
          <w:p>
            <w:pPr>
              <w:jc w:val="center"/>
              <w:ind w:left="99"/>
              <w:spacing w:after="0" w:line="133" w:lineRule="exact"/>
              <w:rPr>
                <w:sz w:val="20"/>
                <w:szCs w:val="20"/>
                <w:color w:val="auto"/>
              </w:rPr>
            </w:pPr>
            <w:r>
              <w:rPr>
                <w:rFonts w:ascii="Arial" w:cs="Arial" w:eastAsia="Arial" w:hAnsi="Arial"/>
                <w:sz w:val="13"/>
                <w:szCs w:val="13"/>
                <w:color w:val="auto"/>
                <w:w w:val="92"/>
              </w:rPr>
              <w:t>11.0%</w:t>
            </w:r>
          </w:p>
        </w:tc>
        <w:tc>
          <w:tcPr>
            <w:tcW w:w="900" w:type="dxa"/>
            <w:vAlign w:val="bottom"/>
          </w:tcPr>
          <w:p>
            <w:pPr>
              <w:jc w:val="center"/>
              <w:spacing w:after="0" w:line="133" w:lineRule="exact"/>
              <w:rPr>
                <w:sz w:val="20"/>
                <w:szCs w:val="20"/>
                <w:color w:val="auto"/>
              </w:rPr>
            </w:pPr>
            <w:r>
              <w:rPr>
                <w:rFonts w:ascii="Arial" w:cs="Arial" w:eastAsia="Arial" w:hAnsi="Arial"/>
                <w:sz w:val="13"/>
                <w:szCs w:val="13"/>
                <w:color w:val="auto"/>
                <w:w w:val="97"/>
              </w:rPr>
              <w:t>423,854</w:t>
            </w:r>
          </w:p>
        </w:tc>
        <w:tc>
          <w:tcPr>
            <w:tcW w:w="9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467,198</w:t>
            </w:r>
          </w:p>
        </w:tc>
        <w:tc>
          <w:tcPr>
            <w:tcW w:w="12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10.2%</w:t>
            </w:r>
          </w:p>
        </w:tc>
      </w:tr>
      <w:tr>
        <w:trPr>
          <w:trHeight w:val="159"/>
        </w:trPr>
        <w:tc>
          <w:tcPr>
            <w:tcW w:w="38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9"/>
              </w:rPr>
              <w:t>Provision for credit losses on loan portfolio, net of recoveries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(743,296)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(602,918)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(646,286)</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4"/>
              </w:rPr>
              <w:t>7.2%</w:t>
            </w:r>
          </w:p>
        </w:tc>
        <w:tc>
          <w:tcPr>
            <w:tcW w:w="114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3"/>
                <w:szCs w:val="13"/>
                <w:b w:val="1"/>
                <w:bCs w:val="1"/>
                <w:color w:val="auto"/>
                <w:w w:val="97"/>
              </w:rPr>
              <w:t>-13.1%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(3,519,447)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(2,406,256)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-31.6%</w:t>
            </w:r>
          </w:p>
        </w:tc>
      </w:tr>
      <w:tr>
        <w:trPr>
          <w:trHeight w:val="128"/>
        </w:trPr>
        <w:tc>
          <w:tcPr>
            <w:tcW w:w="384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9"/>
                <w:szCs w:val="9"/>
                <w:color w:val="auto"/>
              </w:rPr>
              <w:t xml:space="preserve">Cost of risk </w:t>
            </w:r>
            <w:r>
              <w:rPr>
                <w:rFonts w:ascii="Arial" w:cs="Arial" w:eastAsia="Arial" w:hAnsi="Arial"/>
                <w:sz w:val="14"/>
                <w:szCs w:val="14"/>
                <w:color w:val="auto"/>
                <w:vertAlign w:val="superscript"/>
              </w:rPr>
              <w:t>(1)</w:t>
            </w: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4"/>
              </w:rPr>
              <w:t>2.1%</w:t>
            </w:r>
          </w:p>
        </w:tc>
        <w:tc>
          <w:tcPr>
            <w:tcW w:w="9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4"/>
              </w:rPr>
              <w:t>1.7%</w:t>
            </w:r>
          </w:p>
        </w:tc>
        <w:tc>
          <w:tcPr>
            <w:tcW w:w="9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4"/>
              </w:rPr>
              <w:t>1.8%</w:t>
            </w:r>
          </w:p>
        </w:tc>
        <w:tc>
          <w:tcPr>
            <w:tcW w:w="48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color w:val="auto"/>
                <w:w w:val="94"/>
              </w:rPr>
              <w:t>6 bps</w:t>
            </w:r>
          </w:p>
        </w:tc>
        <w:tc>
          <w:tcPr>
            <w:tcW w:w="1140" w:type="dxa"/>
            <w:vAlign w:val="bottom"/>
            <w:tcBorders>
              <w:bottom w:val="single" w:sz="8" w:color="auto"/>
              <w:right w:val="single" w:sz="8" w:color="auto"/>
            </w:tcBorders>
          </w:tcPr>
          <w:p>
            <w:pPr>
              <w:jc w:val="center"/>
              <w:ind w:left="99"/>
              <w:spacing w:after="0" w:line="129" w:lineRule="exact"/>
              <w:rPr>
                <w:sz w:val="20"/>
                <w:szCs w:val="20"/>
                <w:color w:val="auto"/>
              </w:rPr>
            </w:pPr>
            <w:r>
              <w:rPr>
                <w:rFonts w:ascii="Arial" w:cs="Arial" w:eastAsia="Arial" w:hAnsi="Arial"/>
                <w:sz w:val="13"/>
                <w:szCs w:val="13"/>
                <w:color w:val="auto"/>
                <w:w w:val="96"/>
              </w:rPr>
              <w:t>-31 bps</w:t>
            </w: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4"/>
              </w:rPr>
              <w:t>2.4%</w:t>
            </w:r>
          </w:p>
        </w:tc>
        <w:tc>
          <w:tcPr>
            <w:tcW w:w="9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4"/>
              </w:rPr>
              <w:t>1.6%</w:t>
            </w:r>
          </w:p>
        </w:tc>
        <w:tc>
          <w:tcPr>
            <w:tcW w:w="12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-79 bps</w:t>
            </w:r>
          </w:p>
        </w:tc>
      </w:tr>
    </w:tbl>
    <w:p>
      <w:pPr>
        <w:spacing w:after="0"/>
        <w:rPr>
          <w:sz w:val="20"/>
          <w:szCs w:val="20"/>
          <w:color w:val="auto"/>
        </w:rPr>
      </w:pPr>
      <w:r>
        <w:rPr>
          <w:rFonts w:ascii="Arial" w:cs="Arial" w:eastAsia="Arial" w:hAnsi="Arial"/>
          <w:sz w:val="12"/>
          <w:szCs w:val="12"/>
          <w:color w:val="auto"/>
        </w:rPr>
        <w:t>(1) Provisions for credit losses on loan portfolio, net of annualized recoveries / Average Total Loans. It includes reversal of provisions for “El Niño” Phenomenon in 1Q24.</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provisions rose 7.2%, driven by an uptick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and partially offset by a decline at</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growth in provisions was triggered by dynamics in </w:t>
      </w:r>
      <w:r>
        <w:rPr>
          <w:rFonts w:ascii="Arial" w:cs="Arial" w:eastAsia="Arial" w:hAnsi="Arial"/>
          <w:sz w:val="18"/>
          <w:szCs w:val="18"/>
          <w:b w:val="1"/>
          <w:bCs w:val="1"/>
          <w:color w:val="auto"/>
        </w:rPr>
        <w:t>Retail Banking</w:t>
      </w:r>
      <w:r>
        <w:rPr>
          <w:rFonts w:ascii="Arial" w:cs="Arial" w:eastAsia="Arial" w:hAnsi="Arial"/>
          <w:sz w:val="18"/>
          <w:szCs w:val="18"/>
          <w:color w:val="auto"/>
        </w:rPr>
        <w:t xml:space="preserve"> and by specific impacts 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In the first case, provisions were stable for </w:t>
      </w:r>
      <w:r>
        <w:rPr>
          <w:rFonts w:ascii="Arial" w:cs="Arial" w:eastAsia="Arial" w:hAnsi="Arial"/>
          <w:sz w:val="18"/>
          <w:szCs w:val="18"/>
          <w:b w:val="1"/>
          <w:bCs w:val="1"/>
          <w:color w:val="auto"/>
        </w:rPr>
        <w:t>Individuals</w:t>
      </w:r>
      <w:r>
        <w:rPr>
          <w:rFonts w:ascii="Arial" w:cs="Arial" w:eastAsia="Arial" w:hAnsi="Arial"/>
          <w:sz w:val="18"/>
          <w:szCs w:val="18"/>
          <w:color w:val="auto"/>
        </w:rPr>
        <w:t xml:space="preserve"> but rose for </w:t>
      </w:r>
      <w:r>
        <w:rPr>
          <w:rFonts w:ascii="Arial" w:cs="Arial" w:eastAsia="Arial" w:hAnsi="Arial"/>
          <w:sz w:val="18"/>
          <w:szCs w:val="18"/>
          <w:b w:val="1"/>
          <w:bCs w:val="1"/>
          <w:color w:val="auto"/>
        </w:rPr>
        <w:t>SMEs.</w:t>
      </w:r>
      <w:r>
        <w:rPr>
          <w:rFonts w:ascii="Arial" w:cs="Arial" w:eastAsia="Arial" w:hAnsi="Arial"/>
          <w:sz w:val="18"/>
          <w:szCs w:val="18"/>
          <w:color w:val="auto"/>
        </w:rPr>
        <w:t xml:space="preserve"> Core underlying risk in </w:t>
      </w:r>
      <w:r>
        <w:rPr>
          <w:rFonts w:ascii="Arial" w:cs="Arial" w:eastAsia="Arial" w:hAnsi="Arial"/>
          <w:sz w:val="18"/>
          <w:szCs w:val="18"/>
          <w:b w:val="1"/>
          <w:bCs w:val="1"/>
          <w:color w:val="auto"/>
        </w:rPr>
        <w:t>SME</w:t>
      </w:r>
      <w:r>
        <w:rPr>
          <w:rFonts w:ascii="Arial" w:cs="Arial" w:eastAsia="Arial" w:hAnsi="Arial"/>
          <w:sz w:val="18"/>
          <w:szCs w:val="18"/>
          <w:color w:val="auto"/>
        </w:rPr>
        <w:t xml:space="preserve"> segments remained stable, but there was an increase in write-offs in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which drove the increase in total provisioning. At the </w:t>
      </w:r>
      <w:r>
        <w:rPr>
          <w:rFonts w:ascii="Arial" w:cs="Arial" w:eastAsia="Arial" w:hAnsi="Arial"/>
          <w:sz w:val="18"/>
          <w:szCs w:val="18"/>
          <w:b w:val="1"/>
          <w:bCs w:val="1"/>
          <w:color w:val="auto"/>
        </w:rPr>
        <w:t>Wholesale</w:t>
      </w:r>
      <w:r>
        <w:rPr>
          <w:rFonts w:ascii="Arial" w:cs="Arial" w:eastAsia="Arial" w:hAnsi="Arial"/>
          <w:sz w:val="18"/>
          <w:szCs w:val="18"/>
          <w:color w:val="auto"/>
        </w:rPr>
        <w:t xml:space="preserve"> level, growth in provisions was triggered by an increase in risk at indirect exposure related to specific clients in the construction sector.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provisions contracted slightly due to an improvement in payment performance. In this context,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’s CoR rose slightly by 6 bps </w:t>
      </w:r>
      <w:r>
        <w:rPr>
          <w:rFonts w:ascii="Arial" w:cs="Arial" w:eastAsia="Arial" w:hAnsi="Arial"/>
          <w:sz w:val="18"/>
          <w:szCs w:val="18"/>
          <w:b w:val="1"/>
          <w:bCs w:val="1"/>
          <w:color w:val="auto"/>
        </w:rPr>
        <w:t>QoQ</w:t>
      </w:r>
      <w:r>
        <w:rPr>
          <w:rFonts w:ascii="Arial" w:cs="Arial" w:eastAsia="Arial" w:hAnsi="Arial"/>
          <w:sz w:val="18"/>
          <w:szCs w:val="18"/>
          <w:color w:val="auto"/>
        </w:rPr>
        <w:t xml:space="preserve"> and stood at a low level again this quarter with a print of 1.8%. This result reflects the positive impact of measures beginning in 2024 to strengthen risk management as well as sustained improvement in the Peruvian economy.</w:t>
      </w:r>
    </w:p>
    <w:p>
      <w:pPr>
        <w:spacing w:after="0" w:line="160"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provisions dropped 13.1%, driven by</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and</w:t>
      </w:r>
      <w:r>
        <w:rPr>
          <w:sz w:val="20"/>
          <w:szCs w:val="20"/>
          <w:color w:val="auto"/>
        </w:rPr>
        <w:tab/>
      </w:r>
      <w:r>
        <w:rPr>
          <w:rFonts w:ascii="Arial" w:cs="Arial" w:eastAsia="Arial" w:hAnsi="Arial"/>
          <w:sz w:val="18"/>
          <w:szCs w:val="18"/>
          <w:b w:val="1"/>
          <w:bCs w:val="1"/>
          <w:color w:val="auto"/>
        </w:rPr>
        <w:t>Cost of Riskby Subsidiary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partially offset by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At </w:t>
      </w:r>
      <w:r>
        <w:rPr>
          <w:rFonts w:ascii="Arial" w:cs="Arial" w:eastAsia="Arial" w:hAnsi="Arial"/>
          <w:sz w:val="18"/>
          <w:szCs w:val="18"/>
          <w:b w:val="1"/>
          <w:bCs w:val="1"/>
          <w:color w:val="auto"/>
        </w:rPr>
        <w:t>BCP Stand-alone</w:t>
      </w:r>
      <w:r>
        <w:rPr>
          <w:rFonts w:ascii="Arial" w:cs="Arial" w:eastAsia="Arial" w:hAnsi="Arial"/>
          <w:sz w:val="18"/>
          <w:szCs w:val="18"/>
          <w:color w:val="auto"/>
        </w:rPr>
        <w:t>, the decrease in</w:t>
      </w:r>
    </w:p>
    <w:p>
      <w:pPr>
        <w:spacing w:after="0" w:line="234" w:lineRule="auto"/>
        <w:rPr>
          <w:sz w:val="20"/>
          <w:szCs w:val="20"/>
          <w:color w:val="auto"/>
        </w:rPr>
      </w:pPr>
      <w:r>
        <w:rPr>
          <w:rFonts w:ascii="Arial" w:cs="Arial" w:eastAsia="Arial" w:hAnsi="Arial"/>
          <w:sz w:val="18"/>
          <w:szCs w:val="18"/>
          <w:color w:val="auto"/>
        </w:rPr>
        <w:t xml:space="preserve">provisions was fueled mainly by </w:t>
      </w:r>
      <w:r>
        <w:rPr>
          <w:rFonts w:ascii="Arial" w:cs="Arial" w:eastAsia="Arial" w:hAnsi="Arial"/>
          <w:sz w:val="18"/>
          <w:szCs w:val="18"/>
          <w:b w:val="1"/>
          <w:bCs w:val="1"/>
          <w:color w:val="auto"/>
        </w:rPr>
        <w:t>Consumer and Credit Cards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-127000</wp:posOffset>
            </wp:positionV>
            <wp:extent cx="2451735" cy="1405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51735" cy="1405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which were impacted by a base effect generated by enhanced</w:t>
      </w:r>
    </w:p>
    <w:p>
      <w:pPr>
        <w:spacing w:after="0" w:line="235" w:lineRule="auto"/>
        <w:rPr>
          <w:sz w:val="20"/>
          <w:szCs w:val="20"/>
          <w:color w:val="auto"/>
        </w:rPr>
      </w:pPr>
      <w:r>
        <w:rPr>
          <w:rFonts w:ascii="Arial" w:cs="Arial" w:eastAsia="Arial" w:hAnsi="Arial"/>
          <w:sz w:val="18"/>
          <w:szCs w:val="18"/>
          <w:color w:val="auto"/>
        </w:rPr>
        <w:t>discriminatory capacity of our risk models. This evolution was</w:t>
      </w:r>
    </w:p>
    <w:p>
      <w:pPr>
        <w:spacing w:after="0" w:line="235" w:lineRule="auto"/>
        <w:rPr>
          <w:sz w:val="20"/>
          <w:szCs w:val="20"/>
          <w:color w:val="auto"/>
        </w:rPr>
      </w:pPr>
      <w:r>
        <w:rPr>
          <w:rFonts w:ascii="Arial" w:cs="Arial" w:eastAsia="Arial" w:hAnsi="Arial"/>
          <w:sz w:val="18"/>
          <w:szCs w:val="18"/>
          <w:color w:val="auto"/>
        </w:rPr>
        <w:t xml:space="preserve">partially offset by </w:t>
      </w:r>
      <w:r>
        <w:rPr>
          <w:rFonts w:ascii="Arial" w:cs="Arial" w:eastAsia="Arial" w:hAnsi="Arial"/>
          <w:sz w:val="18"/>
          <w:szCs w:val="18"/>
          <w:b w:val="1"/>
          <w:bCs w:val="1"/>
          <w:color w:val="auto"/>
        </w:rPr>
        <w:t>Wholesale</w:t>
      </w:r>
      <w:r>
        <w:rPr>
          <w:rFonts w:ascii="Arial" w:cs="Arial" w:eastAsia="Arial" w:hAnsi="Arial"/>
          <w:sz w:val="18"/>
          <w:szCs w:val="18"/>
          <w:color w:val="auto"/>
        </w:rPr>
        <w:t>, fueled by the same dynamics seen</w:t>
      </w:r>
    </w:p>
    <w:p>
      <w:pPr>
        <w:spacing w:after="0" w:line="235" w:lineRule="auto"/>
        <w:rPr>
          <w:sz w:val="20"/>
          <w:szCs w:val="20"/>
          <w:color w:val="auto"/>
        </w:rPr>
      </w:pPr>
      <w:r>
        <w:rPr>
          <w:rFonts w:ascii="Arial" w:cs="Arial" w:eastAsia="Arial" w:hAnsi="Arial"/>
          <w:sz w:val="18"/>
          <w:szCs w:val="18"/>
          <w:b w:val="1"/>
          <w:bCs w:val="1"/>
          <w:color w:val="auto"/>
        </w:rPr>
        <w:t>QoQ</w:t>
      </w:r>
      <w:r>
        <w:rPr>
          <w:rFonts w:ascii="Arial" w:cs="Arial" w:eastAsia="Arial" w:hAnsi="Arial"/>
          <w:sz w:val="18"/>
          <w:szCs w:val="18"/>
          <w:color w:val="auto"/>
        </w:rPr>
        <w:t>. At</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growth was propelled by loan growth. In this</w:t>
      </w:r>
    </w:p>
    <w:p>
      <w:pPr>
        <w:spacing w:after="0"/>
        <w:rPr>
          <w:sz w:val="20"/>
          <w:szCs w:val="20"/>
          <w:color w:val="auto"/>
        </w:rPr>
      </w:pPr>
      <w:r>
        <w:rPr>
          <w:rFonts w:ascii="Arial" w:cs="Arial" w:eastAsia="Arial" w:hAnsi="Arial"/>
          <w:sz w:val="18"/>
          <w:szCs w:val="18"/>
          <w:color w:val="auto"/>
        </w:rPr>
        <w:t xml:space="preserve">context, </w:t>
      </w:r>
      <w:r>
        <w:rPr>
          <w:rFonts w:ascii="Arial" w:cs="Arial" w:eastAsia="Arial" w:hAnsi="Arial"/>
          <w:sz w:val="18"/>
          <w:szCs w:val="18"/>
          <w:b w:val="1"/>
          <w:bCs w:val="1"/>
          <w:color w:val="auto"/>
        </w:rPr>
        <w:t>Credicorp</w:t>
      </w:r>
      <w:r>
        <w:rPr>
          <w:rFonts w:ascii="Arial" w:cs="Arial" w:eastAsia="Arial" w:hAnsi="Arial"/>
          <w:sz w:val="18"/>
          <w:szCs w:val="18"/>
          <w:color w:val="auto"/>
        </w:rPr>
        <w:t>’s CoR fell 31 bps YoY to stand at 1.8%.</w:t>
      </w:r>
    </w:p>
    <w:p>
      <w:pPr>
        <w:spacing w:after="0" w:line="174" w:lineRule="exact"/>
        <w:rPr>
          <w:sz w:val="20"/>
          <w:szCs w:val="20"/>
          <w:color w:val="auto"/>
        </w:rPr>
      </w:pPr>
    </w:p>
    <w:p>
      <w:pPr>
        <w:jc w:val="both"/>
        <w:ind w:right="5860"/>
        <w:spacing w:after="0" w:line="239" w:lineRule="auto"/>
        <w:rPr>
          <w:sz w:val="20"/>
          <w:szCs w:val="20"/>
          <w:color w:val="auto"/>
        </w:rPr>
      </w:pPr>
      <w:r>
        <w:rPr>
          <w:rFonts w:ascii="Arial" w:cs="Arial" w:eastAsia="Arial" w:hAnsi="Arial"/>
          <w:sz w:val="18"/>
          <w:szCs w:val="18"/>
          <w:color w:val="auto"/>
        </w:rPr>
        <w:t xml:space="preserve">On a </w:t>
      </w:r>
      <w:r>
        <w:rPr>
          <w:rFonts w:ascii="Arial" w:cs="Arial" w:eastAsia="Arial" w:hAnsi="Arial"/>
          <w:sz w:val="18"/>
          <w:szCs w:val="18"/>
          <w:b w:val="1"/>
          <w:bCs w:val="1"/>
          <w:color w:val="auto"/>
        </w:rPr>
        <w:t>full-year basis</w:t>
      </w:r>
      <w:r>
        <w:rPr>
          <w:rFonts w:ascii="Arial" w:cs="Arial" w:eastAsia="Arial" w:hAnsi="Arial"/>
          <w:sz w:val="18"/>
          <w:szCs w:val="18"/>
          <w:color w:val="auto"/>
        </w:rPr>
        <w:t xml:space="preserve">, provisions dropped 31.6%, driven mainly by </w:t>
      </w:r>
      <w:r>
        <w:rPr>
          <w:rFonts w:ascii="Arial" w:cs="Arial" w:eastAsia="Arial" w:hAnsi="Arial"/>
          <w:sz w:val="18"/>
          <w:szCs w:val="18"/>
          <w:b w:val="1"/>
          <w:bCs w:val="1"/>
          <w:color w:val="auto"/>
        </w:rPr>
        <w:t xml:space="preserve">BCP Stand-alone </w:t>
      </w:r>
      <w:r>
        <w:rPr>
          <w:rFonts w:ascii="Arial" w:cs="Arial" w:eastAsia="Arial" w:hAnsi="Arial"/>
          <w:sz w:val="18"/>
          <w:szCs w:val="18"/>
          <w:color w:val="auto"/>
        </w:rPr>
        <w:t>and</w:t>
      </w:r>
      <w:r>
        <w:rPr>
          <w:rFonts w:ascii="Arial" w:cs="Arial" w:eastAsia="Arial" w:hAnsi="Arial"/>
          <w:sz w:val="18"/>
          <w:szCs w:val="18"/>
          <w:b w:val="1"/>
          <w:bCs w:val="1"/>
          <w:color w:val="auto"/>
        </w:rPr>
        <w:t xml:space="preserve"> Mibanco</w:t>
      </w:r>
      <w:r>
        <w:rPr>
          <w:rFonts w:ascii="Arial" w:cs="Arial" w:eastAsia="Arial" w:hAnsi="Arial"/>
          <w:sz w:val="18"/>
          <w:szCs w:val="18"/>
          <w:color w:val="auto"/>
        </w:rPr>
        <w:t>, and supported by sustained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improvement in the Peruvian economy. At BCP Stand-alone, the decline was primarily triggered by the </w:t>
      </w:r>
      <w:r>
        <w:rPr>
          <w:rFonts w:ascii="Arial" w:cs="Arial" w:eastAsia="Arial" w:hAnsi="Arial"/>
          <w:sz w:val="18"/>
          <w:szCs w:val="18"/>
          <w:b w:val="1"/>
          <w:bCs w:val="1"/>
          <w:color w:val="auto"/>
        </w:rPr>
        <w:t>Individuals</w:t>
      </w:r>
      <w:r>
        <w:rPr>
          <w:rFonts w:ascii="Arial" w:cs="Arial" w:eastAsia="Arial" w:hAnsi="Arial"/>
          <w:sz w:val="18"/>
          <w:szCs w:val="18"/>
          <w:color w:val="auto"/>
        </w:rPr>
        <w:t xml:space="preserve"> segment, which registered an improvement in payment performance and an increase in lower-risk vintages’ share of total</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loans.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the decline was driven mainly by an improvement in underlying risk as low-risk vintages gained terrain and currently represent 84% of the portfolio. In this context, </w:t>
      </w:r>
      <w:r>
        <w:rPr>
          <w:rFonts w:ascii="Arial" w:cs="Arial" w:eastAsia="Arial" w:hAnsi="Arial"/>
          <w:sz w:val="18"/>
          <w:szCs w:val="18"/>
          <w:b w:val="1"/>
          <w:bCs w:val="1"/>
          <w:color w:val="auto"/>
        </w:rPr>
        <w:t>Credicorp</w:t>
      </w:r>
      <w:r>
        <w:rPr>
          <w:rFonts w:ascii="Arial" w:cs="Arial" w:eastAsia="Arial" w:hAnsi="Arial"/>
          <w:sz w:val="18"/>
          <w:szCs w:val="18"/>
          <w:color w:val="auto"/>
        </w:rPr>
        <w:t>’s CoR dropped 79 bps to stand at 1.6%.</w:t>
      </w:r>
    </w:p>
    <w:p>
      <w:pPr>
        <w:spacing w:after="0" w:line="135" w:lineRule="exact"/>
        <w:rPr>
          <w:sz w:val="20"/>
          <w:szCs w:val="20"/>
          <w:color w:val="auto"/>
        </w:rPr>
      </w:pPr>
    </w:p>
    <w:p>
      <w:pPr>
        <w:ind w:left="1520"/>
        <w:spacing w:after="0"/>
        <w:tabs>
          <w:tab w:leader="none" w:pos="7380" w:val="left"/>
        </w:tabs>
        <w:rPr>
          <w:sz w:val="20"/>
          <w:szCs w:val="20"/>
          <w:color w:val="auto"/>
        </w:rPr>
      </w:pPr>
      <w:r>
        <w:rPr>
          <w:rFonts w:ascii="Arial" w:cs="Arial" w:eastAsia="Arial" w:hAnsi="Arial"/>
          <w:sz w:val="18"/>
          <w:szCs w:val="18"/>
          <w:b w:val="1"/>
          <w:bCs w:val="1"/>
          <w:color w:val="auto"/>
        </w:rPr>
        <w:t>QoQ Cost of Risk Evolution</w:t>
      </w:r>
      <w:r>
        <w:rPr>
          <w:sz w:val="20"/>
          <w:szCs w:val="20"/>
          <w:color w:val="auto"/>
        </w:rPr>
        <w:tab/>
      </w:r>
      <w:r>
        <w:rPr>
          <w:rFonts w:ascii="Arial" w:cs="Arial" w:eastAsia="Arial" w:hAnsi="Arial"/>
          <w:sz w:val="17"/>
          <w:szCs w:val="17"/>
          <w:b w:val="1"/>
          <w:bCs w:val="1"/>
          <w:color w:val="auto"/>
        </w:rPr>
        <w:t>YoY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12700</wp:posOffset>
            </wp:positionV>
            <wp:extent cx="6360795" cy="9944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60795" cy="994410"/>
                    </a:xfrm>
                    <a:prstGeom prst="rect">
                      <a:avLst/>
                    </a:prstGeom>
                    <a:noFill/>
                  </pic:spPr>
                </pic:pic>
              </a:graphicData>
            </a:graphic>
          </wp:anchor>
        </w:drawing>
      </w:r>
    </w:p>
    <w:p>
      <w:pPr>
        <w:sectPr>
          <w:pgSz w:w="11920" w:h="16838" w:orient="portrait"/>
          <w:cols w:equalWidth="0" w:num="1">
            <w:col w:w="11260"/>
          </w:cols>
          <w:pgMar w:left="340" w:top="481"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 BCP Bolivia, Mibanco Colombia, ASB and eliminations.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 BCP Bolivia, Mibanco Colombia, ASB and eliminations.</w:t>
      </w:r>
    </w:p>
    <w:p>
      <w:pPr>
        <w:spacing w:after="0" w:line="198" w:lineRule="exact"/>
        <w:rPr>
          <w:sz w:val="20"/>
          <w:szCs w:val="20"/>
          <w:color w:val="auto"/>
        </w:rPr>
      </w:pPr>
    </w:p>
    <w:p>
      <w:pPr>
        <w:sectPr>
          <w:pgSz w:w="11920" w:h="16838" w:orient="portrait"/>
          <w:cols w:equalWidth="0" w:num="2">
            <w:col w:w="5140" w:space="720"/>
            <w:col w:w="5400"/>
          </w:cols>
          <w:pgMar w:left="340" w:top="481" w:right="318" w:bottom="1440" w:gutter="0" w:footer="0" w:header="0"/>
          <w:type w:val="continuous"/>
        </w:sectPr>
      </w:pPr>
    </w:p>
    <w:p>
      <w:pPr>
        <w:jc w:val="center"/>
        <w:ind w:right="420"/>
        <w:spacing w:after="0"/>
        <w:rPr>
          <w:sz w:val="20"/>
          <w:szCs w:val="20"/>
          <w:color w:val="auto"/>
        </w:rPr>
      </w:pPr>
      <w:r>
        <w:rPr>
          <w:rFonts w:ascii="Arial" w:cs="Arial" w:eastAsia="Arial" w:hAnsi="Arial"/>
          <w:sz w:val="18"/>
          <w:szCs w:val="18"/>
          <w:b w:val="1"/>
          <w:bCs w:val="1"/>
          <w:color w:val="auto"/>
        </w:rPr>
        <w:t>FY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12700</wp:posOffset>
            </wp:positionV>
            <wp:extent cx="2880360" cy="12001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8036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20" w:hanging="159"/>
        <w:spacing w:after="0"/>
        <w:tabs>
          <w:tab w:leader="none" w:pos="35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It includes reversal of provisions for “El Niño” Phenomenon in 1Q24.</w:t>
      </w:r>
    </w:p>
    <w:p>
      <w:pPr>
        <w:spacing w:after="0" w:line="11" w:lineRule="exact"/>
        <w:rPr>
          <w:rFonts w:ascii="Arial" w:cs="Arial" w:eastAsia="Arial" w:hAnsi="Arial"/>
          <w:sz w:val="12"/>
          <w:szCs w:val="12"/>
          <w:color w:val="auto"/>
        </w:rPr>
      </w:pPr>
    </w:p>
    <w:p>
      <w:pPr>
        <w:ind w:left="3360"/>
        <w:spacing w:after="0"/>
        <w:rPr>
          <w:rFonts w:ascii="Arial" w:cs="Arial" w:eastAsia="Arial" w:hAnsi="Arial"/>
          <w:sz w:val="12"/>
          <w:szCs w:val="12"/>
          <w:color w:val="auto"/>
        </w:rPr>
      </w:pPr>
      <w:r>
        <w:rPr>
          <w:rFonts w:ascii="Arial" w:cs="Arial" w:eastAsia="Arial" w:hAnsi="Arial"/>
          <w:sz w:val="11"/>
          <w:szCs w:val="11"/>
          <w:color w:val="auto"/>
        </w:rPr>
        <w:t>(1) Others include BCP Bolivia, Mibanco Colombia, ASB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732790</wp:posOffset>
            </wp:positionV>
            <wp:extent cx="71577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132715</wp:posOffset>
            </wp:positionV>
            <wp:extent cx="6755130" cy="4883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55130" cy="488315"/>
                    </a:xfrm>
                    <a:prstGeom prst="rect">
                      <a:avLst/>
                    </a:prstGeom>
                    <a:noFill/>
                  </pic:spPr>
                </pic:pic>
              </a:graphicData>
            </a:graphic>
          </wp:anchor>
        </w:drawing>
      </w:r>
    </w:p>
    <w:p>
      <w:pPr>
        <w:sectPr>
          <w:pgSz w:w="11920" w:h="16838" w:orient="portrait"/>
          <w:cols w:equalWidth="0" w:num="1">
            <w:col w:w="11260"/>
          </w:cols>
          <w:pgMar w:left="340" w:top="481" w:right="318" w:bottom="1440" w:gutter="0" w:footer="0" w:header="0"/>
          <w:type w:val="continuous"/>
        </w:sectPr>
      </w:pPr>
    </w:p>
    <w:bookmarkStart w:id="33" w:name="page34"/>
    <w:bookmarkEnd w:id="33"/>
    <w:p>
      <w:pPr>
        <w:ind w:left="2680"/>
        <w:spacing w:after="0"/>
        <w:tabs>
          <w:tab w:leader="none" w:pos="3000" w:val="left"/>
          <w:tab w:leader="none" w:pos="944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5829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5829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246380</wp:posOffset>
            </wp:positionV>
            <wp:extent cx="7157720"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05. Portfolio Quality and Provisions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NPL Coverage Ratio (in Quarter-end balances)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540" w:type="dxa"/>
            <w:vAlign w:val="bottom"/>
            <w:tcBorders>
              <w:top w:val="single" w:sz="8" w:color="auto"/>
              <w:left w:val="single" w:sz="8" w:color="auto"/>
              <w:right w:val="single" w:sz="8" w:color="auto"/>
            </w:tcBorders>
            <w:shd w:val="clear" w:color="auto" w:fill="33CCCC"/>
          </w:tcPr>
          <w:p>
            <w:pPr>
              <w:spacing w:after="0" w:line="183" w:lineRule="exact"/>
              <w:rPr>
                <w:sz w:val="20"/>
                <w:szCs w:val="20"/>
                <w:color w:val="auto"/>
              </w:rPr>
            </w:pPr>
            <w:r>
              <w:rPr>
                <w:rFonts w:ascii="Arial" w:cs="Arial" w:eastAsia="Arial" w:hAnsi="Arial"/>
                <w:sz w:val="16"/>
                <w:szCs w:val="16"/>
                <w:b w:val="1"/>
                <w:bCs w:val="1"/>
                <w:color w:val="FFFFFF"/>
              </w:rPr>
              <w:t>Loan Portfolio Quality and Delinquency Ratios</w:t>
            </w:r>
          </w:p>
        </w:tc>
        <w:tc>
          <w:tcPr>
            <w:tcW w:w="1320" w:type="dxa"/>
            <w:vAlign w:val="bottom"/>
            <w:tcBorders>
              <w:top w:val="single" w:sz="8" w:color="auto"/>
            </w:tcBorders>
            <w:shd w:val="clear" w:color="auto" w:fill="33CCCC"/>
          </w:tcPr>
          <w:p>
            <w:pPr>
              <w:spacing w:after="0"/>
              <w:rPr>
                <w:sz w:val="15"/>
                <w:szCs w:val="15"/>
                <w:color w:val="auto"/>
              </w:rPr>
            </w:pPr>
          </w:p>
        </w:tc>
        <w:tc>
          <w:tcPr>
            <w:tcW w:w="1360" w:type="dxa"/>
            <w:vAlign w:val="bottom"/>
            <w:tcBorders>
              <w:top w:val="single" w:sz="8" w:color="auto"/>
              <w:right w:val="single" w:sz="8" w:color="33CCCC"/>
            </w:tcBorders>
            <w:shd w:val="clear" w:color="auto" w:fill="33CCCC"/>
          </w:tcPr>
          <w:p>
            <w:pPr>
              <w:jc w:val="center"/>
              <w:spacing w:after="0" w:line="183" w:lineRule="exact"/>
              <w:rPr>
                <w:sz w:val="20"/>
                <w:szCs w:val="20"/>
                <w:color w:val="auto"/>
              </w:rPr>
            </w:pPr>
            <w:r>
              <w:rPr>
                <w:rFonts w:ascii="Arial" w:cs="Arial" w:eastAsia="Arial" w:hAnsi="Arial"/>
                <w:sz w:val="16"/>
                <w:szCs w:val="16"/>
                <w:b w:val="1"/>
                <w:bCs w:val="1"/>
                <w:color w:val="FFFFFF"/>
                <w:w w:val="99"/>
              </w:rPr>
              <w:t>As of</w:t>
            </w:r>
          </w:p>
        </w:tc>
        <w:tc>
          <w:tcPr>
            <w:tcW w:w="1360" w:type="dxa"/>
            <w:vAlign w:val="bottom"/>
            <w:tcBorders>
              <w:top w:val="single" w:sz="8" w:color="auto"/>
              <w:right w:val="single" w:sz="8" w:color="auto"/>
            </w:tcBorders>
            <w:shd w:val="clear" w:color="auto" w:fill="33CCCC"/>
          </w:tcPr>
          <w:p>
            <w:pPr>
              <w:spacing w:after="0"/>
              <w:rPr>
                <w:sz w:val="15"/>
                <w:szCs w:val="15"/>
                <w:color w:val="auto"/>
              </w:rPr>
            </w:pPr>
          </w:p>
        </w:tc>
        <w:tc>
          <w:tcPr>
            <w:tcW w:w="2700" w:type="dxa"/>
            <w:vAlign w:val="bottom"/>
            <w:tcBorders>
              <w:top w:val="single" w:sz="8" w:color="auto"/>
              <w:right w:val="single" w:sz="8" w:color="33CCCC"/>
            </w:tcBorders>
            <w:gridSpan w:val="2"/>
            <w:shd w:val="clear" w:color="auto" w:fill="33CCCC"/>
          </w:tcPr>
          <w:p>
            <w:pPr>
              <w:ind w:left="960"/>
              <w:spacing w:after="0" w:line="183" w:lineRule="exact"/>
              <w:rPr>
                <w:sz w:val="20"/>
                <w:szCs w:val="20"/>
                <w:color w:val="auto"/>
              </w:rPr>
            </w:pPr>
            <w:r>
              <w:rPr>
                <w:rFonts w:ascii="Arial" w:cs="Arial" w:eastAsia="Arial" w:hAnsi="Arial"/>
                <w:sz w:val="16"/>
                <w:szCs w:val="16"/>
                <w:b w:val="1"/>
                <w:bCs w:val="1"/>
                <w:color w:val="FFFFFF"/>
              </w:rPr>
              <w:t>% change</w:t>
            </w:r>
          </w:p>
        </w:tc>
      </w:tr>
      <w:tr>
        <w:trPr>
          <w:trHeight w:val="189"/>
        </w:trPr>
        <w:tc>
          <w:tcPr>
            <w:tcW w:w="454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6"/>
                <w:szCs w:val="16"/>
                <w:b w:val="1"/>
                <w:bCs w:val="1"/>
                <w:color w:val="FFFFFF"/>
              </w:rPr>
              <w:t>S/000</w:t>
            </w:r>
          </w:p>
        </w:tc>
        <w:tc>
          <w:tcPr>
            <w:tcW w:w="1320" w:type="dxa"/>
            <w:vAlign w:val="bottom"/>
            <w:tcBorders>
              <w:bottom w:val="single" w:sz="8" w:color="auto"/>
            </w:tcBorders>
            <w:shd w:val="clear" w:color="auto" w:fill="33CCCC"/>
          </w:tcPr>
          <w:p>
            <w:pPr>
              <w:ind w:left="400"/>
              <w:spacing w:after="0"/>
              <w:rPr>
                <w:sz w:val="20"/>
                <w:szCs w:val="20"/>
                <w:color w:val="auto"/>
              </w:rPr>
            </w:pPr>
            <w:r>
              <w:rPr>
                <w:rFonts w:ascii="Arial" w:cs="Arial" w:eastAsia="Arial" w:hAnsi="Arial"/>
                <w:sz w:val="16"/>
                <w:szCs w:val="16"/>
                <w:b w:val="1"/>
                <w:bCs w:val="1"/>
                <w:color w:val="FFFFFF"/>
              </w:rPr>
              <w:t>Dec 24</w:t>
            </w:r>
          </w:p>
        </w:tc>
        <w:tc>
          <w:tcPr>
            <w:tcW w:w="136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Sep 25</w:t>
            </w:r>
          </w:p>
        </w:tc>
        <w:tc>
          <w:tcPr>
            <w:tcW w:w="1360" w:type="dxa"/>
            <w:vAlign w:val="bottom"/>
            <w:tcBorders>
              <w:bottom w:val="single" w:sz="8" w:color="auto"/>
              <w:right w:val="single" w:sz="8" w:color="auto"/>
            </w:tcBorders>
            <w:shd w:val="clear" w:color="auto" w:fill="33CCCC"/>
          </w:tcPr>
          <w:p>
            <w:pPr>
              <w:ind w:left="400"/>
              <w:spacing w:after="0"/>
              <w:rPr>
                <w:sz w:val="20"/>
                <w:szCs w:val="20"/>
                <w:color w:val="auto"/>
              </w:rPr>
            </w:pPr>
            <w:r>
              <w:rPr>
                <w:rFonts w:ascii="Arial" w:cs="Arial" w:eastAsia="Arial" w:hAnsi="Arial"/>
                <w:sz w:val="16"/>
                <w:szCs w:val="16"/>
                <w:b w:val="1"/>
                <w:bCs w:val="1"/>
                <w:color w:val="FFFFFF"/>
              </w:rPr>
              <w:t>Dec 25</w:t>
            </w:r>
          </w:p>
        </w:tc>
        <w:tc>
          <w:tcPr>
            <w:tcW w:w="13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QoQ</w:t>
            </w:r>
          </w:p>
        </w:tc>
        <w:tc>
          <w:tcPr>
            <w:tcW w:w="13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YoY</w:t>
            </w:r>
          </w:p>
        </w:tc>
      </w:tr>
      <w:tr>
        <w:trPr>
          <w:trHeight w:val="183"/>
        </w:trPr>
        <w:tc>
          <w:tcPr>
            <w:tcW w:w="454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Total loans (Quarter-end balance)</w:t>
            </w:r>
          </w:p>
        </w:tc>
        <w:tc>
          <w:tcPr>
            <w:tcW w:w="1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145,732,273</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144,752,254</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149,984,954</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3.6%</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2.9%</w:t>
            </w:r>
          </w:p>
        </w:tc>
      </w:tr>
      <w:tr>
        <w:trPr>
          <w:trHeight w:val="183"/>
        </w:trPr>
        <w:tc>
          <w:tcPr>
            <w:tcW w:w="454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Allowance for loan losses</w:t>
            </w:r>
          </w:p>
        </w:tc>
        <w:tc>
          <w:tcPr>
            <w:tcW w:w="1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7,994,977</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7,674,040</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7,669,950</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-0.1%</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-4.1%</w:t>
            </w:r>
          </w:p>
        </w:tc>
      </w:tr>
      <w:tr>
        <w:trPr>
          <w:trHeight w:val="183"/>
        </w:trPr>
        <w:tc>
          <w:tcPr>
            <w:tcW w:w="454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Non-performing loans (NPLs)</w:t>
            </w:r>
          </w:p>
        </w:tc>
        <w:tc>
          <w:tcPr>
            <w:tcW w:w="1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7,662,657</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6,969,745</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6,820,900</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-2.1%</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-11.0%</w:t>
            </w:r>
          </w:p>
        </w:tc>
      </w:tr>
      <w:tr>
        <w:trPr>
          <w:trHeight w:val="183"/>
        </w:trPr>
        <w:tc>
          <w:tcPr>
            <w:tcW w:w="454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Allowance for loan losses over Total loans</w:t>
            </w:r>
          </w:p>
        </w:tc>
        <w:tc>
          <w:tcPr>
            <w:tcW w:w="1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5.5%</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8"/>
              </w:rPr>
              <w:t>5.3%</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5.1%</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-19 bps</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-38 bps</w:t>
            </w:r>
          </w:p>
        </w:tc>
      </w:tr>
      <w:tr>
        <w:trPr>
          <w:trHeight w:val="183"/>
        </w:trPr>
        <w:tc>
          <w:tcPr>
            <w:tcW w:w="4540" w:type="dxa"/>
            <w:vAlign w:val="bottom"/>
            <w:tcBorders>
              <w:left w:val="single" w:sz="8" w:color="auto"/>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Coverage ratio of NPLs</w:t>
            </w:r>
          </w:p>
        </w:tc>
        <w:tc>
          <w:tcPr>
            <w:tcW w:w="1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104.3%</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110.1%</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112.4%</w:t>
            </w:r>
          </w:p>
        </w:tc>
        <w:tc>
          <w:tcPr>
            <w:tcW w:w="13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234 bps</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811 bps</w:t>
            </w:r>
          </w:p>
        </w:tc>
      </w:tr>
    </w:tbl>
    <w:p>
      <w:pPr>
        <w:spacing w:after="0" w:line="17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Allowance for loan losses</w:t>
      </w:r>
    </w:p>
    <w:p>
      <w:pPr>
        <w:spacing w:after="0" w:line="20" w:lineRule="exact"/>
        <w:rPr>
          <w:sz w:val="20"/>
          <w:szCs w:val="20"/>
          <w:color w:val="auto"/>
        </w:rPr>
      </w:pPr>
    </w:p>
    <w:p>
      <w:pPr>
        <w:ind w:left="5860" w:hanging="3602"/>
        <w:spacing w:after="0" w:line="260" w:lineRule="auto"/>
        <w:tabs>
          <w:tab w:leader="none" w:pos="5840" w:val="left"/>
        </w:tabs>
        <w:rPr>
          <w:sz w:val="20"/>
          <w:szCs w:val="20"/>
          <w:color w:val="auto"/>
        </w:rPr>
      </w:pPr>
      <w:r>
        <w:rPr>
          <w:rFonts w:ascii="Arial" w:cs="Arial" w:eastAsia="Arial" w:hAnsi="Arial"/>
          <w:sz w:val="18"/>
          <w:szCs w:val="18"/>
          <w:color w:val="auto"/>
        </w:rPr>
        <w:t>(in S/ millions)</w:t>
      </w:r>
      <w:r>
        <w:rPr>
          <w:sz w:val="20"/>
          <w:szCs w:val="20"/>
          <w:color w:val="auto"/>
        </w:rPr>
        <w:tab/>
      </w:r>
      <w:r>
        <w:rPr>
          <w:rFonts w:ascii="Arial" w:cs="Arial" w:eastAsia="Arial" w:hAnsi="Arial"/>
          <w:sz w:val="18"/>
          <w:szCs w:val="18"/>
          <w:b w:val="1"/>
          <w:bCs w:val="1"/>
          <w:color w:val="auto"/>
        </w:rPr>
        <w:t>QoQ</w:t>
      </w:r>
      <w:r>
        <w:rPr>
          <w:rFonts w:ascii="Arial" w:cs="Arial" w:eastAsia="Arial" w:hAnsi="Arial"/>
          <w:sz w:val="18"/>
          <w:szCs w:val="18"/>
          <w:color w:val="auto"/>
        </w:rPr>
        <w:t>, the allowance for loan losses dropped slightly by 0.1%, driven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mainly by SME-Pyme at </w:t>
      </w:r>
      <w:r>
        <w:rPr>
          <w:rFonts w:ascii="Arial" w:cs="Arial" w:eastAsia="Arial" w:hAnsi="Arial"/>
          <w:sz w:val="18"/>
          <w:szCs w:val="18"/>
          <w:b w:val="1"/>
          <w:bCs w:val="1"/>
          <w:color w:val="auto"/>
        </w:rPr>
        <w:t>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-154940</wp:posOffset>
            </wp:positionV>
            <wp:extent cx="2486025" cy="13887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86025" cy="1388745"/>
                    </a:xfrm>
                    <a:prstGeom prst="rect">
                      <a:avLst/>
                    </a:prstGeom>
                    <a:noFill/>
                  </pic:spPr>
                </pic:pic>
              </a:graphicData>
            </a:graphic>
          </wp:anchor>
        </w:drawing>
      </w:r>
    </w:p>
    <w:p>
      <w:pPr>
        <w:spacing w:after="0" w:line="115" w:lineRule="exact"/>
        <w:rPr>
          <w:sz w:val="20"/>
          <w:szCs w:val="20"/>
          <w:color w:val="auto"/>
        </w:rPr>
      </w:pPr>
    </w:p>
    <w:p>
      <w:pPr>
        <w:ind w:left="5860"/>
        <w:spacing w:after="0" w:line="287" w:lineRule="auto"/>
        <w:rPr>
          <w:sz w:val="20"/>
          <w:szCs w:val="20"/>
          <w:color w:val="auto"/>
        </w:rPr>
      </w:pPr>
      <w:r>
        <w:rPr>
          <w:rFonts w:ascii="Arial" w:cs="Arial" w:eastAsia="Arial" w:hAnsi="Arial"/>
          <w:sz w:val="18"/>
          <w:szCs w:val="18"/>
          <w:b w:val="1"/>
          <w:bCs w:val="1"/>
          <w:color w:val="auto"/>
        </w:rPr>
        <w:t>YoY</w:t>
      </w:r>
      <w:r>
        <w:rPr>
          <w:rFonts w:ascii="Arial" w:cs="Arial" w:eastAsia="Arial" w:hAnsi="Arial"/>
          <w:sz w:val="18"/>
          <w:szCs w:val="18"/>
          <w:color w:val="auto"/>
        </w:rPr>
        <w:t>, the balance fell 4.1%, fueled mainly by</w:t>
      </w:r>
      <w:r>
        <w:rPr>
          <w:rFonts w:ascii="Arial" w:cs="Arial" w:eastAsia="Arial" w:hAnsi="Arial"/>
          <w:sz w:val="18"/>
          <w:szCs w:val="18"/>
          <w:b w:val="1"/>
          <w:bCs w:val="1"/>
          <w:color w:val="auto"/>
        </w:rPr>
        <w:t xml:space="preserve"> Retail Banking </w:t>
      </w:r>
      <w:r>
        <w:rPr>
          <w:rFonts w:ascii="Arial" w:cs="Arial" w:eastAsia="Arial" w:hAnsi="Arial"/>
          <w:sz w:val="18"/>
          <w:szCs w:val="18"/>
          <w:color w:val="auto"/>
        </w:rPr>
        <w:t>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and secondarily by</w:t>
      </w:r>
      <w:r>
        <w:rPr>
          <w:rFonts w:ascii="Arial" w:cs="Arial" w:eastAsia="Arial" w:hAnsi="Arial"/>
          <w:sz w:val="18"/>
          <w:szCs w:val="18"/>
          <w:b w:val="1"/>
          <w:bCs w:val="1"/>
          <w:color w:val="auto"/>
        </w:rPr>
        <w:t xml:space="preserve"> BCP Bolivia.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(1) Others include Mibanco Colombia, ASB and eliminations.</w:t>
      </w:r>
    </w:p>
    <w:p>
      <w:pPr>
        <w:sectPr>
          <w:pgSz w:w="11920" w:h="16838" w:orient="portrait"/>
          <w:cols w:equalWidth="0" w:num="1">
            <w:col w:w="11260"/>
          </w:cols>
          <w:pgMar w:left="340" w:top="481" w:right="318" w:bottom="1440" w:gutter="0" w:footer="0" w:header="0"/>
        </w:sectPr>
      </w:pPr>
    </w:p>
    <w:p>
      <w:pPr>
        <w:spacing w:after="0" w:line="186"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NPL Coverage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20320</wp:posOffset>
            </wp:positionV>
            <wp:extent cx="2314575" cy="1654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4575" cy="1654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 xml:space="preserve">The total NPL Coverage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stood at 112.4% at the end of 4Q25.</w:t>
      </w:r>
    </w:p>
    <w:p>
      <w:pPr>
        <w:spacing w:after="0" w:line="128" w:lineRule="exact"/>
        <w:rPr>
          <w:sz w:val="20"/>
          <w:szCs w:val="20"/>
          <w:color w:val="auto"/>
        </w:rPr>
      </w:pPr>
    </w:p>
    <w:p>
      <w:pPr>
        <w:sectPr>
          <w:pgSz w:w="11920" w:h="16838" w:orient="portrait"/>
          <w:cols w:equalWidth="0" w:num="2">
            <w:col w:w="5140" w:space="720"/>
            <w:col w:w="5400"/>
          </w:cols>
          <w:pgMar w:left="340" w:top="481" w:right="318" w:bottom="1440" w:gutter="0" w:footer="0" w:header="0"/>
          <w:type w:val="continuous"/>
        </w:sectPr>
      </w:pPr>
    </w:p>
    <w:p>
      <w:pPr>
        <w:ind w:left="5860"/>
        <w:spacing w:after="0"/>
        <w:rPr>
          <w:sz w:val="20"/>
          <w:szCs w:val="20"/>
          <w:color w:val="auto"/>
        </w:rPr>
      </w:pPr>
      <w:r>
        <w:rPr>
          <w:rFonts w:ascii="Arial" w:cs="Arial" w:eastAsia="Arial" w:hAnsi="Arial"/>
          <w:sz w:val="18"/>
          <w:szCs w:val="18"/>
          <w:b w:val="1"/>
          <w:bCs w:val="1"/>
          <w:color w:val="auto"/>
        </w:rPr>
        <w:t>QoQ</w:t>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The Total NPL Coverage Ratio at Credicorp rose 234 bps, fueled by</w:t>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the evolution of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w:t>
      </w:r>
    </w:p>
    <w:p>
      <w:pPr>
        <w:spacing w:after="0" w:line="174" w:lineRule="exact"/>
        <w:rPr>
          <w:sz w:val="20"/>
          <w:szCs w:val="20"/>
          <w:color w:val="auto"/>
        </w:rPr>
      </w:pPr>
    </w:p>
    <w:p>
      <w:pPr>
        <w:jc w:val="both"/>
        <w:ind w:left="5860"/>
        <w:spacing w:after="0" w:line="24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the ratio increased 260 pbs to stand at 112.2%. This evolution was driven by a decrease in NPLs, which fell on the back of the dynamics commented on 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analysis.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the ratio increased 612 bps to stand at 127.1%. This evolution was driven by a decline in NPLs, fueled by the same factors at play </w:t>
      </w:r>
      <w:r>
        <w:rPr>
          <w:rFonts w:ascii="Arial" w:cs="Arial" w:eastAsia="Arial" w:hAnsi="Arial"/>
          <w:sz w:val="18"/>
          <w:szCs w:val="18"/>
          <w:b w:val="1"/>
          <w:bCs w:val="1"/>
          <w:color w:val="auto"/>
        </w:rPr>
        <w:t>QoQ</w:t>
      </w:r>
      <w:r>
        <w:rPr>
          <w:rFonts w:ascii="Arial" w:cs="Arial" w:eastAsia="Arial" w:hAnsi="Arial"/>
          <w:sz w:val="18"/>
          <w:szCs w:val="18"/>
          <w:color w:val="auto"/>
        </w:rPr>
        <w:t>.</w:t>
      </w:r>
    </w:p>
    <w:p>
      <w:pPr>
        <w:sectPr>
          <w:pgSz w:w="11920" w:h="16838" w:orient="portrait"/>
          <w:cols w:equalWidth="0" w:num="1">
            <w:col w:w="11260"/>
          </w:cols>
          <w:pgMar w:left="340" w:top="481" w:right="318"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Total NPL Coverage Ratio at </w:t>
      </w:r>
      <w:r>
        <w:rPr>
          <w:rFonts w:ascii="Arial" w:cs="Arial" w:eastAsia="Arial" w:hAnsi="Arial"/>
          <w:sz w:val="18"/>
          <w:szCs w:val="18"/>
          <w:b w:val="1"/>
          <w:bCs w:val="1"/>
          <w:color w:val="auto"/>
        </w:rPr>
        <w:t>Credicorp</w:t>
      </w:r>
      <w:r>
        <w:rPr>
          <w:rFonts w:ascii="Arial" w:cs="Arial" w:eastAsia="Arial" w:hAnsi="Arial"/>
          <w:sz w:val="18"/>
          <w:szCs w:val="18"/>
          <w:color w:val="auto"/>
        </w:rPr>
        <w:t xml:space="preserve"> increased 811 bps, mainly on the back of the evolution of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and </w:t>
      </w:r>
      <w:r>
        <w:rPr>
          <w:rFonts w:ascii="Arial" w:cs="Arial" w:eastAsia="Arial" w:hAnsi="Arial"/>
          <w:sz w:val="18"/>
          <w:szCs w:val="18"/>
          <w:b w:val="1"/>
          <w:bCs w:val="1"/>
          <w:color w:val="auto"/>
        </w:rPr>
        <w:t>Mibanco</w:t>
      </w:r>
      <w:r>
        <w:rPr>
          <w:rFonts w:ascii="Arial" w:cs="Arial" w:eastAsia="Arial" w:hAnsi="Arial"/>
          <w:sz w:val="18"/>
          <w:szCs w:val="18"/>
          <w:color w:val="auto"/>
        </w:rPr>
        <w:t>.</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BCP Individual</w:t>
      </w:r>
      <w:r>
        <w:rPr>
          <w:rFonts w:ascii="Arial" w:cs="Arial" w:eastAsia="Arial" w:hAnsi="Arial"/>
          <w:sz w:val="18"/>
          <w:szCs w:val="18"/>
          <w:color w:val="auto"/>
        </w:rPr>
        <w:t xml:space="preserve"> , the ratio rose 872 bps, mainly due to a drop in NPLs, which were fueled by the same dynamics as those seen </w:t>
      </w:r>
      <w:r>
        <w:rPr>
          <w:rFonts w:ascii="Arial" w:cs="Arial" w:eastAsia="Arial" w:hAnsi="Arial"/>
          <w:sz w:val="18"/>
          <w:szCs w:val="18"/>
          <w:b w:val="1"/>
          <w:bCs w:val="1"/>
          <w:color w:val="auto"/>
        </w:rPr>
        <w:t>YoY</w:t>
      </w:r>
      <w:r>
        <w:rPr>
          <w:rFonts w:ascii="Arial" w:cs="Arial" w:eastAsia="Arial" w:hAnsi="Arial"/>
          <w:sz w:val="18"/>
          <w:szCs w:val="18"/>
          <w:color w:val="auto"/>
        </w:rPr>
        <w:t xml:space="preserve">. At </w:t>
      </w:r>
      <w:r>
        <w:rPr>
          <w:rFonts w:ascii="Arial" w:cs="Arial" w:eastAsia="Arial" w:hAnsi="Arial"/>
          <w:sz w:val="18"/>
          <w:szCs w:val="18"/>
          <w:b w:val="1"/>
          <w:bCs w:val="1"/>
          <w:color w:val="auto"/>
        </w:rPr>
        <w:t>Mibanco</w:t>
      </w:r>
      <w:r>
        <w:rPr>
          <w:rFonts w:ascii="Arial" w:cs="Arial" w:eastAsia="Arial" w:hAnsi="Arial"/>
          <w:sz w:val="18"/>
          <w:szCs w:val="18"/>
          <w:color w:val="auto"/>
        </w:rPr>
        <w:t>, the ratio increased by 2.5 percentage points YoY, driven by a drop in NPLs (triggered by the same dynamics discussed in the</w:t>
      </w:r>
      <w:r>
        <w:rPr>
          <w:rFonts w:ascii="Arial" w:cs="Arial" w:eastAsia="Arial" w:hAnsi="Arial"/>
          <w:sz w:val="18"/>
          <w:szCs w:val="18"/>
          <w:b w:val="1"/>
          <w:bCs w:val="1"/>
          <w:color w:val="auto"/>
        </w:rPr>
        <w:t xml:space="preserve"> YoY </w:t>
      </w:r>
      <w:r>
        <w:rPr>
          <w:rFonts w:ascii="Arial" w:cs="Arial" w:eastAsia="Arial" w:hAnsi="Arial"/>
          <w:sz w:val="18"/>
          <w:szCs w:val="18"/>
          <w:color w:val="auto"/>
        </w:rPr>
        <w:t>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744220</wp:posOffset>
            </wp:positionV>
            <wp:extent cx="71577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109855</wp:posOffset>
            </wp:positionV>
            <wp:extent cx="6772275" cy="523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2275" cy="523240"/>
                    </a:xfrm>
                    <a:prstGeom prst="rect">
                      <a:avLst/>
                    </a:prstGeom>
                    <a:noFill/>
                  </pic:spPr>
                </pic:pic>
              </a:graphicData>
            </a:graphic>
          </wp:anchor>
        </w:drawing>
      </w:r>
    </w:p>
    <w:p>
      <w:pPr>
        <w:sectPr>
          <w:pgSz w:w="11920" w:h="16838" w:orient="portrait"/>
          <w:cols w:equalWidth="0" w:num="1">
            <w:col w:w="11260"/>
          </w:cols>
          <w:pgMar w:left="340" w:top="481" w:right="318" w:bottom="1440" w:gutter="0" w:footer="0" w:header="0"/>
          <w:type w:val="continuous"/>
        </w:sectPr>
      </w:pPr>
    </w:p>
    <w:bookmarkStart w:id="34" w:name="page35"/>
    <w:bookmarkEnd w:id="34"/>
    <w:tbl>
      <w:tblPr>
        <w:tblLayout w:type="fixed"/>
        <w:tblInd w:w="7" w:type="dxa"/>
        <w:tblCellMar>
          <w:top w:w="0" w:type="dxa"/>
          <w:left w:w="0" w:type="dxa"/>
          <w:bottom w:w="0" w:type="dxa"/>
          <w:right w:w="0" w:type="dxa"/>
        </w:tblCellMar>
      </w:tblPr>
      <w:tr>
        <w:trPr>
          <w:trHeight w:val="540"/>
        </w:trPr>
        <w:tc>
          <w:tcPr>
            <w:tcW w:w="2970" w:type="dxa"/>
            <w:vAlign w:val="bottom"/>
            <w:shd w:val="clear" w:color="auto" w:fill="000000"/>
          </w:tcPr>
          <w:p>
            <w:pPr>
              <w:jc w:val="right"/>
              <w:ind w:right="169"/>
              <w:spacing w:after="0"/>
              <w:rPr>
                <w:sz w:val="20"/>
                <w:szCs w:val="20"/>
                <w:color w:val="auto"/>
              </w:rPr>
            </w:pPr>
            <w:r>
              <w:rPr>
                <w:rFonts w:ascii="Arial" w:cs="Arial" w:eastAsia="Arial" w:hAnsi="Arial"/>
                <w:sz w:val="16"/>
                <w:szCs w:val="16"/>
                <w:color w:val="A6A6A6"/>
              </w:rPr>
              <w:t>|</w:t>
            </w:r>
          </w:p>
        </w:tc>
        <w:tc>
          <w:tcPr>
            <w:tcW w:w="4690" w:type="dxa"/>
            <w:vAlign w:val="bottom"/>
            <w:shd w:val="clear" w:color="auto" w:fill="000000"/>
          </w:tcPr>
          <w:p>
            <w:pPr>
              <w:ind w:left="50"/>
              <w:spacing w:after="0"/>
              <w:rPr>
                <w:sz w:val="20"/>
                <w:szCs w:val="20"/>
                <w:color w:val="auto"/>
              </w:rPr>
            </w:pPr>
            <w:r>
              <w:rPr>
                <w:rFonts w:ascii="Arial" w:cs="Arial" w:eastAsia="Arial" w:hAnsi="Arial"/>
                <w:sz w:val="14"/>
                <w:szCs w:val="14"/>
                <w:color w:val="FFFFFF"/>
              </w:rPr>
              <w:t>Earnings Release 4Q / 2025</w:t>
            </w:r>
          </w:p>
        </w:tc>
        <w:tc>
          <w:tcPr>
            <w:tcW w:w="3600" w:type="dxa"/>
            <w:vAlign w:val="bottom"/>
            <w:shd w:val="clear" w:color="auto" w:fill="000000"/>
          </w:tcPr>
          <w:p>
            <w:pPr>
              <w:ind w:left="1800"/>
              <w:spacing w:after="0"/>
              <w:rPr>
                <w:sz w:val="20"/>
                <w:szCs w:val="20"/>
                <w:color w:val="auto"/>
              </w:rPr>
            </w:pPr>
            <w:r>
              <w:rPr>
                <w:rFonts w:ascii="Arial" w:cs="Arial" w:eastAsia="Arial" w:hAnsi="Arial"/>
                <w:sz w:val="14"/>
                <w:szCs w:val="14"/>
                <w:color w:val="FF00FF"/>
              </w:rPr>
              <w:t>4Q25 Consolidated Results</w:t>
            </w:r>
          </w:p>
        </w:tc>
      </w:tr>
      <w:tr>
        <w:trPr>
          <w:trHeight w:val="378"/>
        </w:trPr>
        <w:tc>
          <w:tcPr>
            <w:tcW w:w="2970" w:type="dxa"/>
            <w:vAlign w:val="bottom"/>
            <w:shd w:val="clear" w:color="auto" w:fill="000000"/>
          </w:tcPr>
          <w:p>
            <w:pPr>
              <w:spacing w:after="0"/>
              <w:rPr>
                <w:sz w:val="24"/>
                <w:szCs w:val="24"/>
                <w:color w:val="auto"/>
              </w:rPr>
            </w:pPr>
          </w:p>
        </w:tc>
        <w:tc>
          <w:tcPr>
            <w:tcW w:w="4690" w:type="dxa"/>
            <w:vAlign w:val="bottom"/>
            <w:shd w:val="clear" w:color="auto" w:fill="000000"/>
          </w:tcPr>
          <w:p>
            <w:pPr>
              <w:spacing w:after="0"/>
              <w:rPr>
                <w:sz w:val="24"/>
                <w:szCs w:val="24"/>
                <w:color w:val="auto"/>
              </w:rPr>
            </w:pPr>
          </w:p>
        </w:tc>
        <w:tc>
          <w:tcPr>
            <w:tcW w:w="360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-359410</wp:posOffset>
            </wp:positionV>
            <wp:extent cx="95123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51230" cy="137160"/>
                    </a:xfrm>
                    <a:prstGeom prst="rect">
                      <a:avLst/>
                    </a:prstGeom>
                    <a:noFill/>
                  </pic:spPr>
                </pic:pic>
              </a:graphicData>
            </a:graphic>
          </wp:anchor>
        </w:drawing>
      </w:r>
    </w:p>
    <w:p>
      <w:pPr>
        <w:spacing w:after="0" w:line="144" w:lineRule="exact"/>
        <w:rPr>
          <w:sz w:val="20"/>
          <w:szCs w:val="20"/>
          <w:color w:val="auto"/>
        </w:rPr>
      </w:pPr>
    </w:p>
    <w:p>
      <w:pPr>
        <w:ind w:left="687" w:hanging="687"/>
        <w:spacing w:after="0"/>
        <w:tabs>
          <w:tab w:leader="none" w:pos="687" w:val="left"/>
        </w:tabs>
        <w:numPr>
          <w:ilvl w:val="0"/>
          <w:numId w:val="28"/>
        </w:numPr>
        <w:rPr>
          <w:rFonts w:ascii="Arial" w:cs="Arial" w:eastAsia="Arial" w:hAnsi="Arial"/>
          <w:sz w:val="32"/>
          <w:szCs w:val="32"/>
          <w:b w:val="1"/>
          <w:bCs w:val="1"/>
          <w:color w:val="E93BAC"/>
        </w:rPr>
      </w:pPr>
      <w:r>
        <w:rPr>
          <w:rFonts w:ascii="Arial" w:cs="Arial" w:eastAsia="Arial" w:hAnsi="Arial"/>
          <w:sz w:val="32"/>
          <w:szCs w:val="32"/>
          <w:color w:val="E93B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57720" cy="1697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16973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107" w:right="100"/>
        <w:spacing w:after="0" w:line="248" w:lineRule="auto"/>
        <w:rPr>
          <w:sz w:val="20"/>
          <w:szCs w:val="20"/>
          <w:color w:val="auto"/>
        </w:rPr>
      </w:pPr>
      <w:r>
        <w:rPr>
          <w:rFonts w:ascii="Arial" w:cs="Arial" w:eastAsia="Arial" w:hAnsi="Arial"/>
          <w:sz w:val="18"/>
          <w:szCs w:val="18"/>
          <w:color w:val="FFFFFF"/>
        </w:rPr>
        <w:t>During 2025, Other Income consolidated its relevance as a revenue generation engine, driven primarily by the strong performance of Other Core Income. The latter recorded growth of 6.0% QoQ, 13.7% YoY, and 12.2% on a FY basis, translating into a 70bps increase in its share of Credicorp’s total revenues (24.6% in 2025 vs. 23.9% in 2024). This performance reinforces the continued execution of our revenue diversification strategy, supported by structural competitive advantages and the strengthening of our digital capabilities.</w:t>
      </w:r>
    </w:p>
    <w:p>
      <w:pPr>
        <w:spacing w:after="0" w:line="157" w:lineRule="exact"/>
        <w:rPr>
          <w:sz w:val="20"/>
          <w:szCs w:val="20"/>
          <w:color w:val="auto"/>
        </w:rPr>
      </w:pPr>
    </w:p>
    <w:p>
      <w:pPr>
        <w:jc w:val="both"/>
        <w:ind w:left="107" w:right="100"/>
        <w:spacing w:after="0" w:line="255" w:lineRule="auto"/>
        <w:rPr>
          <w:sz w:val="20"/>
          <w:szCs w:val="20"/>
          <w:color w:val="auto"/>
        </w:rPr>
      </w:pPr>
      <w:r>
        <w:rPr>
          <w:rFonts w:ascii="Arial" w:cs="Arial" w:eastAsia="Arial" w:hAnsi="Arial"/>
          <w:sz w:val="18"/>
          <w:szCs w:val="18"/>
          <w:color w:val="FFFFFF"/>
        </w:rPr>
        <w:t>Growth in Other Core Income was driven by favorable results in both fees and FX transactions, largely associated with BCP Stand-alone. Higher fees reflect sustained growth in transactional volumes across core businesses and Yape, while FX gains were supported by more efficient pricing management in Retail Banking, as well as higher transaction volumes from wholesale clients.</w:t>
      </w:r>
    </w:p>
    <w:p>
      <w:pPr>
        <w:spacing w:after="0" w:line="170" w:lineRule="exact"/>
        <w:rPr>
          <w:sz w:val="20"/>
          <w:szCs w:val="20"/>
          <w:color w:val="auto"/>
        </w:rPr>
      </w:pPr>
    </w:p>
    <w:p>
      <w:pPr>
        <w:jc w:val="both"/>
        <w:ind w:left="107" w:right="100"/>
        <w:spacing w:after="0" w:line="233" w:lineRule="exact"/>
        <w:rPr>
          <w:sz w:val="20"/>
          <w:szCs w:val="20"/>
          <w:color w:val="auto"/>
        </w:rPr>
      </w:pPr>
      <w:r>
        <w:rPr>
          <w:rFonts w:ascii="Arial" w:cs="Arial" w:eastAsia="Arial" w:hAnsi="Arial"/>
          <w:sz w:val="18"/>
          <w:szCs w:val="18"/>
          <w:color w:val="FFFFFF"/>
        </w:rPr>
        <w:t>Meanwhile, Other Non</w:t>
      </w:r>
      <w:r>
        <w:rPr>
          <w:rFonts w:ascii="MS PGothic" w:cs="MS PGothic" w:eastAsia="MS PGothic" w:hAnsi="MS PGothic"/>
          <w:sz w:val="18"/>
          <w:szCs w:val="18"/>
          <w:color w:val="FFFFFF"/>
        </w:rPr>
        <w:t>‑</w:t>
      </w:r>
      <w:r>
        <w:rPr>
          <w:rFonts w:ascii="Arial" w:cs="Arial" w:eastAsia="Arial" w:hAnsi="Arial"/>
          <w:sz w:val="18"/>
          <w:szCs w:val="18"/>
          <w:color w:val="FFFFFF"/>
        </w:rPr>
        <w:t>Core Income increased by 29.4% QoQ and 13.5% YoY, driven by stronger performance at Pacífico and BCP Stand-alone. On FY, the 8.8% increase was mainly explained by gains on securities and M&amp;A consolidations.</w:t>
      </w:r>
    </w:p>
    <w:p>
      <w:pPr>
        <w:spacing w:after="0" w:line="268" w:lineRule="exact"/>
        <w:rPr>
          <w:sz w:val="20"/>
          <w:szCs w:val="20"/>
          <w:color w:val="auto"/>
        </w:rPr>
      </w:pPr>
    </w:p>
    <w:p>
      <w:pPr>
        <w:ind w:left="7"/>
        <w:spacing w:after="0"/>
        <w:tabs>
          <w:tab w:leader="none" w:pos="307"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Other Income</w:t>
      </w:r>
      <w:r>
        <w:rPr>
          <w:rFonts w:ascii="Arial" w:cs="Arial" w:eastAsia="Arial" w:hAnsi="Arial"/>
          <w:sz w:val="28"/>
          <w:szCs w:val="28"/>
          <w:b w:val="1"/>
          <w:bCs w:val="1"/>
          <w:color w:val="auto"/>
          <w:vertAlign w:val="superscript"/>
        </w:rPr>
        <w:t>1</w:t>
      </w:r>
    </w:p>
    <w:tbl>
      <w:tblPr>
        <w:tblLayout w:type="fixed"/>
        <w:tblInd w:w="17" w:type="dxa"/>
        <w:tblCellMar>
          <w:top w:w="0" w:type="dxa"/>
          <w:left w:w="0" w:type="dxa"/>
          <w:bottom w:w="0" w:type="dxa"/>
          <w:right w:w="0" w:type="dxa"/>
        </w:tblCellMar>
      </w:tblPr>
      <w:tr>
        <w:trPr>
          <w:trHeight w:val="156"/>
        </w:trPr>
        <w:tc>
          <w:tcPr>
            <w:tcW w:w="3620" w:type="dxa"/>
            <w:vAlign w:val="bottom"/>
            <w:tcBorders>
              <w:top w:val="single" w:sz="8" w:color="auto"/>
              <w:left w:val="single" w:sz="8" w:color="auto"/>
              <w:right w:val="single" w:sz="8" w:color="auto"/>
            </w:tcBorders>
            <w:shd w:val="clear" w:color="auto" w:fill="33CCCC"/>
          </w:tcPr>
          <w:p>
            <w:pPr>
              <w:spacing w:after="0" w:line="156" w:lineRule="exact"/>
              <w:rPr>
                <w:sz w:val="20"/>
                <w:szCs w:val="20"/>
                <w:color w:val="auto"/>
              </w:rPr>
            </w:pPr>
            <w:r>
              <w:rPr>
                <w:rFonts w:ascii="Arial" w:cs="Arial" w:eastAsia="Arial" w:hAnsi="Arial"/>
                <w:sz w:val="12"/>
                <w:szCs w:val="12"/>
                <w:b w:val="1"/>
                <w:bCs w:val="1"/>
                <w:color w:val="FFFFFF"/>
              </w:rPr>
              <w:t xml:space="preserve">Other Income </w:t>
            </w:r>
            <w:r>
              <w:rPr>
                <w:rFonts w:ascii="Arial" w:cs="Arial" w:eastAsia="Arial" w:hAnsi="Arial"/>
                <w:sz w:val="18"/>
                <w:szCs w:val="18"/>
                <w:b w:val="1"/>
                <w:bCs w:val="1"/>
                <w:color w:val="FFFFFF"/>
                <w:vertAlign w:val="superscript"/>
              </w:rPr>
              <w:t>(1)</w:t>
            </w:r>
          </w:p>
        </w:tc>
        <w:tc>
          <w:tcPr>
            <w:tcW w:w="900" w:type="dxa"/>
            <w:vAlign w:val="bottom"/>
            <w:tcBorders>
              <w:top w:val="single" w:sz="8" w:color="auto"/>
            </w:tcBorders>
            <w:shd w:val="clear" w:color="auto" w:fill="33CCCC"/>
          </w:tcPr>
          <w:p>
            <w:pPr>
              <w:spacing w:after="0"/>
              <w:rPr>
                <w:sz w:val="13"/>
                <w:szCs w:val="13"/>
                <w:color w:val="auto"/>
              </w:rPr>
            </w:pPr>
          </w:p>
        </w:tc>
        <w:tc>
          <w:tcPr>
            <w:tcW w:w="920" w:type="dxa"/>
            <w:vAlign w:val="bottom"/>
            <w:tcBorders>
              <w:top w:val="single" w:sz="8" w:color="auto"/>
            </w:tcBorders>
            <w:shd w:val="clear" w:color="auto" w:fill="33CCCC"/>
          </w:tcPr>
          <w:p>
            <w:pPr>
              <w:ind w:left="200"/>
              <w:spacing w:after="0" w:line="156" w:lineRule="exact"/>
              <w:rPr>
                <w:sz w:val="20"/>
                <w:szCs w:val="20"/>
                <w:color w:val="auto"/>
              </w:rPr>
            </w:pPr>
            <w:r>
              <w:rPr>
                <w:rFonts w:ascii="Arial" w:cs="Arial" w:eastAsia="Arial" w:hAnsi="Arial"/>
                <w:sz w:val="14"/>
                <w:szCs w:val="14"/>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3"/>
                <w:szCs w:val="13"/>
                <w:color w:val="auto"/>
              </w:rPr>
            </w:pPr>
          </w:p>
        </w:tc>
        <w:tc>
          <w:tcPr>
            <w:tcW w:w="1840" w:type="dxa"/>
            <w:vAlign w:val="bottom"/>
            <w:tcBorders>
              <w:top w:val="single" w:sz="8" w:color="auto"/>
              <w:right w:val="single" w:sz="8" w:color="auto"/>
            </w:tcBorders>
            <w:gridSpan w:val="2"/>
            <w:shd w:val="clear" w:color="auto" w:fill="33CCCC"/>
          </w:tcPr>
          <w:p>
            <w:pPr>
              <w:ind w:left="560"/>
              <w:spacing w:after="0" w:line="156" w:lineRule="exact"/>
              <w:rPr>
                <w:sz w:val="20"/>
                <w:szCs w:val="20"/>
                <w:color w:val="auto"/>
              </w:rPr>
            </w:pPr>
            <w:r>
              <w:rPr>
                <w:rFonts w:ascii="Arial" w:cs="Arial" w:eastAsia="Arial" w:hAnsi="Arial"/>
                <w:sz w:val="14"/>
                <w:szCs w:val="14"/>
                <w:b w:val="1"/>
                <w:bCs w:val="1"/>
                <w:color w:val="FFFFFF"/>
              </w:rPr>
              <w:t>% Change</w:t>
            </w:r>
          </w:p>
        </w:tc>
        <w:tc>
          <w:tcPr>
            <w:tcW w:w="1840" w:type="dxa"/>
            <w:vAlign w:val="bottom"/>
            <w:tcBorders>
              <w:top w:val="single" w:sz="8" w:color="auto"/>
              <w:right w:val="single" w:sz="8" w:color="auto"/>
            </w:tcBorders>
            <w:gridSpan w:val="2"/>
            <w:shd w:val="clear" w:color="auto" w:fill="33CCCC"/>
          </w:tcPr>
          <w:p>
            <w:pPr>
              <w:ind w:left="720"/>
              <w:spacing w:after="0" w:line="156" w:lineRule="exact"/>
              <w:rPr>
                <w:sz w:val="20"/>
                <w:szCs w:val="20"/>
                <w:color w:val="auto"/>
              </w:rPr>
            </w:pPr>
            <w:r>
              <w:rPr>
                <w:rFonts w:ascii="Arial" w:cs="Arial" w:eastAsia="Arial" w:hAnsi="Arial"/>
                <w:sz w:val="14"/>
                <w:szCs w:val="14"/>
                <w:b w:val="1"/>
                <w:bCs w:val="1"/>
                <w:color w:val="FFFFFF"/>
              </w:rPr>
              <w:t>Up to</w:t>
            </w:r>
          </w:p>
        </w:tc>
        <w:tc>
          <w:tcPr>
            <w:tcW w:w="1220" w:type="dxa"/>
            <w:vAlign w:val="bottom"/>
            <w:tcBorders>
              <w:top w:val="single" w:sz="8" w:color="auto"/>
              <w:right w:val="single" w:sz="8" w:color="auto"/>
            </w:tcBorders>
            <w:shd w:val="clear" w:color="auto" w:fill="33CCCC"/>
          </w:tcPr>
          <w:p>
            <w:pPr>
              <w:jc w:val="center"/>
              <w:spacing w:after="0" w:line="156" w:lineRule="exact"/>
              <w:rPr>
                <w:sz w:val="20"/>
                <w:szCs w:val="20"/>
                <w:color w:val="auto"/>
              </w:rPr>
            </w:pPr>
            <w:r>
              <w:rPr>
                <w:rFonts w:ascii="Arial" w:cs="Arial" w:eastAsia="Arial" w:hAnsi="Arial"/>
                <w:sz w:val="14"/>
                <w:szCs w:val="14"/>
                <w:b w:val="1"/>
                <w:bCs w:val="1"/>
                <w:color w:val="FFFFFF"/>
              </w:rPr>
              <w:t>% change</w:t>
            </w:r>
          </w:p>
        </w:tc>
      </w:tr>
      <w:tr>
        <w:trPr>
          <w:trHeight w:val="162"/>
        </w:trPr>
        <w:tc>
          <w:tcPr>
            <w:tcW w:w="362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4"/>
                <w:szCs w:val="14"/>
                <w:b w:val="1"/>
                <w:bCs w:val="1"/>
                <w:color w:val="FFFFFF"/>
              </w:rPr>
              <w:t>(S/ 000)</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4Q24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3Q25</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4Q25</w:t>
            </w:r>
          </w:p>
        </w:tc>
        <w:tc>
          <w:tcPr>
            <w:tcW w:w="90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4"/>
                <w:szCs w:val="14"/>
                <w:b w:val="1"/>
                <w:bCs w:val="1"/>
                <w:color w:val="FFFFFF"/>
              </w:rPr>
              <w:t>QoQ</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YoY</w:t>
            </w:r>
          </w:p>
        </w:tc>
        <w:tc>
          <w:tcPr>
            <w:tcW w:w="90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4"/>
                <w:szCs w:val="14"/>
                <w:b w:val="1"/>
                <w:bCs w:val="1"/>
                <w:color w:val="FFFFFF"/>
              </w:rPr>
              <w:t>Dec 24</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25</w:t>
            </w:r>
          </w:p>
        </w:tc>
        <w:tc>
          <w:tcPr>
            <w:tcW w:w="12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25 / Dec 24</w:t>
            </w:r>
          </w:p>
        </w:tc>
      </w:tr>
      <w:tr>
        <w:trPr>
          <w:trHeight w:val="142"/>
        </w:trPr>
        <w:tc>
          <w:tcPr>
            <w:tcW w:w="3620" w:type="dxa"/>
            <w:vAlign w:val="bottom"/>
            <w:tcBorders>
              <w:left w:val="single" w:sz="8" w:color="auto"/>
              <w:right w:val="single" w:sz="8" w:color="auto"/>
            </w:tcBorders>
          </w:tcPr>
          <w:p>
            <w:pPr>
              <w:spacing w:after="0" w:line="143" w:lineRule="exact"/>
              <w:rPr>
                <w:sz w:val="20"/>
                <w:szCs w:val="20"/>
                <w:color w:val="auto"/>
              </w:rPr>
            </w:pPr>
            <w:r>
              <w:rPr>
                <w:rFonts w:ascii="Arial" w:cs="Arial" w:eastAsia="Arial" w:hAnsi="Arial"/>
                <w:sz w:val="14"/>
                <w:szCs w:val="14"/>
                <w:color w:val="auto"/>
              </w:rPr>
              <w:t>Other Core Income</w:t>
            </w: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rPr>
              <w:t>1,358,569</w:t>
            </w:r>
          </w:p>
        </w:tc>
        <w:tc>
          <w:tcPr>
            <w:tcW w:w="920" w:type="dxa"/>
            <w:vAlign w:val="bottom"/>
          </w:tcPr>
          <w:p>
            <w:pPr>
              <w:jc w:val="center"/>
              <w:spacing w:after="0" w:line="143" w:lineRule="exact"/>
              <w:rPr>
                <w:sz w:val="20"/>
                <w:szCs w:val="20"/>
                <w:color w:val="auto"/>
              </w:rPr>
            </w:pPr>
            <w:r>
              <w:rPr>
                <w:rFonts w:ascii="Arial" w:cs="Arial" w:eastAsia="Arial" w:hAnsi="Arial"/>
                <w:sz w:val="14"/>
                <w:szCs w:val="14"/>
                <w:color w:val="auto"/>
              </w:rPr>
              <w:t>1,457,604</w:t>
            </w:r>
          </w:p>
        </w:tc>
        <w:tc>
          <w:tcPr>
            <w:tcW w:w="9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1,545,026</w:t>
            </w: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rPr>
              <w:t>6.0%</w:t>
            </w:r>
          </w:p>
        </w:tc>
        <w:tc>
          <w:tcPr>
            <w:tcW w:w="9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13.7%</w:t>
            </w: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w w:val="99"/>
              </w:rPr>
              <w:t>5,119,755</w:t>
            </w:r>
          </w:p>
        </w:tc>
        <w:tc>
          <w:tcPr>
            <w:tcW w:w="9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5,742,037</w:t>
            </w:r>
          </w:p>
        </w:tc>
        <w:tc>
          <w:tcPr>
            <w:tcW w:w="12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12.2%</w:t>
            </w:r>
          </w:p>
        </w:tc>
      </w:tr>
      <w:tr>
        <w:trPr>
          <w:trHeight w:val="175"/>
        </w:trPr>
        <w:tc>
          <w:tcPr>
            <w:tcW w:w="3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Other Non-Core Income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224,164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196,587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254,473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29.4%</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992,211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1,079,242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8.8%</w:t>
            </w:r>
          </w:p>
        </w:tc>
      </w:tr>
      <w:tr>
        <w:trPr>
          <w:trHeight w:val="155"/>
        </w:trPr>
        <w:tc>
          <w:tcPr>
            <w:tcW w:w="3620" w:type="dxa"/>
            <w:vAlign w:val="bottom"/>
            <w:tcBorders>
              <w:left w:val="single" w:sz="8" w:color="auto"/>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Other Income</w:t>
            </w: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1,582,733</w:t>
            </w: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1,654,191</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1,799,499</w:t>
            </w: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8.8%</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13.7%</w:t>
            </w: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6,111,966</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6,821,279</w:t>
            </w:r>
          </w:p>
        </w:tc>
        <w:tc>
          <w:tcPr>
            <w:tcW w:w="12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11.6%</w:t>
            </w:r>
          </w:p>
        </w:tc>
      </w:tr>
    </w:tbl>
    <w:p>
      <w:pPr>
        <w:ind w:left="7" w:right="200" w:hanging="7"/>
        <w:spacing w:after="0" w:line="245" w:lineRule="auto"/>
        <w:tabs>
          <w:tab w:leader="none" w:pos="182" w:val="left"/>
        </w:tabs>
        <w:numPr>
          <w:ilvl w:val="0"/>
          <w:numId w:val="29"/>
        </w:numPr>
        <w:rPr>
          <w:rFonts w:ascii="Arial" w:cs="Arial" w:eastAsia="Arial" w:hAnsi="Arial"/>
          <w:sz w:val="12"/>
          <w:szCs w:val="12"/>
          <w:color w:val="auto"/>
        </w:rPr>
      </w:pPr>
      <w:r>
        <w:rPr>
          <w:rFonts w:ascii="Arial" w:cs="Arial" w:eastAsia="Arial" w:hAnsi="Arial"/>
          <w:sz w:val="12"/>
          <w:szCs w:val="12"/>
          <w:color w:val="auto"/>
        </w:rPr>
        <w:t>Beginning in 1Q25, accounting reclassifications have been incorporated affecting Fee Income, Net Gain on Foreign Exchange Transactions, and Net Gain on Derivatives Held for Trading. Prior periods have been restated for comparability and may differ from previously reported figures.</w:t>
      </w:r>
    </w:p>
    <w:p>
      <w:pPr>
        <w:spacing w:after="0" w:line="168" w:lineRule="exact"/>
        <w:rPr>
          <w:sz w:val="20"/>
          <w:szCs w:val="20"/>
          <w:color w:val="auto"/>
        </w:rPr>
      </w:pPr>
    </w:p>
    <w:p>
      <w:pPr>
        <w:ind w:left="7" w:right="60"/>
        <w:spacing w:after="0" w:line="276" w:lineRule="auto"/>
        <w:rPr>
          <w:sz w:val="20"/>
          <w:szCs w:val="20"/>
          <w:color w:val="auto"/>
        </w:rPr>
      </w:pPr>
      <w:r>
        <w:rPr>
          <w:rFonts w:ascii="Arial" w:cs="Arial" w:eastAsia="Arial" w:hAnsi="Arial"/>
          <w:sz w:val="18"/>
          <w:szCs w:val="18"/>
          <w:color w:val="auto"/>
        </w:rPr>
        <w:t>Other Income increased by 8.8% QoQ, 13.7% YoY, and 11.6% on a FY basis, mainly driven by higher Fee income and Net gains from foreign exchange transactions, which together constitute our Other Core Income.</w:t>
      </w:r>
    </w:p>
    <w:p>
      <w:pPr>
        <w:spacing w:after="0" w:line="34"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Other Core Income</w:t>
      </w:r>
      <w:r>
        <w:rPr>
          <w:rFonts w:ascii="Arial" w:cs="Arial" w:eastAsia="Arial" w:hAnsi="Arial"/>
          <w:sz w:val="28"/>
          <w:szCs w:val="28"/>
          <w:b w:val="1"/>
          <w:bCs w:val="1"/>
          <w:color w:val="auto"/>
          <w:vertAlign w:val="superscript"/>
        </w:rPr>
        <w:t>1</w:t>
      </w:r>
    </w:p>
    <w:tbl>
      <w:tblPr>
        <w:tblLayout w:type="fixed"/>
        <w:tblInd w:w="17" w:type="dxa"/>
        <w:tblCellMar>
          <w:top w:w="0" w:type="dxa"/>
          <w:left w:w="0" w:type="dxa"/>
          <w:bottom w:w="0" w:type="dxa"/>
          <w:right w:w="0" w:type="dxa"/>
        </w:tblCellMar>
      </w:tblPr>
      <w:tr>
        <w:trPr>
          <w:trHeight w:val="156"/>
        </w:trPr>
        <w:tc>
          <w:tcPr>
            <w:tcW w:w="3620" w:type="dxa"/>
            <w:vAlign w:val="bottom"/>
            <w:tcBorders>
              <w:top w:val="single" w:sz="8" w:color="auto"/>
              <w:left w:val="single" w:sz="8" w:color="auto"/>
              <w:right w:val="single" w:sz="8" w:color="auto"/>
            </w:tcBorders>
            <w:shd w:val="clear" w:color="auto" w:fill="33CCCC"/>
          </w:tcPr>
          <w:p>
            <w:pPr>
              <w:spacing w:after="0" w:line="156" w:lineRule="exact"/>
              <w:rPr>
                <w:sz w:val="20"/>
                <w:szCs w:val="20"/>
                <w:color w:val="auto"/>
              </w:rPr>
            </w:pPr>
            <w:r>
              <w:rPr>
                <w:rFonts w:ascii="Arial" w:cs="Arial" w:eastAsia="Arial" w:hAnsi="Arial"/>
                <w:sz w:val="12"/>
                <w:szCs w:val="12"/>
                <w:b w:val="1"/>
                <w:bCs w:val="1"/>
                <w:color w:val="FFFFFF"/>
              </w:rPr>
              <w:t xml:space="preserve">Other Core Income </w:t>
            </w:r>
            <w:r>
              <w:rPr>
                <w:rFonts w:ascii="Arial" w:cs="Arial" w:eastAsia="Arial" w:hAnsi="Arial"/>
                <w:sz w:val="18"/>
                <w:szCs w:val="18"/>
                <w:b w:val="1"/>
                <w:bCs w:val="1"/>
                <w:color w:val="FFFFFF"/>
                <w:vertAlign w:val="superscript"/>
              </w:rPr>
              <w:t>(1)</w:t>
            </w:r>
          </w:p>
        </w:tc>
        <w:tc>
          <w:tcPr>
            <w:tcW w:w="900" w:type="dxa"/>
            <w:vAlign w:val="bottom"/>
            <w:tcBorders>
              <w:top w:val="single" w:sz="8" w:color="auto"/>
            </w:tcBorders>
            <w:shd w:val="clear" w:color="auto" w:fill="33CCCC"/>
          </w:tcPr>
          <w:p>
            <w:pPr>
              <w:spacing w:after="0"/>
              <w:rPr>
                <w:sz w:val="13"/>
                <w:szCs w:val="13"/>
                <w:color w:val="auto"/>
              </w:rPr>
            </w:pPr>
          </w:p>
        </w:tc>
        <w:tc>
          <w:tcPr>
            <w:tcW w:w="920" w:type="dxa"/>
            <w:vAlign w:val="bottom"/>
            <w:tcBorders>
              <w:top w:val="single" w:sz="8" w:color="auto"/>
            </w:tcBorders>
            <w:shd w:val="clear" w:color="auto" w:fill="33CCCC"/>
          </w:tcPr>
          <w:p>
            <w:pPr>
              <w:ind w:left="200"/>
              <w:spacing w:after="0" w:line="156" w:lineRule="exact"/>
              <w:rPr>
                <w:sz w:val="20"/>
                <w:szCs w:val="20"/>
                <w:color w:val="auto"/>
              </w:rPr>
            </w:pPr>
            <w:r>
              <w:rPr>
                <w:rFonts w:ascii="Arial" w:cs="Arial" w:eastAsia="Arial" w:hAnsi="Arial"/>
                <w:sz w:val="14"/>
                <w:szCs w:val="14"/>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3"/>
                <w:szCs w:val="13"/>
                <w:color w:val="auto"/>
              </w:rPr>
            </w:pPr>
          </w:p>
        </w:tc>
        <w:tc>
          <w:tcPr>
            <w:tcW w:w="1840" w:type="dxa"/>
            <w:vAlign w:val="bottom"/>
            <w:tcBorders>
              <w:top w:val="single" w:sz="8" w:color="auto"/>
              <w:right w:val="single" w:sz="8" w:color="auto"/>
            </w:tcBorders>
            <w:gridSpan w:val="2"/>
            <w:shd w:val="clear" w:color="auto" w:fill="33CCCC"/>
          </w:tcPr>
          <w:p>
            <w:pPr>
              <w:ind w:left="560"/>
              <w:spacing w:after="0" w:line="156" w:lineRule="exact"/>
              <w:rPr>
                <w:sz w:val="20"/>
                <w:szCs w:val="20"/>
                <w:color w:val="auto"/>
              </w:rPr>
            </w:pPr>
            <w:r>
              <w:rPr>
                <w:rFonts w:ascii="Arial" w:cs="Arial" w:eastAsia="Arial" w:hAnsi="Arial"/>
                <w:sz w:val="14"/>
                <w:szCs w:val="14"/>
                <w:b w:val="1"/>
                <w:bCs w:val="1"/>
                <w:color w:val="FFFFFF"/>
              </w:rPr>
              <w:t>% Change</w:t>
            </w:r>
          </w:p>
        </w:tc>
        <w:tc>
          <w:tcPr>
            <w:tcW w:w="1840" w:type="dxa"/>
            <w:vAlign w:val="bottom"/>
            <w:tcBorders>
              <w:top w:val="single" w:sz="8" w:color="auto"/>
              <w:right w:val="single" w:sz="8" w:color="auto"/>
            </w:tcBorders>
            <w:gridSpan w:val="2"/>
            <w:shd w:val="clear" w:color="auto" w:fill="33CCCC"/>
          </w:tcPr>
          <w:p>
            <w:pPr>
              <w:ind w:left="720"/>
              <w:spacing w:after="0" w:line="156" w:lineRule="exact"/>
              <w:rPr>
                <w:sz w:val="20"/>
                <w:szCs w:val="20"/>
                <w:color w:val="auto"/>
              </w:rPr>
            </w:pPr>
            <w:r>
              <w:rPr>
                <w:rFonts w:ascii="Arial" w:cs="Arial" w:eastAsia="Arial" w:hAnsi="Arial"/>
                <w:sz w:val="14"/>
                <w:szCs w:val="14"/>
                <w:b w:val="1"/>
                <w:bCs w:val="1"/>
                <w:color w:val="FFFFFF"/>
              </w:rPr>
              <w:t>Up to</w:t>
            </w:r>
          </w:p>
        </w:tc>
        <w:tc>
          <w:tcPr>
            <w:tcW w:w="1220" w:type="dxa"/>
            <w:vAlign w:val="bottom"/>
            <w:tcBorders>
              <w:top w:val="single" w:sz="8" w:color="auto"/>
              <w:right w:val="single" w:sz="8" w:color="auto"/>
            </w:tcBorders>
            <w:shd w:val="clear" w:color="auto" w:fill="33CCCC"/>
          </w:tcPr>
          <w:p>
            <w:pPr>
              <w:jc w:val="center"/>
              <w:spacing w:after="0" w:line="156" w:lineRule="exact"/>
              <w:rPr>
                <w:sz w:val="20"/>
                <w:szCs w:val="20"/>
                <w:color w:val="auto"/>
              </w:rPr>
            </w:pPr>
            <w:r>
              <w:rPr>
                <w:rFonts w:ascii="Arial" w:cs="Arial" w:eastAsia="Arial" w:hAnsi="Arial"/>
                <w:sz w:val="14"/>
                <w:szCs w:val="14"/>
                <w:b w:val="1"/>
                <w:bCs w:val="1"/>
                <w:color w:val="FFFFFF"/>
              </w:rPr>
              <w:t>% change</w:t>
            </w:r>
          </w:p>
        </w:tc>
      </w:tr>
      <w:tr>
        <w:trPr>
          <w:trHeight w:val="162"/>
        </w:trPr>
        <w:tc>
          <w:tcPr>
            <w:tcW w:w="362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4"/>
                <w:szCs w:val="14"/>
                <w:b w:val="1"/>
                <w:bCs w:val="1"/>
                <w:color w:val="FFFFFF"/>
              </w:rPr>
              <w:t>(S/ 000)</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4Q24</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3Q25</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4Q25</w:t>
            </w:r>
          </w:p>
        </w:tc>
        <w:tc>
          <w:tcPr>
            <w:tcW w:w="88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4"/>
                <w:szCs w:val="14"/>
                <w:b w:val="1"/>
                <w:bCs w:val="1"/>
                <w:color w:val="FFFFFF"/>
              </w:rPr>
              <w:t>QoQ</w:t>
            </w:r>
          </w:p>
        </w:tc>
        <w:tc>
          <w:tcPr>
            <w:tcW w:w="9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YoY</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24</w:t>
            </w:r>
          </w:p>
        </w:tc>
        <w:tc>
          <w:tcPr>
            <w:tcW w:w="9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25</w:t>
            </w:r>
          </w:p>
        </w:tc>
        <w:tc>
          <w:tcPr>
            <w:tcW w:w="12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Dec 25 / Dec 24</w:t>
            </w:r>
          </w:p>
        </w:tc>
      </w:tr>
      <w:tr>
        <w:trPr>
          <w:trHeight w:val="142"/>
        </w:trPr>
        <w:tc>
          <w:tcPr>
            <w:tcW w:w="3620" w:type="dxa"/>
            <w:vAlign w:val="bottom"/>
            <w:tcBorders>
              <w:left w:val="single" w:sz="8" w:color="auto"/>
              <w:right w:val="single" w:sz="8" w:color="auto"/>
            </w:tcBorders>
          </w:tcPr>
          <w:p>
            <w:pPr>
              <w:spacing w:after="0" w:line="143" w:lineRule="exact"/>
              <w:rPr>
                <w:sz w:val="20"/>
                <w:szCs w:val="20"/>
                <w:color w:val="auto"/>
              </w:rPr>
            </w:pPr>
            <w:r>
              <w:rPr>
                <w:rFonts w:ascii="Arial" w:cs="Arial" w:eastAsia="Arial" w:hAnsi="Arial"/>
                <w:sz w:val="14"/>
                <w:szCs w:val="14"/>
                <w:color w:val="auto"/>
              </w:rPr>
              <w:t>Fee Income</w:t>
            </w: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rPr>
              <w:t>973,339</w:t>
            </w:r>
          </w:p>
        </w:tc>
        <w:tc>
          <w:tcPr>
            <w:tcW w:w="920" w:type="dxa"/>
            <w:vAlign w:val="bottom"/>
          </w:tcPr>
          <w:p>
            <w:pPr>
              <w:jc w:val="center"/>
              <w:spacing w:after="0" w:line="143" w:lineRule="exact"/>
              <w:rPr>
                <w:sz w:val="20"/>
                <w:szCs w:val="20"/>
                <w:color w:val="auto"/>
              </w:rPr>
            </w:pPr>
            <w:r>
              <w:rPr>
                <w:rFonts w:ascii="Arial" w:cs="Arial" w:eastAsia="Arial" w:hAnsi="Arial"/>
                <w:sz w:val="14"/>
                <w:szCs w:val="14"/>
                <w:color w:val="auto"/>
              </w:rPr>
              <w:t>1,063,032</w:t>
            </w:r>
          </w:p>
        </w:tc>
        <w:tc>
          <w:tcPr>
            <w:tcW w:w="9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6"/>
              </w:rPr>
              <w:t>1,118,110</w:t>
            </w:r>
          </w:p>
        </w:tc>
        <w:tc>
          <w:tcPr>
            <w:tcW w:w="880" w:type="dxa"/>
            <w:vAlign w:val="bottom"/>
          </w:tcPr>
          <w:p>
            <w:pPr>
              <w:ind w:left="280"/>
              <w:spacing w:after="0" w:line="143" w:lineRule="exact"/>
              <w:rPr>
                <w:sz w:val="20"/>
                <w:szCs w:val="20"/>
                <w:color w:val="auto"/>
              </w:rPr>
            </w:pPr>
            <w:r>
              <w:rPr>
                <w:rFonts w:ascii="Arial" w:cs="Arial" w:eastAsia="Arial" w:hAnsi="Arial"/>
                <w:sz w:val="14"/>
                <w:szCs w:val="14"/>
                <w:color w:val="auto"/>
              </w:rPr>
              <w:t>5.2%</w:t>
            </w:r>
          </w:p>
        </w:tc>
        <w:tc>
          <w:tcPr>
            <w:tcW w:w="9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14.9%</w:t>
            </w: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rPr>
              <w:t>3,759,950</w:t>
            </w:r>
          </w:p>
        </w:tc>
        <w:tc>
          <w:tcPr>
            <w:tcW w:w="9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4,199,719</w:t>
            </w:r>
          </w:p>
        </w:tc>
        <w:tc>
          <w:tcPr>
            <w:tcW w:w="12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11.7%</w:t>
            </w:r>
          </w:p>
        </w:tc>
      </w:tr>
      <w:tr>
        <w:trPr>
          <w:trHeight w:val="175"/>
        </w:trPr>
        <w:tc>
          <w:tcPr>
            <w:tcW w:w="3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Net Gain on Foreign Exchange Transactions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385,230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394,572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426,916</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8.2%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1,359,805</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1,542,318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13.4%</w:t>
            </w:r>
          </w:p>
        </w:tc>
      </w:tr>
      <w:tr>
        <w:trPr>
          <w:trHeight w:val="155"/>
        </w:trPr>
        <w:tc>
          <w:tcPr>
            <w:tcW w:w="3620" w:type="dxa"/>
            <w:vAlign w:val="bottom"/>
            <w:tcBorders>
              <w:left w:val="single" w:sz="8" w:color="auto"/>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Other Core Income</w:t>
            </w: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1,358,569</w:t>
            </w:r>
          </w:p>
        </w:tc>
        <w:tc>
          <w:tcPr>
            <w:tcW w:w="9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1,457,604</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1,545,026</w:t>
            </w:r>
          </w:p>
        </w:tc>
        <w:tc>
          <w:tcPr>
            <w:tcW w:w="88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6.0%</w:t>
            </w:r>
          </w:p>
        </w:tc>
        <w:tc>
          <w:tcPr>
            <w:tcW w:w="9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13.7%</w:t>
            </w: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5,119,755</w:t>
            </w:r>
          </w:p>
        </w:tc>
        <w:tc>
          <w:tcPr>
            <w:tcW w:w="9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5,742,037</w:t>
            </w:r>
          </w:p>
        </w:tc>
        <w:tc>
          <w:tcPr>
            <w:tcW w:w="12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12.2%</w:t>
            </w:r>
          </w:p>
        </w:tc>
      </w:tr>
    </w:tbl>
    <w:p>
      <w:pPr>
        <w:ind w:left="7" w:right="200" w:hanging="7"/>
        <w:spacing w:after="0" w:line="245" w:lineRule="auto"/>
        <w:tabs>
          <w:tab w:leader="none" w:pos="182" w:val="left"/>
        </w:tabs>
        <w:numPr>
          <w:ilvl w:val="0"/>
          <w:numId w:val="30"/>
        </w:numPr>
        <w:rPr>
          <w:rFonts w:ascii="Arial" w:cs="Arial" w:eastAsia="Arial" w:hAnsi="Arial"/>
          <w:sz w:val="12"/>
          <w:szCs w:val="12"/>
          <w:color w:val="auto"/>
        </w:rPr>
      </w:pPr>
      <w:r>
        <w:rPr>
          <w:rFonts w:ascii="Arial" w:cs="Arial" w:eastAsia="Arial" w:hAnsi="Arial"/>
          <w:sz w:val="12"/>
          <w:szCs w:val="12"/>
          <w:color w:val="auto"/>
        </w:rPr>
        <w:t>Beginning in 1Q25, accounting reclassifications have been incorporated affecting Fee Income, Net Gain on Foreign Exchange Transactions, and Net Gain on Derivatives Held for Trading. Prior periods have been restated for comparability and may differ from previously reported figures.</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8"/>
          <w:szCs w:val="18"/>
          <w:color w:val="auto"/>
        </w:rPr>
        <w:t>Other Core Income evolved as follows:</w:t>
      </w:r>
    </w:p>
    <w:p>
      <w:pPr>
        <w:spacing w:after="0" w:line="196" w:lineRule="exact"/>
        <w:rPr>
          <w:sz w:val="20"/>
          <w:szCs w:val="20"/>
          <w:color w:val="auto"/>
        </w:rPr>
      </w:pPr>
    </w:p>
    <w:p>
      <w:pPr>
        <w:jc w:val="both"/>
        <w:ind w:left="647" w:hanging="328"/>
        <w:spacing w:after="0" w:line="249" w:lineRule="auto"/>
        <w:tabs>
          <w:tab w:leader="none" w:pos="647"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QoQ</w:t>
      </w:r>
      <w:r>
        <w:rPr>
          <w:rFonts w:ascii="Arial" w:cs="Arial" w:eastAsia="Arial" w:hAnsi="Arial"/>
          <w:sz w:val="18"/>
          <w:szCs w:val="18"/>
          <w:color w:val="auto"/>
        </w:rPr>
        <w:t>,</w:t>
      </w:r>
      <w:r>
        <w:rPr>
          <w:rFonts w:ascii="Arial" w:cs="Arial" w:eastAsia="Arial" w:hAnsi="Arial"/>
          <w:sz w:val="18"/>
          <w:szCs w:val="18"/>
          <w:b w:val="1"/>
          <w:bCs w:val="1"/>
          <w:color w:val="auto"/>
        </w:rPr>
        <w:t xml:space="preserve"> Other Core Income </w:t>
      </w:r>
      <w:r>
        <w:rPr>
          <w:rFonts w:ascii="Arial" w:cs="Arial" w:eastAsia="Arial" w:hAnsi="Arial"/>
          <w:sz w:val="18"/>
          <w:szCs w:val="18"/>
          <w:color w:val="auto"/>
        </w:rPr>
        <w:t>continued to follow un upward trend. Key drivers this quarter were</w:t>
      </w:r>
      <w:r>
        <w:rPr>
          <w:rFonts w:ascii="Arial" w:cs="Arial" w:eastAsia="Arial" w:hAnsi="Arial"/>
          <w:sz w:val="18"/>
          <w:szCs w:val="18"/>
          <w:b w:val="1"/>
          <w:bCs w:val="1"/>
          <w:color w:val="auto"/>
        </w:rPr>
        <w:t xml:space="preserve"> Fee Income </w:t>
      </w:r>
      <w:r>
        <w:rPr>
          <w:rFonts w:ascii="Arial" w:cs="Arial" w:eastAsia="Arial" w:hAnsi="Arial"/>
          <w:sz w:val="18"/>
          <w:szCs w:val="18"/>
          <w:color w:val="auto"/>
        </w:rPr>
        <w:t>(+5.2%) and the</w:t>
      </w:r>
      <w:r>
        <w:rPr>
          <w:rFonts w:ascii="Arial" w:cs="Arial" w:eastAsia="Arial" w:hAnsi="Arial"/>
          <w:sz w:val="18"/>
          <w:szCs w:val="18"/>
          <w:b w:val="1"/>
          <w:bCs w:val="1"/>
          <w:color w:val="auto"/>
        </w:rPr>
        <w:t xml:space="preserve"> Net Gain on Foreign Exchange Transactions </w:t>
      </w:r>
      <w:r>
        <w:rPr>
          <w:rFonts w:ascii="Arial" w:cs="Arial" w:eastAsia="Arial" w:hAnsi="Arial"/>
          <w:sz w:val="18"/>
          <w:szCs w:val="18"/>
          <w:color w:val="auto"/>
        </w:rPr>
        <w:t>(+8.2%), which once again hit record highs at</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Favorable results from FX</w:t>
      </w:r>
      <w:r>
        <w:rPr>
          <w:rFonts w:ascii="Arial" w:cs="Arial" w:eastAsia="Arial" w:hAnsi="Arial"/>
          <w:sz w:val="18"/>
          <w:szCs w:val="18"/>
          <w:b w:val="1"/>
          <w:bCs w:val="1"/>
          <w:color w:val="auto"/>
        </w:rPr>
        <w:t xml:space="preserve"> </w:t>
      </w:r>
      <w:r>
        <w:rPr>
          <w:rFonts w:ascii="Arial" w:cs="Arial" w:eastAsia="Arial" w:hAnsi="Arial"/>
          <w:sz w:val="18"/>
          <w:szCs w:val="18"/>
          <w:color w:val="auto"/>
        </w:rPr>
        <w:t>gains were driven by growth in transactions, which rose on the back of exchange rate volatility this quarter, where the Sol appreciated 3% (USDPEN 3.36 in Dec 25 vs USDPEN 3.47) against the US Dollar.</w:t>
      </w:r>
    </w:p>
    <w:p>
      <w:pPr>
        <w:spacing w:after="0" w:line="153" w:lineRule="exact"/>
        <w:rPr>
          <w:rFonts w:ascii="Arial" w:cs="Arial" w:eastAsia="Arial" w:hAnsi="Arial"/>
          <w:sz w:val="18"/>
          <w:szCs w:val="18"/>
          <w:color w:val="auto"/>
        </w:rPr>
      </w:pPr>
    </w:p>
    <w:p>
      <w:pPr>
        <w:jc w:val="both"/>
        <w:ind w:left="647" w:hanging="328"/>
        <w:spacing w:after="0" w:line="252" w:lineRule="auto"/>
        <w:tabs>
          <w:tab w:leader="none" w:pos="647"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YoY</w:t>
      </w:r>
      <w:r>
        <w:rPr>
          <w:rFonts w:ascii="Arial" w:cs="Arial" w:eastAsia="Arial" w:hAnsi="Arial"/>
          <w:sz w:val="18"/>
          <w:szCs w:val="18"/>
          <w:color w:val="auto"/>
        </w:rPr>
        <w:t>, expansion was driven primarily by growth in</w:t>
      </w:r>
      <w:r>
        <w:rPr>
          <w:rFonts w:ascii="Arial" w:cs="Arial" w:eastAsia="Arial" w:hAnsi="Arial"/>
          <w:sz w:val="18"/>
          <w:szCs w:val="18"/>
          <w:b w:val="1"/>
          <w:bCs w:val="1"/>
          <w:color w:val="auto"/>
        </w:rPr>
        <w:t xml:space="preserve"> Fee Income </w:t>
      </w:r>
      <w:r>
        <w:rPr>
          <w:rFonts w:ascii="Arial" w:cs="Arial" w:eastAsia="Arial" w:hAnsi="Arial"/>
          <w:sz w:val="18"/>
          <w:szCs w:val="18"/>
          <w:color w:val="auto"/>
        </w:rPr>
        <w:t>(+14.9%), whose dynamics will be discussed in the next section.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uptick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(+10.8%), was driven mainly by Retail Banking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reflecting better pricing strategies in Retail segments, as well as higher transactional volumes from Wholesale clients. To a lesser extent, growth was supported by </w:t>
      </w:r>
      <w:r>
        <w:rPr>
          <w:rFonts w:ascii="Arial" w:cs="Arial" w:eastAsia="Arial" w:hAnsi="Arial"/>
          <w:sz w:val="18"/>
          <w:szCs w:val="18"/>
          <w:b w:val="1"/>
          <w:bCs w:val="1"/>
          <w:color w:val="auto"/>
        </w:rPr>
        <w:t>Credicorp Capital,</w:t>
      </w:r>
      <w:r>
        <w:rPr>
          <w:rFonts w:ascii="Arial" w:cs="Arial" w:eastAsia="Arial" w:hAnsi="Arial"/>
          <w:sz w:val="18"/>
          <w:szCs w:val="18"/>
          <w:color w:val="auto"/>
        </w:rPr>
        <w:t xml:space="preserve"> primarily related to settlements from foreign currency sales in Colombia.</w:t>
      </w:r>
    </w:p>
    <w:p>
      <w:pPr>
        <w:spacing w:after="0" w:line="143" w:lineRule="exact"/>
        <w:rPr>
          <w:rFonts w:ascii="Arial" w:cs="Arial" w:eastAsia="Arial" w:hAnsi="Arial"/>
          <w:sz w:val="18"/>
          <w:szCs w:val="18"/>
          <w:color w:val="auto"/>
        </w:rPr>
      </w:pPr>
    </w:p>
    <w:p>
      <w:pPr>
        <w:jc w:val="both"/>
        <w:ind w:left="647" w:hanging="328"/>
        <w:spacing w:after="0" w:line="243" w:lineRule="auto"/>
        <w:tabs>
          <w:tab w:leader="none" w:pos="647"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On a FY basis</w:t>
      </w:r>
      <w:r>
        <w:rPr>
          <w:rFonts w:ascii="Arial" w:cs="Arial" w:eastAsia="Arial" w:hAnsi="Arial"/>
          <w:sz w:val="18"/>
          <w:szCs w:val="18"/>
          <w:color w:val="auto"/>
        </w:rPr>
        <w:t>, growth was mainly driven by higher Fee Income (+11.7%) and a 13.4% increase in Net Gains from Foreign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supported by sustained growth in transactional volumes at BCP Stand-alone. While Wholesale client volumes grew by 50%, revenue growth was primarily driven by the Retail segments. The positive performance of these segments reflects the strengthening of digital channels—mobile banking, online banking, telecredit, and Yape—together with disciplined pricing and spread management, supported by more active commercial initiatives. As a result, the total number of clients served increased by 16%, while the number of transactions grew by 38%, underscoring the success of the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777240</wp:posOffset>
            </wp:positionV>
            <wp:extent cx="71577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117475</wp:posOffset>
            </wp:positionV>
            <wp:extent cx="6764020" cy="548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64020" cy="548640"/>
                    </a:xfrm>
                    <a:prstGeom prst="rect">
                      <a:avLst/>
                    </a:prstGeom>
                    <a:noFill/>
                  </pic:spPr>
                </pic:pic>
              </a:graphicData>
            </a:graphic>
          </wp:anchor>
        </w:drawing>
      </w:r>
    </w:p>
    <w:p>
      <w:pPr>
        <w:sectPr>
          <w:pgSz w:w="11920" w:h="16838" w:orient="portrait"/>
          <w:cols w:equalWidth="0" w:num="1">
            <w:col w:w="11267"/>
          </w:cols>
          <w:pgMar w:left="333" w:top="135" w:right="318" w:bottom="1440" w:gutter="0" w:footer="0" w:header="0"/>
        </w:sectPr>
      </w:pPr>
    </w:p>
    <w:bookmarkStart w:id="35" w:name="page36"/>
    <w:bookmarkEnd w:id="35"/>
    <w:p>
      <w:pPr>
        <w:ind w:left="2707"/>
        <w:spacing w:after="0"/>
        <w:tabs>
          <w:tab w:leader="none" w:pos="2967" w:val="left"/>
          <w:tab w:leader="none" w:pos="944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6172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393" w:lineRule="exact"/>
        <w:rPr>
          <w:sz w:val="20"/>
          <w:szCs w:val="20"/>
          <w:color w:val="auto"/>
        </w:rPr>
      </w:pPr>
    </w:p>
    <w:p>
      <w:pPr>
        <w:ind w:left="27"/>
        <w:spacing w:after="0"/>
        <w:rPr>
          <w:sz w:val="20"/>
          <w:szCs w:val="20"/>
          <w:color w:val="auto"/>
        </w:rPr>
      </w:pPr>
      <w:r>
        <w:rPr>
          <w:rFonts w:ascii="Arial" w:cs="Arial" w:eastAsia="Arial" w:hAnsi="Arial"/>
          <w:sz w:val="22"/>
          <w:szCs w:val="22"/>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577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154305"/>
                    </a:xfrm>
                    <a:prstGeom prst="rect">
                      <a:avLst/>
                    </a:prstGeom>
                    <a:noFill/>
                  </pic:spPr>
                </pic:pic>
              </a:graphicData>
            </a:graphic>
          </wp:anchor>
        </w:drawing>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Fee Income by Subsidiary</w:t>
      </w:r>
    </w:p>
    <w:p>
      <w:pPr>
        <w:spacing w:after="0" w:line="20" w:lineRule="exact"/>
        <w:rPr>
          <w:sz w:val="20"/>
          <w:szCs w:val="20"/>
          <w:color w:val="auto"/>
        </w:rPr>
      </w:pPr>
    </w:p>
    <w:tbl>
      <w:tblPr>
        <w:tblLayout w:type="fixed"/>
        <w:tblInd w:w="17" w:type="dxa"/>
        <w:tblCellMar>
          <w:top w:w="0" w:type="dxa"/>
          <w:left w:w="0" w:type="dxa"/>
          <w:bottom w:w="0" w:type="dxa"/>
          <w:right w:w="0" w:type="dxa"/>
        </w:tblCellMar>
      </w:tblPr>
      <w:tr>
        <w:trPr>
          <w:trHeight w:val="123"/>
        </w:trPr>
        <w:tc>
          <w:tcPr>
            <w:tcW w:w="3060" w:type="dxa"/>
            <w:vAlign w:val="bottom"/>
            <w:tcBorders>
              <w:top w:val="single" w:sz="8" w:color="auto"/>
              <w:left w:val="single" w:sz="8" w:color="auto"/>
              <w:right w:val="single" w:sz="8" w:color="auto"/>
            </w:tcBorders>
            <w:shd w:val="clear" w:color="auto" w:fill="33CCCC"/>
          </w:tcPr>
          <w:p>
            <w:pPr>
              <w:spacing w:after="0" w:line="123" w:lineRule="exact"/>
              <w:rPr>
                <w:sz w:val="20"/>
                <w:szCs w:val="20"/>
                <w:color w:val="auto"/>
              </w:rPr>
            </w:pPr>
            <w:r>
              <w:rPr>
                <w:rFonts w:ascii="Arial" w:cs="Arial" w:eastAsia="Arial" w:hAnsi="Arial"/>
                <w:sz w:val="13"/>
                <w:szCs w:val="13"/>
                <w:b w:val="1"/>
                <w:bCs w:val="1"/>
                <w:color w:val="FFFFFF"/>
              </w:rPr>
              <w:t>Fee Income by Subsidiary</w:t>
            </w:r>
          </w:p>
        </w:tc>
        <w:tc>
          <w:tcPr>
            <w:tcW w:w="1000" w:type="dxa"/>
            <w:vAlign w:val="bottom"/>
            <w:tcBorders>
              <w:top w:val="single" w:sz="8" w:color="auto"/>
            </w:tcBorders>
            <w:shd w:val="clear" w:color="auto" w:fill="33CCCC"/>
          </w:tcPr>
          <w:p>
            <w:pPr>
              <w:spacing w:after="0"/>
              <w:rPr>
                <w:sz w:val="10"/>
                <w:szCs w:val="10"/>
                <w:color w:val="auto"/>
              </w:rPr>
            </w:pPr>
          </w:p>
        </w:tc>
        <w:tc>
          <w:tcPr>
            <w:tcW w:w="1000" w:type="dxa"/>
            <w:vAlign w:val="bottom"/>
            <w:tcBorders>
              <w:top w:val="single" w:sz="8" w:color="auto"/>
            </w:tcBorders>
            <w:shd w:val="clear" w:color="auto" w:fill="33CCCC"/>
          </w:tcPr>
          <w:p>
            <w:pPr>
              <w:ind w:left="260"/>
              <w:spacing w:after="0" w:line="123" w:lineRule="exact"/>
              <w:rPr>
                <w:sz w:val="20"/>
                <w:szCs w:val="20"/>
                <w:color w:val="auto"/>
              </w:rPr>
            </w:pPr>
            <w:r>
              <w:rPr>
                <w:rFonts w:ascii="Arial" w:cs="Arial" w:eastAsia="Arial" w:hAnsi="Arial"/>
                <w:sz w:val="13"/>
                <w:szCs w:val="13"/>
                <w:b w:val="1"/>
                <w:bCs w:val="1"/>
                <w:color w:val="FFFFFF"/>
              </w:rPr>
              <w:t>Quarter</w:t>
            </w:r>
          </w:p>
        </w:tc>
        <w:tc>
          <w:tcPr>
            <w:tcW w:w="1020" w:type="dxa"/>
            <w:vAlign w:val="bottom"/>
            <w:tcBorders>
              <w:top w:val="single" w:sz="8" w:color="auto"/>
              <w:right w:val="single" w:sz="8" w:color="auto"/>
            </w:tcBorders>
            <w:shd w:val="clear" w:color="auto" w:fill="33CCCC"/>
          </w:tcPr>
          <w:p>
            <w:pPr>
              <w:spacing w:after="0"/>
              <w:rPr>
                <w:sz w:val="10"/>
                <w:szCs w:val="10"/>
                <w:color w:val="auto"/>
              </w:rPr>
            </w:pPr>
          </w:p>
        </w:tc>
        <w:tc>
          <w:tcPr>
            <w:tcW w:w="1700" w:type="dxa"/>
            <w:vAlign w:val="bottom"/>
            <w:tcBorders>
              <w:top w:val="single" w:sz="8" w:color="auto"/>
              <w:right w:val="single" w:sz="8" w:color="auto"/>
            </w:tcBorders>
            <w:gridSpan w:val="2"/>
            <w:shd w:val="clear" w:color="auto" w:fill="33CCCC"/>
          </w:tcPr>
          <w:p>
            <w:pPr>
              <w:ind w:left="520"/>
              <w:spacing w:after="0" w:line="123" w:lineRule="exact"/>
              <w:rPr>
                <w:sz w:val="20"/>
                <w:szCs w:val="20"/>
                <w:color w:val="auto"/>
              </w:rPr>
            </w:pPr>
            <w:r>
              <w:rPr>
                <w:rFonts w:ascii="Arial" w:cs="Arial" w:eastAsia="Arial" w:hAnsi="Arial"/>
                <w:sz w:val="13"/>
                <w:szCs w:val="13"/>
                <w:b w:val="1"/>
                <w:bCs w:val="1"/>
                <w:color w:val="FFFFFF"/>
              </w:rPr>
              <w:t>% Change</w:t>
            </w:r>
          </w:p>
        </w:tc>
        <w:tc>
          <w:tcPr>
            <w:tcW w:w="820" w:type="dxa"/>
            <w:vAlign w:val="bottom"/>
            <w:tcBorders>
              <w:top w:val="single" w:sz="8" w:color="auto"/>
            </w:tcBorders>
            <w:shd w:val="clear" w:color="auto" w:fill="33CCCC"/>
          </w:tcPr>
          <w:p>
            <w:pPr>
              <w:spacing w:after="0"/>
              <w:rPr>
                <w:sz w:val="10"/>
                <w:szCs w:val="10"/>
                <w:color w:val="auto"/>
              </w:rPr>
            </w:pPr>
          </w:p>
        </w:tc>
        <w:tc>
          <w:tcPr>
            <w:tcW w:w="1200" w:type="dxa"/>
            <w:vAlign w:val="bottom"/>
            <w:tcBorders>
              <w:top w:val="single" w:sz="8" w:color="auto"/>
              <w:right w:val="single" w:sz="8" w:color="auto"/>
            </w:tcBorders>
            <w:shd w:val="clear" w:color="auto" w:fill="33CCCC"/>
          </w:tcPr>
          <w:p>
            <w:pPr>
              <w:spacing w:after="0" w:line="123" w:lineRule="exact"/>
              <w:rPr>
                <w:sz w:val="20"/>
                <w:szCs w:val="20"/>
                <w:color w:val="auto"/>
              </w:rPr>
            </w:pPr>
            <w:r>
              <w:rPr>
                <w:rFonts w:ascii="Arial" w:cs="Arial" w:eastAsia="Arial" w:hAnsi="Arial"/>
                <w:sz w:val="13"/>
                <w:szCs w:val="13"/>
                <w:b w:val="1"/>
                <w:bCs w:val="1"/>
                <w:color w:val="FFFFFF"/>
              </w:rPr>
              <w:t>Up to</w:t>
            </w:r>
          </w:p>
        </w:tc>
        <w:tc>
          <w:tcPr>
            <w:tcW w:w="1480" w:type="dxa"/>
            <w:vAlign w:val="bottom"/>
            <w:tcBorders>
              <w:top w:val="single" w:sz="8" w:color="auto"/>
              <w:right w:val="single" w:sz="8" w:color="auto"/>
            </w:tcBorders>
            <w:shd w:val="clear" w:color="auto" w:fill="33CCCC"/>
          </w:tcPr>
          <w:p>
            <w:pPr>
              <w:jc w:val="center"/>
              <w:spacing w:after="0" w:line="123" w:lineRule="exact"/>
              <w:rPr>
                <w:sz w:val="20"/>
                <w:szCs w:val="20"/>
                <w:color w:val="auto"/>
              </w:rPr>
            </w:pPr>
            <w:r>
              <w:rPr>
                <w:rFonts w:ascii="Arial" w:cs="Arial" w:eastAsia="Arial" w:hAnsi="Arial"/>
                <w:sz w:val="13"/>
                <w:szCs w:val="13"/>
                <w:b w:val="1"/>
                <w:bCs w:val="1"/>
                <w:color w:val="FFFFFF"/>
              </w:rPr>
              <w:t>% Change</w:t>
            </w:r>
          </w:p>
        </w:tc>
      </w:tr>
      <w:tr>
        <w:trPr>
          <w:trHeight w:val="167"/>
        </w:trPr>
        <w:tc>
          <w:tcPr>
            <w:tcW w:w="306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 000)</w:t>
            </w: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4Q25</w:t>
            </w:r>
          </w:p>
        </w:tc>
        <w:tc>
          <w:tcPr>
            <w:tcW w:w="88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3"/>
                <w:szCs w:val="13"/>
                <w:b w:val="1"/>
                <w:bCs w:val="1"/>
                <w:color w:val="FFFFFF"/>
              </w:rPr>
              <w:t>QoQ</w:t>
            </w:r>
          </w:p>
        </w:tc>
        <w:tc>
          <w:tcPr>
            <w:tcW w:w="820" w:type="dxa"/>
            <w:vAlign w:val="bottom"/>
            <w:tcBorders>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3"/>
                <w:szCs w:val="13"/>
                <w:b w:val="1"/>
                <w:bCs w:val="1"/>
                <w:color w:val="FFFFFF"/>
              </w:rPr>
              <w:t>YoY</w:t>
            </w:r>
          </w:p>
        </w:tc>
        <w:tc>
          <w:tcPr>
            <w:tcW w:w="820" w:type="dxa"/>
            <w:vAlign w:val="bottom"/>
            <w:tcBorders>
              <w:bottom w:val="single" w:sz="8" w:color="auto"/>
            </w:tcBorders>
            <w:shd w:val="clear" w:color="auto" w:fill="33CCCC"/>
          </w:tcPr>
          <w:p>
            <w:pPr>
              <w:ind w:left="280"/>
              <w:spacing w:after="0"/>
              <w:rPr>
                <w:sz w:val="20"/>
                <w:szCs w:val="20"/>
                <w:color w:val="auto"/>
              </w:rPr>
            </w:pPr>
            <w:r>
              <w:rPr>
                <w:rFonts w:ascii="Arial" w:cs="Arial" w:eastAsia="Arial" w:hAnsi="Arial"/>
                <w:sz w:val="13"/>
                <w:szCs w:val="13"/>
                <w:b w:val="1"/>
                <w:bCs w:val="1"/>
                <w:color w:val="FFFFFF"/>
              </w:rPr>
              <w:t>Dec 24</w:t>
            </w:r>
          </w:p>
        </w:tc>
        <w:tc>
          <w:tcPr>
            <w:tcW w:w="120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3"/>
                <w:szCs w:val="13"/>
                <w:b w:val="1"/>
                <w:bCs w:val="1"/>
                <w:color w:val="FFFFFF"/>
              </w:rPr>
              <w:t>Dec 25</w:t>
            </w:r>
          </w:p>
        </w:tc>
        <w:tc>
          <w:tcPr>
            <w:tcW w:w="14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Dec 25 / Dec 24</w:t>
            </w:r>
          </w:p>
        </w:tc>
      </w:tr>
      <w:tr>
        <w:trPr>
          <w:trHeight w:val="128"/>
        </w:trPr>
        <w:tc>
          <w:tcPr>
            <w:tcW w:w="3060" w:type="dxa"/>
            <w:vAlign w:val="bottom"/>
            <w:tcBorders>
              <w:left w:val="single" w:sz="8" w:color="auto"/>
              <w:right w:val="single" w:sz="8" w:color="auto"/>
            </w:tcBorders>
          </w:tcPr>
          <w:p>
            <w:pPr>
              <w:spacing w:after="0" w:line="129" w:lineRule="exact"/>
              <w:rPr>
                <w:sz w:val="20"/>
                <w:szCs w:val="20"/>
                <w:color w:val="auto"/>
              </w:rPr>
            </w:pPr>
            <w:r>
              <w:rPr>
                <w:rFonts w:ascii="Arial" w:cs="Arial" w:eastAsia="Arial" w:hAnsi="Arial"/>
                <w:sz w:val="10"/>
                <w:szCs w:val="10"/>
                <w:color w:val="auto"/>
              </w:rPr>
              <w:t xml:space="preserve">BCP Stand-Alone </w:t>
            </w:r>
            <w:r>
              <w:rPr>
                <w:rFonts w:ascii="Arial" w:cs="Arial" w:eastAsia="Arial" w:hAnsi="Arial"/>
                <w:sz w:val="14"/>
                <w:szCs w:val="14"/>
                <w:color w:val="auto"/>
                <w:vertAlign w:val="superscript"/>
              </w:rPr>
              <w:t>(1)</w:t>
            </w:r>
          </w:p>
        </w:tc>
        <w:tc>
          <w:tcPr>
            <w:tcW w:w="1000" w:type="dxa"/>
            <w:vAlign w:val="bottom"/>
          </w:tcPr>
          <w:p>
            <w:pPr>
              <w:jc w:val="center"/>
              <w:spacing w:after="0" w:line="129" w:lineRule="exact"/>
              <w:rPr>
                <w:sz w:val="20"/>
                <w:szCs w:val="20"/>
                <w:color w:val="auto"/>
              </w:rPr>
            </w:pPr>
            <w:r>
              <w:rPr>
                <w:rFonts w:ascii="Arial" w:cs="Arial" w:eastAsia="Arial" w:hAnsi="Arial"/>
                <w:sz w:val="14"/>
                <w:szCs w:val="14"/>
                <w:color w:val="auto"/>
              </w:rPr>
              <w:t>809,060</w:t>
            </w:r>
          </w:p>
        </w:tc>
        <w:tc>
          <w:tcPr>
            <w:tcW w:w="1000" w:type="dxa"/>
            <w:vAlign w:val="bottom"/>
          </w:tcPr>
          <w:p>
            <w:pPr>
              <w:jc w:val="center"/>
              <w:spacing w:after="0" w:line="129" w:lineRule="exact"/>
              <w:rPr>
                <w:sz w:val="20"/>
                <w:szCs w:val="20"/>
                <w:color w:val="auto"/>
              </w:rPr>
            </w:pPr>
            <w:r>
              <w:rPr>
                <w:rFonts w:ascii="Arial" w:cs="Arial" w:eastAsia="Arial" w:hAnsi="Arial"/>
                <w:sz w:val="14"/>
                <w:szCs w:val="14"/>
                <w:color w:val="auto"/>
              </w:rPr>
              <w:t>873,187</w:t>
            </w:r>
          </w:p>
        </w:tc>
        <w:tc>
          <w:tcPr>
            <w:tcW w:w="10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924,682</w:t>
            </w:r>
          </w:p>
        </w:tc>
        <w:tc>
          <w:tcPr>
            <w:tcW w:w="880" w:type="dxa"/>
            <w:vAlign w:val="bottom"/>
          </w:tcPr>
          <w:p>
            <w:pPr>
              <w:jc w:val="center"/>
              <w:spacing w:after="0" w:line="129" w:lineRule="exact"/>
              <w:rPr>
                <w:sz w:val="20"/>
                <w:szCs w:val="20"/>
                <w:color w:val="auto"/>
              </w:rPr>
            </w:pPr>
            <w:r>
              <w:rPr>
                <w:rFonts w:ascii="Arial" w:cs="Arial" w:eastAsia="Arial" w:hAnsi="Arial"/>
                <w:sz w:val="14"/>
                <w:szCs w:val="14"/>
                <w:color w:val="auto"/>
              </w:rPr>
              <w:t>5.9%</w:t>
            </w:r>
          </w:p>
        </w:tc>
        <w:tc>
          <w:tcPr>
            <w:tcW w:w="8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14.3%</w:t>
            </w:r>
          </w:p>
        </w:tc>
        <w:tc>
          <w:tcPr>
            <w:tcW w:w="820" w:type="dxa"/>
            <w:vAlign w:val="bottom"/>
          </w:tcPr>
          <w:p>
            <w:pPr>
              <w:jc w:val="center"/>
              <w:ind w:left="108"/>
              <w:spacing w:after="0" w:line="129" w:lineRule="exact"/>
              <w:rPr>
                <w:sz w:val="20"/>
                <w:szCs w:val="20"/>
                <w:color w:val="auto"/>
              </w:rPr>
            </w:pPr>
            <w:r>
              <w:rPr>
                <w:rFonts w:ascii="Arial" w:cs="Arial" w:eastAsia="Arial" w:hAnsi="Arial"/>
                <w:sz w:val="14"/>
                <w:szCs w:val="14"/>
                <w:color w:val="auto"/>
              </w:rPr>
              <w:t>3,060,101</w:t>
            </w:r>
          </w:p>
        </w:tc>
        <w:tc>
          <w:tcPr>
            <w:tcW w:w="1200" w:type="dxa"/>
            <w:vAlign w:val="bottom"/>
            <w:tcBorders>
              <w:right w:val="single" w:sz="8" w:color="auto"/>
            </w:tcBorders>
          </w:tcPr>
          <w:p>
            <w:pPr>
              <w:jc w:val="center"/>
              <w:ind w:left="89"/>
              <w:spacing w:after="0" w:line="129" w:lineRule="exact"/>
              <w:rPr>
                <w:sz w:val="20"/>
                <w:szCs w:val="20"/>
                <w:color w:val="auto"/>
              </w:rPr>
            </w:pPr>
            <w:r>
              <w:rPr>
                <w:rFonts w:ascii="Arial" w:cs="Arial" w:eastAsia="Arial" w:hAnsi="Arial"/>
                <w:sz w:val="14"/>
                <w:szCs w:val="14"/>
                <w:color w:val="auto"/>
              </w:rPr>
              <w:t>3,483,016</w:t>
            </w:r>
          </w:p>
        </w:tc>
        <w:tc>
          <w:tcPr>
            <w:tcW w:w="14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13.8%</w:t>
            </w:r>
          </w:p>
        </w:tc>
      </w:tr>
      <w:tr>
        <w:trPr>
          <w:trHeight w:val="176"/>
        </w:trPr>
        <w:tc>
          <w:tcPr>
            <w:tcW w:w="306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3"/>
                <w:szCs w:val="13"/>
                <w:color w:val="auto"/>
              </w:rPr>
              <w:t xml:space="preserve">BCP Bolivia </w:t>
            </w:r>
            <w:r>
              <w:rPr>
                <w:rFonts w:ascii="Arial" w:cs="Arial" w:eastAsia="Arial" w:hAnsi="Arial"/>
                <w:sz w:val="20"/>
                <w:szCs w:val="20"/>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14,197</w:t>
            </w:r>
          </w:p>
        </w:tc>
        <w:tc>
          <w:tcPr>
            <w:tcW w:w="1000" w:type="dxa"/>
            <w:vAlign w:val="bottom"/>
          </w:tcPr>
          <w:p>
            <w:pPr>
              <w:jc w:val="center"/>
              <w:spacing w:after="0"/>
              <w:rPr>
                <w:sz w:val="20"/>
                <w:szCs w:val="20"/>
                <w:color w:val="auto"/>
              </w:rPr>
            </w:pPr>
            <w:r>
              <w:rPr>
                <w:rFonts w:ascii="Arial" w:cs="Arial" w:eastAsia="Arial" w:hAnsi="Arial"/>
                <w:sz w:val="14"/>
                <w:szCs w:val="14"/>
                <w:color w:val="auto"/>
              </w:rPr>
              <w:t>10,244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14,535</w:t>
            </w:r>
          </w:p>
        </w:tc>
        <w:tc>
          <w:tcPr>
            <w:tcW w:w="880" w:type="dxa"/>
            <w:vAlign w:val="bottom"/>
          </w:tcPr>
          <w:p>
            <w:pPr>
              <w:jc w:val="center"/>
              <w:spacing w:after="0"/>
              <w:rPr>
                <w:sz w:val="20"/>
                <w:szCs w:val="20"/>
                <w:color w:val="auto"/>
              </w:rPr>
            </w:pPr>
            <w:r>
              <w:rPr>
                <w:rFonts w:ascii="Arial" w:cs="Arial" w:eastAsia="Arial" w:hAnsi="Arial"/>
                <w:sz w:val="14"/>
                <w:szCs w:val="14"/>
                <w:color w:val="auto"/>
              </w:rPr>
              <w:t>41.9%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68,560</w:t>
            </w:r>
          </w:p>
        </w:tc>
        <w:tc>
          <w:tcPr>
            <w:tcW w:w="1200" w:type="dxa"/>
            <w:vAlign w:val="bottom"/>
            <w:tcBorders>
              <w:right w:val="single" w:sz="8" w:color="auto"/>
            </w:tcBorders>
          </w:tcPr>
          <w:p>
            <w:pPr>
              <w:jc w:val="center"/>
              <w:ind w:left="89"/>
              <w:spacing w:after="0"/>
              <w:rPr>
                <w:sz w:val="20"/>
                <w:szCs w:val="20"/>
                <w:color w:val="auto"/>
              </w:rPr>
            </w:pPr>
            <w:r>
              <w:rPr>
                <w:rFonts w:ascii="Arial" w:cs="Arial" w:eastAsia="Arial" w:hAnsi="Arial"/>
                <w:sz w:val="14"/>
                <w:szCs w:val="14"/>
                <w:color w:val="auto"/>
              </w:rPr>
              <w:t>52,175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-23.9%</w:t>
            </w:r>
          </w:p>
        </w:tc>
      </w:tr>
      <w:tr>
        <w:trPr>
          <w:trHeight w:val="162"/>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Mibanco</w:t>
            </w:r>
          </w:p>
        </w:tc>
        <w:tc>
          <w:tcPr>
            <w:tcW w:w="1000" w:type="dxa"/>
            <w:vAlign w:val="bottom"/>
          </w:tcPr>
          <w:p>
            <w:pPr>
              <w:jc w:val="center"/>
              <w:spacing w:after="0"/>
              <w:rPr>
                <w:sz w:val="20"/>
                <w:szCs w:val="20"/>
                <w:color w:val="auto"/>
              </w:rPr>
            </w:pPr>
            <w:r>
              <w:rPr>
                <w:rFonts w:ascii="Arial" w:cs="Arial" w:eastAsia="Arial" w:hAnsi="Arial"/>
                <w:sz w:val="14"/>
                <w:szCs w:val="14"/>
                <w:color w:val="auto"/>
              </w:rPr>
              <w:t>24,108</w:t>
            </w:r>
          </w:p>
        </w:tc>
        <w:tc>
          <w:tcPr>
            <w:tcW w:w="1000" w:type="dxa"/>
            <w:vAlign w:val="bottom"/>
          </w:tcPr>
          <w:p>
            <w:pPr>
              <w:jc w:val="center"/>
              <w:spacing w:after="0"/>
              <w:rPr>
                <w:sz w:val="20"/>
                <w:szCs w:val="20"/>
                <w:color w:val="auto"/>
              </w:rPr>
            </w:pPr>
            <w:r>
              <w:rPr>
                <w:rFonts w:ascii="Arial" w:cs="Arial" w:eastAsia="Arial" w:hAnsi="Arial"/>
                <w:sz w:val="14"/>
                <w:szCs w:val="14"/>
                <w:color w:val="auto"/>
              </w:rPr>
              <w:t>28,873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31,596</w:t>
            </w:r>
          </w:p>
        </w:tc>
        <w:tc>
          <w:tcPr>
            <w:tcW w:w="880" w:type="dxa"/>
            <w:vAlign w:val="bottom"/>
          </w:tcPr>
          <w:p>
            <w:pPr>
              <w:jc w:val="center"/>
              <w:spacing w:after="0"/>
              <w:rPr>
                <w:sz w:val="20"/>
                <w:szCs w:val="20"/>
                <w:color w:val="auto"/>
              </w:rPr>
            </w:pPr>
            <w:r>
              <w:rPr>
                <w:rFonts w:ascii="Arial" w:cs="Arial" w:eastAsia="Arial" w:hAnsi="Arial"/>
                <w:sz w:val="14"/>
                <w:szCs w:val="14"/>
                <w:color w:val="auto"/>
              </w:rPr>
              <w:t>9.4%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31.1%</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88,466</w:t>
            </w:r>
          </w:p>
        </w:tc>
        <w:tc>
          <w:tcPr>
            <w:tcW w:w="1200" w:type="dxa"/>
            <w:vAlign w:val="bottom"/>
            <w:tcBorders>
              <w:right w:val="single" w:sz="8" w:color="auto"/>
            </w:tcBorders>
          </w:tcPr>
          <w:p>
            <w:pPr>
              <w:jc w:val="center"/>
              <w:ind w:left="89"/>
              <w:spacing w:after="0"/>
              <w:rPr>
                <w:sz w:val="20"/>
                <w:szCs w:val="20"/>
                <w:color w:val="auto"/>
              </w:rPr>
            </w:pPr>
            <w:r>
              <w:rPr>
                <w:rFonts w:ascii="Arial" w:cs="Arial" w:eastAsia="Arial" w:hAnsi="Arial"/>
                <w:sz w:val="14"/>
                <w:szCs w:val="14"/>
                <w:color w:val="auto"/>
              </w:rPr>
              <w:t>116,441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31.6%</w:t>
            </w:r>
          </w:p>
        </w:tc>
      </w:tr>
      <w:tr>
        <w:trPr>
          <w:trHeight w:val="162"/>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Mibanco Colombia</w:t>
            </w:r>
          </w:p>
        </w:tc>
        <w:tc>
          <w:tcPr>
            <w:tcW w:w="1000" w:type="dxa"/>
            <w:vAlign w:val="bottom"/>
          </w:tcPr>
          <w:p>
            <w:pPr>
              <w:jc w:val="center"/>
              <w:spacing w:after="0"/>
              <w:rPr>
                <w:sz w:val="20"/>
                <w:szCs w:val="20"/>
                <w:color w:val="auto"/>
              </w:rPr>
            </w:pPr>
            <w:r>
              <w:rPr>
                <w:rFonts w:ascii="Arial" w:cs="Arial" w:eastAsia="Arial" w:hAnsi="Arial"/>
                <w:sz w:val="14"/>
                <w:szCs w:val="14"/>
                <w:color w:val="auto"/>
              </w:rPr>
              <w:t>11,356</w:t>
            </w:r>
          </w:p>
        </w:tc>
        <w:tc>
          <w:tcPr>
            <w:tcW w:w="1000" w:type="dxa"/>
            <w:vAlign w:val="bottom"/>
          </w:tcPr>
          <w:p>
            <w:pPr>
              <w:jc w:val="center"/>
              <w:spacing w:after="0"/>
              <w:rPr>
                <w:sz w:val="20"/>
                <w:szCs w:val="20"/>
                <w:color w:val="auto"/>
              </w:rPr>
            </w:pPr>
            <w:r>
              <w:rPr>
                <w:rFonts w:ascii="Arial" w:cs="Arial" w:eastAsia="Arial" w:hAnsi="Arial"/>
                <w:sz w:val="14"/>
                <w:szCs w:val="14"/>
                <w:color w:val="auto"/>
              </w:rPr>
              <w:t>14,314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16,744</w:t>
            </w:r>
          </w:p>
        </w:tc>
        <w:tc>
          <w:tcPr>
            <w:tcW w:w="880" w:type="dxa"/>
            <w:vAlign w:val="bottom"/>
          </w:tcPr>
          <w:p>
            <w:pPr>
              <w:jc w:val="center"/>
              <w:spacing w:after="0"/>
              <w:rPr>
                <w:sz w:val="20"/>
                <w:szCs w:val="20"/>
                <w:color w:val="auto"/>
              </w:rPr>
            </w:pPr>
            <w:r>
              <w:rPr>
                <w:rFonts w:ascii="Arial" w:cs="Arial" w:eastAsia="Arial" w:hAnsi="Arial"/>
                <w:sz w:val="14"/>
                <w:szCs w:val="14"/>
                <w:color w:val="auto"/>
              </w:rPr>
              <w:t>17.0%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47.4%</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45,982</w:t>
            </w:r>
          </w:p>
        </w:tc>
        <w:tc>
          <w:tcPr>
            <w:tcW w:w="1200" w:type="dxa"/>
            <w:vAlign w:val="bottom"/>
            <w:tcBorders>
              <w:right w:val="single" w:sz="8" w:color="auto"/>
            </w:tcBorders>
          </w:tcPr>
          <w:p>
            <w:pPr>
              <w:jc w:val="center"/>
              <w:ind w:left="89"/>
              <w:spacing w:after="0"/>
              <w:rPr>
                <w:sz w:val="20"/>
                <w:szCs w:val="20"/>
                <w:color w:val="auto"/>
              </w:rPr>
            </w:pPr>
            <w:r>
              <w:rPr>
                <w:rFonts w:ascii="Arial" w:cs="Arial" w:eastAsia="Arial" w:hAnsi="Arial"/>
                <w:sz w:val="14"/>
                <w:szCs w:val="14"/>
                <w:color w:val="auto"/>
              </w:rPr>
              <w:t>52,579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14.3%</w:t>
            </w:r>
          </w:p>
        </w:tc>
      </w:tr>
      <w:tr>
        <w:trPr>
          <w:trHeight w:val="162"/>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Pacífico</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(3,115)</w:t>
            </w:r>
          </w:p>
        </w:tc>
        <w:tc>
          <w:tcPr>
            <w:tcW w:w="1000" w:type="dxa"/>
            <w:vAlign w:val="bottom"/>
          </w:tcPr>
          <w:p>
            <w:pPr>
              <w:jc w:val="center"/>
              <w:spacing w:after="0"/>
              <w:rPr>
                <w:sz w:val="20"/>
                <w:szCs w:val="20"/>
                <w:color w:val="auto"/>
              </w:rPr>
            </w:pPr>
            <w:r>
              <w:rPr>
                <w:rFonts w:ascii="Arial" w:cs="Arial" w:eastAsia="Arial" w:hAnsi="Arial"/>
                <w:sz w:val="14"/>
                <w:szCs w:val="14"/>
                <w:color w:val="auto"/>
              </w:rPr>
              <w:t>(5,123)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(4,033)</w:t>
            </w:r>
          </w:p>
        </w:tc>
        <w:tc>
          <w:tcPr>
            <w:tcW w:w="880" w:type="dxa"/>
            <w:vAlign w:val="bottom"/>
          </w:tcPr>
          <w:p>
            <w:pPr>
              <w:jc w:val="center"/>
              <w:spacing w:after="0"/>
              <w:rPr>
                <w:sz w:val="20"/>
                <w:szCs w:val="20"/>
                <w:color w:val="auto"/>
              </w:rPr>
            </w:pPr>
            <w:r>
              <w:rPr>
                <w:rFonts w:ascii="Arial" w:cs="Arial" w:eastAsia="Arial" w:hAnsi="Arial"/>
                <w:sz w:val="14"/>
                <w:szCs w:val="14"/>
                <w:color w:val="auto"/>
              </w:rPr>
              <w:t>-21.3%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29.5%</w:t>
            </w:r>
          </w:p>
        </w:tc>
        <w:tc>
          <w:tcPr>
            <w:tcW w:w="820" w:type="dxa"/>
            <w:vAlign w:val="bottom"/>
          </w:tcPr>
          <w:p>
            <w:pPr>
              <w:jc w:val="center"/>
              <w:ind w:left="88"/>
              <w:spacing w:after="0"/>
              <w:rPr>
                <w:sz w:val="20"/>
                <w:szCs w:val="20"/>
                <w:color w:val="auto"/>
              </w:rPr>
            </w:pPr>
            <w:r>
              <w:rPr>
                <w:rFonts w:ascii="Arial" w:cs="Arial" w:eastAsia="Arial" w:hAnsi="Arial"/>
                <w:sz w:val="14"/>
                <w:szCs w:val="14"/>
                <w:color w:val="auto"/>
              </w:rPr>
              <w:t>(12,021)</w:t>
            </w:r>
          </w:p>
        </w:tc>
        <w:tc>
          <w:tcPr>
            <w:tcW w:w="1200" w:type="dxa"/>
            <w:vAlign w:val="bottom"/>
            <w:tcBorders>
              <w:right w:val="single" w:sz="8" w:color="auto"/>
            </w:tcBorders>
          </w:tcPr>
          <w:p>
            <w:pPr>
              <w:jc w:val="center"/>
              <w:ind w:left="69"/>
              <w:spacing w:after="0"/>
              <w:rPr>
                <w:sz w:val="20"/>
                <w:szCs w:val="20"/>
                <w:color w:val="auto"/>
              </w:rPr>
            </w:pPr>
            <w:r>
              <w:rPr>
                <w:rFonts w:ascii="Arial" w:cs="Arial" w:eastAsia="Arial" w:hAnsi="Arial"/>
                <w:sz w:val="14"/>
                <w:szCs w:val="14"/>
                <w:color w:val="auto"/>
              </w:rPr>
              <w:t>(19,199)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59.7%</w:t>
            </w:r>
          </w:p>
        </w:tc>
      </w:tr>
      <w:tr>
        <w:trPr>
          <w:trHeight w:val="162"/>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Prima</w:t>
            </w:r>
          </w:p>
        </w:tc>
        <w:tc>
          <w:tcPr>
            <w:tcW w:w="1000" w:type="dxa"/>
            <w:vAlign w:val="bottom"/>
          </w:tcPr>
          <w:p>
            <w:pPr>
              <w:jc w:val="center"/>
              <w:spacing w:after="0"/>
              <w:rPr>
                <w:sz w:val="20"/>
                <w:szCs w:val="20"/>
                <w:color w:val="auto"/>
              </w:rPr>
            </w:pPr>
            <w:r>
              <w:rPr>
                <w:rFonts w:ascii="Arial" w:cs="Arial" w:eastAsia="Arial" w:hAnsi="Arial"/>
                <w:sz w:val="14"/>
                <w:szCs w:val="14"/>
                <w:color w:val="auto"/>
              </w:rPr>
              <w:t>88,102</w:t>
            </w:r>
          </w:p>
        </w:tc>
        <w:tc>
          <w:tcPr>
            <w:tcW w:w="1000" w:type="dxa"/>
            <w:vAlign w:val="bottom"/>
          </w:tcPr>
          <w:p>
            <w:pPr>
              <w:jc w:val="center"/>
              <w:spacing w:after="0"/>
              <w:rPr>
                <w:sz w:val="20"/>
                <w:szCs w:val="20"/>
                <w:color w:val="auto"/>
              </w:rPr>
            </w:pPr>
            <w:r>
              <w:rPr>
                <w:rFonts w:ascii="Arial" w:cs="Arial" w:eastAsia="Arial" w:hAnsi="Arial"/>
                <w:sz w:val="14"/>
                <w:szCs w:val="14"/>
                <w:color w:val="auto"/>
              </w:rPr>
              <w:t>95,006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97,023</w:t>
            </w:r>
          </w:p>
        </w:tc>
        <w:tc>
          <w:tcPr>
            <w:tcW w:w="880" w:type="dxa"/>
            <w:vAlign w:val="bottom"/>
          </w:tcPr>
          <w:p>
            <w:pPr>
              <w:jc w:val="center"/>
              <w:spacing w:after="0"/>
              <w:rPr>
                <w:sz w:val="20"/>
                <w:szCs w:val="20"/>
                <w:color w:val="auto"/>
              </w:rPr>
            </w:pPr>
            <w:r>
              <w:rPr>
                <w:rFonts w:ascii="Arial" w:cs="Arial" w:eastAsia="Arial" w:hAnsi="Arial"/>
                <w:sz w:val="14"/>
                <w:szCs w:val="14"/>
                <w:color w:val="auto"/>
              </w:rPr>
              <w:t>2.1%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372,481</w:t>
            </w:r>
          </w:p>
        </w:tc>
        <w:tc>
          <w:tcPr>
            <w:tcW w:w="1200" w:type="dxa"/>
            <w:vAlign w:val="bottom"/>
            <w:tcBorders>
              <w:right w:val="single" w:sz="8" w:color="auto"/>
            </w:tcBorders>
          </w:tcPr>
          <w:p>
            <w:pPr>
              <w:jc w:val="center"/>
              <w:ind w:left="89"/>
              <w:spacing w:after="0"/>
              <w:rPr>
                <w:sz w:val="20"/>
                <w:szCs w:val="20"/>
                <w:color w:val="auto"/>
              </w:rPr>
            </w:pPr>
            <w:r>
              <w:rPr>
                <w:rFonts w:ascii="Arial" w:cs="Arial" w:eastAsia="Arial" w:hAnsi="Arial"/>
                <w:sz w:val="14"/>
                <w:szCs w:val="14"/>
                <w:color w:val="auto"/>
              </w:rPr>
              <w:t>383,334</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w:t>
            </w:r>
          </w:p>
        </w:tc>
      </w:tr>
      <w:tr>
        <w:trPr>
          <w:trHeight w:val="162"/>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ASB</w:t>
            </w:r>
          </w:p>
        </w:tc>
        <w:tc>
          <w:tcPr>
            <w:tcW w:w="1000" w:type="dxa"/>
            <w:vAlign w:val="bottom"/>
          </w:tcPr>
          <w:p>
            <w:pPr>
              <w:jc w:val="center"/>
              <w:spacing w:after="0"/>
              <w:rPr>
                <w:sz w:val="20"/>
                <w:szCs w:val="20"/>
                <w:color w:val="auto"/>
              </w:rPr>
            </w:pPr>
            <w:r>
              <w:rPr>
                <w:rFonts w:ascii="Arial" w:cs="Arial" w:eastAsia="Arial" w:hAnsi="Arial"/>
                <w:sz w:val="14"/>
                <w:szCs w:val="14"/>
                <w:color w:val="auto"/>
              </w:rPr>
              <w:t>15,170</w:t>
            </w:r>
          </w:p>
        </w:tc>
        <w:tc>
          <w:tcPr>
            <w:tcW w:w="1000" w:type="dxa"/>
            <w:vAlign w:val="bottom"/>
          </w:tcPr>
          <w:p>
            <w:pPr>
              <w:jc w:val="center"/>
              <w:spacing w:after="0"/>
              <w:rPr>
                <w:sz w:val="20"/>
                <w:szCs w:val="20"/>
                <w:color w:val="auto"/>
              </w:rPr>
            </w:pPr>
            <w:r>
              <w:rPr>
                <w:rFonts w:ascii="Arial" w:cs="Arial" w:eastAsia="Arial" w:hAnsi="Arial"/>
                <w:sz w:val="14"/>
                <w:szCs w:val="14"/>
                <w:color w:val="auto"/>
              </w:rPr>
              <w:t>12,615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13,992</w:t>
            </w:r>
          </w:p>
        </w:tc>
        <w:tc>
          <w:tcPr>
            <w:tcW w:w="880" w:type="dxa"/>
            <w:vAlign w:val="bottom"/>
          </w:tcPr>
          <w:p>
            <w:pPr>
              <w:jc w:val="center"/>
              <w:spacing w:after="0"/>
              <w:rPr>
                <w:sz w:val="20"/>
                <w:szCs w:val="20"/>
                <w:color w:val="auto"/>
              </w:rPr>
            </w:pPr>
            <w:r>
              <w:rPr>
                <w:rFonts w:ascii="Arial" w:cs="Arial" w:eastAsia="Arial" w:hAnsi="Arial"/>
                <w:sz w:val="14"/>
                <w:szCs w:val="14"/>
                <w:color w:val="auto"/>
              </w:rPr>
              <w:t>10.9%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-7.8%</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rPr>
              <w:t>63,477</w:t>
            </w:r>
          </w:p>
        </w:tc>
        <w:tc>
          <w:tcPr>
            <w:tcW w:w="1200" w:type="dxa"/>
            <w:vAlign w:val="bottom"/>
            <w:tcBorders>
              <w:right w:val="single" w:sz="8" w:color="auto"/>
            </w:tcBorders>
          </w:tcPr>
          <w:p>
            <w:pPr>
              <w:jc w:val="center"/>
              <w:ind w:left="89"/>
              <w:spacing w:after="0"/>
              <w:rPr>
                <w:sz w:val="20"/>
                <w:szCs w:val="20"/>
                <w:color w:val="auto"/>
              </w:rPr>
            </w:pPr>
            <w:r>
              <w:rPr>
                <w:rFonts w:ascii="Arial" w:cs="Arial" w:eastAsia="Arial" w:hAnsi="Arial"/>
                <w:sz w:val="14"/>
                <w:szCs w:val="14"/>
                <w:color w:val="auto"/>
              </w:rPr>
              <w:t>53,274</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-16.1%</w:t>
            </w:r>
          </w:p>
        </w:tc>
      </w:tr>
      <w:tr>
        <w:trPr>
          <w:trHeight w:val="148"/>
        </w:trPr>
        <w:tc>
          <w:tcPr>
            <w:tcW w:w="3060" w:type="dxa"/>
            <w:vAlign w:val="bottom"/>
            <w:tcBorders>
              <w:left w:val="single" w:sz="8" w:color="auto"/>
              <w:right w:val="single" w:sz="8" w:color="auto"/>
            </w:tcBorders>
          </w:tcPr>
          <w:p>
            <w:pPr>
              <w:spacing w:after="0" w:line="148" w:lineRule="exact"/>
              <w:rPr>
                <w:sz w:val="20"/>
                <w:szCs w:val="20"/>
                <w:color w:val="auto"/>
              </w:rPr>
            </w:pPr>
            <w:r>
              <w:rPr>
                <w:rFonts w:ascii="Arial" w:cs="Arial" w:eastAsia="Arial" w:hAnsi="Arial"/>
                <w:sz w:val="14"/>
                <w:szCs w:val="14"/>
                <w:color w:val="auto"/>
              </w:rPr>
              <w:t>Credicorp Capital</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131,199</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w w:val="98"/>
              </w:rPr>
              <w:t>148,115</w:t>
            </w:r>
          </w:p>
        </w:tc>
        <w:tc>
          <w:tcPr>
            <w:tcW w:w="10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153,872</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3.9%</w:t>
            </w:r>
          </w:p>
        </w:tc>
        <w:tc>
          <w:tcPr>
            <w:tcW w:w="8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17.3%</w:t>
            </w:r>
          </w:p>
        </w:tc>
        <w:tc>
          <w:tcPr>
            <w:tcW w:w="820" w:type="dxa"/>
            <w:vAlign w:val="bottom"/>
          </w:tcPr>
          <w:p>
            <w:pPr>
              <w:jc w:val="center"/>
              <w:ind w:left="108"/>
              <w:spacing w:after="0" w:line="148" w:lineRule="exact"/>
              <w:rPr>
                <w:sz w:val="20"/>
                <w:szCs w:val="20"/>
                <w:color w:val="auto"/>
              </w:rPr>
            </w:pPr>
            <w:r>
              <w:rPr>
                <w:rFonts w:ascii="Arial" w:cs="Arial" w:eastAsia="Arial" w:hAnsi="Arial"/>
                <w:sz w:val="14"/>
                <w:szCs w:val="14"/>
                <w:color w:val="auto"/>
              </w:rPr>
              <w:t>554,485</w:t>
            </w:r>
          </w:p>
        </w:tc>
        <w:tc>
          <w:tcPr>
            <w:tcW w:w="1200" w:type="dxa"/>
            <w:vAlign w:val="bottom"/>
            <w:tcBorders>
              <w:right w:val="single" w:sz="8" w:color="auto"/>
            </w:tcBorders>
          </w:tcPr>
          <w:p>
            <w:pPr>
              <w:jc w:val="center"/>
              <w:ind w:left="89"/>
              <w:spacing w:after="0" w:line="148" w:lineRule="exact"/>
              <w:rPr>
                <w:sz w:val="20"/>
                <w:szCs w:val="20"/>
                <w:color w:val="auto"/>
              </w:rPr>
            </w:pPr>
            <w:r>
              <w:rPr>
                <w:rFonts w:ascii="Arial" w:cs="Arial" w:eastAsia="Arial" w:hAnsi="Arial"/>
                <w:sz w:val="14"/>
                <w:szCs w:val="14"/>
                <w:color w:val="auto"/>
              </w:rPr>
              <w:t>572,548</w:t>
            </w:r>
          </w:p>
        </w:tc>
        <w:tc>
          <w:tcPr>
            <w:tcW w:w="14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3.3%</w:t>
            </w:r>
          </w:p>
        </w:tc>
      </w:tr>
      <w:tr>
        <w:trPr>
          <w:trHeight w:val="189"/>
        </w:trPr>
        <w:tc>
          <w:tcPr>
            <w:tcW w:w="3060" w:type="dxa"/>
            <w:vAlign w:val="bottom"/>
            <w:tcBorders>
              <w:left w:val="single" w:sz="8" w:color="auto"/>
              <w:bottom w:val="single" w:sz="8" w:color="auto"/>
              <w:right w:val="single" w:sz="8" w:color="auto"/>
            </w:tcBorders>
          </w:tcPr>
          <w:p>
            <w:pPr>
              <w:spacing w:after="0" w:line="189" w:lineRule="exact"/>
              <w:rPr>
                <w:sz w:val="20"/>
                <w:szCs w:val="20"/>
                <w:color w:val="auto"/>
              </w:rPr>
            </w:pPr>
            <w:r>
              <w:rPr>
                <w:rFonts w:ascii="Arial" w:cs="Arial" w:eastAsia="Arial" w:hAnsi="Arial"/>
                <w:sz w:val="13"/>
                <w:szCs w:val="13"/>
                <w:color w:val="auto"/>
              </w:rPr>
              <w:t xml:space="preserve">Eliminations and Other </w:t>
            </w:r>
            <w:r>
              <w:rPr>
                <w:rFonts w:ascii="Arial" w:cs="Arial" w:eastAsia="Arial" w:hAnsi="Arial"/>
                <w:sz w:val="21"/>
                <w:szCs w:val="21"/>
                <w:color w:val="auto"/>
                <w:vertAlign w:val="superscript"/>
              </w:rPr>
              <w:t>(3)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(116,738)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(114,199)</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(130,301)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11.6%</w:t>
            </w: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(481,581)</w:t>
            </w:r>
          </w:p>
        </w:tc>
        <w:tc>
          <w:tcPr>
            <w:tcW w:w="1200" w:type="dxa"/>
            <w:vAlign w:val="bottom"/>
            <w:tcBorders>
              <w:bottom w:val="single" w:sz="8" w:color="auto"/>
              <w:right w:val="single" w:sz="8" w:color="auto"/>
            </w:tcBorders>
          </w:tcPr>
          <w:p>
            <w:pPr>
              <w:jc w:val="center"/>
              <w:ind w:left="69"/>
              <w:spacing w:after="0"/>
              <w:rPr>
                <w:sz w:val="20"/>
                <w:szCs w:val="20"/>
                <w:color w:val="auto"/>
              </w:rPr>
            </w:pPr>
            <w:r>
              <w:rPr>
                <w:rFonts w:ascii="Arial" w:cs="Arial" w:eastAsia="Arial" w:hAnsi="Arial"/>
                <w:sz w:val="14"/>
                <w:szCs w:val="14"/>
                <w:color w:val="auto"/>
              </w:rPr>
              <w:t>(494,449)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2.7%</w:t>
            </w:r>
          </w:p>
        </w:tc>
      </w:tr>
      <w:tr>
        <w:trPr>
          <w:trHeight w:val="156"/>
        </w:trPr>
        <w:tc>
          <w:tcPr>
            <w:tcW w:w="3060" w:type="dxa"/>
            <w:vAlign w:val="bottom"/>
            <w:tcBorders>
              <w:left w:val="single" w:sz="8" w:color="auto"/>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Net Fee Income</w:t>
            </w: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973,339</w:t>
            </w: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1,063,032</w:t>
            </w:r>
          </w:p>
        </w:tc>
        <w:tc>
          <w:tcPr>
            <w:tcW w:w="10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1,118,110</w:t>
            </w: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5.2%</w:t>
            </w:r>
          </w:p>
        </w:tc>
        <w:tc>
          <w:tcPr>
            <w:tcW w:w="8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14.9%</w:t>
            </w:r>
          </w:p>
        </w:tc>
        <w:tc>
          <w:tcPr>
            <w:tcW w:w="820" w:type="dxa"/>
            <w:vAlign w:val="bottom"/>
            <w:tcBorders>
              <w:bottom w:val="single" w:sz="8" w:color="auto"/>
            </w:tcBorders>
          </w:tcPr>
          <w:p>
            <w:pPr>
              <w:jc w:val="center"/>
              <w:ind w:left="108"/>
              <w:spacing w:after="0" w:line="155" w:lineRule="exact"/>
              <w:rPr>
                <w:sz w:val="20"/>
                <w:szCs w:val="20"/>
                <w:color w:val="auto"/>
              </w:rPr>
            </w:pPr>
            <w:r>
              <w:rPr>
                <w:rFonts w:ascii="Arial" w:cs="Arial" w:eastAsia="Arial" w:hAnsi="Arial"/>
                <w:sz w:val="14"/>
                <w:szCs w:val="14"/>
                <w:b w:val="1"/>
                <w:bCs w:val="1"/>
                <w:color w:val="auto"/>
              </w:rPr>
              <w:t>3,759,950</w:t>
            </w:r>
          </w:p>
        </w:tc>
        <w:tc>
          <w:tcPr>
            <w:tcW w:w="1200" w:type="dxa"/>
            <w:vAlign w:val="bottom"/>
            <w:tcBorders>
              <w:bottom w:val="single" w:sz="8" w:color="auto"/>
              <w:right w:val="single" w:sz="8" w:color="auto"/>
            </w:tcBorders>
          </w:tcPr>
          <w:p>
            <w:pPr>
              <w:jc w:val="center"/>
              <w:ind w:left="89"/>
              <w:spacing w:after="0" w:line="155" w:lineRule="exact"/>
              <w:rPr>
                <w:sz w:val="20"/>
                <w:szCs w:val="20"/>
                <w:color w:val="auto"/>
              </w:rPr>
            </w:pPr>
            <w:r>
              <w:rPr>
                <w:rFonts w:ascii="Arial" w:cs="Arial" w:eastAsia="Arial" w:hAnsi="Arial"/>
                <w:sz w:val="14"/>
                <w:szCs w:val="14"/>
                <w:b w:val="1"/>
                <w:bCs w:val="1"/>
                <w:color w:val="auto"/>
              </w:rPr>
              <w:t>4,199,719</w:t>
            </w:r>
          </w:p>
        </w:tc>
        <w:tc>
          <w:tcPr>
            <w:tcW w:w="14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11.7%</w:t>
            </w:r>
          </w:p>
        </w:tc>
      </w:tr>
    </w:tbl>
    <w:p>
      <w:pPr>
        <w:ind w:left="7" w:right="220" w:hanging="7"/>
        <w:spacing w:after="0" w:line="236" w:lineRule="auto"/>
        <w:tabs>
          <w:tab w:leader="none" w:pos="182" w:val="left"/>
        </w:tabs>
        <w:numPr>
          <w:ilvl w:val="0"/>
          <w:numId w:val="32"/>
        </w:numPr>
        <w:rPr>
          <w:rFonts w:ascii="Arial" w:cs="Arial" w:eastAsia="Arial" w:hAnsi="Arial"/>
          <w:sz w:val="12"/>
          <w:szCs w:val="12"/>
          <w:color w:val="auto"/>
        </w:rPr>
      </w:pPr>
      <w:r>
        <w:rPr>
          <w:rFonts w:ascii="Arial" w:cs="Arial" w:eastAsia="Arial" w:hAnsi="Arial"/>
          <w:sz w:val="12"/>
          <w:szCs w:val="12"/>
          <w:color w:val="auto"/>
        </w:rPr>
        <w:t>Beginning in 1Q25, accounting reclassifications related to credit card loyalty program expenses and Yape’s transactional fee expenses have been incorporated. These reclassifications affected Administrative and General Expenses as well as Fee Income. Prior periods have been restated for comparability and may differ from previously reported figures.</w:t>
      </w:r>
    </w:p>
    <w:p>
      <w:pPr>
        <w:ind w:left="7" w:right="420" w:hanging="7"/>
        <w:spacing w:after="0" w:line="234" w:lineRule="auto"/>
        <w:tabs>
          <w:tab w:leader="none" w:pos="182" w:val="left"/>
        </w:tabs>
        <w:numPr>
          <w:ilvl w:val="0"/>
          <w:numId w:val="32"/>
        </w:numPr>
        <w:rPr>
          <w:rFonts w:ascii="Arial" w:cs="Arial" w:eastAsia="Arial" w:hAnsi="Arial"/>
          <w:sz w:val="12"/>
          <w:szCs w:val="12"/>
          <w:color w:val="auto"/>
        </w:rPr>
      </w:pPr>
      <w:r>
        <w:rPr>
          <w:rFonts w:ascii="Arial" w:cs="Arial" w:eastAsia="Arial" w:hAnsi="Arial"/>
          <w:sz w:val="12"/>
          <w:szCs w:val="12"/>
          <w:color w:val="auto"/>
        </w:rPr>
        <w:t>Beginning in 1Q25, reclassifications related to FX operations at BCP Bolivia have been incorporated. These reclassifications affected Fee Income and Net Gain on Derivatives Held for Trading, which are now consolidated into Net Gain on Foreign Exchange Transactions. Prior periods have been restated for comparability and may differ from previously reported figures.</w:t>
      </w:r>
    </w:p>
    <w:p>
      <w:pPr>
        <w:ind w:left="167" w:hanging="167"/>
        <w:spacing w:after="0"/>
        <w:tabs>
          <w:tab w:leader="none" w:pos="167"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Correspond mainly to the eliminations of bancassurance between Pacifico, BCP, and Mibanco.</w:t>
      </w:r>
    </w:p>
    <w:p>
      <w:pPr>
        <w:spacing w:after="0" w:line="189" w:lineRule="exact"/>
        <w:rPr>
          <w:sz w:val="20"/>
          <w:szCs w:val="20"/>
          <w:color w:val="auto"/>
        </w:rPr>
      </w:pPr>
    </w:p>
    <w:p>
      <w:pPr>
        <w:jc w:val="both"/>
        <w:ind w:left="7"/>
        <w:spacing w:after="0" w:line="319" w:lineRule="auto"/>
        <w:rPr>
          <w:sz w:val="20"/>
          <w:szCs w:val="20"/>
          <w:color w:val="auto"/>
        </w:rPr>
      </w:pPr>
      <w:r>
        <w:rPr>
          <w:rFonts w:ascii="Arial" w:cs="Arial" w:eastAsia="Arial" w:hAnsi="Arial"/>
          <w:sz w:val="16"/>
          <w:szCs w:val="16"/>
          <w:b w:val="1"/>
          <w:bCs w:val="1"/>
          <w:color w:val="auto"/>
        </w:rPr>
        <w:t xml:space="preserve">QoQ, YoY and FY, </w:t>
      </w:r>
      <w:r>
        <w:rPr>
          <w:rFonts w:ascii="Arial" w:cs="Arial" w:eastAsia="Arial" w:hAnsi="Arial"/>
          <w:sz w:val="16"/>
          <w:szCs w:val="16"/>
          <w:color w:val="auto"/>
        </w:rPr>
        <w:t>growth was driven by an increase in fee income at</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whose dynamics will be discussed in the next section. In the</w:t>
      </w:r>
      <w:r>
        <w:rPr>
          <w:rFonts w:ascii="Arial" w:cs="Arial" w:eastAsia="Arial" w:hAnsi="Arial"/>
          <w:sz w:val="16"/>
          <w:szCs w:val="16"/>
          <w:b w:val="1"/>
          <w:bCs w:val="1"/>
          <w:color w:val="auto"/>
        </w:rPr>
        <w:t xml:space="preserve"> QoQ </w:t>
      </w:r>
      <w:r>
        <w:rPr>
          <w:rFonts w:ascii="Arial" w:cs="Arial" w:eastAsia="Arial" w:hAnsi="Arial"/>
          <w:sz w:val="16"/>
          <w:szCs w:val="16"/>
          <w:color w:val="auto"/>
        </w:rPr>
        <w:t xml:space="preserve">and </w:t>
      </w:r>
      <w:r>
        <w:rPr>
          <w:rFonts w:ascii="Arial" w:cs="Arial" w:eastAsia="Arial" w:hAnsi="Arial"/>
          <w:sz w:val="16"/>
          <w:szCs w:val="16"/>
          <w:b w:val="1"/>
          <w:bCs w:val="1"/>
          <w:color w:val="auto"/>
        </w:rPr>
        <w:t>YoY</w:t>
      </w:r>
      <w:r>
        <w:rPr>
          <w:rFonts w:ascii="Arial" w:cs="Arial" w:eastAsia="Arial" w:hAnsi="Arial"/>
          <w:sz w:val="16"/>
          <w:szCs w:val="16"/>
          <w:color w:val="auto"/>
        </w:rPr>
        <w:t xml:space="preserve"> prints, expansion was also attributable, albeit to a lesser extent, to </w:t>
      </w:r>
      <w:r>
        <w:rPr>
          <w:rFonts w:ascii="Arial" w:cs="Arial" w:eastAsia="Arial" w:hAnsi="Arial"/>
          <w:sz w:val="16"/>
          <w:szCs w:val="16"/>
          <w:b w:val="1"/>
          <w:bCs w:val="1"/>
          <w:color w:val="auto"/>
        </w:rPr>
        <w:t>Credicorp Capital</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where growth was mainly driven by investment fund management and securities custody activities in Chile, as well as higher income from trust and advisory services in Peru. </w:t>
      </w:r>
      <w:r>
        <w:rPr>
          <w:rFonts w:ascii="Arial" w:cs="Arial" w:eastAsia="Arial" w:hAnsi="Arial"/>
          <w:sz w:val="16"/>
          <w:szCs w:val="16"/>
          <w:b w:val="1"/>
          <w:bCs w:val="1"/>
          <w:color w:val="auto"/>
        </w:rPr>
        <w:t>FY</w:t>
      </w:r>
      <w:r>
        <w:rPr>
          <w:rFonts w:ascii="Arial" w:cs="Arial" w:eastAsia="Arial" w:hAnsi="Arial"/>
          <w:sz w:val="16"/>
          <w:szCs w:val="16"/>
          <w:color w:val="auto"/>
        </w:rPr>
        <w:t xml:space="preserve">, expansion was also driven by the positive evolution at </w:t>
      </w:r>
      <w:r>
        <w:rPr>
          <w:rFonts w:ascii="Arial" w:cs="Arial" w:eastAsia="Arial" w:hAnsi="Arial"/>
          <w:sz w:val="16"/>
          <w:szCs w:val="16"/>
          <w:b w:val="1"/>
          <w:bCs w:val="1"/>
          <w:color w:val="auto"/>
        </w:rPr>
        <w:t>Mibanco</w:t>
      </w:r>
      <w:r>
        <w:rPr>
          <w:rFonts w:ascii="Arial" w:cs="Arial" w:eastAsia="Arial" w:hAnsi="Arial"/>
          <w:sz w:val="16"/>
          <w:szCs w:val="16"/>
          <w:color w:val="auto"/>
        </w:rPr>
        <w:t>, which reported growth in insurance commissions, which rose alongside growth in disbursements.</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Fee Income at BCP Stand-alone</w:t>
      </w:r>
    </w:p>
    <w:p>
      <w:pPr>
        <w:spacing w:after="0" w:line="92" w:lineRule="exact"/>
        <w:rPr>
          <w:sz w:val="20"/>
          <w:szCs w:val="20"/>
          <w:color w:val="auto"/>
        </w:rPr>
      </w:pPr>
    </w:p>
    <w:p>
      <w:pPr>
        <w:jc w:val="center"/>
        <w:ind w:right="233"/>
        <w:spacing w:after="0"/>
        <w:rPr>
          <w:sz w:val="20"/>
          <w:szCs w:val="20"/>
          <w:color w:val="auto"/>
        </w:rPr>
      </w:pPr>
      <w:r>
        <w:rPr>
          <w:rFonts w:ascii="Arial" w:cs="Arial" w:eastAsia="Arial" w:hAnsi="Arial"/>
          <w:sz w:val="18"/>
          <w:szCs w:val="18"/>
          <w:b w:val="1"/>
          <w:bCs w:val="1"/>
          <w:color w:val="auto"/>
        </w:rPr>
        <w:t xml:space="preserve">Composition of Fee Income at BCP Stand-alone </w:t>
      </w:r>
      <w:r>
        <w:rPr>
          <w:rFonts w:ascii="Arial" w:cs="Arial" w:eastAsia="Arial" w:hAnsi="Arial"/>
          <w:sz w:val="29"/>
          <w:szCs w:val="29"/>
          <w:b w:val="1"/>
          <w:bCs w:val="1"/>
          <w:color w:val="auto"/>
          <w:vertAlign w:val="superscript"/>
        </w:rPr>
        <w:t>(*)</w:t>
      </w:r>
    </w:p>
    <w:tbl>
      <w:tblPr>
        <w:tblLayout w:type="fixed"/>
        <w:tblInd w:w="17" w:type="dxa"/>
        <w:tblCellMar>
          <w:top w:w="0" w:type="dxa"/>
          <w:left w:w="0" w:type="dxa"/>
          <w:bottom w:w="0" w:type="dxa"/>
          <w:right w:w="0" w:type="dxa"/>
        </w:tblCellMar>
      </w:tblPr>
      <w:tr>
        <w:trPr>
          <w:trHeight w:val="105"/>
        </w:trPr>
        <w:tc>
          <w:tcPr>
            <w:tcW w:w="3640" w:type="dxa"/>
            <w:vAlign w:val="bottom"/>
            <w:tcBorders>
              <w:top w:val="single" w:sz="8" w:color="auto"/>
              <w:left w:val="single" w:sz="8" w:color="auto"/>
              <w:right w:val="single" w:sz="8" w:color="auto"/>
            </w:tcBorders>
            <w:shd w:val="clear" w:color="auto" w:fill="33CCCC"/>
          </w:tcPr>
          <w:p>
            <w:pPr>
              <w:spacing w:after="0" w:line="105" w:lineRule="exact"/>
              <w:rPr>
                <w:sz w:val="20"/>
                <w:szCs w:val="20"/>
                <w:color w:val="auto"/>
              </w:rPr>
            </w:pPr>
            <w:r>
              <w:rPr>
                <w:rFonts w:ascii="Arial" w:cs="Arial" w:eastAsia="Arial" w:hAnsi="Arial"/>
                <w:sz w:val="12"/>
                <w:szCs w:val="12"/>
                <w:b w:val="1"/>
                <w:bCs w:val="1"/>
                <w:color w:val="FFFFFF"/>
              </w:rPr>
              <w:t>BCP Stand-alone Fees (*)</w:t>
            </w:r>
          </w:p>
        </w:tc>
        <w:tc>
          <w:tcPr>
            <w:tcW w:w="960" w:type="dxa"/>
            <w:vAlign w:val="bottom"/>
            <w:tcBorders>
              <w:top w:val="single" w:sz="8" w:color="auto"/>
            </w:tcBorders>
            <w:shd w:val="clear" w:color="auto" w:fill="33CCCC"/>
          </w:tcPr>
          <w:p>
            <w:pPr>
              <w:spacing w:after="0"/>
              <w:rPr>
                <w:sz w:val="9"/>
                <w:szCs w:val="9"/>
                <w:color w:val="auto"/>
              </w:rPr>
            </w:pPr>
          </w:p>
        </w:tc>
        <w:tc>
          <w:tcPr>
            <w:tcW w:w="1080" w:type="dxa"/>
            <w:vAlign w:val="bottom"/>
            <w:tcBorders>
              <w:top w:val="single" w:sz="8" w:color="auto"/>
            </w:tcBorders>
            <w:shd w:val="clear" w:color="auto" w:fill="33CCCC"/>
          </w:tcPr>
          <w:p>
            <w:pPr>
              <w:ind w:left="300"/>
              <w:spacing w:after="0" w:line="105" w:lineRule="exact"/>
              <w:rPr>
                <w:sz w:val="20"/>
                <w:szCs w:val="20"/>
                <w:color w:val="auto"/>
              </w:rPr>
            </w:pPr>
            <w:r>
              <w:rPr>
                <w:rFonts w:ascii="Arial" w:cs="Arial" w:eastAsia="Arial" w:hAnsi="Arial"/>
                <w:sz w:val="12"/>
                <w:szCs w:val="12"/>
                <w:b w:val="1"/>
                <w:bCs w:val="1"/>
                <w:color w:val="FFFFFF"/>
              </w:rPr>
              <w:t>Quarter</w:t>
            </w:r>
          </w:p>
        </w:tc>
        <w:tc>
          <w:tcPr>
            <w:tcW w:w="980" w:type="dxa"/>
            <w:vAlign w:val="bottom"/>
            <w:tcBorders>
              <w:top w:val="single" w:sz="8" w:color="auto"/>
              <w:right w:val="single" w:sz="8" w:color="auto"/>
            </w:tcBorders>
            <w:shd w:val="clear" w:color="auto" w:fill="33CCCC"/>
          </w:tcPr>
          <w:p>
            <w:pPr>
              <w:spacing w:after="0"/>
              <w:rPr>
                <w:sz w:val="9"/>
                <w:szCs w:val="9"/>
                <w:color w:val="auto"/>
              </w:rPr>
            </w:pPr>
          </w:p>
        </w:tc>
        <w:tc>
          <w:tcPr>
            <w:tcW w:w="1380" w:type="dxa"/>
            <w:vAlign w:val="bottom"/>
            <w:tcBorders>
              <w:top w:val="single" w:sz="8" w:color="auto"/>
              <w:right w:val="single" w:sz="8" w:color="auto"/>
            </w:tcBorders>
            <w:gridSpan w:val="2"/>
            <w:shd w:val="clear" w:color="auto" w:fill="33CCCC"/>
          </w:tcPr>
          <w:p>
            <w:pPr>
              <w:ind w:left="380"/>
              <w:spacing w:after="0" w:line="105" w:lineRule="exact"/>
              <w:rPr>
                <w:sz w:val="20"/>
                <w:szCs w:val="20"/>
                <w:color w:val="auto"/>
              </w:rPr>
            </w:pPr>
            <w:r>
              <w:rPr>
                <w:rFonts w:ascii="Arial" w:cs="Arial" w:eastAsia="Arial" w:hAnsi="Arial"/>
                <w:sz w:val="12"/>
                <w:szCs w:val="12"/>
                <w:b w:val="1"/>
                <w:bCs w:val="1"/>
                <w:color w:val="FFFFFF"/>
              </w:rPr>
              <w:t>% Change</w:t>
            </w:r>
          </w:p>
        </w:tc>
        <w:tc>
          <w:tcPr>
            <w:tcW w:w="660" w:type="dxa"/>
            <w:vAlign w:val="bottom"/>
            <w:tcBorders>
              <w:top w:val="single" w:sz="8" w:color="auto"/>
            </w:tcBorders>
            <w:shd w:val="clear" w:color="auto" w:fill="33CCCC"/>
          </w:tcPr>
          <w:p>
            <w:pPr>
              <w:spacing w:after="0"/>
              <w:rPr>
                <w:sz w:val="9"/>
                <w:szCs w:val="9"/>
                <w:color w:val="auto"/>
              </w:rPr>
            </w:pPr>
          </w:p>
        </w:tc>
        <w:tc>
          <w:tcPr>
            <w:tcW w:w="1100" w:type="dxa"/>
            <w:vAlign w:val="bottom"/>
            <w:tcBorders>
              <w:top w:val="single" w:sz="8" w:color="auto"/>
              <w:right w:val="single" w:sz="8" w:color="auto"/>
            </w:tcBorders>
            <w:shd w:val="clear" w:color="auto" w:fill="33CCCC"/>
          </w:tcPr>
          <w:p>
            <w:pPr>
              <w:ind w:left="40"/>
              <w:spacing w:after="0" w:line="105" w:lineRule="exact"/>
              <w:rPr>
                <w:sz w:val="20"/>
                <w:szCs w:val="20"/>
                <w:color w:val="auto"/>
              </w:rPr>
            </w:pPr>
            <w:r>
              <w:rPr>
                <w:rFonts w:ascii="Arial" w:cs="Arial" w:eastAsia="Arial" w:hAnsi="Arial"/>
                <w:sz w:val="12"/>
                <w:szCs w:val="12"/>
                <w:b w:val="1"/>
                <w:bCs w:val="1"/>
                <w:color w:val="FFFFFF"/>
              </w:rPr>
              <w:t>Up to</w:t>
            </w:r>
          </w:p>
        </w:tc>
        <w:tc>
          <w:tcPr>
            <w:tcW w:w="1480" w:type="dxa"/>
            <w:vAlign w:val="bottom"/>
            <w:tcBorders>
              <w:top w:val="single" w:sz="8" w:color="auto"/>
              <w:right w:val="single" w:sz="8" w:color="auto"/>
            </w:tcBorders>
            <w:shd w:val="clear" w:color="auto" w:fill="33CCCC"/>
          </w:tcPr>
          <w:p>
            <w:pPr>
              <w:jc w:val="center"/>
              <w:spacing w:after="0" w:line="105" w:lineRule="exact"/>
              <w:rPr>
                <w:sz w:val="20"/>
                <w:szCs w:val="20"/>
                <w:color w:val="auto"/>
              </w:rPr>
            </w:pPr>
            <w:r>
              <w:rPr>
                <w:rFonts w:ascii="Arial" w:cs="Arial" w:eastAsia="Arial" w:hAnsi="Arial"/>
                <w:sz w:val="12"/>
                <w:szCs w:val="12"/>
                <w:b w:val="1"/>
                <w:bCs w:val="1"/>
                <w:color w:val="FFFFFF"/>
              </w:rPr>
              <w:t>% change</w:t>
            </w:r>
          </w:p>
        </w:tc>
      </w:tr>
      <w:tr>
        <w:trPr>
          <w:trHeight w:val="159"/>
        </w:trPr>
        <w:tc>
          <w:tcPr>
            <w:tcW w:w="364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 000,000)</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10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3Q25</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4Q25</w:t>
            </w:r>
          </w:p>
        </w:tc>
        <w:tc>
          <w:tcPr>
            <w:tcW w:w="68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3"/>
                <w:szCs w:val="13"/>
                <w:b w:val="1"/>
                <w:bCs w:val="1"/>
                <w:color w:val="FFFFFF"/>
              </w:rPr>
              <w:t>QoQ</w:t>
            </w:r>
          </w:p>
        </w:tc>
        <w:tc>
          <w:tcPr>
            <w:tcW w:w="700" w:type="dxa"/>
            <w:vAlign w:val="bottom"/>
            <w:tcBorders>
              <w:bottom w:val="single" w:sz="8" w:color="auto"/>
              <w:right w:val="single" w:sz="8" w:color="auto"/>
            </w:tcBorders>
            <w:shd w:val="clear" w:color="auto" w:fill="33CCCC"/>
          </w:tcPr>
          <w:p>
            <w:pPr>
              <w:ind w:left="220"/>
              <w:spacing w:after="0"/>
              <w:rPr>
                <w:sz w:val="20"/>
                <w:szCs w:val="20"/>
                <w:color w:val="auto"/>
              </w:rPr>
            </w:pPr>
            <w:r>
              <w:rPr>
                <w:rFonts w:ascii="Arial" w:cs="Arial" w:eastAsia="Arial" w:hAnsi="Arial"/>
                <w:sz w:val="13"/>
                <w:szCs w:val="13"/>
                <w:b w:val="1"/>
                <w:bCs w:val="1"/>
                <w:color w:val="FFFFFF"/>
              </w:rPr>
              <w:t>YoY</w:t>
            </w:r>
          </w:p>
        </w:tc>
        <w:tc>
          <w:tcPr>
            <w:tcW w:w="66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3"/>
                <w:szCs w:val="13"/>
                <w:b w:val="1"/>
                <w:bCs w:val="1"/>
                <w:color w:val="FFFFFF"/>
              </w:rPr>
              <w:t>Dec 24</w:t>
            </w:r>
          </w:p>
        </w:tc>
        <w:tc>
          <w:tcPr>
            <w:tcW w:w="110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3"/>
                <w:szCs w:val="13"/>
                <w:b w:val="1"/>
                <w:bCs w:val="1"/>
                <w:color w:val="FFFFFF"/>
              </w:rPr>
              <w:t>Dec 25</w:t>
            </w:r>
          </w:p>
        </w:tc>
        <w:tc>
          <w:tcPr>
            <w:tcW w:w="14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7"/>
              </w:rPr>
              <w:t>Dec 25 / Dec 24</w:t>
            </w:r>
          </w:p>
        </w:tc>
      </w:tr>
      <w:tr>
        <w:trPr>
          <w:trHeight w:val="142"/>
        </w:trPr>
        <w:tc>
          <w:tcPr>
            <w:tcW w:w="3640" w:type="dxa"/>
            <w:vAlign w:val="bottom"/>
            <w:tcBorders>
              <w:left w:val="single" w:sz="8" w:color="auto"/>
              <w:right w:val="single" w:sz="8" w:color="auto"/>
            </w:tcBorders>
          </w:tcPr>
          <w:p>
            <w:pPr>
              <w:spacing w:after="0" w:line="142" w:lineRule="exact"/>
              <w:rPr>
                <w:sz w:val="20"/>
                <w:szCs w:val="20"/>
                <w:color w:val="auto"/>
              </w:rPr>
            </w:pPr>
            <w:r>
              <w:rPr>
                <w:rFonts w:ascii="Arial" w:cs="Arial" w:eastAsia="Arial" w:hAnsi="Arial"/>
                <w:sz w:val="10"/>
                <w:szCs w:val="10"/>
                <w:color w:val="auto"/>
              </w:rPr>
              <w:t xml:space="preserve">Payments and transactional services </w:t>
            </w:r>
            <w:r>
              <w:rPr>
                <w:rFonts w:ascii="Arial" w:cs="Arial" w:eastAsia="Arial" w:hAnsi="Arial"/>
                <w:sz w:val="16"/>
                <w:szCs w:val="16"/>
                <w:color w:val="auto"/>
                <w:vertAlign w:val="superscript"/>
              </w:rPr>
              <w:t>(1)</w:t>
            </w:r>
          </w:p>
        </w:tc>
        <w:tc>
          <w:tcPr>
            <w:tcW w:w="960" w:type="dxa"/>
            <w:vAlign w:val="bottom"/>
          </w:tcPr>
          <w:p>
            <w:pPr>
              <w:jc w:val="center"/>
              <w:spacing w:after="0" w:line="143" w:lineRule="exact"/>
              <w:rPr>
                <w:sz w:val="20"/>
                <w:szCs w:val="20"/>
                <w:color w:val="auto"/>
              </w:rPr>
            </w:pPr>
            <w:r>
              <w:rPr>
                <w:rFonts w:ascii="Arial" w:cs="Arial" w:eastAsia="Arial" w:hAnsi="Arial"/>
                <w:sz w:val="14"/>
                <w:szCs w:val="14"/>
                <w:color w:val="auto"/>
              </w:rPr>
              <w:t>286</w:t>
            </w:r>
          </w:p>
        </w:tc>
        <w:tc>
          <w:tcPr>
            <w:tcW w:w="1080" w:type="dxa"/>
            <w:vAlign w:val="bottom"/>
          </w:tcPr>
          <w:p>
            <w:pPr>
              <w:jc w:val="center"/>
              <w:spacing w:after="0" w:line="143" w:lineRule="exact"/>
              <w:rPr>
                <w:sz w:val="20"/>
                <w:szCs w:val="20"/>
                <w:color w:val="auto"/>
              </w:rPr>
            </w:pPr>
            <w:r>
              <w:rPr>
                <w:rFonts w:ascii="Arial" w:cs="Arial" w:eastAsia="Arial" w:hAnsi="Arial"/>
                <w:sz w:val="14"/>
                <w:szCs w:val="14"/>
                <w:color w:val="auto"/>
              </w:rPr>
              <w:t>271</w:t>
            </w:r>
          </w:p>
        </w:tc>
        <w:tc>
          <w:tcPr>
            <w:tcW w:w="9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293</w:t>
            </w:r>
          </w:p>
        </w:tc>
        <w:tc>
          <w:tcPr>
            <w:tcW w:w="680" w:type="dxa"/>
            <w:vAlign w:val="bottom"/>
          </w:tcPr>
          <w:p>
            <w:pPr>
              <w:jc w:val="center"/>
              <w:spacing w:after="0" w:line="143" w:lineRule="exact"/>
              <w:rPr>
                <w:sz w:val="20"/>
                <w:szCs w:val="20"/>
                <w:color w:val="auto"/>
              </w:rPr>
            </w:pPr>
            <w:r>
              <w:rPr>
                <w:rFonts w:ascii="Arial" w:cs="Arial" w:eastAsia="Arial" w:hAnsi="Arial"/>
                <w:sz w:val="14"/>
                <w:szCs w:val="14"/>
                <w:color w:val="auto"/>
              </w:rPr>
              <w:t>8.2%</w:t>
            </w:r>
          </w:p>
        </w:tc>
        <w:tc>
          <w:tcPr>
            <w:tcW w:w="7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2.7%</w:t>
            </w:r>
          </w:p>
        </w:tc>
        <w:tc>
          <w:tcPr>
            <w:tcW w:w="660" w:type="dxa"/>
            <w:vAlign w:val="bottom"/>
          </w:tcPr>
          <w:p>
            <w:pPr>
              <w:jc w:val="center"/>
              <w:ind w:left="109"/>
              <w:spacing w:after="0" w:line="143" w:lineRule="exact"/>
              <w:rPr>
                <w:sz w:val="20"/>
                <w:szCs w:val="20"/>
                <w:color w:val="auto"/>
              </w:rPr>
            </w:pPr>
            <w:r>
              <w:rPr>
                <w:rFonts w:ascii="Arial" w:cs="Arial" w:eastAsia="Arial" w:hAnsi="Arial"/>
                <w:sz w:val="14"/>
                <w:szCs w:val="14"/>
                <w:color w:val="auto"/>
              </w:rPr>
              <w:t>1,121</w:t>
            </w:r>
          </w:p>
        </w:tc>
        <w:tc>
          <w:tcPr>
            <w:tcW w:w="1100" w:type="dxa"/>
            <w:vAlign w:val="bottom"/>
            <w:tcBorders>
              <w:right w:val="single" w:sz="8" w:color="auto"/>
            </w:tcBorders>
          </w:tcPr>
          <w:p>
            <w:pPr>
              <w:jc w:val="center"/>
              <w:ind w:left="110"/>
              <w:spacing w:after="0" w:line="143" w:lineRule="exact"/>
              <w:rPr>
                <w:sz w:val="20"/>
                <w:szCs w:val="20"/>
                <w:color w:val="auto"/>
              </w:rPr>
            </w:pPr>
            <w:r>
              <w:rPr>
                <w:rFonts w:ascii="Arial" w:cs="Arial" w:eastAsia="Arial" w:hAnsi="Arial"/>
                <w:sz w:val="14"/>
                <w:szCs w:val="14"/>
                <w:color w:val="auto"/>
              </w:rPr>
              <w:t>1,134</w:t>
            </w:r>
          </w:p>
        </w:tc>
        <w:tc>
          <w:tcPr>
            <w:tcW w:w="14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1.2%</w:t>
            </w:r>
          </w:p>
        </w:tc>
      </w:tr>
      <w:tr>
        <w:trPr>
          <w:trHeight w:val="162"/>
        </w:trPr>
        <w:tc>
          <w:tcPr>
            <w:tcW w:w="364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2"/>
                <w:szCs w:val="12"/>
                <w:color w:val="auto"/>
              </w:rPr>
              <w:t xml:space="preserve">Yape </w:t>
            </w:r>
            <w:r>
              <w:rPr>
                <w:rFonts w:ascii="Arial" w:cs="Arial" w:eastAsia="Arial" w:hAnsi="Arial"/>
                <w:sz w:val="18"/>
                <w:szCs w:val="18"/>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4"/>
                <w:szCs w:val="14"/>
                <w:color w:val="auto"/>
              </w:rPr>
              <w:t>113</w:t>
            </w:r>
          </w:p>
        </w:tc>
        <w:tc>
          <w:tcPr>
            <w:tcW w:w="1080" w:type="dxa"/>
            <w:vAlign w:val="bottom"/>
          </w:tcPr>
          <w:p>
            <w:pPr>
              <w:jc w:val="center"/>
              <w:spacing w:after="0"/>
              <w:rPr>
                <w:sz w:val="20"/>
                <w:szCs w:val="20"/>
                <w:color w:val="auto"/>
              </w:rPr>
            </w:pPr>
            <w:r>
              <w:rPr>
                <w:rFonts w:ascii="Arial" w:cs="Arial" w:eastAsia="Arial" w:hAnsi="Arial"/>
                <w:sz w:val="14"/>
                <w:szCs w:val="14"/>
                <w:color w:val="auto"/>
              </w:rPr>
              <w:t>164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187</w:t>
            </w:r>
          </w:p>
        </w:tc>
        <w:tc>
          <w:tcPr>
            <w:tcW w:w="680" w:type="dxa"/>
            <w:vAlign w:val="bottom"/>
          </w:tcPr>
          <w:p>
            <w:pPr>
              <w:jc w:val="center"/>
              <w:spacing w:after="0"/>
              <w:rPr>
                <w:sz w:val="20"/>
                <w:szCs w:val="20"/>
                <w:color w:val="auto"/>
              </w:rPr>
            </w:pPr>
            <w:r>
              <w:rPr>
                <w:rFonts w:ascii="Arial" w:cs="Arial" w:eastAsia="Arial" w:hAnsi="Arial"/>
                <w:sz w:val="14"/>
                <w:szCs w:val="14"/>
                <w:color w:val="auto"/>
              </w:rPr>
              <w:t>14.0%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65.9%</w:t>
            </w:r>
          </w:p>
        </w:tc>
        <w:tc>
          <w:tcPr>
            <w:tcW w:w="660" w:type="dxa"/>
            <w:vAlign w:val="bottom"/>
          </w:tcPr>
          <w:p>
            <w:pPr>
              <w:jc w:val="center"/>
              <w:ind w:left="109"/>
              <w:spacing w:after="0"/>
              <w:rPr>
                <w:sz w:val="20"/>
                <w:szCs w:val="20"/>
                <w:color w:val="auto"/>
              </w:rPr>
            </w:pPr>
            <w:r>
              <w:rPr>
                <w:rFonts w:ascii="Arial" w:cs="Arial" w:eastAsia="Arial" w:hAnsi="Arial"/>
                <w:sz w:val="14"/>
                <w:szCs w:val="14"/>
                <w:color w:val="auto"/>
              </w:rPr>
              <w:t>331</w:t>
            </w:r>
          </w:p>
        </w:tc>
        <w:tc>
          <w:tcPr>
            <w:tcW w:w="1100" w:type="dxa"/>
            <w:vAlign w:val="bottom"/>
            <w:tcBorders>
              <w:right w:val="single" w:sz="8" w:color="auto"/>
            </w:tcBorders>
          </w:tcPr>
          <w:p>
            <w:pPr>
              <w:jc w:val="center"/>
              <w:ind w:left="110"/>
              <w:spacing w:after="0"/>
              <w:rPr>
                <w:sz w:val="20"/>
                <w:szCs w:val="20"/>
                <w:color w:val="auto"/>
              </w:rPr>
            </w:pPr>
            <w:r>
              <w:rPr>
                <w:rFonts w:ascii="Arial" w:cs="Arial" w:eastAsia="Arial" w:hAnsi="Arial"/>
                <w:sz w:val="14"/>
                <w:szCs w:val="14"/>
                <w:color w:val="auto"/>
              </w:rPr>
              <w:t>604</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82.5%</w:t>
            </w:r>
          </w:p>
        </w:tc>
      </w:tr>
      <w:tr>
        <w:trPr>
          <w:trHeight w:val="162"/>
        </w:trPr>
        <w:tc>
          <w:tcPr>
            <w:tcW w:w="364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2"/>
                <w:szCs w:val="12"/>
                <w:color w:val="auto"/>
              </w:rPr>
              <w:t xml:space="preserve">Liability and Transactional Accounts </w:t>
            </w:r>
            <w:r>
              <w:rPr>
                <w:rFonts w:ascii="Arial" w:cs="Arial" w:eastAsia="Arial" w:hAnsi="Arial"/>
                <w:sz w:val="18"/>
                <w:szCs w:val="18"/>
                <w:color w:val="auto"/>
                <w:vertAlign w:val="superscript"/>
              </w:rPr>
              <w:t>(3)</w:t>
            </w:r>
          </w:p>
        </w:tc>
        <w:tc>
          <w:tcPr>
            <w:tcW w:w="960" w:type="dxa"/>
            <w:vAlign w:val="bottom"/>
          </w:tcPr>
          <w:p>
            <w:pPr>
              <w:jc w:val="center"/>
              <w:spacing w:after="0"/>
              <w:rPr>
                <w:sz w:val="20"/>
                <w:szCs w:val="20"/>
                <w:color w:val="auto"/>
              </w:rPr>
            </w:pPr>
            <w:r>
              <w:rPr>
                <w:rFonts w:ascii="Arial" w:cs="Arial" w:eastAsia="Arial" w:hAnsi="Arial"/>
                <w:sz w:val="14"/>
                <w:szCs w:val="14"/>
                <w:color w:val="auto"/>
              </w:rPr>
              <w:t>189</w:t>
            </w:r>
          </w:p>
        </w:tc>
        <w:tc>
          <w:tcPr>
            <w:tcW w:w="1080" w:type="dxa"/>
            <w:vAlign w:val="bottom"/>
          </w:tcPr>
          <w:p>
            <w:pPr>
              <w:jc w:val="center"/>
              <w:spacing w:after="0"/>
              <w:rPr>
                <w:sz w:val="20"/>
                <w:szCs w:val="20"/>
                <w:color w:val="auto"/>
              </w:rPr>
            </w:pPr>
            <w:r>
              <w:rPr>
                <w:rFonts w:ascii="Arial" w:cs="Arial" w:eastAsia="Arial" w:hAnsi="Arial"/>
                <w:sz w:val="14"/>
                <w:szCs w:val="14"/>
                <w:color w:val="auto"/>
              </w:rPr>
              <w:t>204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-1.8%</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6.2%</w:t>
            </w:r>
          </w:p>
        </w:tc>
        <w:tc>
          <w:tcPr>
            <w:tcW w:w="660" w:type="dxa"/>
            <w:vAlign w:val="bottom"/>
          </w:tcPr>
          <w:p>
            <w:pPr>
              <w:jc w:val="center"/>
              <w:ind w:left="109"/>
              <w:spacing w:after="0"/>
              <w:rPr>
                <w:sz w:val="20"/>
                <w:szCs w:val="20"/>
                <w:color w:val="auto"/>
              </w:rPr>
            </w:pPr>
            <w:r>
              <w:rPr>
                <w:rFonts w:ascii="Arial" w:cs="Arial" w:eastAsia="Arial" w:hAnsi="Arial"/>
                <w:sz w:val="14"/>
                <w:szCs w:val="14"/>
                <w:color w:val="auto"/>
              </w:rPr>
              <w:t>756</w:t>
            </w:r>
          </w:p>
        </w:tc>
        <w:tc>
          <w:tcPr>
            <w:tcW w:w="1100" w:type="dxa"/>
            <w:vAlign w:val="bottom"/>
            <w:tcBorders>
              <w:right w:val="single" w:sz="8" w:color="auto"/>
            </w:tcBorders>
          </w:tcPr>
          <w:p>
            <w:pPr>
              <w:jc w:val="center"/>
              <w:ind w:left="110"/>
              <w:spacing w:after="0"/>
              <w:rPr>
                <w:sz w:val="20"/>
                <w:szCs w:val="20"/>
                <w:color w:val="auto"/>
              </w:rPr>
            </w:pPr>
            <w:r>
              <w:rPr>
                <w:rFonts w:ascii="Arial" w:cs="Arial" w:eastAsia="Arial" w:hAnsi="Arial"/>
                <w:sz w:val="14"/>
                <w:szCs w:val="14"/>
                <w:color w:val="auto"/>
              </w:rPr>
              <w:t>803</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w:t>
            </w:r>
          </w:p>
        </w:tc>
      </w:tr>
      <w:tr>
        <w:trPr>
          <w:trHeight w:val="162"/>
        </w:trPr>
        <w:tc>
          <w:tcPr>
            <w:tcW w:w="364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2"/>
                <w:szCs w:val="12"/>
                <w:color w:val="auto"/>
              </w:rPr>
              <w:t xml:space="preserve">Loan Disbursement </w:t>
            </w:r>
            <w:r>
              <w:rPr>
                <w:rFonts w:ascii="Arial" w:cs="Arial" w:eastAsia="Arial" w:hAnsi="Arial"/>
                <w:sz w:val="18"/>
                <w:szCs w:val="18"/>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4"/>
                <w:szCs w:val="14"/>
                <w:color w:val="auto"/>
              </w:rPr>
              <w:t>98</w:t>
            </w:r>
          </w:p>
        </w:tc>
        <w:tc>
          <w:tcPr>
            <w:tcW w:w="1080" w:type="dxa"/>
            <w:vAlign w:val="bottom"/>
          </w:tcPr>
          <w:p>
            <w:pPr>
              <w:jc w:val="center"/>
              <w:spacing w:after="0"/>
              <w:rPr>
                <w:sz w:val="20"/>
                <w:szCs w:val="20"/>
                <w:color w:val="auto"/>
              </w:rPr>
            </w:pPr>
            <w:r>
              <w:rPr>
                <w:rFonts w:ascii="Arial" w:cs="Arial" w:eastAsia="Arial" w:hAnsi="Arial"/>
                <w:sz w:val="14"/>
                <w:szCs w:val="14"/>
                <w:color w:val="auto"/>
              </w:rPr>
              <w:t>103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98</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-5.0%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w:t>
            </w:r>
          </w:p>
        </w:tc>
        <w:tc>
          <w:tcPr>
            <w:tcW w:w="660" w:type="dxa"/>
            <w:vAlign w:val="bottom"/>
          </w:tcPr>
          <w:p>
            <w:pPr>
              <w:jc w:val="center"/>
              <w:ind w:left="109"/>
              <w:spacing w:after="0"/>
              <w:rPr>
                <w:sz w:val="20"/>
                <w:szCs w:val="20"/>
                <w:color w:val="auto"/>
              </w:rPr>
            </w:pPr>
            <w:r>
              <w:rPr>
                <w:rFonts w:ascii="Arial" w:cs="Arial" w:eastAsia="Arial" w:hAnsi="Arial"/>
                <w:sz w:val="14"/>
                <w:szCs w:val="14"/>
                <w:color w:val="auto"/>
              </w:rPr>
              <w:t>384</w:t>
            </w:r>
          </w:p>
        </w:tc>
        <w:tc>
          <w:tcPr>
            <w:tcW w:w="1100" w:type="dxa"/>
            <w:vAlign w:val="bottom"/>
            <w:tcBorders>
              <w:right w:val="single" w:sz="8" w:color="auto"/>
            </w:tcBorders>
          </w:tcPr>
          <w:p>
            <w:pPr>
              <w:jc w:val="center"/>
              <w:ind w:left="110"/>
              <w:spacing w:after="0"/>
              <w:rPr>
                <w:sz w:val="20"/>
                <w:szCs w:val="20"/>
                <w:color w:val="auto"/>
              </w:rPr>
            </w:pPr>
            <w:r>
              <w:rPr>
                <w:rFonts w:ascii="Arial" w:cs="Arial" w:eastAsia="Arial" w:hAnsi="Arial"/>
                <w:sz w:val="14"/>
                <w:szCs w:val="14"/>
                <w:color w:val="auto"/>
              </w:rPr>
              <w:t>402</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4.6%</w:t>
            </w:r>
          </w:p>
        </w:tc>
      </w:tr>
      <w:tr>
        <w:trPr>
          <w:trHeight w:val="162"/>
        </w:trPr>
        <w:tc>
          <w:tcPr>
            <w:tcW w:w="364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Off-balance sheet</w:t>
            </w:r>
          </w:p>
        </w:tc>
        <w:tc>
          <w:tcPr>
            <w:tcW w:w="960" w:type="dxa"/>
            <w:vAlign w:val="bottom"/>
          </w:tcPr>
          <w:p>
            <w:pPr>
              <w:jc w:val="center"/>
              <w:spacing w:after="0"/>
              <w:rPr>
                <w:sz w:val="20"/>
                <w:szCs w:val="20"/>
                <w:color w:val="auto"/>
              </w:rPr>
            </w:pPr>
            <w:r>
              <w:rPr>
                <w:rFonts w:ascii="Arial" w:cs="Arial" w:eastAsia="Arial" w:hAnsi="Arial"/>
                <w:sz w:val="14"/>
                <w:szCs w:val="14"/>
                <w:color w:val="auto"/>
              </w:rPr>
              <w:t>55</w:t>
            </w:r>
          </w:p>
        </w:tc>
        <w:tc>
          <w:tcPr>
            <w:tcW w:w="1080" w:type="dxa"/>
            <w:vAlign w:val="bottom"/>
          </w:tcPr>
          <w:p>
            <w:pPr>
              <w:jc w:val="center"/>
              <w:spacing w:after="0"/>
              <w:rPr>
                <w:sz w:val="20"/>
                <w:szCs w:val="20"/>
                <w:color w:val="auto"/>
              </w:rPr>
            </w:pPr>
            <w:r>
              <w:rPr>
                <w:rFonts w:ascii="Arial" w:cs="Arial" w:eastAsia="Arial" w:hAnsi="Arial"/>
                <w:sz w:val="14"/>
                <w:szCs w:val="14"/>
                <w:color w:val="auto"/>
              </w:rPr>
              <w:t>54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680" w:type="dxa"/>
            <w:vAlign w:val="bottom"/>
          </w:tcPr>
          <w:p>
            <w:pPr>
              <w:jc w:val="center"/>
              <w:spacing w:after="0"/>
              <w:rPr>
                <w:sz w:val="20"/>
                <w:szCs w:val="20"/>
                <w:color w:val="auto"/>
              </w:rPr>
            </w:pPr>
            <w:r>
              <w:rPr>
                <w:rFonts w:ascii="Arial" w:cs="Arial" w:eastAsia="Arial" w:hAnsi="Arial"/>
                <w:sz w:val="14"/>
                <w:szCs w:val="14"/>
                <w:color w:val="auto"/>
              </w:rPr>
              <w:t>4.8%</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w:t>
            </w:r>
          </w:p>
        </w:tc>
        <w:tc>
          <w:tcPr>
            <w:tcW w:w="660" w:type="dxa"/>
            <w:vAlign w:val="bottom"/>
          </w:tcPr>
          <w:p>
            <w:pPr>
              <w:jc w:val="center"/>
              <w:ind w:left="109"/>
              <w:spacing w:after="0"/>
              <w:rPr>
                <w:sz w:val="20"/>
                <w:szCs w:val="20"/>
                <w:color w:val="auto"/>
              </w:rPr>
            </w:pPr>
            <w:r>
              <w:rPr>
                <w:rFonts w:ascii="Arial" w:cs="Arial" w:eastAsia="Arial" w:hAnsi="Arial"/>
                <w:sz w:val="14"/>
                <w:szCs w:val="14"/>
                <w:color w:val="auto"/>
              </w:rPr>
              <w:t>224</w:t>
            </w:r>
          </w:p>
        </w:tc>
        <w:tc>
          <w:tcPr>
            <w:tcW w:w="1100" w:type="dxa"/>
            <w:vAlign w:val="bottom"/>
            <w:tcBorders>
              <w:right w:val="single" w:sz="8" w:color="auto"/>
            </w:tcBorders>
          </w:tcPr>
          <w:p>
            <w:pPr>
              <w:jc w:val="center"/>
              <w:ind w:left="110"/>
              <w:spacing w:after="0"/>
              <w:rPr>
                <w:sz w:val="20"/>
                <w:szCs w:val="20"/>
                <w:color w:val="auto"/>
              </w:rPr>
            </w:pPr>
            <w:r>
              <w:rPr>
                <w:rFonts w:ascii="Arial" w:cs="Arial" w:eastAsia="Arial" w:hAnsi="Arial"/>
                <w:sz w:val="14"/>
                <w:szCs w:val="14"/>
                <w:color w:val="auto"/>
              </w:rPr>
              <w:t>219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-2.3%</w:t>
            </w:r>
          </w:p>
        </w:tc>
      </w:tr>
      <w:tr>
        <w:trPr>
          <w:trHeight w:val="162"/>
        </w:trPr>
        <w:tc>
          <w:tcPr>
            <w:tcW w:w="364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Insurances</w:t>
            </w:r>
          </w:p>
        </w:tc>
        <w:tc>
          <w:tcPr>
            <w:tcW w:w="960" w:type="dxa"/>
            <w:vAlign w:val="bottom"/>
          </w:tcPr>
          <w:p>
            <w:pPr>
              <w:jc w:val="center"/>
              <w:spacing w:after="0"/>
              <w:rPr>
                <w:sz w:val="20"/>
                <w:szCs w:val="20"/>
                <w:color w:val="auto"/>
              </w:rPr>
            </w:pPr>
            <w:r>
              <w:rPr>
                <w:rFonts w:ascii="Arial" w:cs="Arial" w:eastAsia="Arial" w:hAnsi="Arial"/>
                <w:sz w:val="14"/>
                <w:szCs w:val="14"/>
                <w:color w:val="auto"/>
              </w:rPr>
              <w:t>35</w:t>
            </w:r>
          </w:p>
        </w:tc>
        <w:tc>
          <w:tcPr>
            <w:tcW w:w="1080" w:type="dxa"/>
            <w:vAlign w:val="bottom"/>
          </w:tcPr>
          <w:p>
            <w:pPr>
              <w:jc w:val="center"/>
              <w:spacing w:after="0"/>
              <w:rPr>
                <w:sz w:val="20"/>
                <w:szCs w:val="20"/>
                <w:color w:val="auto"/>
              </w:rPr>
            </w:pPr>
            <w:r>
              <w:rPr>
                <w:rFonts w:ascii="Arial" w:cs="Arial" w:eastAsia="Arial" w:hAnsi="Arial"/>
                <w:sz w:val="14"/>
                <w:szCs w:val="14"/>
                <w:color w:val="auto"/>
              </w:rPr>
              <w:t>35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680" w:type="dxa"/>
            <w:vAlign w:val="bottom"/>
          </w:tcPr>
          <w:p>
            <w:pPr>
              <w:jc w:val="center"/>
              <w:spacing w:after="0"/>
              <w:rPr>
                <w:sz w:val="20"/>
                <w:szCs w:val="20"/>
                <w:color w:val="auto"/>
              </w:rPr>
            </w:pPr>
            <w:r>
              <w:rPr>
                <w:rFonts w:ascii="Arial" w:cs="Arial" w:eastAsia="Arial" w:hAnsi="Arial"/>
                <w:sz w:val="14"/>
                <w:szCs w:val="14"/>
                <w:color w:val="auto"/>
              </w:rPr>
              <w:t>41.1%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39.8%</w:t>
            </w:r>
          </w:p>
        </w:tc>
        <w:tc>
          <w:tcPr>
            <w:tcW w:w="660" w:type="dxa"/>
            <w:vAlign w:val="bottom"/>
          </w:tcPr>
          <w:p>
            <w:pPr>
              <w:jc w:val="center"/>
              <w:ind w:left="109"/>
              <w:spacing w:after="0"/>
              <w:rPr>
                <w:sz w:val="20"/>
                <w:szCs w:val="20"/>
                <w:color w:val="auto"/>
              </w:rPr>
            </w:pPr>
            <w:r>
              <w:rPr>
                <w:rFonts w:ascii="Arial" w:cs="Arial" w:eastAsia="Arial" w:hAnsi="Arial"/>
                <w:sz w:val="14"/>
                <w:szCs w:val="14"/>
                <w:color w:val="auto"/>
              </w:rPr>
              <w:t>137</w:t>
            </w:r>
          </w:p>
        </w:tc>
        <w:tc>
          <w:tcPr>
            <w:tcW w:w="1100" w:type="dxa"/>
            <w:vAlign w:val="bottom"/>
            <w:tcBorders>
              <w:right w:val="single" w:sz="8" w:color="auto"/>
            </w:tcBorders>
          </w:tcPr>
          <w:p>
            <w:pPr>
              <w:jc w:val="center"/>
              <w:ind w:left="110"/>
              <w:spacing w:after="0"/>
              <w:rPr>
                <w:sz w:val="20"/>
                <w:szCs w:val="20"/>
                <w:color w:val="auto"/>
              </w:rPr>
            </w:pPr>
            <w:r>
              <w:rPr>
                <w:rFonts w:ascii="Arial" w:cs="Arial" w:eastAsia="Arial" w:hAnsi="Arial"/>
                <w:sz w:val="14"/>
                <w:szCs w:val="14"/>
                <w:color w:val="auto"/>
              </w:rPr>
              <w:t>171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24.8%</w:t>
            </w:r>
          </w:p>
        </w:tc>
      </w:tr>
      <w:tr>
        <w:trPr>
          <w:trHeight w:val="162"/>
        </w:trPr>
        <w:tc>
          <w:tcPr>
            <w:tcW w:w="364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Wealth Management and Corporate Finance</w:t>
            </w:r>
          </w:p>
        </w:tc>
        <w:tc>
          <w:tcPr>
            <w:tcW w:w="960" w:type="dxa"/>
            <w:vAlign w:val="bottom"/>
          </w:tcPr>
          <w:p>
            <w:pPr>
              <w:jc w:val="center"/>
              <w:spacing w:after="0"/>
              <w:rPr>
                <w:sz w:val="20"/>
                <w:szCs w:val="20"/>
                <w:color w:val="auto"/>
              </w:rPr>
            </w:pPr>
            <w:r>
              <w:rPr>
                <w:rFonts w:ascii="Arial" w:cs="Arial" w:eastAsia="Arial" w:hAnsi="Arial"/>
                <w:sz w:val="14"/>
                <w:szCs w:val="14"/>
                <w:color w:val="auto"/>
              </w:rPr>
              <w:t>19</w:t>
            </w:r>
          </w:p>
        </w:tc>
        <w:tc>
          <w:tcPr>
            <w:tcW w:w="1080" w:type="dxa"/>
            <w:vAlign w:val="bottom"/>
          </w:tcPr>
          <w:p>
            <w:pPr>
              <w:jc w:val="center"/>
              <w:spacing w:after="0"/>
              <w:rPr>
                <w:sz w:val="20"/>
                <w:szCs w:val="20"/>
                <w:color w:val="auto"/>
              </w:rPr>
            </w:pPr>
            <w:r>
              <w:rPr>
                <w:rFonts w:ascii="Arial" w:cs="Arial" w:eastAsia="Arial" w:hAnsi="Arial"/>
                <w:sz w:val="14"/>
                <w:szCs w:val="14"/>
                <w:color w:val="auto"/>
              </w:rPr>
              <w:t>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w:t>
            </w:r>
          </w:p>
        </w:tc>
        <w:tc>
          <w:tcPr>
            <w:tcW w:w="680" w:type="dxa"/>
            <w:vAlign w:val="bottom"/>
          </w:tcPr>
          <w:p>
            <w:pPr>
              <w:jc w:val="center"/>
              <w:spacing w:after="0"/>
              <w:rPr>
                <w:sz w:val="20"/>
                <w:szCs w:val="20"/>
                <w:color w:val="auto"/>
              </w:rPr>
            </w:pPr>
            <w:r>
              <w:rPr>
                <w:rFonts w:ascii="Arial" w:cs="Arial" w:eastAsia="Arial" w:hAnsi="Arial"/>
                <w:sz w:val="14"/>
                <w:szCs w:val="14"/>
                <w:color w:val="auto"/>
              </w:rPr>
              <w:t>0.7%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-0.3%</w:t>
            </w:r>
          </w:p>
        </w:tc>
        <w:tc>
          <w:tcPr>
            <w:tcW w:w="660" w:type="dxa"/>
            <w:vAlign w:val="bottom"/>
          </w:tcPr>
          <w:p>
            <w:pPr>
              <w:jc w:val="center"/>
              <w:ind w:left="109"/>
              <w:spacing w:after="0"/>
              <w:rPr>
                <w:sz w:val="20"/>
                <w:szCs w:val="20"/>
                <w:color w:val="auto"/>
              </w:rPr>
            </w:pPr>
            <w:r>
              <w:rPr>
                <w:rFonts w:ascii="Arial" w:cs="Arial" w:eastAsia="Arial" w:hAnsi="Arial"/>
                <w:sz w:val="14"/>
                <w:szCs w:val="14"/>
                <w:color w:val="auto"/>
              </w:rPr>
              <w:t>59</w:t>
            </w:r>
          </w:p>
        </w:tc>
        <w:tc>
          <w:tcPr>
            <w:tcW w:w="1100" w:type="dxa"/>
            <w:vAlign w:val="bottom"/>
            <w:tcBorders>
              <w:right w:val="single" w:sz="8" w:color="auto"/>
            </w:tcBorders>
          </w:tcPr>
          <w:p>
            <w:pPr>
              <w:jc w:val="center"/>
              <w:ind w:left="110"/>
              <w:spacing w:after="0"/>
              <w:rPr>
                <w:sz w:val="20"/>
                <w:szCs w:val="20"/>
                <w:color w:val="auto"/>
              </w:rPr>
            </w:pPr>
            <w:r>
              <w:rPr>
                <w:rFonts w:ascii="Arial" w:cs="Arial" w:eastAsia="Arial" w:hAnsi="Arial"/>
                <w:sz w:val="14"/>
                <w:szCs w:val="14"/>
                <w:color w:val="auto"/>
              </w:rPr>
              <w:t>73</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23.9%</w:t>
            </w:r>
          </w:p>
        </w:tc>
      </w:tr>
      <w:tr>
        <w:trPr>
          <w:trHeight w:val="175"/>
        </w:trPr>
        <w:tc>
          <w:tcPr>
            <w:tcW w:w="3640" w:type="dxa"/>
            <w:vAlign w:val="bottom"/>
            <w:tcBorders>
              <w:left w:val="single" w:sz="8" w:color="auto"/>
              <w:bottom w:val="single" w:sz="8" w:color="auto"/>
              <w:right w:val="single" w:sz="8" w:color="auto"/>
            </w:tcBorders>
          </w:tcPr>
          <w:p>
            <w:pPr>
              <w:spacing w:after="0" w:line="175" w:lineRule="exact"/>
              <w:rPr>
                <w:sz w:val="20"/>
                <w:szCs w:val="20"/>
                <w:color w:val="auto"/>
              </w:rPr>
            </w:pPr>
            <w:r>
              <w:rPr>
                <w:rFonts w:ascii="Arial" w:cs="Arial" w:eastAsia="Arial" w:hAnsi="Arial"/>
                <w:sz w:val="13"/>
                <w:szCs w:val="13"/>
                <w:color w:val="auto"/>
              </w:rPr>
              <w:t xml:space="preserve">Others </w:t>
            </w:r>
            <w:r>
              <w:rPr>
                <w:rFonts w:ascii="Arial" w:cs="Arial" w:eastAsia="Arial" w:hAnsi="Arial"/>
                <w:sz w:val="20"/>
                <w:szCs w:val="20"/>
                <w:color w:val="auto"/>
                <w:vertAlign w:val="superscript"/>
              </w:rPr>
              <w:t>(5)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-9.7%</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45.1%</w:t>
            </w:r>
          </w:p>
        </w:tc>
        <w:tc>
          <w:tcPr>
            <w:tcW w:w="66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color w:val="auto"/>
              </w:rPr>
              <w:t>48</w:t>
            </w:r>
          </w:p>
        </w:tc>
        <w:tc>
          <w:tcPr>
            <w:tcW w:w="1100" w:type="dxa"/>
            <w:vAlign w:val="bottom"/>
            <w:tcBorders>
              <w:bottom w:val="single" w:sz="8" w:color="auto"/>
              <w:right w:val="single" w:sz="8" w:color="auto"/>
            </w:tcBorders>
          </w:tcPr>
          <w:p>
            <w:pPr>
              <w:jc w:val="center"/>
              <w:ind w:left="110"/>
              <w:spacing w:after="0"/>
              <w:rPr>
                <w:sz w:val="20"/>
                <w:szCs w:val="20"/>
                <w:color w:val="auto"/>
              </w:rPr>
            </w:pPr>
            <w:r>
              <w:rPr>
                <w:rFonts w:ascii="Arial" w:cs="Arial" w:eastAsia="Arial" w:hAnsi="Arial"/>
                <w:sz w:val="14"/>
                <w:szCs w:val="14"/>
                <w:color w:val="auto"/>
              </w:rPr>
              <w:t>76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59.8%</w:t>
            </w:r>
          </w:p>
        </w:tc>
      </w:tr>
      <w:tr>
        <w:trPr>
          <w:trHeight w:val="156"/>
        </w:trPr>
        <w:tc>
          <w:tcPr>
            <w:tcW w:w="36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809</w:t>
            </w: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873</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924</w:t>
            </w:r>
          </w:p>
        </w:tc>
        <w:tc>
          <w:tcPr>
            <w:tcW w:w="6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5.9%</w:t>
            </w:r>
          </w:p>
        </w:tc>
        <w:tc>
          <w:tcPr>
            <w:tcW w:w="7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14.3%</w:t>
            </w:r>
          </w:p>
        </w:tc>
        <w:tc>
          <w:tcPr>
            <w:tcW w:w="660" w:type="dxa"/>
            <w:vAlign w:val="bottom"/>
            <w:tcBorders>
              <w:bottom w:val="single" w:sz="8" w:color="auto"/>
            </w:tcBorders>
          </w:tcPr>
          <w:p>
            <w:pPr>
              <w:jc w:val="center"/>
              <w:ind w:left="109"/>
              <w:spacing w:after="0" w:line="155" w:lineRule="exact"/>
              <w:rPr>
                <w:sz w:val="20"/>
                <w:szCs w:val="20"/>
                <w:color w:val="auto"/>
              </w:rPr>
            </w:pPr>
            <w:r>
              <w:rPr>
                <w:rFonts w:ascii="Arial" w:cs="Arial" w:eastAsia="Arial" w:hAnsi="Arial"/>
                <w:sz w:val="14"/>
                <w:szCs w:val="14"/>
                <w:b w:val="1"/>
                <w:bCs w:val="1"/>
                <w:color w:val="auto"/>
              </w:rPr>
              <w:t>3,060</w:t>
            </w:r>
          </w:p>
        </w:tc>
        <w:tc>
          <w:tcPr>
            <w:tcW w:w="1100" w:type="dxa"/>
            <w:vAlign w:val="bottom"/>
            <w:tcBorders>
              <w:bottom w:val="single" w:sz="8" w:color="auto"/>
              <w:right w:val="single" w:sz="8" w:color="auto"/>
            </w:tcBorders>
          </w:tcPr>
          <w:p>
            <w:pPr>
              <w:jc w:val="center"/>
              <w:ind w:left="110"/>
              <w:spacing w:after="0" w:line="155" w:lineRule="exact"/>
              <w:rPr>
                <w:sz w:val="20"/>
                <w:szCs w:val="20"/>
                <w:color w:val="auto"/>
              </w:rPr>
            </w:pPr>
            <w:r>
              <w:rPr>
                <w:rFonts w:ascii="Arial" w:cs="Arial" w:eastAsia="Arial" w:hAnsi="Arial"/>
                <w:sz w:val="14"/>
                <w:szCs w:val="14"/>
                <w:b w:val="1"/>
                <w:bCs w:val="1"/>
                <w:color w:val="auto"/>
              </w:rPr>
              <w:t>3,483</w:t>
            </w:r>
          </w:p>
        </w:tc>
        <w:tc>
          <w:tcPr>
            <w:tcW w:w="14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13.8%</w:t>
            </w:r>
          </w:p>
        </w:tc>
      </w:tr>
      <w:tr>
        <w:trPr>
          <w:trHeight w:val="131"/>
        </w:trPr>
        <w:tc>
          <w:tcPr>
            <w:tcW w:w="3640" w:type="dxa"/>
            <w:vAlign w:val="bottom"/>
          </w:tcPr>
          <w:p>
            <w:pPr>
              <w:spacing w:after="0" w:line="131" w:lineRule="exact"/>
              <w:rPr>
                <w:sz w:val="20"/>
                <w:szCs w:val="20"/>
                <w:color w:val="auto"/>
              </w:rPr>
            </w:pPr>
            <w:r>
              <w:rPr>
                <w:rFonts w:ascii="Arial" w:cs="Arial" w:eastAsia="Arial" w:hAnsi="Arial"/>
                <w:sz w:val="12"/>
                <w:szCs w:val="12"/>
                <w:color w:val="auto"/>
              </w:rPr>
              <w:t>(*) Management Figures.</w:t>
            </w: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r>
    </w:tbl>
    <w:p>
      <w:pPr>
        <w:ind w:left="7" w:right="960" w:hanging="7"/>
        <w:spacing w:after="0" w:line="234" w:lineRule="auto"/>
        <w:tabs>
          <w:tab w:leader="none" w:pos="182"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Corresponds to fees from credit and debit cards, payments and collections. Beginning in 1Q25, accounting reclassifications related to expenses associated with the credit card loyalty program have been incorporated. These reclassifications affected Administrative and General Expenses and Fee Income. Figures for prior periods have been restated for comparability and may differ from those previously reported.</w:t>
      </w:r>
    </w:p>
    <w:p>
      <w:pPr>
        <w:spacing w:after="0" w:line="1" w:lineRule="exact"/>
        <w:rPr>
          <w:rFonts w:ascii="Arial" w:cs="Arial" w:eastAsia="Arial" w:hAnsi="Arial"/>
          <w:sz w:val="12"/>
          <w:szCs w:val="12"/>
          <w:color w:val="auto"/>
        </w:rPr>
      </w:pPr>
    </w:p>
    <w:p>
      <w:pPr>
        <w:ind w:left="7" w:right="760" w:hanging="7"/>
        <w:spacing w:after="0" w:line="256" w:lineRule="auto"/>
        <w:tabs>
          <w:tab w:leader="none" w:pos="182" w:val="left"/>
        </w:tabs>
        <w:numPr>
          <w:ilvl w:val="0"/>
          <w:numId w:val="33"/>
        </w:numPr>
        <w:rPr>
          <w:rFonts w:ascii="Arial" w:cs="Arial" w:eastAsia="Arial" w:hAnsi="Arial"/>
          <w:sz w:val="11"/>
          <w:szCs w:val="11"/>
          <w:color w:val="auto"/>
        </w:rPr>
      </w:pPr>
      <w:r>
        <w:rPr>
          <w:rFonts w:ascii="Arial" w:cs="Arial" w:eastAsia="Arial" w:hAnsi="Arial"/>
          <w:sz w:val="11"/>
          <w:szCs w:val="11"/>
          <w:color w:val="auto"/>
        </w:rPr>
        <w:t>Not includes fees related to E-Commerce. Not includes FX and remittances. Beginning in 1Q25, accounting reclassifications associated with Yape’s transactional fee expenses have been incorporated. These reclassifications affected Administrative and General Expenses and Fee Income. Figures for prior periods have been restated for comparability and may differ from those previously reported</w:t>
      </w:r>
    </w:p>
    <w:p>
      <w:pPr>
        <w:ind w:left="167" w:hanging="167"/>
        <w:spacing w:after="0" w:line="234" w:lineRule="auto"/>
        <w:tabs>
          <w:tab w:leader="none" w:pos="167"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Corresponds to fees from Account maintenance, interbank transfers, national transfers, and international transfers.</w:t>
      </w:r>
    </w:p>
    <w:p>
      <w:pPr>
        <w:ind w:left="167" w:hanging="167"/>
        <w:spacing w:after="0" w:line="234" w:lineRule="auto"/>
        <w:tabs>
          <w:tab w:leader="none" w:pos="167"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Corresponds to fees from retail and wholesale loan disbursements.</w:t>
      </w:r>
    </w:p>
    <w:p>
      <w:pPr>
        <w:ind w:left="167" w:hanging="167"/>
        <w:spacing w:after="0"/>
        <w:tabs>
          <w:tab w:leader="none" w:pos="167" w:val="left"/>
        </w:tabs>
        <w:numPr>
          <w:ilvl w:val="0"/>
          <w:numId w:val="33"/>
        </w:numPr>
        <w:rPr>
          <w:rFonts w:ascii="Arial" w:cs="Arial" w:eastAsia="Arial" w:hAnsi="Arial"/>
          <w:sz w:val="12"/>
          <w:szCs w:val="12"/>
          <w:color w:val="auto"/>
        </w:rPr>
      </w:pPr>
      <w:r>
        <w:rPr>
          <w:rFonts w:ascii="Arial" w:cs="Arial" w:eastAsia="Arial" w:hAnsi="Arial"/>
          <w:sz w:val="12"/>
          <w:szCs w:val="12"/>
          <w:color w:val="auto"/>
        </w:rPr>
        <w:t>Use of third-party networks, other services to third parties, and Commissions in foreign branches.</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QoQ, </w:t>
      </w:r>
      <w:r>
        <w:rPr>
          <w:rFonts w:ascii="Arial" w:cs="Arial" w:eastAsia="Arial" w:hAnsi="Arial"/>
          <w:sz w:val="18"/>
          <w:szCs w:val="18"/>
          <w:color w:val="auto"/>
        </w:rPr>
        <w:t>Fee Income at</w:t>
      </w:r>
      <w:r>
        <w:rPr>
          <w:rFonts w:ascii="Arial" w:cs="Arial" w:eastAsia="Arial" w:hAnsi="Arial"/>
          <w:sz w:val="18"/>
          <w:szCs w:val="18"/>
          <w:b w:val="1"/>
          <w:bCs w:val="1"/>
          <w:color w:val="auto"/>
        </w:rPr>
        <w:t xml:space="preserve"> BCP Stand-alone </w:t>
      </w:r>
      <w:r>
        <w:rPr>
          <w:rFonts w:ascii="Arial" w:cs="Arial" w:eastAsia="Arial" w:hAnsi="Arial"/>
          <w:sz w:val="18"/>
          <w:szCs w:val="18"/>
          <w:color w:val="auto"/>
        </w:rPr>
        <w:t>rose 5.9%, driven mainly by:</w:t>
      </w:r>
    </w:p>
    <w:p>
      <w:pPr>
        <w:spacing w:after="0" w:line="198" w:lineRule="exact"/>
        <w:rPr>
          <w:sz w:val="20"/>
          <w:szCs w:val="20"/>
          <w:color w:val="auto"/>
        </w:rPr>
      </w:pPr>
    </w:p>
    <w:p>
      <w:pPr>
        <w:jc w:val="both"/>
        <w:ind w:left="807" w:hanging="326"/>
        <w:spacing w:after="0" w:line="215" w:lineRule="exact"/>
        <w:tabs>
          <w:tab w:leader="none" w:pos="80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Yape </w:t>
      </w:r>
      <w:r>
        <w:rPr>
          <w:rFonts w:ascii="Arial" w:cs="Arial" w:eastAsia="Arial" w:hAnsi="Arial"/>
          <w:sz w:val="18"/>
          <w:szCs w:val="18"/>
          <w:color w:val="auto"/>
        </w:rPr>
        <w:t>(+14.0%), which reported better results in (i) QR/POS payments, which generate merchant fees, with growth driven by higher</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r>
        <w:rPr>
          <w:rFonts w:ascii="MS PGothic" w:cs="MS PGothic" w:eastAsia="MS PGothic" w:hAnsi="MS PGothic"/>
          <w:sz w:val="18"/>
          <w:szCs w:val="18"/>
          <w:color w:val="auto"/>
        </w:rPr>
        <w:t>‑</w:t>
      </w:r>
      <w:r>
        <w:rPr>
          <w:rFonts w:ascii="Arial" w:cs="Arial" w:eastAsia="Arial" w:hAnsi="Arial"/>
          <w:sz w:val="18"/>
          <w:szCs w:val="18"/>
          <w:color w:val="auto"/>
        </w:rPr>
        <w:t>end consumption, supported by increased client liquidity stemming from statutory bonus payments in December and pension fund withdrawals, as well as retail campaigns at shopping malls and digital platforms associated with Black Friday and Cyber sales. Secondary contributors to growth in fee income were (ii) Bill payments, which rose on the back of an uptick in use of functionalities that generate higher tickets, and (iii) Checkout, where transactions rose in line with seasonal consumption.</w:t>
      </w:r>
    </w:p>
    <w:p>
      <w:pPr>
        <w:spacing w:after="0" w:line="3" w:lineRule="exact"/>
        <w:rPr>
          <w:rFonts w:ascii="Arial" w:cs="Arial" w:eastAsia="Arial" w:hAnsi="Arial"/>
          <w:sz w:val="18"/>
          <w:szCs w:val="18"/>
          <w:color w:val="auto"/>
        </w:rPr>
      </w:pPr>
    </w:p>
    <w:p>
      <w:pPr>
        <w:jc w:val="both"/>
        <w:ind w:left="807" w:hanging="326"/>
        <w:spacing w:after="0" w:line="234" w:lineRule="auto"/>
        <w:tabs>
          <w:tab w:leader="none" w:pos="80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Core Business</w:t>
      </w:r>
      <w:r>
        <w:rPr>
          <w:rFonts w:ascii="Arial" w:cs="Arial" w:eastAsia="Arial" w:hAnsi="Arial"/>
          <w:sz w:val="18"/>
          <w:szCs w:val="18"/>
          <w:color w:val="auto"/>
        </w:rPr>
        <w:t>, which includes (i) Payment and Transactional Services, (ii) Liability and Transactional Accounts, and (iii) Loan</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Disbursements, which represent our most recurring and stable accounting items, registered an improvement mainly by Payment and Service Venues (+8.2%) through an uptick in transactions through debit and credit cards.</w:t>
      </w:r>
    </w:p>
    <w:p>
      <w:pPr>
        <w:spacing w:after="0" w:line="2" w:lineRule="exact"/>
        <w:rPr>
          <w:rFonts w:ascii="Arial" w:cs="Arial" w:eastAsia="Arial" w:hAnsi="Arial"/>
          <w:sz w:val="18"/>
          <w:szCs w:val="18"/>
          <w:color w:val="auto"/>
        </w:rPr>
      </w:pPr>
    </w:p>
    <w:p>
      <w:pPr>
        <w:ind w:left="807" w:right="460" w:hanging="326"/>
        <w:spacing w:after="0" w:line="250" w:lineRule="auto"/>
        <w:tabs>
          <w:tab w:leader="none" w:pos="80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(+41.1%), through regularizations of income for the Card Protection product. Excluding this one-off, insurance fees</w:t>
      </w:r>
      <w:r>
        <w:rPr>
          <w:rFonts w:ascii="Arial" w:cs="Arial" w:eastAsia="Arial" w:hAnsi="Arial"/>
          <w:sz w:val="18"/>
          <w:szCs w:val="18"/>
          <w:b w:val="1"/>
          <w:bCs w:val="1"/>
          <w:color w:val="auto"/>
        </w:rPr>
        <w:t xml:space="preserve"> </w:t>
      </w:r>
      <w:r>
        <w:rPr>
          <w:rFonts w:ascii="Arial" w:cs="Arial" w:eastAsia="Arial" w:hAnsi="Arial"/>
          <w:sz w:val="18"/>
          <w:szCs w:val="18"/>
          <w:color w:val="auto"/>
        </w:rPr>
        <w:t>growth would stand at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824230</wp:posOffset>
            </wp:positionV>
            <wp:extent cx="71577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189865</wp:posOffset>
            </wp:positionV>
            <wp:extent cx="6789420" cy="531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89420" cy="531495"/>
                    </a:xfrm>
                    <a:prstGeom prst="rect">
                      <a:avLst/>
                    </a:prstGeom>
                    <a:noFill/>
                  </pic:spPr>
                </pic:pic>
              </a:graphicData>
            </a:graphic>
          </wp:anchor>
        </w:drawing>
      </w:r>
    </w:p>
    <w:p>
      <w:pPr>
        <w:sectPr>
          <w:pgSz w:w="11920" w:h="16838" w:orient="portrait"/>
          <w:cols w:equalWidth="0" w:num="1">
            <w:col w:w="11267"/>
          </w:cols>
          <w:pgMar w:left="333" w:top="447" w:right="318" w:bottom="1440" w:gutter="0" w:footer="0" w:header="0"/>
        </w:sectPr>
      </w:pPr>
    </w:p>
    <w:bookmarkStart w:id="36" w:name="page37"/>
    <w:bookmarkEnd w:id="36"/>
    <w:p>
      <w:pPr>
        <w:ind w:left="2707"/>
        <w:spacing w:after="0"/>
        <w:tabs>
          <w:tab w:leader="none" w:pos="2967" w:val="left"/>
          <w:tab w:leader="none" w:pos="944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617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393" w:lineRule="exact"/>
        <w:rPr>
          <w:sz w:val="20"/>
          <w:szCs w:val="20"/>
          <w:color w:val="auto"/>
        </w:rPr>
      </w:pPr>
    </w:p>
    <w:p>
      <w:pPr>
        <w:ind w:left="27"/>
        <w:spacing w:after="0"/>
        <w:rPr>
          <w:sz w:val="20"/>
          <w:szCs w:val="20"/>
          <w:color w:val="auto"/>
        </w:rPr>
      </w:pPr>
      <w:r>
        <w:rPr>
          <w:rFonts w:ascii="Arial" w:cs="Arial" w:eastAsia="Arial" w:hAnsi="Arial"/>
          <w:sz w:val="22"/>
          <w:szCs w:val="22"/>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577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154305"/>
                    </a:xfrm>
                    <a:prstGeom prst="rect">
                      <a:avLst/>
                    </a:prstGeom>
                    <a:noFill/>
                  </pic:spPr>
                </pic:pic>
              </a:graphicData>
            </a:graphic>
          </wp:anchor>
        </w:drawing>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YoY, Fee Income </w:t>
      </w:r>
      <w:r>
        <w:rPr>
          <w:rFonts w:ascii="Arial" w:cs="Arial" w:eastAsia="Arial" w:hAnsi="Arial"/>
          <w:sz w:val="18"/>
          <w:szCs w:val="18"/>
          <w:color w:val="auto"/>
        </w:rPr>
        <w:t>was up 14.3%, fueled by:</w:t>
      </w:r>
    </w:p>
    <w:p>
      <w:pPr>
        <w:spacing w:after="0" w:line="198" w:lineRule="exact"/>
        <w:rPr>
          <w:sz w:val="20"/>
          <w:szCs w:val="20"/>
          <w:color w:val="auto"/>
        </w:rPr>
      </w:pPr>
    </w:p>
    <w:p>
      <w:pPr>
        <w:jc w:val="both"/>
        <w:ind w:left="807" w:hanging="326"/>
        <w:spacing w:after="0"/>
        <w:tabs>
          <w:tab w:leader="none" w:pos="80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Yape </w:t>
      </w:r>
      <w:r>
        <w:rPr>
          <w:rFonts w:ascii="Arial" w:cs="Arial" w:eastAsia="Arial" w:hAnsi="Arial"/>
          <w:sz w:val="18"/>
          <w:szCs w:val="18"/>
          <w:color w:val="auto"/>
        </w:rPr>
        <w:t>(+65.9%), where growth was driven by the same functionalities that drove expansion in the QoQ analysis, which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app’s most consolidated initiatives and best performers in terms of growth in frequency of use. The following also contributed to growth in Fee Income over the period: (i) Remittances, which rose on the back of strategic alliances that have broadened our access to and product distribution in different countries; and (ii) Yape Empresas, which reported an uptick in the number of affiliated establishments.</w:t>
      </w:r>
    </w:p>
    <w:p>
      <w:pPr>
        <w:spacing w:after="0" w:line="1" w:lineRule="exact"/>
        <w:rPr>
          <w:rFonts w:ascii="Arial" w:cs="Arial" w:eastAsia="Arial" w:hAnsi="Arial"/>
          <w:sz w:val="18"/>
          <w:szCs w:val="18"/>
          <w:color w:val="auto"/>
        </w:rPr>
      </w:pPr>
    </w:p>
    <w:p>
      <w:pPr>
        <w:ind w:left="807" w:hanging="326"/>
        <w:spacing w:after="0" w:line="234" w:lineRule="auto"/>
        <w:tabs>
          <w:tab w:leader="none" w:pos="80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(+39.8%), fueled by the same dynamics seen QoQ.</w:t>
      </w:r>
    </w:p>
    <w:p>
      <w:pPr>
        <w:jc w:val="both"/>
        <w:ind w:left="807" w:hanging="326"/>
        <w:spacing w:after="0" w:line="242" w:lineRule="auto"/>
        <w:tabs>
          <w:tab w:leader="none" w:pos="80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Core Businesses</w:t>
      </w:r>
      <w:r>
        <w:rPr>
          <w:rFonts w:ascii="Arial" w:cs="Arial" w:eastAsia="Arial" w:hAnsi="Arial"/>
          <w:sz w:val="18"/>
          <w:szCs w:val="18"/>
          <w:color w:val="auto"/>
        </w:rPr>
        <w:t>, driven by (i) Liability and Transactional Accounts (+6.2%), which registered higher volumes for interbank and</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transfers under our digitalization strategy for services, and (ii) Payment and Transactional Services (+2.7%), which reported growth in transactions due to expansion in the current base of active cards.</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FY </w:t>
      </w:r>
      <w:r>
        <w:rPr>
          <w:rFonts w:ascii="Arial" w:cs="Arial" w:eastAsia="Arial" w:hAnsi="Arial"/>
          <w:sz w:val="18"/>
          <w:szCs w:val="18"/>
          <w:color w:val="auto"/>
        </w:rPr>
        <w:t>(Dec 25 vs Dec 24), growth stood at 13.8% and was driven by:</w:t>
      </w:r>
    </w:p>
    <w:p>
      <w:pPr>
        <w:spacing w:after="0" w:line="198" w:lineRule="exact"/>
        <w:rPr>
          <w:sz w:val="20"/>
          <w:szCs w:val="20"/>
          <w:color w:val="auto"/>
        </w:rPr>
      </w:pPr>
    </w:p>
    <w:p>
      <w:pPr>
        <w:ind w:left="807" w:hanging="326"/>
        <w:spacing w:after="0" w:line="248" w:lineRule="auto"/>
        <w:tabs>
          <w:tab w:leader="none" w:pos="80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Yape </w:t>
      </w:r>
      <w:r>
        <w:rPr>
          <w:rFonts w:ascii="Arial" w:cs="Arial" w:eastAsia="Arial" w:hAnsi="Arial"/>
          <w:sz w:val="18"/>
          <w:szCs w:val="18"/>
          <w:color w:val="auto"/>
        </w:rPr>
        <w:t>(+82.5%), which reported an increase in the average number of functionalities employed by users (+11.4%)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that generate income (+61.3%), which reflects an uptick in adoption of the app’s products and services.</w:t>
      </w:r>
    </w:p>
    <w:p>
      <w:pPr>
        <w:spacing w:after="0" w:line="1" w:lineRule="exact"/>
        <w:rPr>
          <w:rFonts w:ascii="Arial" w:cs="Arial" w:eastAsia="Arial" w:hAnsi="Arial"/>
          <w:sz w:val="18"/>
          <w:szCs w:val="18"/>
          <w:color w:val="auto"/>
        </w:rPr>
      </w:pPr>
    </w:p>
    <w:p>
      <w:pPr>
        <w:jc w:val="both"/>
        <w:ind w:left="807" w:hanging="326"/>
        <w:spacing w:after="0" w:line="242" w:lineRule="auto"/>
        <w:tabs>
          <w:tab w:leader="none" w:pos="80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Core businesses</w:t>
      </w:r>
      <w:r>
        <w:rPr>
          <w:rFonts w:ascii="Arial" w:cs="Arial" w:eastAsia="Arial" w:hAnsi="Arial"/>
          <w:sz w:val="18"/>
          <w:szCs w:val="18"/>
          <w:color w:val="auto"/>
        </w:rPr>
        <w:t>, driven by (i) Liability and transactional accounts, which rose through an increase in Wires and Transfers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Account gains, (ii) Loan Disbursements, which grew alongside loan growth, and (iii) Payment and Transactional venues, due to an uptick in billing through cards.</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6.2 Other Non-Core Income</w:t>
      </w:r>
    </w:p>
    <w:p>
      <w:pPr>
        <w:spacing w:after="0" w:line="34" w:lineRule="exact"/>
        <w:rPr>
          <w:sz w:val="20"/>
          <w:szCs w:val="20"/>
          <w:color w:val="auto"/>
        </w:rPr>
      </w:pPr>
    </w:p>
    <w:tbl>
      <w:tblPr>
        <w:tblLayout w:type="fixed"/>
        <w:tblInd w:w="17" w:type="dxa"/>
        <w:tblCellMar>
          <w:top w:w="0" w:type="dxa"/>
          <w:left w:w="0" w:type="dxa"/>
          <w:bottom w:w="0" w:type="dxa"/>
          <w:right w:w="0" w:type="dxa"/>
        </w:tblCellMar>
      </w:tblPr>
      <w:tr>
        <w:trPr>
          <w:trHeight w:val="105"/>
        </w:trPr>
        <w:tc>
          <w:tcPr>
            <w:tcW w:w="3100" w:type="dxa"/>
            <w:vAlign w:val="bottom"/>
            <w:tcBorders>
              <w:top w:val="single" w:sz="8" w:color="auto"/>
              <w:left w:val="single" w:sz="8" w:color="auto"/>
              <w:right w:val="single" w:sz="8" w:color="auto"/>
            </w:tcBorders>
            <w:shd w:val="clear" w:color="auto" w:fill="33CCCC"/>
          </w:tcPr>
          <w:p>
            <w:pPr>
              <w:spacing w:after="0" w:line="105" w:lineRule="exact"/>
              <w:rPr>
                <w:sz w:val="20"/>
                <w:szCs w:val="20"/>
                <w:color w:val="auto"/>
              </w:rPr>
            </w:pPr>
            <w:r>
              <w:rPr>
                <w:rFonts w:ascii="Arial" w:cs="Arial" w:eastAsia="Arial" w:hAnsi="Arial"/>
                <w:sz w:val="12"/>
                <w:szCs w:val="12"/>
                <w:b w:val="1"/>
                <w:bCs w:val="1"/>
                <w:color w:val="FFFFFF"/>
              </w:rPr>
              <w:t>Other Non-Core Income</w:t>
            </w:r>
          </w:p>
        </w:tc>
        <w:tc>
          <w:tcPr>
            <w:tcW w:w="980" w:type="dxa"/>
            <w:vAlign w:val="bottom"/>
            <w:tcBorders>
              <w:top w:val="single" w:sz="8" w:color="auto"/>
            </w:tcBorders>
            <w:shd w:val="clear" w:color="auto" w:fill="33CCCC"/>
          </w:tcPr>
          <w:p>
            <w:pPr>
              <w:spacing w:after="0"/>
              <w:rPr>
                <w:sz w:val="9"/>
                <w:szCs w:val="9"/>
                <w:color w:val="auto"/>
              </w:rPr>
            </w:pPr>
          </w:p>
        </w:tc>
        <w:tc>
          <w:tcPr>
            <w:tcW w:w="940" w:type="dxa"/>
            <w:vAlign w:val="bottom"/>
            <w:tcBorders>
              <w:top w:val="single" w:sz="8" w:color="auto"/>
            </w:tcBorders>
            <w:shd w:val="clear" w:color="auto" w:fill="33CCCC"/>
          </w:tcPr>
          <w:p>
            <w:pPr>
              <w:ind w:left="240"/>
              <w:spacing w:after="0" w:line="105" w:lineRule="exact"/>
              <w:rPr>
                <w:sz w:val="20"/>
                <w:szCs w:val="20"/>
                <w:color w:val="auto"/>
              </w:rPr>
            </w:pPr>
            <w:r>
              <w:rPr>
                <w:rFonts w:ascii="Arial" w:cs="Arial" w:eastAsia="Arial" w:hAnsi="Arial"/>
                <w:sz w:val="12"/>
                <w:szCs w:val="12"/>
                <w:b w:val="1"/>
                <w:bCs w:val="1"/>
                <w:color w:val="FFFFFF"/>
              </w:rPr>
              <w:t>Quarter</w:t>
            </w:r>
          </w:p>
        </w:tc>
        <w:tc>
          <w:tcPr>
            <w:tcW w:w="980" w:type="dxa"/>
            <w:vAlign w:val="bottom"/>
            <w:tcBorders>
              <w:top w:val="single" w:sz="8" w:color="auto"/>
              <w:right w:val="single" w:sz="8" w:color="auto"/>
            </w:tcBorders>
            <w:shd w:val="clear" w:color="auto" w:fill="33CCCC"/>
          </w:tcPr>
          <w:p>
            <w:pPr>
              <w:spacing w:after="0"/>
              <w:rPr>
                <w:sz w:val="9"/>
                <w:szCs w:val="9"/>
                <w:color w:val="auto"/>
              </w:rPr>
            </w:pPr>
          </w:p>
        </w:tc>
        <w:tc>
          <w:tcPr>
            <w:tcW w:w="1940" w:type="dxa"/>
            <w:vAlign w:val="bottom"/>
            <w:tcBorders>
              <w:top w:val="single" w:sz="8" w:color="auto"/>
              <w:right w:val="single" w:sz="8" w:color="auto"/>
            </w:tcBorders>
            <w:gridSpan w:val="2"/>
            <w:shd w:val="clear" w:color="auto" w:fill="33CCCC"/>
          </w:tcPr>
          <w:p>
            <w:pPr>
              <w:ind w:left="660"/>
              <w:spacing w:after="0" w:line="105" w:lineRule="exact"/>
              <w:rPr>
                <w:sz w:val="20"/>
                <w:szCs w:val="20"/>
                <w:color w:val="auto"/>
              </w:rPr>
            </w:pPr>
            <w:r>
              <w:rPr>
                <w:rFonts w:ascii="Arial" w:cs="Arial" w:eastAsia="Arial" w:hAnsi="Arial"/>
                <w:sz w:val="12"/>
                <w:szCs w:val="12"/>
                <w:b w:val="1"/>
                <w:bCs w:val="1"/>
                <w:color w:val="FFFFFF"/>
              </w:rPr>
              <w:t>% change</w:t>
            </w:r>
          </w:p>
        </w:tc>
        <w:tc>
          <w:tcPr>
            <w:tcW w:w="740" w:type="dxa"/>
            <w:vAlign w:val="bottom"/>
            <w:tcBorders>
              <w:top w:val="single" w:sz="8" w:color="auto"/>
            </w:tcBorders>
            <w:shd w:val="clear" w:color="auto" w:fill="33CCCC"/>
          </w:tcPr>
          <w:p>
            <w:pPr>
              <w:spacing w:after="0"/>
              <w:rPr>
                <w:sz w:val="9"/>
                <w:szCs w:val="9"/>
                <w:color w:val="auto"/>
              </w:rPr>
            </w:pPr>
          </w:p>
        </w:tc>
        <w:tc>
          <w:tcPr>
            <w:tcW w:w="1180" w:type="dxa"/>
            <w:vAlign w:val="bottom"/>
            <w:tcBorders>
              <w:top w:val="single" w:sz="8" w:color="auto"/>
              <w:right w:val="single" w:sz="8" w:color="auto"/>
            </w:tcBorders>
            <w:shd w:val="clear" w:color="auto" w:fill="33CCCC"/>
          </w:tcPr>
          <w:p>
            <w:pPr>
              <w:ind w:left="60"/>
              <w:spacing w:after="0" w:line="105" w:lineRule="exact"/>
              <w:rPr>
                <w:sz w:val="20"/>
                <w:szCs w:val="20"/>
                <w:color w:val="auto"/>
              </w:rPr>
            </w:pPr>
            <w:r>
              <w:rPr>
                <w:rFonts w:ascii="Arial" w:cs="Arial" w:eastAsia="Arial" w:hAnsi="Arial"/>
                <w:sz w:val="12"/>
                <w:szCs w:val="12"/>
                <w:b w:val="1"/>
                <w:bCs w:val="1"/>
                <w:color w:val="FFFFFF"/>
              </w:rPr>
              <w:t>Up to</w:t>
            </w:r>
          </w:p>
        </w:tc>
        <w:tc>
          <w:tcPr>
            <w:tcW w:w="1420" w:type="dxa"/>
            <w:vAlign w:val="bottom"/>
            <w:tcBorders>
              <w:top w:val="single" w:sz="8" w:color="auto"/>
              <w:right w:val="single" w:sz="8" w:color="auto"/>
            </w:tcBorders>
            <w:shd w:val="clear" w:color="auto" w:fill="33CCCC"/>
          </w:tcPr>
          <w:p>
            <w:pPr>
              <w:jc w:val="center"/>
              <w:spacing w:after="0" w:line="105" w:lineRule="exact"/>
              <w:rPr>
                <w:sz w:val="20"/>
                <w:szCs w:val="20"/>
                <w:color w:val="auto"/>
              </w:rPr>
            </w:pPr>
            <w:r>
              <w:rPr>
                <w:rFonts w:ascii="Arial" w:cs="Arial" w:eastAsia="Arial" w:hAnsi="Arial"/>
                <w:sz w:val="12"/>
                <w:szCs w:val="12"/>
                <w:b w:val="1"/>
                <w:bCs w:val="1"/>
                <w:color w:val="FFFFFF"/>
              </w:rPr>
              <w:t>% change</w:t>
            </w:r>
          </w:p>
        </w:tc>
      </w:tr>
      <w:tr>
        <w:trPr>
          <w:trHeight w:val="159"/>
        </w:trPr>
        <w:tc>
          <w:tcPr>
            <w:tcW w:w="310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 000)</w:t>
            </w:r>
          </w:p>
        </w:tc>
        <w:tc>
          <w:tcPr>
            <w:tcW w:w="9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9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3Q25</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4Q25</w:t>
            </w:r>
          </w:p>
        </w:tc>
        <w:tc>
          <w:tcPr>
            <w:tcW w:w="90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3"/>
                <w:szCs w:val="13"/>
                <w:b w:val="1"/>
                <w:bCs w:val="1"/>
                <w:color w:val="FFFFFF"/>
              </w:rPr>
              <w:t>QoQ</w:t>
            </w:r>
          </w:p>
        </w:tc>
        <w:tc>
          <w:tcPr>
            <w:tcW w:w="104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Arial" w:cs="Arial" w:eastAsia="Arial" w:hAnsi="Arial"/>
                <w:sz w:val="13"/>
                <w:szCs w:val="13"/>
                <w:b w:val="1"/>
                <w:bCs w:val="1"/>
                <w:color w:val="FFFFFF"/>
              </w:rPr>
              <w:t>YoY</w:t>
            </w:r>
          </w:p>
        </w:tc>
        <w:tc>
          <w:tcPr>
            <w:tcW w:w="74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3"/>
                <w:szCs w:val="13"/>
                <w:b w:val="1"/>
                <w:bCs w:val="1"/>
                <w:color w:val="FFFFFF"/>
              </w:rPr>
              <w:t>Dec 24</w:t>
            </w:r>
          </w:p>
        </w:tc>
        <w:tc>
          <w:tcPr>
            <w:tcW w:w="118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3"/>
                <w:szCs w:val="13"/>
                <w:b w:val="1"/>
                <w:bCs w:val="1"/>
                <w:color w:val="FFFFFF"/>
              </w:rPr>
              <w:t>Dec 25</w:t>
            </w:r>
          </w:p>
        </w:tc>
        <w:tc>
          <w:tcPr>
            <w:tcW w:w="14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7"/>
              </w:rPr>
              <w:t>Dec 25 / Dec 24</w:t>
            </w:r>
          </w:p>
        </w:tc>
      </w:tr>
      <w:tr>
        <w:trPr>
          <w:trHeight w:val="129"/>
        </w:trPr>
        <w:tc>
          <w:tcPr>
            <w:tcW w:w="3100" w:type="dxa"/>
            <w:vAlign w:val="bottom"/>
            <w:tcBorders>
              <w:left w:val="single" w:sz="8" w:color="auto"/>
              <w:right w:val="single" w:sz="8" w:color="auto"/>
            </w:tcBorders>
          </w:tcPr>
          <w:p>
            <w:pPr>
              <w:spacing w:after="0" w:line="129" w:lineRule="exact"/>
              <w:rPr>
                <w:sz w:val="20"/>
                <w:szCs w:val="20"/>
                <w:color w:val="auto"/>
              </w:rPr>
            </w:pPr>
            <w:r>
              <w:rPr>
                <w:rFonts w:ascii="Arial" w:cs="Arial" w:eastAsia="Arial" w:hAnsi="Arial"/>
                <w:sz w:val="14"/>
                <w:szCs w:val="14"/>
                <w:color w:val="auto"/>
              </w:rPr>
              <w:t>Net Gain on Securities</w:t>
            </w:r>
          </w:p>
        </w:tc>
        <w:tc>
          <w:tcPr>
            <w:tcW w:w="980" w:type="dxa"/>
            <w:vAlign w:val="bottom"/>
          </w:tcPr>
          <w:p>
            <w:pPr>
              <w:jc w:val="center"/>
              <w:spacing w:after="0" w:line="129" w:lineRule="exact"/>
              <w:rPr>
                <w:sz w:val="20"/>
                <w:szCs w:val="20"/>
                <w:color w:val="auto"/>
              </w:rPr>
            </w:pPr>
            <w:r>
              <w:rPr>
                <w:rFonts w:ascii="Arial" w:cs="Arial" w:eastAsia="Arial" w:hAnsi="Arial"/>
                <w:sz w:val="14"/>
                <w:szCs w:val="14"/>
                <w:color w:val="auto"/>
              </w:rPr>
              <w:t>(47,377)</w:t>
            </w:r>
          </w:p>
        </w:tc>
        <w:tc>
          <w:tcPr>
            <w:tcW w:w="940" w:type="dxa"/>
            <w:vAlign w:val="bottom"/>
          </w:tcPr>
          <w:p>
            <w:pPr>
              <w:jc w:val="center"/>
              <w:spacing w:after="0" w:line="129" w:lineRule="exact"/>
              <w:rPr>
                <w:sz w:val="20"/>
                <w:szCs w:val="20"/>
                <w:color w:val="auto"/>
              </w:rPr>
            </w:pPr>
            <w:r>
              <w:rPr>
                <w:rFonts w:ascii="Arial" w:cs="Arial" w:eastAsia="Arial" w:hAnsi="Arial"/>
                <w:sz w:val="14"/>
                <w:szCs w:val="14"/>
                <w:color w:val="auto"/>
                <w:w w:val="98"/>
              </w:rPr>
              <w:t>111,977</w:t>
            </w:r>
          </w:p>
        </w:tc>
        <w:tc>
          <w:tcPr>
            <w:tcW w:w="9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96,280</w:t>
            </w:r>
          </w:p>
        </w:tc>
        <w:tc>
          <w:tcPr>
            <w:tcW w:w="900" w:type="dxa"/>
            <w:vAlign w:val="bottom"/>
          </w:tcPr>
          <w:p>
            <w:pPr>
              <w:jc w:val="center"/>
              <w:spacing w:after="0" w:line="129" w:lineRule="exact"/>
              <w:rPr>
                <w:sz w:val="20"/>
                <w:szCs w:val="20"/>
                <w:color w:val="auto"/>
              </w:rPr>
            </w:pPr>
            <w:r>
              <w:rPr>
                <w:rFonts w:ascii="Arial" w:cs="Arial" w:eastAsia="Arial" w:hAnsi="Arial"/>
                <w:sz w:val="14"/>
                <w:szCs w:val="14"/>
                <w:color w:val="auto"/>
                <w:w w:val="99"/>
              </w:rPr>
              <w:t>-14.0%</w:t>
            </w:r>
          </w:p>
        </w:tc>
        <w:tc>
          <w:tcPr>
            <w:tcW w:w="10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9"/>
              </w:rPr>
              <w:t>-303.2%</w:t>
            </w:r>
          </w:p>
        </w:tc>
        <w:tc>
          <w:tcPr>
            <w:tcW w:w="740" w:type="dxa"/>
            <w:vAlign w:val="bottom"/>
          </w:tcPr>
          <w:p>
            <w:pPr>
              <w:jc w:val="center"/>
              <w:ind w:left="49"/>
              <w:spacing w:after="0" w:line="129" w:lineRule="exact"/>
              <w:rPr>
                <w:sz w:val="20"/>
                <w:szCs w:val="20"/>
                <w:color w:val="auto"/>
              </w:rPr>
            </w:pPr>
            <w:r>
              <w:rPr>
                <w:rFonts w:ascii="Arial" w:cs="Arial" w:eastAsia="Arial" w:hAnsi="Arial"/>
                <w:sz w:val="14"/>
                <w:szCs w:val="14"/>
                <w:color w:val="auto"/>
                <w:w w:val="98"/>
              </w:rPr>
              <w:t>227,112</w:t>
            </w:r>
          </w:p>
        </w:tc>
        <w:tc>
          <w:tcPr>
            <w:tcW w:w="1180" w:type="dxa"/>
            <w:vAlign w:val="bottom"/>
            <w:tcBorders>
              <w:right w:val="single" w:sz="8" w:color="auto"/>
            </w:tcBorders>
          </w:tcPr>
          <w:p>
            <w:pPr>
              <w:jc w:val="center"/>
              <w:ind w:left="71"/>
              <w:spacing w:after="0" w:line="129" w:lineRule="exact"/>
              <w:rPr>
                <w:sz w:val="20"/>
                <w:szCs w:val="20"/>
                <w:color w:val="auto"/>
              </w:rPr>
            </w:pPr>
            <w:r>
              <w:rPr>
                <w:rFonts w:ascii="Arial" w:cs="Arial" w:eastAsia="Arial" w:hAnsi="Arial"/>
                <w:sz w:val="14"/>
                <w:szCs w:val="14"/>
                <w:color w:val="auto"/>
              </w:rPr>
              <w:t>359,282</w:t>
            </w:r>
          </w:p>
        </w:tc>
        <w:tc>
          <w:tcPr>
            <w:tcW w:w="14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58.2%</w:t>
            </w:r>
          </w:p>
        </w:tc>
      </w:tr>
      <w:tr>
        <w:trPr>
          <w:trHeight w:val="162"/>
        </w:trPr>
        <w:tc>
          <w:tcPr>
            <w:tcW w:w="3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2"/>
                <w:szCs w:val="12"/>
                <w:color w:val="auto"/>
              </w:rPr>
              <w:t xml:space="preserve">Net Gain from Associates </w:t>
            </w:r>
            <w:r>
              <w:rPr>
                <w:rFonts w:ascii="Arial" w:cs="Arial" w:eastAsia="Arial" w:hAnsi="Arial"/>
                <w:sz w:val="18"/>
                <w:szCs w:val="18"/>
                <w:color w:val="auto"/>
                <w:vertAlign w:val="superscript"/>
              </w:rPr>
              <w:t>(1)</w:t>
            </w:r>
          </w:p>
        </w:tc>
        <w:tc>
          <w:tcPr>
            <w:tcW w:w="980" w:type="dxa"/>
            <w:vAlign w:val="bottom"/>
          </w:tcPr>
          <w:p>
            <w:pPr>
              <w:jc w:val="center"/>
              <w:spacing w:after="0"/>
              <w:rPr>
                <w:sz w:val="20"/>
                <w:szCs w:val="20"/>
                <w:color w:val="auto"/>
              </w:rPr>
            </w:pPr>
            <w:r>
              <w:rPr>
                <w:rFonts w:ascii="Arial" w:cs="Arial" w:eastAsia="Arial" w:hAnsi="Arial"/>
                <w:sz w:val="14"/>
                <w:szCs w:val="14"/>
                <w:color w:val="auto"/>
              </w:rPr>
              <w:t>38,560</w:t>
            </w:r>
          </w:p>
        </w:tc>
        <w:tc>
          <w:tcPr>
            <w:tcW w:w="940" w:type="dxa"/>
            <w:vAlign w:val="bottom"/>
          </w:tcPr>
          <w:p>
            <w:pPr>
              <w:jc w:val="center"/>
              <w:spacing w:after="0"/>
              <w:rPr>
                <w:sz w:val="20"/>
                <w:szCs w:val="20"/>
                <w:color w:val="auto"/>
              </w:rPr>
            </w:pPr>
            <w:r>
              <w:rPr>
                <w:rFonts w:ascii="Arial" w:cs="Arial" w:eastAsia="Arial" w:hAnsi="Arial"/>
                <w:sz w:val="14"/>
                <w:szCs w:val="14"/>
                <w:color w:val="auto"/>
              </w:rPr>
              <w:t>5,192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5,588</w:t>
            </w:r>
          </w:p>
        </w:tc>
        <w:tc>
          <w:tcPr>
            <w:tcW w:w="900" w:type="dxa"/>
            <w:vAlign w:val="bottom"/>
          </w:tcPr>
          <w:p>
            <w:pPr>
              <w:jc w:val="center"/>
              <w:spacing w:after="0"/>
              <w:rPr>
                <w:sz w:val="20"/>
                <w:szCs w:val="20"/>
                <w:color w:val="auto"/>
              </w:rPr>
            </w:pPr>
            <w:r>
              <w:rPr>
                <w:rFonts w:ascii="Arial" w:cs="Arial" w:eastAsia="Arial" w:hAnsi="Arial"/>
                <w:sz w:val="14"/>
                <w:szCs w:val="14"/>
                <w:color w:val="auto"/>
              </w:rPr>
              <w:t>7.6%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-85.5%</w:t>
            </w:r>
          </w:p>
        </w:tc>
        <w:tc>
          <w:tcPr>
            <w:tcW w:w="740" w:type="dxa"/>
            <w:vAlign w:val="bottom"/>
          </w:tcPr>
          <w:p>
            <w:pPr>
              <w:jc w:val="center"/>
              <w:ind w:left="69"/>
              <w:spacing w:after="0"/>
              <w:rPr>
                <w:sz w:val="20"/>
                <w:szCs w:val="20"/>
                <w:color w:val="auto"/>
              </w:rPr>
            </w:pPr>
            <w:r>
              <w:rPr>
                <w:rFonts w:ascii="Arial" w:cs="Arial" w:eastAsia="Arial" w:hAnsi="Arial"/>
                <w:sz w:val="14"/>
                <w:szCs w:val="14"/>
                <w:color w:val="auto"/>
              </w:rPr>
              <w:t>135,183</w:t>
            </w:r>
          </w:p>
        </w:tc>
        <w:tc>
          <w:tcPr>
            <w:tcW w:w="1180" w:type="dxa"/>
            <w:vAlign w:val="bottom"/>
            <w:tcBorders>
              <w:right w:val="single" w:sz="8" w:color="auto"/>
            </w:tcBorders>
          </w:tcPr>
          <w:p>
            <w:pPr>
              <w:jc w:val="center"/>
              <w:ind w:left="71"/>
              <w:spacing w:after="0"/>
              <w:rPr>
                <w:sz w:val="20"/>
                <w:szCs w:val="20"/>
                <w:color w:val="auto"/>
              </w:rPr>
            </w:pPr>
            <w:r>
              <w:rPr>
                <w:rFonts w:ascii="Arial" w:cs="Arial" w:eastAsia="Arial" w:hAnsi="Arial"/>
                <w:sz w:val="14"/>
                <w:szCs w:val="14"/>
                <w:color w:val="auto"/>
              </w:rPr>
              <w:t>41,404</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-69.4%</w:t>
            </w:r>
          </w:p>
        </w:tc>
      </w:tr>
      <w:tr>
        <w:trPr>
          <w:trHeight w:val="176"/>
        </w:trPr>
        <w:tc>
          <w:tcPr>
            <w:tcW w:w="3100" w:type="dxa"/>
            <w:vAlign w:val="bottom"/>
            <w:tcBorders>
              <w:left w:val="single" w:sz="8" w:color="auto"/>
              <w:right w:val="single" w:sz="8" w:color="auto"/>
            </w:tcBorders>
          </w:tcPr>
          <w:p>
            <w:pPr>
              <w:spacing w:after="0" w:line="176" w:lineRule="exact"/>
              <w:rPr>
                <w:sz w:val="20"/>
                <w:szCs w:val="20"/>
                <w:color w:val="auto"/>
              </w:rPr>
            </w:pPr>
            <w:r>
              <w:rPr>
                <w:rFonts w:ascii="Arial" w:cs="Arial" w:eastAsia="Arial" w:hAnsi="Arial"/>
                <w:sz w:val="13"/>
                <w:szCs w:val="13"/>
                <w:color w:val="auto"/>
              </w:rPr>
              <w:t xml:space="preserve">Net Gain of Derivatives Held for Trading </w:t>
            </w:r>
            <w:r>
              <w:rPr>
                <w:rFonts w:ascii="Arial" w:cs="Arial" w:eastAsia="Arial" w:hAnsi="Arial"/>
                <w:sz w:val="20"/>
                <w:szCs w:val="20"/>
                <w:color w:val="auto"/>
                <w:vertAlign w:val="superscript"/>
              </w:rPr>
              <w:t>(2)</w:t>
            </w:r>
          </w:p>
        </w:tc>
        <w:tc>
          <w:tcPr>
            <w:tcW w:w="980" w:type="dxa"/>
            <w:vAlign w:val="bottom"/>
          </w:tcPr>
          <w:p>
            <w:pPr>
              <w:jc w:val="center"/>
              <w:spacing w:after="0"/>
              <w:rPr>
                <w:sz w:val="20"/>
                <w:szCs w:val="20"/>
                <w:color w:val="auto"/>
              </w:rPr>
            </w:pPr>
            <w:r>
              <w:rPr>
                <w:rFonts w:ascii="Arial" w:cs="Arial" w:eastAsia="Arial" w:hAnsi="Arial"/>
                <w:sz w:val="14"/>
                <w:szCs w:val="14"/>
                <w:color w:val="auto"/>
              </w:rPr>
              <w:t>77,962</w:t>
            </w:r>
          </w:p>
        </w:tc>
        <w:tc>
          <w:tcPr>
            <w:tcW w:w="940" w:type="dxa"/>
            <w:vAlign w:val="bottom"/>
          </w:tcPr>
          <w:p>
            <w:pPr>
              <w:jc w:val="center"/>
              <w:spacing w:after="0"/>
              <w:rPr>
                <w:sz w:val="20"/>
                <w:szCs w:val="20"/>
                <w:color w:val="auto"/>
              </w:rPr>
            </w:pPr>
            <w:r>
              <w:rPr>
                <w:rFonts w:ascii="Arial" w:cs="Arial" w:eastAsia="Arial" w:hAnsi="Arial"/>
                <w:sz w:val="14"/>
                <w:szCs w:val="14"/>
                <w:color w:val="auto"/>
              </w:rPr>
              <w:t>244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11,756</w:t>
            </w:r>
          </w:p>
        </w:tc>
        <w:tc>
          <w:tcPr>
            <w:tcW w:w="900" w:type="dxa"/>
            <w:vAlign w:val="bottom"/>
          </w:tcPr>
          <w:p>
            <w:pPr>
              <w:ind w:left="320"/>
              <w:spacing w:after="0"/>
              <w:rPr>
                <w:sz w:val="20"/>
                <w:szCs w:val="20"/>
                <w:color w:val="auto"/>
              </w:rPr>
            </w:pPr>
            <w:r>
              <w:rPr>
                <w:rFonts w:ascii="Arial" w:cs="Arial" w:eastAsia="Arial" w:hAnsi="Arial"/>
                <w:sz w:val="14"/>
                <w:szCs w:val="14"/>
                <w:color w:val="auto"/>
              </w:rPr>
              <w:t>n.a.</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-84.9%</w:t>
            </w:r>
          </w:p>
        </w:tc>
        <w:tc>
          <w:tcPr>
            <w:tcW w:w="740" w:type="dxa"/>
            <w:vAlign w:val="bottom"/>
          </w:tcPr>
          <w:p>
            <w:pPr>
              <w:jc w:val="center"/>
              <w:ind w:left="69"/>
              <w:spacing w:after="0"/>
              <w:rPr>
                <w:sz w:val="20"/>
                <w:szCs w:val="20"/>
                <w:color w:val="auto"/>
              </w:rPr>
            </w:pPr>
            <w:r>
              <w:rPr>
                <w:rFonts w:ascii="Arial" w:cs="Arial" w:eastAsia="Arial" w:hAnsi="Arial"/>
                <w:sz w:val="14"/>
                <w:szCs w:val="14"/>
                <w:color w:val="auto"/>
              </w:rPr>
              <w:t>156,195</w:t>
            </w:r>
          </w:p>
        </w:tc>
        <w:tc>
          <w:tcPr>
            <w:tcW w:w="1180" w:type="dxa"/>
            <w:vAlign w:val="bottom"/>
            <w:tcBorders>
              <w:right w:val="single" w:sz="8" w:color="auto"/>
            </w:tcBorders>
          </w:tcPr>
          <w:p>
            <w:pPr>
              <w:jc w:val="center"/>
              <w:ind w:left="71"/>
              <w:spacing w:after="0"/>
              <w:rPr>
                <w:sz w:val="20"/>
                <w:szCs w:val="20"/>
                <w:color w:val="auto"/>
              </w:rPr>
            </w:pPr>
            <w:r>
              <w:rPr>
                <w:rFonts w:ascii="Arial" w:cs="Arial" w:eastAsia="Arial" w:hAnsi="Arial"/>
                <w:sz w:val="14"/>
                <w:szCs w:val="14"/>
                <w:color w:val="auto"/>
              </w:rPr>
              <w:t>51,917</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-66.8%</w:t>
            </w:r>
          </w:p>
        </w:tc>
      </w:tr>
      <w:tr>
        <w:trPr>
          <w:trHeight w:val="162"/>
        </w:trPr>
        <w:tc>
          <w:tcPr>
            <w:tcW w:w="3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Net Gain from Exchange Differences</w:t>
            </w:r>
          </w:p>
        </w:tc>
        <w:tc>
          <w:tcPr>
            <w:tcW w:w="980" w:type="dxa"/>
            <w:vAlign w:val="bottom"/>
          </w:tcPr>
          <w:p>
            <w:pPr>
              <w:jc w:val="center"/>
              <w:spacing w:after="0"/>
              <w:rPr>
                <w:sz w:val="20"/>
                <w:szCs w:val="20"/>
                <w:color w:val="auto"/>
              </w:rPr>
            </w:pPr>
            <w:r>
              <w:rPr>
                <w:rFonts w:ascii="Arial" w:cs="Arial" w:eastAsia="Arial" w:hAnsi="Arial"/>
                <w:sz w:val="14"/>
                <w:szCs w:val="14"/>
                <w:color w:val="auto"/>
              </w:rPr>
              <w:t>(21,365)</w:t>
            </w:r>
          </w:p>
        </w:tc>
        <w:tc>
          <w:tcPr>
            <w:tcW w:w="940" w:type="dxa"/>
            <w:vAlign w:val="bottom"/>
          </w:tcPr>
          <w:p>
            <w:pPr>
              <w:jc w:val="center"/>
              <w:spacing w:after="0"/>
              <w:rPr>
                <w:sz w:val="20"/>
                <w:szCs w:val="20"/>
                <w:color w:val="auto"/>
              </w:rPr>
            </w:pPr>
            <w:r>
              <w:rPr>
                <w:rFonts w:ascii="Arial" w:cs="Arial" w:eastAsia="Arial" w:hAnsi="Arial"/>
                <w:sz w:val="14"/>
                <w:szCs w:val="14"/>
                <w:color w:val="auto"/>
              </w:rPr>
              <w:t>7,518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8,319</w:t>
            </w:r>
          </w:p>
        </w:tc>
        <w:tc>
          <w:tcPr>
            <w:tcW w:w="900" w:type="dxa"/>
            <w:vAlign w:val="bottom"/>
          </w:tcPr>
          <w:p>
            <w:pPr>
              <w:jc w:val="center"/>
              <w:spacing w:after="0"/>
              <w:rPr>
                <w:sz w:val="20"/>
                <w:szCs w:val="20"/>
                <w:color w:val="auto"/>
              </w:rPr>
            </w:pPr>
            <w:r>
              <w:rPr>
                <w:rFonts w:ascii="Arial" w:cs="Arial" w:eastAsia="Arial" w:hAnsi="Arial"/>
                <w:sz w:val="14"/>
                <w:szCs w:val="14"/>
                <w:color w:val="auto"/>
              </w:rPr>
              <w:t>10.7%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-138.9%</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(41,058)</w:t>
            </w:r>
          </w:p>
        </w:tc>
        <w:tc>
          <w:tcPr>
            <w:tcW w:w="1180" w:type="dxa"/>
            <w:vAlign w:val="bottom"/>
            <w:tcBorders>
              <w:right w:val="single" w:sz="8" w:color="auto"/>
            </w:tcBorders>
          </w:tcPr>
          <w:p>
            <w:pPr>
              <w:jc w:val="center"/>
              <w:ind w:left="71"/>
              <w:spacing w:after="0"/>
              <w:rPr>
                <w:sz w:val="20"/>
                <w:szCs w:val="20"/>
                <w:color w:val="auto"/>
              </w:rPr>
            </w:pPr>
            <w:r>
              <w:rPr>
                <w:rFonts w:ascii="Arial" w:cs="Arial" w:eastAsia="Arial" w:hAnsi="Arial"/>
                <w:sz w:val="14"/>
                <w:szCs w:val="14"/>
                <w:color w:val="auto"/>
              </w:rPr>
              <w:t>41,991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-202.3%</w:t>
            </w:r>
          </w:p>
        </w:tc>
      </w:tr>
      <w:tr>
        <w:trPr>
          <w:trHeight w:val="175"/>
        </w:trPr>
        <w:tc>
          <w:tcPr>
            <w:tcW w:w="31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Other Non-operative Income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176,384</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71,656</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132,530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85.0%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-24.9%</w:t>
            </w:r>
          </w:p>
        </w:tc>
        <w:tc>
          <w:tcPr>
            <w:tcW w:w="74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color w:val="auto"/>
              </w:rPr>
              <w:t>514,779</w:t>
            </w:r>
          </w:p>
        </w:tc>
        <w:tc>
          <w:tcPr>
            <w:tcW w:w="1180" w:type="dxa"/>
            <w:vAlign w:val="bottom"/>
            <w:tcBorders>
              <w:bottom w:val="single" w:sz="8" w:color="auto"/>
              <w:right w:val="single" w:sz="8" w:color="auto"/>
            </w:tcBorders>
          </w:tcPr>
          <w:p>
            <w:pPr>
              <w:jc w:val="center"/>
              <w:ind w:left="71"/>
              <w:spacing w:after="0"/>
              <w:rPr>
                <w:sz w:val="20"/>
                <w:szCs w:val="20"/>
                <w:color w:val="auto"/>
              </w:rPr>
            </w:pPr>
            <w:r>
              <w:rPr>
                <w:rFonts w:ascii="Arial" w:cs="Arial" w:eastAsia="Arial" w:hAnsi="Arial"/>
                <w:sz w:val="14"/>
                <w:szCs w:val="14"/>
                <w:color w:val="auto"/>
              </w:rPr>
              <w:t>584,648</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13.6%</w:t>
            </w:r>
          </w:p>
        </w:tc>
      </w:tr>
      <w:tr>
        <w:trPr>
          <w:trHeight w:val="155"/>
        </w:trPr>
        <w:tc>
          <w:tcPr>
            <w:tcW w:w="3100" w:type="dxa"/>
            <w:vAlign w:val="bottom"/>
            <w:tcBorders>
              <w:left w:val="single" w:sz="8" w:color="auto"/>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Other Non-Core Income</w:t>
            </w: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224,164</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196,587</w:t>
            </w:r>
          </w:p>
        </w:tc>
        <w:tc>
          <w:tcPr>
            <w:tcW w:w="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254,473</w:t>
            </w:r>
          </w:p>
        </w:tc>
        <w:tc>
          <w:tcPr>
            <w:tcW w:w="9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29.4%</w:t>
            </w:r>
          </w:p>
        </w:tc>
        <w:tc>
          <w:tcPr>
            <w:tcW w:w="10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13.5%</w:t>
            </w:r>
          </w:p>
        </w:tc>
        <w:tc>
          <w:tcPr>
            <w:tcW w:w="740" w:type="dxa"/>
            <w:vAlign w:val="bottom"/>
            <w:tcBorders>
              <w:bottom w:val="single" w:sz="8" w:color="auto"/>
            </w:tcBorders>
          </w:tcPr>
          <w:p>
            <w:pPr>
              <w:jc w:val="center"/>
              <w:ind w:left="49"/>
              <w:spacing w:after="0" w:line="155" w:lineRule="exact"/>
              <w:rPr>
                <w:sz w:val="20"/>
                <w:szCs w:val="20"/>
                <w:color w:val="auto"/>
              </w:rPr>
            </w:pPr>
            <w:r>
              <w:rPr>
                <w:rFonts w:ascii="Arial" w:cs="Arial" w:eastAsia="Arial" w:hAnsi="Arial"/>
                <w:sz w:val="14"/>
                <w:szCs w:val="14"/>
                <w:b w:val="1"/>
                <w:bCs w:val="1"/>
                <w:color w:val="auto"/>
                <w:w w:val="98"/>
              </w:rPr>
              <w:t>992,211</w:t>
            </w:r>
          </w:p>
        </w:tc>
        <w:tc>
          <w:tcPr>
            <w:tcW w:w="1180" w:type="dxa"/>
            <w:vAlign w:val="bottom"/>
            <w:tcBorders>
              <w:bottom w:val="single" w:sz="8" w:color="auto"/>
              <w:right w:val="single" w:sz="8" w:color="auto"/>
            </w:tcBorders>
          </w:tcPr>
          <w:p>
            <w:pPr>
              <w:jc w:val="center"/>
              <w:ind w:left="71"/>
              <w:spacing w:after="0" w:line="155" w:lineRule="exact"/>
              <w:rPr>
                <w:sz w:val="20"/>
                <w:szCs w:val="20"/>
                <w:color w:val="auto"/>
              </w:rPr>
            </w:pPr>
            <w:r>
              <w:rPr>
                <w:rFonts w:ascii="Arial" w:cs="Arial" w:eastAsia="Arial" w:hAnsi="Arial"/>
                <w:sz w:val="14"/>
                <w:szCs w:val="14"/>
                <w:b w:val="1"/>
                <w:bCs w:val="1"/>
                <w:color w:val="auto"/>
              </w:rPr>
              <w:t>1,079,242</w:t>
            </w:r>
          </w:p>
        </w:tc>
        <w:tc>
          <w:tcPr>
            <w:tcW w:w="14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8.8%</w:t>
            </w:r>
          </w:p>
        </w:tc>
      </w:tr>
    </w:tbl>
    <w:p>
      <w:pPr>
        <w:ind w:left="7" w:right="20" w:hanging="7"/>
        <w:spacing w:after="0" w:line="236" w:lineRule="auto"/>
        <w:tabs>
          <w:tab w:leader="none" w:pos="182"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Includes gains on other investments. Beginning in 1Q25, revenues from the EPS and Medical Services businesses are no longer reported under Net Gain from Associates. Instead, they are fully consolidated into the Underwriting Insurance Result and the newly created Medical Services Result, respectively.</w:t>
      </w:r>
    </w:p>
    <w:p>
      <w:pPr>
        <w:ind w:left="7" w:right="60" w:hanging="7"/>
        <w:spacing w:after="0" w:line="241" w:lineRule="auto"/>
        <w:tabs>
          <w:tab w:leader="none" w:pos="182" w:val="left"/>
        </w:tabs>
        <w:numPr>
          <w:ilvl w:val="0"/>
          <w:numId w:val="37"/>
        </w:numPr>
        <w:rPr>
          <w:rFonts w:ascii="Arial" w:cs="Arial" w:eastAsia="Arial" w:hAnsi="Arial"/>
          <w:sz w:val="12"/>
          <w:szCs w:val="12"/>
          <w:color w:val="auto"/>
        </w:rPr>
      </w:pPr>
      <w:r>
        <w:rPr>
          <w:rFonts w:ascii="Arial" w:cs="Arial" w:eastAsia="Arial" w:hAnsi="Arial"/>
          <w:sz w:val="12"/>
          <w:szCs w:val="12"/>
          <w:color w:val="auto"/>
        </w:rPr>
        <w:t>Beginning in 1Q25, accounting reclassifications related to FX operations at BCP Bolivia have been incorporated. These reclassifications affected Fee Income and Net Gain on Derivatives Held for Trading, which are now consolidated into Net Gain on Foreign Exchange Transactions. Figures for prior periods have been restated for comparability and may differ from those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2291715</wp:posOffset>
            </wp:positionV>
            <wp:extent cx="71577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122555</wp:posOffset>
            </wp:positionV>
            <wp:extent cx="6780530" cy="20656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80530" cy="2065655"/>
                    </a:xfrm>
                    <a:prstGeom prst="rect">
                      <a:avLst/>
                    </a:prstGeom>
                    <a:noFill/>
                  </pic:spPr>
                </pic:pic>
              </a:graphicData>
            </a:graphic>
          </wp:anchor>
        </w:drawing>
      </w:r>
    </w:p>
    <w:p>
      <w:pPr>
        <w:sectPr>
          <w:pgSz w:w="11920" w:h="16838" w:orient="portrait"/>
          <w:cols w:equalWidth="0" w:num="1">
            <w:col w:w="11267"/>
          </w:cols>
          <w:pgMar w:left="333" w:top="447" w:right="318" w:bottom="1440" w:gutter="0" w:footer="0" w:header="0"/>
        </w:sectPr>
      </w:pPr>
    </w:p>
    <w:bookmarkStart w:id="37" w:name="page38"/>
    <w:bookmarkEnd w:id="37"/>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6172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57720" cy="1663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color w:val="auto"/>
        </w:rPr>
        <w:t>(1) Otros: incluye Grupo Crédito, Credicorp Individual, eliminaciones y otros.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QoQ, Other Non-Core Income rose 29.4%, fueled mainly by:</w:t>
      </w:r>
    </w:p>
    <w:p>
      <w:pPr>
        <w:spacing w:after="0" w:line="198" w:lineRule="exact"/>
        <w:rPr>
          <w:sz w:val="20"/>
          <w:szCs w:val="20"/>
          <w:color w:val="auto"/>
        </w:rPr>
      </w:pPr>
    </w:p>
    <w:p>
      <w:pPr>
        <w:ind w:left="800" w:hanging="326"/>
        <w:spacing w:after="0" w:line="25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Other non-operating income: </w:t>
      </w:r>
      <w:r>
        <w:rPr>
          <w:rFonts w:ascii="Arial" w:cs="Arial" w:eastAsia="Arial" w:hAnsi="Arial"/>
          <w:sz w:val="18"/>
          <w:szCs w:val="18"/>
          <w:color w:val="auto"/>
        </w:rPr>
        <w:t>increased 85.0% on the back of releases of administrative and contingent provisions at</w:t>
      </w:r>
      <w:r>
        <w:rPr>
          <w:rFonts w:ascii="Arial" w:cs="Arial" w:eastAsia="Arial" w:hAnsi="Arial"/>
          <w:sz w:val="18"/>
          <w:szCs w:val="18"/>
          <w:b w:val="1"/>
          <w:bCs w:val="1"/>
          <w:color w:val="auto"/>
        </w:rPr>
        <w:t xml:space="preserve"> Pacifico, </w:t>
      </w:r>
      <w:r>
        <w:rPr>
          <w:rFonts w:ascii="Arial" w:cs="Arial" w:eastAsia="Arial" w:hAnsi="Arial"/>
          <w:sz w:val="18"/>
          <w:szCs w:val="18"/>
          <w:color w:val="auto"/>
        </w:rPr>
        <w:t xml:space="preserve">and due real estate asset sales at </w:t>
      </w:r>
      <w:r>
        <w:rPr>
          <w:rFonts w:ascii="Arial" w:cs="Arial" w:eastAsia="Arial" w:hAnsi="Arial"/>
          <w:sz w:val="18"/>
          <w:szCs w:val="18"/>
          <w:b w:val="1"/>
          <w:bCs w:val="1"/>
          <w:color w:val="auto"/>
        </w:rPr>
        <w:t>BCP Stand-alone</w:t>
      </w:r>
      <w:r>
        <w:rPr>
          <w:rFonts w:ascii="Arial" w:cs="Arial" w:eastAsia="Arial" w:hAnsi="Arial"/>
          <w:sz w:val="18"/>
          <w:szCs w:val="18"/>
          <w:color w:val="auto"/>
        </w:rPr>
        <w:t>.</w:t>
      </w:r>
    </w:p>
    <w:p>
      <w:pPr>
        <w:ind w:left="800" w:right="40" w:hanging="326"/>
        <w:spacing w:after="0" w:line="26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Net Gain (Loss) on derivatives held for trading</w:t>
      </w:r>
      <w:r>
        <w:rPr>
          <w:rFonts w:ascii="Arial" w:cs="Arial" w:eastAsia="Arial" w:hAnsi="Arial"/>
          <w:sz w:val="18"/>
          <w:szCs w:val="18"/>
          <w:color w:val="auto"/>
        </w:rPr>
        <w:t>: due to stronger performance in Colombia from foreign exchange derivatives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trading, supported by more favorable market conditions at </w:t>
      </w:r>
      <w:r>
        <w:rPr>
          <w:rFonts w:ascii="Arial" w:cs="Arial" w:eastAsia="Arial" w:hAnsi="Arial"/>
          <w:sz w:val="18"/>
          <w:szCs w:val="18"/>
          <w:b w:val="1"/>
          <w:bCs w:val="1"/>
          <w:color w:val="auto"/>
        </w:rPr>
        <w:t>Credicorp Capital</w:t>
      </w:r>
      <w:r>
        <w:rPr>
          <w:rFonts w:ascii="Arial" w:cs="Arial" w:eastAsia="Arial" w:hAnsi="Arial"/>
          <w:sz w:val="18"/>
          <w:szCs w:val="18"/>
          <w:color w:val="auto"/>
        </w:rPr>
        <w:t>.</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This impact was ofset by a drop in the </w:t>
      </w:r>
      <w:r>
        <w:rPr>
          <w:rFonts w:ascii="Arial" w:cs="Arial" w:eastAsia="Arial" w:hAnsi="Arial"/>
          <w:sz w:val="18"/>
          <w:szCs w:val="18"/>
          <w:b w:val="1"/>
          <w:bCs w:val="1"/>
          <w:color w:val="auto"/>
        </w:rPr>
        <w:t>Net gain (loss) on securities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which dropped 14.0%, primarily due to a base efect at </w:t>
      </w:r>
      <w:r>
        <w:rPr>
          <w:rFonts w:ascii="Arial" w:cs="Arial" w:eastAsia="Arial" w:hAnsi="Arial"/>
          <w:sz w:val="18"/>
          <w:szCs w:val="18"/>
          <w:b w:val="1"/>
          <w:bCs w:val="1"/>
          <w:color w:val="auto"/>
        </w:rPr>
        <w:t>Credicorp Capital</w:t>
      </w:r>
      <w:r>
        <w:rPr>
          <w:rFonts w:ascii="Arial" w:cs="Arial" w:eastAsia="Arial" w:hAnsi="Arial"/>
          <w:sz w:val="18"/>
          <w:szCs w:val="18"/>
          <w:color w:val="auto"/>
        </w:rPr>
        <w:t xml:space="preserve">, due to lower gains in the Capital Markets Business in Colombia, related to fxed income operations, and attenuated by an improvement in results at </w:t>
      </w:r>
      <w:r>
        <w:rPr>
          <w:rFonts w:ascii="Arial" w:cs="Arial" w:eastAsia="Arial" w:hAnsi="Arial"/>
          <w:sz w:val="18"/>
          <w:szCs w:val="18"/>
          <w:b w:val="1"/>
          <w:bCs w:val="1"/>
          <w:color w:val="auto"/>
        </w:rPr>
        <w:t>Pacifco</w:t>
      </w:r>
      <w:r>
        <w:rPr>
          <w:rFonts w:ascii="Arial" w:cs="Arial" w:eastAsia="Arial" w:hAnsi="Arial"/>
          <w:sz w:val="18"/>
          <w:szCs w:val="18"/>
          <w:color w:val="auto"/>
        </w:rPr>
        <w:t>, driven by improved performance of the investment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YoY, Other Non-Core Income </w:t>
      </w:r>
      <w:r>
        <w:rPr>
          <w:rFonts w:ascii="Arial" w:cs="Arial" w:eastAsia="Arial" w:hAnsi="Arial"/>
          <w:sz w:val="18"/>
          <w:szCs w:val="18"/>
          <w:color w:val="auto"/>
        </w:rPr>
        <w:t>expanded 13.5%, driven by:</w:t>
      </w:r>
    </w:p>
    <w:p>
      <w:pPr>
        <w:spacing w:after="0" w:line="198" w:lineRule="exact"/>
        <w:rPr>
          <w:sz w:val="20"/>
          <w:szCs w:val="20"/>
          <w:color w:val="auto"/>
        </w:rPr>
      </w:pPr>
    </w:p>
    <w:p>
      <w:pPr>
        <w:jc w:val="both"/>
        <w:ind w:left="800" w:hanging="326"/>
        <w:spacing w:after="0" w:line="244"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Net gain (loss) on securities</w:t>
      </w:r>
      <w:r>
        <w:rPr>
          <w:rFonts w:ascii="Arial" w:cs="Arial" w:eastAsia="Arial" w:hAnsi="Arial"/>
          <w:sz w:val="18"/>
          <w:szCs w:val="18"/>
          <w:color w:val="auto"/>
        </w:rPr>
        <w:t>: up primarily due to (i)</w:t>
      </w:r>
      <w:r>
        <w:rPr>
          <w:rFonts w:ascii="Arial" w:cs="Arial" w:eastAsia="Arial" w:hAnsi="Arial"/>
          <w:sz w:val="18"/>
          <w:szCs w:val="18"/>
          <w:b w:val="1"/>
          <w:bCs w:val="1"/>
          <w:color w:val="auto"/>
        </w:rPr>
        <w:t xml:space="preserve"> Pacifico</w:t>
      </w:r>
      <w:r>
        <w:rPr>
          <w:rFonts w:ascii="Arial" w:cs="Arial" w:eastAsia="Arial" w:hAnsi="Arial"/>
          <w:sz w:val="18"/>
          <w:szCs w:val="18"/>
          <w:color w:val="auto"/>
        </w:rPr>
        <w:t>, associated with a base effect, as 4Q24 recorded an impairment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investment, while 4Q25 reflected stronger portfolio performance; (ii)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due to sales of sovereign bonds; and (iii) </w:t>
      </w:r>
      <w:r>
        <w:rPr>
          <w:rFonts w:ascii="Arial" w:cs="Arial" w:eastAsia="Arial" w:hAnsi="Arial"/>
          <w:sz w:val="18"/>
          <w:szCs w:val="18"/>
          <w:b w:val="1"/>
          <w:bCs w:val="1"/>
          <w:color w:val="auto"/>
        </w:rPr>
        <w:t>ASB</w:t>
      </w:r>
      <w:r>
        <w:rPr>
          <w:rFonts w:ascii="Arial" w:cs="Arial" w:eastAsia="Arial" w:hAnsi="Arial"/>
          <w:sz w:val="18"/>
          <w:szCs w:val="18"/>
          <w:color w:val="auto"/>
        </w:rPr>
        <w:t>, due to driven by higher valuations of investment funds.</w:t>
      </w:r>
    </w:p>
    <w:p>
      <w:pPr>
        <w:ind w:left="800" w:hanging="32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Net gain (loss) for exchange rate differences</w:t>
      </w:r>
      <w:r>
        <w:rPr>
          <w:rFonts w:ascii="Arial" w:cs="Arial" w:eastAsia="Arial" w:hAnsi="Arial"/>
          <w:sz w:val="18"/>
          <w:szCs w:val="18"/>
          <w:color w:val="auto"/>
        </w:rPr>
        <w:t>: triggered by an active USD position at</w:t>
      </w:r>
      <w:r>
        <w:rPr>
          <w:rFonts w:ascii="Arial" w:cs="Arial" w:eastAsia="Arial" w:hAnsi="Arial"/>
          <w:sz w:val="18"/>
          <w:szCs w:val="18"/>
          <w:b w:val="1"/>
          <w:bCs w:val="1"/>
          <w:color w:val="auto"/>
        </w:rPr>
        <w:t xml:space="preserve"> ASB.</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This performance was ofset by a drop in (i) </w:t>
      </w:r>
      <w:r>
        <w:rPr>
          <w:rFonts w:ascii="Arial" w:cs="Arial" w:eastAsia="Arial" w:hAnsi="Arial"/>
          <w:sz w:val="17"/>
          <w:szCs w:val="17"/>
          <w:b w:val="1"/>
          <w:bCs w:val="1"/>
          <w:color w:val="auto"/>
        </w:rPr>
        <w:t>Net gain (loss) on derivatives held for trading</w:t>
      </w:r>
      <w:r>
        <w:rPr>
          <w:rFonts w:ascii="Arial" w:cs="Arial" w:eastAsia="Arial" w:hAnsi="Arial"/>
          <w:sz w:val="17"/>
          <w:szCs w:val="17"/>
          <w:color w:val="auto"/>
        </w:rPr>
        <w:t xml:space="preserve"> (-84.9%), led mainly by </w:t>
      </w:r>
      <w:r>
        <w:rPr>
          <w:rFonts w:ascii="Arial" w:cs="Arial" w:eastAsia="Arial" w:hAnsi="Arial"/>
          <w:sz w:val="17"/>
          <w:szCs w:val="17"/>
          <w:b w:val="1"/>
          <w:bCs w:val="1"/>
          <w:color w:val="auto"/>
        </w:rPr>
        <w:t>ASB</w:t>
      </w:r>
      <w:r>
        <w:rPr>
          <w:rFonts w:ascii="Arial" w:cs="Arial" w:eastAsia="Arial" w:hAnsi="Arial"/>
          <w:sz w:val="17"/>
          <w:szCs w:val="17"/>
          <w:color w:val="auto"/>
        </w:rPr>
        <w:t xml:space="preserve"> and </w:t>
      </w:r>
      <w:r>
        <w:rPr>
          <w:rFonts w:ascii="Arial" w:cs="Arial" w:eastAsia="Arial" w:hAnsi="Arial"/>
          <w:sz w:val="17"/>
          <w:szCs w:val="17"/>
          <w:b w:val="1"/>
          <w:bCs w:val="1"/>
          <w:color w:val="auto"/>
        </w:rPr>
        <w:t>Credicorp Capital</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which both registered strong results in 4Q24 related to treasury gains on coverage for exposure in local currencies; (ii) </w:t>
      </w:r>
      <w:r>
        <w:rPr>
          <w:rFonts w:ascii="Arial" w:cs="Arial" w:eastAsia="Arial" w:hAnsi="Arial"/>
          <w:sz w:val="17"/>
          <w:szCs w:val="17"/>
          <w:b w:val="1"/>
          <w:bCs w:val="1"/>
          <w:color w:val="auto"/>
        </w:rPr>
        <w:t>Other non-operating income,</w:t>
      </w:r>
      <w:r>
        <w:rPr>
          <w:rFonts w:ascii="Arial" w:cs="Arial" w:eastAsia="Arial" w:hAnsi="Arial"/>
          <w:sz w:val="17"/>
          <w:szCs w:val="17"/>
          <w:color w:val="auto"/>
        </w:rPr>
        <w:t xml:space="preserve"> which dropped 24.9%, led primarily by </w:t>
      </w:r>
      <w:r>
        <w:rPr>
          <w:rFonts w:ascii="Arial" w:cs="Arial" w:eastAsia="Arial" w:hAnsi="Arial"/>
          <w:sz w:val="17"/>
          <w:szCs w:val="17"/>
          <w:b w:val="1"/>
          <w:bCs w:val="1"/>
          <w:color w:val="auto"/>
        </w:rPr>
        <w:t>BCP Stand-alone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refecting a base efect related to higher real estate sales, together with higher provisions recorded under </w:t>
      </w:r>
      <w:r>
        <w:rPr>
          <w:rFonts w:ascii="Arial" w:cs="Arial" w:eastAsia="Arial" w:hAnsi="Arial"/>
          <w:sz w:val="17"/>
          <w:szCs w:val="17"/>
          <w:b w:val="1"/>
          <w:bCs w:val="1"/>
          <w:color w:val="auto"/>
        </w:rPr>
        <w:t>Others</w:t>
      </w:r>
      <w:r>
        <w:rPr>
          <w:rFonts w:ascii="Arial" w:cs="Arial" w:eastAsia="Arial" w:hAnsi="Arial"/>
          <w:sz w:val="17"/>
          <w:szCs w:val="17"/>
          <w:color w:val="auto"/>
        </w:rPr>
        <w:t>, mainly at Grupo Crédito. This was partially ofset by</w:t>
      </w:r>
      <w:r>
        <w:rPr>
          <w:rFonts w:ascii="Arial" w:cs="Arial" w:eastAsia="Arial" w:hAnsi="Arial"/>
          <w:sz w:val="17"/>
          <w:szCs w:val="17"/>
          <w:b w:val="1"/>
          <w:bCs w:val="1"/>
          <w:color w:val="auto"/>
        </w:rPr>
        <w:t xml:space="preserve"> Pacifco</w:t>
      </w:r>
      <w:r>
        <w:rPr>
          <w:rFonts w:ascii="Arial" w:cs="Arial" w:eastAsia="Arial" w:hAnsi="Arial"/>
          <w:sz w:val="17"/>
          <w:szCs w:val="17"/>
          <w:color w:val="auto"/>
        </w:rPr>
        <w:t>, in line with the QoQ analysis. Finally, due to (iii)</w:t>
      </w:r>
      <w:r>
        <w:rPr>
          <w:rFonts w:ascii="Arial" w:cs="Arial" w:eastAsia="Arial" w:hAnsi="Arial"/>
          <w:sz w:val="17"/>
          <w:szCs w:val="17"/>
          <w:b w:val="1"/>
          <w:bCs w:val="1"/>
          <w:color w:val="auto"/>
        </w:rPr>
        <w:t xml:space="preserve"> Net gain from associates</w:t>
      </w:r>
      <w:r>
        <w:rPr>
          <w:rFonts w:ascii="Arial" w:cs="Arial" w:eastAsia="Arial" w:hAnsi="Arial"/>
          <w:sz w:val="17"/>
          <w:szCs w:val="17"/>
          <w:color w:val="auto"/>
        </w:rPr>
        <w:t>, down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85.5%, led mainly by </w:t>
      </w:r>
      <w:r>
        <w:rPr>
          <w:rFonts w:ascii="Arial" w:cs="Arial" w:eastAsia="Arial" w:hAnsi="Arial"/>
          <w:sz w:val="17"/>
          <w:szCs w:val="17"/>
          <w:b w:val="1"/>
          <w:bCs w:val="1"/>
          <w:color w:val="auto"/>
        </w:rPr>
        <w:t>Pacifco</w:t>
      </w:r>
      <w:r>
        <w:rPr>
          <w:rFonts w:ascii="Arial" w:cs="Arial" w:eastAsia="Arial" w:hAnsi="Arial"/>
          <w:sz w:val="17"/>
          <w:szCs w:val="17"/>
          <w:color w:val="auto"/>
        </w:rPr>
        <w:t>, which was impacted in an accounting adjustment after the acquisition of Banmedica. Currently, the results for private medical insurance, corporate health insurance and medical services businesses, are consolidated in the Insurance Underwriting and Medical Services results rather than in the Net gain from associates 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Other Non-Core Income </w:t>
      </w:r>
      <w:r>
        <w:rPr>
          <w:rFonts w:ascii="Arial" w:cs="Arial" w:eastAsia="Arial" w:hAnsi="Arial"/>
          <w:sz w:val="18"/>
          <w:szCs w:val="18"/>
          <w:color w:val="auto"/>
        </w:rPr>
        <w:t>rose 8.8%, fueled by:</w:t>
      </w:r>
    </w:p>
    <w:p>
      <w:pPr>
        <w:spacing w:after="0" w:line="207" w:lineRule="exact"/>
        <w:rPr>
          <w:sz w:val="20"/>
          <w:szCs w:val="20"/>
          <w:color w:val="auto"/>
        </w:rPr>
      </w:pPr>
    </w:p>
    <w:p>
      <w:pPr>
        <w:jc w:val="both"/>
        <w:ind w:left="800" w:hanging="326"/>
        <w:spacing w:after="0" w:line="244"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Net gain on securities: </w:t>
      </w:r>
      <w:r>
        <w:rPr>
          <w:rFonts w:ascii="Arial" w:cs="Arial" w:eastAsia="Arial" w:hAnsi="Arial"/>
          <w:sz w:val="18"/>
          <w:szCs w:val="18"/>
          <w:color w:val="auto"/>
        </w:rPr>
        <w:t>increased 58.2%, led mainly by</w:t>
      </w:r>
      <w:r>
        <w:rPr>
          <w:rFonts w:ascii="Arial" w:cs="Arial" w:eastAsia="Arial" w:hAnsi="Arial"/>
          <w:sz w:val="18"/>
          <w:szCs w:val="18"/>
          <w:b w:val="1"/>
          <w:bCs w:val="1"/>
          <w:color w:val="auto"/>
        </w:rPr>
        <w:t xml:space="preserve"> BCP Stand-alone</w:t>
      </w:r>
      <w:r>
        <w:rPr>
          <w:rFonts w:ascii="Arial" w:cs="Arial" w:eastAsia="Arial" w:hAnsi="Arial"/>
          <w:sz w:val="18"/>
          <w:szCs w:val="18"/>
          <w:color w:val="auto"/>
        </w:rPr>
        <w:t>, which registered a sovereign bond exchange in 2Q25,</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secondarily by </w:t>
      </w:r>
      <w:r>
        <w:rPr>
          <w:rFonts w:ascii="Arial" w:cs="Arial" w:eastAsia="Arial" w:hAnsi="Arial"/>
          <w:sz w:val="18"/>
          <w:szCs w:val="18"/>
          <w:b w:val="1"/>
          <w:bCs w:val="1"/>
          <w:color w:val="auto"/>
        </w:rPr>
        <w:t>Credicorp Capital and ASB</w:t>
      </w:r>
      <w:r>
        <w:rPr>
          <w:rFonts w:ascii="Arial" w:cs="Arial" w:eastAsia="Arial" w:hAnsi="Arial"/>
          <w:sz w:val="18"/>
          <w:szCs w:val="18"/>
          <w:color w:val="auto"/>
        </w:rPr>
        <w:t xml:space="preserve">, where improvements were fueled by better results in their fixed income portfolios. The aforementioned growth was attenuated by a devaluation of a fund in </w:t>
      </w:r>
      <w:r>
        <w:rPr>
          <w:rFonts w:ascii="Arial" w:cs="Arial" w:eastAsia="Arial" w:hAnsi="Arial"/>
          <w:sz w:val="18"/>
          <w:szCs w:val="18"/>
          <w:b w:val="1"/>
          <w:bCs w:val="1"/>
          <w:color w:val="auto"/>
        </w:rPr>
        <w:t>Others</w:t>
      </w:r>
      <w:r>
        <w:rPr>
          <w:rFonts w:ascii="Arial" w:cs="Arial" w:eastAsia="Arial" w:hAnsi="Arial"/>
          <w:sz w:val="18"/>
          <w:szCs w:val="18"/>
          <w:color w:val="auto"/>
        </w:rPr>
        <w:t>.</w:t>
      </w:r>
    </w:p>
    <w:p>
      <w:pPr>
        <w:ind w:left="800" w:hanging="326"/>
        <w:spacing w:after="0" w:line="234"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Net gain (loss) on exchange rate differences</w:t>
      </w:r>
      <w:r>
        <w:rPr>
          <w:rFonts w:ascii="Arial" w:cs="Arial" w:eastAsia="Arial" w:hAnsi="Arial"/>
          <w:sz w:val="18"/>
          <w:szCs w:val="18"/>
          <w:color w:val="auto"/>
        </w:rPr>
        <w:t>: mainly attributable to</w:t>
      </w:r>
      <w:r>
        <w:rPr>
          <w:rFonts w:ascii="Arial" w:cs="Arial" w:eastAsia="Arial" w:hAnsi="Arial"/>
          <w:sz w:val="18"/>
          <w:szCs w:val="18"/>
          <w:b w:val="1"/>
          <w:bCs w:val="1"/>
          <w:color w:val="auto"/>
        </w:rPr>
        <w:t xml:space="preserve"> ASB</w:t>
      </w:r>
      <w:r>
        <w:rPr>
          <w:rFonts w:ascii="Arial" w:cs="Arial" w:eastAsia="Arial" w:hAnsi="Arial"/>
          <w:sz w:val="18"/>
          <w:szCs w:val="18"/>
          <w:color w:val="auto"/>
        </w:rPr>
        <w:t>, which reported treasury gains from coverage for</w:t>
      </w:r>
      <w:r>
        <w:rPr>
          <w:rFonts w:ascii="Arial" w:cs="Arial" w:eastAsia="Arial" w:hAnsi="Arial"/>
          <w:sz w:val="18"/>
          <w:szCs w:val="18"/>
          <w:b w:val="1"/>
          <w:bCs w:val="1"/>
          <w:color w:val="auto"/>
        </w:rPr>
        <w:t xml:space="preserve"> </w:t>
      </w:r>
      <w:r>
        <w:rPr>
          <w:rFonts w:ascii="Arial" w:cs="Arial" w:eastAsia="Arial" w:hAnsi="Arial"/>
          <w:sz w:val="18"/>
          <w:szCs w:val="18"/>
          <w:color w:val="auto"/>
        </w:rPr>
        <w:t>exposures in local currencies.</w:t>
      </w:r>
    </w:p>
    <w:p>
      <w:pPr>
        <w:spacing w:after="0" w:line="1" w:lineRule="exact"/>
        <w:rPr>
          <w:rFonts w:ascii="Arial" w:cs="Arial" w:eastAsia="Arial" w:hAnsi="Arial"/>
          <w:sz w:val="18"/>
          <w:szCs w:val="18"/>
          <w:color w:val="auto"/>
        </w:rPr>
      </w:pPr>
    </w:p>
    <w:p>
      <w:pPr>
        <w:ind w:left="800" w:hanging="32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Other non-operating income</w:t>
      </w:r>
      <w:r>
        <w:rPr>
          <w:rFonts w:ascii="Arial" w:cs="Arial" w:eastAsia="Arial" w:hAnsi="Arial"/>
          <w:sz w:val="18"/>
          <w:szCs w:val="18"/>
          <w:color w:val="auto"/>
        </w:rPr>
        <w:t>: rose 13.6%, impacted by an extraordinary gain following the acquisition of Banmedica.</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FY growth was partially attenuated by the </w:t>
      </w:r>
      <w:r>
        <w:rPr>
          <w:rFonts w:ascii="Arial" w:cs="Arial" w:eastAsia="Arial" w:hAnsi="Arial"/>
          <w:sz w:val="18"/>
          <w:szCs w:val="18"/>
          <w:b w:val="1"/>
          <w:bCs w:val="1"/>
          <w:color w:val="auto"/>
        </w:rPr>
        <w:t>Net gain from associates</w:t>
      </w:r>
      <w:r>
        <w:rPr>
          <w:rFonts w:ascii="Arial" w:cs="Arial" w:eastAsia="Arial" w:hAnsi="Arial"/>
          <w:sz w:val="18"/>
          <w:szCs w:val="18"/>
          <w:color w:val="auto"/>
        </w:rPr>
        <w:t xml:space="preserve"> (-69.4%), which was attributable to an accounting adjustment at </w:t>
      </w:r>
      <w:r>
        <w:rPr>
          <w:rFonts w:ascii="Arial" w:cs="Arial" w:eastAsia="Arial" w:hAnsi="Arial"/>
          <w:sz w:val="18"/>
          <w:szCs w:val="18"/>
          <w:b w:val="1"/>
          <w:bCs w:val="1"/>
          <w:color w:val="auto"/>
        </w:rPr>
        <w:t>Pacifco</w:t>
      </w:r>
      <w:r>
        <w:rPr>
          <w:rFonts w:ascii="Arial" w:cs="Arial" w:eastAsia="Arial" w:hAnsi="Arial"/>
          <w:sz w:val="18"/>
          <w:szCs w:val="18"/>
          <w:color w:val="auto"/>
        </w:rPr>
        <w:t xml:space="preserve">, and to the </w:t>
      </w:r>
      <w:r>
        <w:rPr>
          <w:rFonts w:ascii="Arial" w:cs="Arial" w:eastAsia="Arial" w:hAnsi="Arial"/>
          <w:sz w:val="18"/>
          <w:szCs w:val="18"/>
          <w:b w:val="1"/>
          <w:bCs w:val="1"/>
          <w:color w:val="auto"/>
        </w:rPr>
        <w:t xml:space="preserve">Net gain (loss) on derivatives held for trading </w:t>
      </w:r>
      <w:r>
        <w:rPr>
          <w:rFonts w:ascii="Arial" w:cs="Arial" w:eastAsia="Arial" w:hAnsi="Arial"/>
          <w:sz w:val="18"/>
          <w:szCs w:val="18"/>
          <w:color w:val="auto"/>
        </w:rPr>
        <w:t>(-66.8%), after results at</w:t>
      </w:r>
      <w:r>
        <w:rPr>
          <w:rFonts w:ascii="Arial" w:cs="Arial" w:eastAsia="Arial" w:hAnsi="Arial"/>
          <w:sz w:val="18"/>
          <w:szCs w:val="18"/>
          <w:b w:val="1"/>
          <w:bCs w:val="1"/>
          <w:color w:val="auto"/>
        </w:rPr>
        <w:t xml:space="preserve"> ASB and Credicorp Capital </w:t>
      </w:r>
      <w:r>
        <w:rPr>
          <w:rFonts w:ascii="Arial" w:cs="Arial" w:eastAsia="Arial" w:hAnsi="Arial"/>
          <w:sz w:val="18"/>
          <w:szCs w:val="18"/>
          <w:color w:val="auto"/>
        </w:rPr>
        <w:t>fell due exposure in local currency portfolios, mainly for</w:t>
      </w:r>
      <w:r>
        <w:rPr>
          <w:rFonts w:ascii="Arial" w:cs="Arial" w:eastAsia="Arial" w:hAnsi="Arial"/>
          <w:sz w:val="18"/>
          <w:szCs w:val="18"/>
          <w:b w:val="1"/>
          <w:bCs w:val="1"/>
          <w:color w:val="auto"/>
        </w:rPr>
        <w:t xml:space="preserve"> </w:t>
      </w:r>
      <w:r>
        <w:rPr>
          <w:rFonts w:ascii="Arial" w:cs="Arial" w:eastAsia="Arial" w:hAnsi="Arial"/>
          <w:sz w:val="18"/>
          <w:szCs w:val="18"/>
          <w:color w:val="auto"/>
        </w:rPr>
        <w:t>forward contracts and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710565</wp:posOffset>
            </wp:positionV>
            <wp:extent cx="71577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110490</wp:posOffset>
            </wp:positionV>
            <wp:extent cx="6789420" cy="4972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89420" cy="497205"/>
                    </a:xfrm>
                    <a:prstGeom prst="rect">
                      <a:avLst/>
                    </a:prstGeom>
                    <a:noFill/>
                  </pic:spPr>
                </pic:pic>
              </a:graphicData>
            </a:graphic>
          </wp:anchor>
        </w:drawing>
      </w:r>
    </w:p>
    <w:p>
      <w:pPr>
        <w:sectPr>
          <w:pgSz w:w="11920" w:h="16838" w:orient="portrait"/>
          <w:cols w:equalWidth="0" w:num="1">
            <w:col w:w="11260"/>
          </w:cols>
          <w:pgMar w:left="340" w:top="447" w:right="318" w:bottom="1440" w:gutter="0" w:footer="0" w:header="0"/>
        </w:sectPr>
      </w:pPr>
    </w:p>
    <w:bookmarkStart w:id="38" w:name="page39"/>
    <w:bookmarkEnd w:id="38"/>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617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07 </w:t>
      </w:r>
      <w:r>
        <w:rPr>
          <w:rFonts w:ascii="Arial" w:cs="Arial" w:eastAsia="Arial" w:hAnsi="Arial"/>
          <w:sz w:val="32"/>
          <w:szCs w:val="32"/>
          <w:color w:val="E93BAC"/>
        </w:rPr>
        <w:t>Insurance Underwriting and Medical Services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157720" cy="13544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1354455"/>
                    </a:xfrm>
                    <a:prstGeom prst="rect">
                      <a:avLst/>
                    </a:prstGeom>
                    <a:noFill/>
                  </pic:spPr>
                </pic:pic>
              </a:graphicData>
            </a:graphic>
          </wp:anchor>
        </w:drawing>
      </w:r>
    </w:p>
    <w:p>
      <w:pPr>
        <w:spacing w:after="0" w:line="229" w:lineRule="exact"/>
        <w:rPr>
          <w:sz w:val="20"/>
          <w:szCs w:val="20"/>
          <w:color w:val="auto"/>
        </w:rPr>
      </w:pPr>
    </w:p>
    <w:p>
      <w:pPr>
        <w:jc w:val="both"/>
        <w:ind w:left="100" w:right="100"/>
        <w:spacing w:after="0" w:line="241" w:lineRule="auto"/>
        <w:rPr>
          <w:sz w:val="20"/>
          <w:szCs w:val="20"/>
          <w:color w:val="auto"/>
        </w:rPr>
      </w:pPr>
      <w:r>
        <w:rPr>
          <w:rFonts w:ascii="Arial" w:cs="Arial" w:eastAsia="Arial" w:hAnsi="Arial"/>
          <w:sz w:val="18"/>
          <w:szCs w:val="18"/>
          <w:color w:val="FFFFFF"/>
        </w:rPr>
        <w:t>The Insurance Underwriting result dropped 17.4% QoQ, driven by the Life business, mainly reflecting normalization in the Disability &amp; Survivorship line of the Life Business, which registered a base effect for favorable extraordinary reversals last quarter. If we exclude this business line, which did not actively operate in 2025, the underlying performance of our insurance operations iens4uQl2t5ardeomadineedSseogliduarnod the Insurance Underwriting Result remained relatively stable.</w:t>
      </w:r>
    </w:p>
    <w:p>
      <w:pPr>
        <w:spacing w:after="0" w:line="1" w:lineRule="exact"/>
        <w:rPr>
          <w:sz w:val="20"/>
          <w:szCs w:val="20"/>
          <w:color w:val="auto"/>
        </w:rPr>
      </w:pPr>
    </w:p>
    <w:p>
      <w:pPr>
        <w:jc w:val="both"/>
        <w:ind w:left="100" w:right="100"/>
        <w:spacing w:after="0" w:line="238" w:lineRule="auto"/>
        <w:rPr>
          <w:sz w:val="20"/>
          <w:szCs w:val="20"/>
          <w:color w:val="auto"/>
        </w:rPr>
      </w:pPr>
      <w:r>
        <w:rPr>
          <w:rFonts w:ascii="Arial" w:cs="Arial" w:eastAsia="Arial" w:hAnsi="Arial"/>
          <w:sz w:val="18"/>
          <w:szCs w:val="18"/>
          <w:color w:val="FFFFFF"/>
        </w:rPr>
        <w:t>YoY, results increased 2.6%, driven by (i) Corporate Health, due to the consolidation of Banmedica’s operations, and (ii) P &amp; C. On a full-year basis, results rose 15.9%, mainly fueled by Corporate Health. If we exclude the consolidation of Banmedica’s operations, the underwriting result rose 7.8%. Nonetheless, this was impacted by the contraction of the D&amp;S line, which did not actively operate in 2025. Excluding this line, the underwriting result of the ongoing operating business rose 14.6% and was driven mainly by the Life business through a favorable performance in Credit and Individual lines, and by the P&amp;C business, particularly through better results in Personal Lines and Cars.</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C2139D"/>
        </w:rPr>
        <w:t>Insurance Underwriting Result</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3960" w:type="dxa"/>
            <w:vAlign w:val="bottom"/>
            <w:tcBorders>
              <w:top w:val="single" w:sz="8" w:color="auto"/>
              <w:left w:val="single" w:sz="8" w:color="auto"/>
              <w:right w:val="single" w:sz="8" w:color="auto"/>
            </w:tcBorders>
            <w:gridSpan w:val="2"/>
            <w:shd w:val="clear" w:color="auto" w:fill="33CCCC"/>
          </w:tcPr>
          <w:p>
            <w:pPr>
              <w:spacing w:after="0" w:line="124" w:lineRule="exact"/>
              <w:rPr>
                <w:sz w:val="20"/>
                <w:szCs w:val="20"/>
                <w:color w:val="auto"/>
              </w:rPr>
            </w:pPr>
            <w:r>
              <w:rPr>
                <w:rFonts w:ascii="Arial" w:cs="Arial" w:eastAsia="Arial" w:hAnsi="Arial"/>
                <w:sz w:val="13"/>
                <w:szCs w:val="13"/>
                <w:b w:val="1"/>
                <w:bCs w:val="1"/>
                <w:color w:val="FFFFFF"/>
              </w:rPr>
              <w:t>Insurance Underwriting Results</w:t>
            </w:r>
          </w:p>
        </w:tc>
        <w:tc>
          <w:tcPr>
            <w:tcW w:w="740" w:type="dxa"/>
            <w:vAlign w:val="bottom"/>
            <w:tcBorders>
              <w:top w:val="single" w:sz="8" w:color="auto"/>
            </w:tcBorders>
            <w:vMerge w:val="restart"/>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860" w:type="dxa"/>
            <w:vAlign w:val="bottom"/>
            <w:tcBorders>
              <w:top w:val="single" w:sz="8" w:color="auto"/>
            </w:tcBorders>
            <w:shd w:val="clear" w:color="auto" w:fill="33CCCC"/>
          </w:tcPr>
          <w:p>
            <w:pPr>
              <w:ind w:left="140"/>
              <w:spacing w:after="0" w:line="124" w:lineRule="exact"/>
              <w:rPr>
                <w:sz w:val="20"/>
                <w:szCs w:val="20"/>
                <w:color w:val="auto"/>
              </w:rPr>
            </w:pPr>
            <w:r>
              <w:rPr>
                <w:rFonts w:ascii="Arial" w:cs="Arial" w:eastAsia="Arial" w:hAnsi="Arial"/>
                <w:sz w:val="13"/>
                <w:szCs w:val="13"/>
                <w:b w:val="1"/>
                <w:bCs w:val="1"/>
                <w:color w:val="FFFFFF"/>
              </w:rPr>
              <w:t>Quarterly</w:t>
            </w:r>
          </w:p>
        </w:tc>
        <w:tc>
          <w:tcPr>
            <w:tcW w:w="780" w:type="dxa"/>
            <w:vAlign w:val="bottom"/>
            <w:tcBorders>
              <w:top w:val="single" w:sz="8" w:color="auto"/>
              <w:right w:val="single" w:sz="8" w:color="auto"/>
            </w:tcBorders>
            <w:vMerge w:val="restart"/>
            <w:shd w:val="clear" w:color="auto" w:fill="33CCCC"/>
          </w:tcPr>
          <w:p>
            <w:pPr>
              <w:jc w:val="center"/>
              <w:ind w:right="18"/>
              <w:spacing w:after="0"/>
              <w:rPr>
                <w:sz w:val="20"/>
                <w:szCs w:val="20"/>
                <w:color w:val="auto"/>
              </w:rPr>
            </w:pPr>
            <w:r>
              <w:rPr>
                <w:rFonts w:ascii="Arial" w:cs="Arial" w:eastAsia="Arial" w:hAnsi="Arial"/>
                <w:sz w:val="13"/>
                <w:szCs w:val="13"/>
                <w:b w:val="1"/>
                <w:bCs w:val="1"/>
                <w:color w:val="FFFFFF"/>
                <w:w w:val="94"/>
              </w:rPr>
              <w:t>4Q25</w:t>
            </w:r>
          </w:p>
        </w:tc>
        <w:tc>
          <w:tcPr>
            <w:tcW w:w="1680" w:type="dxa"/>
            <w:vAlign w:val="bottom"/>
            <w:tcBorders>
              <w:top w:val="single" w:sz="8" w:color="auto"/>
              <w:right w:val="single" w:sz="8" w:color="auto"/>
            </w:tcBorders>
            <w:gridSpan w:val="2"/>
            <w:shd w:val="clear" w:color="auto" w:fill="33CCCC"/>
          </w:tcPr>
          <w:p>
            <w:pPr>
              <w:ind w:left="520"/>
              <w:spacing w:after="0" w:line="124" w:lineRule="exact"/>
              <w:rPr>
                <w:sz w:val="20"/>
                <w:szCs w:val="20"/>
                <w:color w:val="auto"/>
              </w:rPr>
            </w:pPr>
            <w:r>
              <w:rPr>
                <w:rFonts w:ascii="Arial" w:cs="Arial" w:eastAsia="Arial" w:hAnsi="Arial"/>
                <w:sz w:val="13"/>
                <w:szCs w:val="13"/>
                <w:b w:val="1"/>
                <w:bCs w:val="1"/>
                <w:color w:val="FFFFFF"/>
              </w:rPr>
              <w:t>% Change</w:t>
            </w:r>
          </w:p>
        </w:tc>
        <w:tc>
          <w:tcPr>
            <w:tcW w:w="700" w:type="dxa"/>
            <w:vAlign w:val="bottom"/>
            <w:tcBorders>
              <w:top w:val="single" w:sz="8" w:color="auto"/>
            </w:tcBorders>
            <w:vMerge w:val="restart"/>
            <w:shd w:val="clear" w:color="auto" w:fill="33CCCC"/>
          </w:tcPr>
          <w:p>
            <w:pPr>
              <w:ind w:left="240"/>
              <w:spacing w:after="0"/>
              <w:rPr>
                <w:sz w:val="20"/>
                <w:szCs w:val="20"/>
                <w:color w:val="auto"/>
              </w:rPr>
            </w:pPr>
            <w:r>
              <w:rPr>
                <w:rFonts w:ascii="Arial" w:cs="Arial" w:eastAsia="Arial" w:hAnsi="Arial"/>
                <w:sz w:val="13"/>
                <w:szCs w:val="13"/>
                <w:b w:val="1"/>
                <w:bCs w:val="1"/>
                <w:color w:val="FFFFFF"/>
              </w:rPr>
              <w:t>Dec 24</w:t>
            </w:r>
          </w:p>
        </w:tc>
        <w:tc>
          <w:tcPr>
            <w:tcW w:w="1100" w:type="dxa"/>
            <w:vAlign w:val="bottom"/>
            <w:tcBorders>
              <w:top w:val="single" w:sz="8" w:color="auto"/>
              <w:right w:val="single" w:sz="8" w:color="auto"/>
            </w:tcBorders>
            <w:shd w:val="clear" w:color="auto" w:fill="33CCCC"/>
          </w:tcPr>
          <w:p>
            <w:pPr>
              <w:ind w:left="20"/>
              <w:spacing w:after="0" w:line="124" w:lineRule="exact"/>
              <w:rPr>
                <w:sz w:val="20"/>
                <w:szCs w:val="20"/>
                <w:color w:val="auto"/>
              </w:rPr>
            </w:pPr>
            <w:r>
              <w:rPr>
                <w:rFonts w:ascii="Arial" w:cs="Arial" w:eastAsia="Arial" w:hAnsi="Arial"/>
                <w:sz w:val="13"/>
                <w:szCs w:val="13"/>
                <w:b w:val="1"/>
                <w:bCs w:val="1"/>
                <w:color w:val="FFFFFF"/>
              </w:rPr>
              <w:t>Up to</w:t>
            </w:r>
          </w:p>
        </w:tc>
        <w:tc>
          <w:tcPr>
            <w:tcW w:w="1460" w:type="dxa"/>
            <w:vAlign w:val="bottom"/>
            <w:tcBorders>
              <w:top w:val="single" w:sz="8" w:color="auto"/>
              <w:right w:val="single" w:sz="8" w:color="auto"/>
            </w:tcBorders>
            <w:shd w:val="clear" w:color="auto" w:fill="33CCCC"/>
          </w:tcPr>
          <w:p>
            <w:pPr>
              <w:jc w:val="center"/>
              <w:spacing w:after="0" w:line="124" w:lineRule="exact"/>
              <w:rPr>
                <w:sz w:val="20"/>
                <w:szCs w:val="20"/>
                <w:color w:val="auto"/>
              </w:rPr>
            </w:pPr>
            <w:r>
              <w:rPr>
                <w:rFonts w:ascii="Arial" w:cs="Arial" w:eastAsia="Arial" w:hAnsi="Arial"/>
                <w:sz w:val="13"/>
                <w:szCs w:val="13"/>
                <w:b w:val="1"/>
                <w:bCs w:val="1"/>
                <w:color w:val="FFFFFF"/>
                <w:w w:val="97"/>
              </w:rPr>
              <w:t>%Change</w:t>
            </w:r>
          </w:p>
        </w:tc>
        <w:tc>
          <w:tcPr>
            <w:tcW w:w="0" w:type="dxa"/>
            <w:vAlign w:val="bottom"/>
          </w:tcPr>
          <w:p>
            <w:pPr>
              <w:spacing w:after="0"/>
              <w:rPr>
                <w:sz w:val="1"/>
                <w:szCs w:val="1"/>
                <w:color w:val="auto"/>
              </w:rPr>
            </w:pPr>
          </w:p>
        </w:tc>
      </w:tr>
      <w:tr>
        <w:trPr>
          <w:trHeight w:val="172"/>
        </w:trPr>
        <w:tc>
          <w:tcPr>
            <w:tcW w:w="1260" w:type="dxa"/>
            <w:vAlign w:val="bottom"/>
            <w:tcBorders>
              <w:left w:val="single" w:sz="8" w:color="auto"/>
              <w:bottom w:val="single" w:sz="8" w:color="auto"/>
              <w:right w:val="single" w:sz="8" w:color="33CCCC"/>
            </w:tcBorders>
            <w:shd w:val="clear" w:color="auto" w:fill="33CCCC"/>
          </w:tcPr>
          <w:p>
            <w:pPr>
              <w:spacing w:after="0"/>
              <w:rPr>
                <w:sz w:val="20"/>
                <w:szCs w:val="20"/>
                <w:color w:val="auto"/>
              </w:rPr>
            </w:pPr>
            <w:r>
              <w:rPr>
                <w:rFonts w:ascii="Arial" w:cs="Arial" w:eastAsia="Arial" w:hAnsi="Arial"/>
                <w:sz w:val="13"/>
                <w:szCs w:val="13"/>
                <w:b w:val="1"/>
                <w:bCs w:val="1"/>
                <w:color w:val="FFFFFF"/>
              </w:rPr>
              <w:t>S/millions</w:t>
            </w:r>
          </w:p>
        </w:tc>
        <w:tc>
          <w:tcPr>
            <w:tcW w:w="2700" w:type="dxa"/>
            <w:vAlign w:val="bottom"/>
            <w:tcBorders>
              <w:bottom w:val="single" w:sz="8" w:color="auto"/>
              <w:right w:val="single" w:sz="8" w:color="auto"/>
            </w:tcBorders>
            <w:shd w:val="clear" w:color="auto" w:fill="33CCCC"/>
          </w:tcPr>
          <w:p>
            <w:pPr>
              <w:spacing w:after="0"/>
              <w:rPr>
                <w:sz w:val="15"/>
                <w:szCs w:val="15"/>
                <w:color w:val="auto"/>
              </w:rPr>
            </w:pPr>
          </w:p>
        </w:tc>
        <w:tc>
          <w:tcPr>
            <w:tcW w:w="740" w:type="dxa"/>
            <w:vAlign w:val="bottom"/>
            <w:tcBorders>
              <w:bottom w:val="single" w:sz="8" w:color="auto"/>
            </w:tcBorders>
            <w:vMerge w:val="continue"/>
            <w:shd w:val="clear" w:color="auto" w:fill="33CCCC"/>
          </w:tcPr>
          <w:p>
            <w:pPr>
              <w:spacing w:after="0"/>
              <w:rPr>
                <w:sz w:val="15"/>
                <w:szCs w:val="15"/>
                <w:color w:val="auto"/>
              </w:rPr>
            </w:pP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4"/>
              </w:rPr>
              <w:t>3Q25</w:t>
            </w:r>
          </w:p>
        </w:tc>
        <w:tc>
          <w:tcPr>
            <w:tcW w:w="780" w:type="dxa"/>
            <w:vAlign w:val="bottom"/>
            <w:tcBorders>
              <w:bottom w:val="single" w:sz="8" w:color="auto"/>
              <w:right w:val="single" w:sz="8" w:color="auto"/>
            </w:tcBorders>
            <w:vMerge w:val="continue"/>
            <w:shd w:val="clear" w:color="auto" w:fill="33CCCC"/>
          </w:tcPr>
          <w:p>
            <w:pPr>
              <w:spacing w:after="0"/>
              <w:rPr>
                <w:sz w:val="15"/>
                <w:szCs w:val="15"/>
                <w:color w:val="auto"/>
              </w:rPr>
            </w:pPr>
          </w:p>
        </w:tc>
        <w:tc>
          <w:tcPr>
            <w:tcW w:w="86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3"/>
                <w:szCs w:val="13"/>
                <w:b w:val="1"/>
                <w:bCs w:val="1"/>
                <w:color w:val="FFFFFF"/>
              </w:rPr>
              <w:t>QoQ</w:t>
            </w:r>
          </w:p>
        </w:tc>
        <w:tc>
          <w:tcPr>
            <w:tcW w:w="820" w:type="dxa"/>
            <w:vAlign w:val="bottom"/>
            <w:tcBorders>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3"/>
                <w:szCs w:val="13"/>
                <w:b w:val="1"/>
                <w:bCs w:val="1"/>
                <w:color w:val="FFFFFF"/>
              </w:rPr>
              <w:t>YoY</w:t>
            </w:r>
          </w:p>
        </w:tc>
        <w:tc>
          <w:tcPr>
            <w:tcW w:w="700" w:type="dxa"/>
            <w:vAlign w:val="bottom"/>
            <w:tcBorders>
              <w:bottom w:val="single" w:sz="8" w:color="auto"/>
            </w:tcBorders>
            <w:vMerge w:val="continue"/>
            <w:shd w:val="clear" w:color="auto" w:fill="33CCCC"/>
          </w:tcPr>
          <w:p>
            <w:pPr>
              <w:spacing w:after="0"/>
              <w:rPr>
                <w:sz w:val="15"/>
                <w:szCs w:val="15"/>
                <w:color w:val="auto"/>
              </w:rPr>
            </w:pPr>
          </w:p>
        </w:tc>
        <w:tc>
          <w:tcPr>
            <w:tcW w:w="110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3"/>
                <w:szCs w:val="13"/>
                <w:b w:val="1"/>
                <w:bCs w:val="1"/>
                <w:color w:val="FFFFFF"/>
              </w:rPr>
              <w:t>Dec 25</w:t>
            </w:r>
          </w:p>
        </w:tc>
        <w:tc>
          <w:tcPr>
            <w:tcW w:w="14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7"/>
              </w:rPr>
              <w:t>Dec 25 / Dec 24</w:t>
            </w:r>
          </w:p>
        </w:tc>
        <w:tc>
          <w:tcPr>
            <w:tcW w:w="0" w:type="dxa"/>
            <w:vAlign w:val="bottom"/>
          </w:tcPr>
          <w:p>
            <w:pPr>
              <w:spacing w:after="0"/>
              <w:rPr>
                <w:sz w:val="1"/>
                <w:szCs w:val="1"/>
                <w:color w:val="auto"/>
              </w:rPr>
            </w:pPr>
          </w:p>
        </w:tc>
      </w:tr>
      <w:tr>
        <w:trPr>
          <w:trHeight w:val="107"/>
        </w:trPr>
        <w:tc>
          <w:tcPr>
            <w:tcW w:w="126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Insurance Service Income</w:t>
            </w:r>
          </w:p>
        </w:tc>
        <w:tc>
          <w:tcPr>
            <w:tcW w:w="740" w:type="dxa"/>
            <w:vAlign w:val="bottom"/>
          </w:tcPr>
          <w:p>
            <w:pPr>
              <w:jc w:val="center"/>
              <w:spacing w:after="0" w:line="107" w:lineRule="exact"/>
              <w:rPr>
                <w:sz w:val="20"/>
                <w:szCs w:val="20"/>
                <w:color w:val="auto"/>
              </w:rPr>
            </w:pPr>
            <w:r>
              <w:rPr>
                <w:rFonts w:ascii="Arial" w:cs="Arial" w:eastAsia="Arial" w:hAnsi="Arial"/>
                <w:sz w:val="12"/>
                <w:szCs w:val="12"/>
                <w:color w:val="auto"/>
              </w:rPr>
              <w:t>982.5</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1,212.4</w:t>
            </w:r>
          </w:p>
        </w:tc>
        <w:tc>
          <w:tcPr>
            <w:tcW w:w="780" w:type="dxa"/>
            <w:vAlign w:val="bottom"/>
            <w:tcBorders>
              <w:right w:val="single" w:sz="8" w:color="auto"/>
            </w:tcBorders>
          </w:tcPr>
          <w:p>
            <w:pPr>
              <w:jc w:val="center"/>
              <w:ind w:right="18"/>
              <w:spacing w:after="0" w:line="107" w:lineRule="exact"/>
              <w:rPr>
                <w:sz w:val="20"/>
                <w:szCs w:val="20"/>
                <w:color w:val="auto"/>
              </w:rPr>
            </w:pPr>
            <w:r>
              <w:rPr>
                <w:rFonts w:ascii="Arial" w:cs="Arial" w:eastAsia="Arial" w:hAnsi="Arial"/>
                <w:sz w:val="12"/>
                <w:szCs w:val="12"/>
                <w:color w:val="auto"/>
              </w:rPr>
              <w:t>1,262.7</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4.1%</w:t>
            </w:r>
          </w:p>
        </w:tc>
        <w:tc>
          <w:tcPr>
            <w:tcW w:w="8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28.5%</w:t>
            </w:r>
          </w:p>
        </w:tc>
        <w:tc>
          <w:tcPr>
            <w:tcW w:w="700" w:type="dxa"/>
            <w:vAlign w:val="bottom"/>
          </w:tcPr>
          <w:p>
            <w:pPr>
              <w:jc w:val="center"/>
              <w:ind w:left="98"/>
              <w:spacing w:after="0" w:line="107" w:lineRule="exact"/>
              <w:rPr>
                <w:sz w:val="20"/>
                <w:szCs w:val="20"/>
                <w:color w:val="auto"/>
              </w:rPr>
            </w:pPr>
            <w:r>
              <w:rPr>
                <w:rFonts w:ascii="Arial" w:cs="Arial" w:eastAsia="Arial" w:hAnsi="Arial"/>
                <w:sz w:val="12"/>
                <w:szCs w:val="12"/>
                <w:color w:val="auto"/>
              </w:rPr>
              <w:t>3,770.5</w:t>
            </w:r>
          </w:p>
        </w:tc>
        <w:tc>
          <w:tcPr>
            <w:tcW w:w="1100" w:type="dxa"/>
            <w:vAlign w:val="bottom"/>
            <w:tcBorders>
              <w:right w:val="single" w:sz="8" w:color="auto"/>
            </w:tcBorders>
          </w:tcPr>
          <w:p>
            <w:pPr>
              <w:jc w:val="center"/>
              <w:ind w:left="98"/>
              <w:spacing w:after="0" w:line="107" w:lineRule="exact"/>
              <w:rPr>
                <w:sz w:val="20"/>
                <w:szCs w:val="20"/>
                <w:color w:val="auto"/>
              </w:rPr>
            </w:pPr>
            <w:r>
              <w:rPr>
                <w:rFonts w:ascii="Arial" w:cs="Arial" w:eastAsia="Arial" w:hAnsi="Arial"/>
                <w:sz w:val="12"/>
                <w:szCs w:val="12"/>
                <w:color w:val="auto"/>
              </w:rPr>
              <w:t>4,648.7</w:t>
            </w:r>
          </w:p>
        </w:tc>
        <w:tc>
          <w:tcPr>
            <w:tcW w:w="14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Total</w:t>
            </w:r>
          </w:p>
        </w:tc>
        <w:tc>
          <w:tcPr>
            <w:tcW w:w="2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Insurance Service Expenses</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7"/>
              </w:rPr>
              <w:t>(570.0)</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7"/>
              </w:rPr>
              <w:t>(746.6)</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(743.4)</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9"/>
              </w:rPr>
              <w:t>-0.4%</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30.4%</w:t>
            </w:r>
          </w:p>
        </w:tc>
        <w:tc>
          <w:tcPr>
            <w:tcW w:w="700" w:type="dxa"/>
            <w:vAlign w:val="bottom"/>
          </w:tcPr>
          <w:p>
            <w:pPr>
              <w:jc w:val="center"/>
              <w:ind w:left="98"/>
              <w:spacing w:after="0" w:line="135" w:lineRule="exact"/>
              <w:rPr>
                <w:sz w:val="20"/>
                <w:szCs w:val="20"/>
                <w:color w:val="auto"/>
              </w:rPr>
            </w:pPr>
            <w:r>
              <w:rPr>
                <w:rFonts w:ascii="Arial" w:cs="Arial" w:eastAsia="Arial" w:hAnsi="Arial"/>
                <w:sz w:val="13"/>
                <w:szCs w:val="13"/>
                <w:color w:val="auto"/>
                <w:w w:val="96"/>
              </w:rPr>
              <w:t>(2,057.0)</w:t>
            </w:r>
          </w:p>
        </w:tc>
        <w:tc>
          <w:tcPr>
            <w:tcW w:w="1100" w:type="dxa"/>
            <w:vAlign w:val="bottom"/>
            <w:tcBorders>
              <w:right w:val="single" w:sz="8" w:color="auto"/>
            </w:tcBorders>
          </w:tcPr>
          <w:p>
            <w:pPr>
              <w:jc w:val="center"/>
              <w:ind w:left="98"/>
              <w:spacing w:after="0" w:line="135" w:lineRule="exact"/>
              <w:rPr>
                <w:sz w:val="20"/>
                <w:szCs w:val="20"/>
                <w:color w:val="auto"/>
              </w:rPr>
            </w:pPr>
            <w:r>
              <w:rPr>
                <w:rFonts w:ascii="Arial" w:cs="Arial" w:eastAsia="Arial" w:hAnsi="Arial"/>
                <w:sz w:val="13"/>
                <w:szCs w:val="13"/>
                <w:color w:val="auto"/>
                <w:w w:val="96"/>
              </w:rPr>
              <w:t>(2,800.7)</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36.2%</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restart"/>
          </w:tcPr>
          <w:p>
            <w:pPr>
              <w:spacing w:after="0" w:line="133" w:lineRule="exact"/>
              <w:rPr>
                <w:sz w:val="20"/>
                <w:szCs w:val="20"/>
                <w:color w:val="auto"/>
              </w:rPr>
            </w:pPr>
            <w:r>
              <w:rPr>
                <w:rFonts w:ascii="Arial" w:cs="Arial" w:eastAsia="Arial" w:hAnsi="Arial"/>
                <w:sz w:val="13"/>
                <w:szCs w:val="13"/>
                <w:color w:val="auto"/>
              </w:rPr>
              <w:t>Reinsurance Results</w:t>
            </w:r>
          </w:p>
        </w:tc>
        <w:tc>
          <w:tcPr>
            <w:tcW w:w="74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(99.9)</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(77.4)</w:t>
            </w:r>
          </w:p>
        </w:tc>
        <w:tc>
          <w:tcPr>
            <w:tcW w:w="7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(198.5)</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5"/>
              </w:rPr>
              <w:t>156.3%</w:t>
            </w:r>
          </w:p>
        </w:tc>
        <w:tc>
          <w:tcPr>
            <w:tcW w:w="8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98.7%</w:t>
            </w:r>
          </w:p>
        </w:tc>
        <w:tc>
          <w:tcPr>
            <w:tcW w:w="700" w:type="dxa"/>
            <w:vAlign w:val="bottom"/>
            <w:vMerge w:val="restart"/>
          </w:tcPr>
          <w:p>
            <w:pPr>
              <w:jc w:val="center"/>
              <w:ind w:left="118"/>
              <w:spacing w:after="0" w:line="133" w:lineRule="exact"/>
              <w:rPr>
                <w:sz w:val="20"/>
                <w:szCs w:val="20"/>
                <w:color w:val="auto"/>
              </w:rPr>
            </w:pPr>
            <w:r>
              <w:rPr>
                <w:rFonts w:ascii="Arial" w:cs="Arial" w:eastAsia="Arial" w:hAnsi="Arial"/>
                <w:sz w:val="13"/>
                <w:szCs w:val="13"/>
                <w:color w:val="auto"/>
                <w:w w:val="97"/>
              </w:rPr>
              <w:t>(514.5)</w:t>
            </w:r>
          </w:p>
        </w:tc>
        <w:tc>
          <w:tcPr>
            <w:tcW w:w="1100" w:type="dxa"/>
            <w:vAlign w:val="bottom"/>
            <w:tcBorders>
              <w:right w:val="single" w:sz="8" w:color="auto"/>
            </w:tcBorders>
            <w:vMerge w:val="restart"/>
          </w:tcPr>
          <w:p>
            <w:pPr>
              <w:jc w:val="center"/>
              <w:ind w:left="118"/>
              <w:spacing w:after="0" w:line="133" w:lineRule="exact"/>
              <w:rPr>
                <w:sz w:val="20"/>
                <w:szCs w:val="20"/>
                <w:color w:val="auto"/>
              </w:rPr>
            </w:pPr>
            <w:r>
              <w:rPr>
                <w:rFonts w:ascii="Arial" w:cs="Arial" w:eastAsia="Arial" w:hAnsi="Arial"/>
                <w:sz w:val="13"/>
                <w:szCs w:val="13"/>
                <w:color w:val="auto"/>
                <w:w w:val="97"/>
              </w:rPr>
              <w:t>(458.8)</w:t>
            </w:r>
          </w:p>
        </w:tc>
        <w:tc>
          <w:tcPr>
            <w:tcW w:w="14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-10.8%</w:t>
            </w:r>
          </w:p>
        </w:tc>
        <w:tc>
          <w:tcPr>
            <w:tcW w:w="0" w:type="dxa"/>
            <w:vAlign w:val="bottom"/>
          </w:tcPr>
          <w:p>
            <w:pPr>
              <w:spacing w:after="0"/>
              <w:rPr>
                <w:sz w:val="1"/>
                <w:szCs w:val="1"/>
                <w:color w:val="auto"/>
              </w:rPr>
            </w:pPr>
          </w:p>
        </w:tc>
      </w:tr>
      <w:tr>
        <w:trPr>
          <w:trHeight w:val="31"/>
        </w:trPr>
        <w:tc>
          <w:tcPr>
            <w:tcW w:w="126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20" w:type="dxa"/>
            <w:vAlign w:val="bottom"/>
            <w:tcBorders>
              <w:right w:val="single" w:sz="8" w:color="auto"/>
            </w:tcBorders>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Insurance Undewrwriting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312.7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388.3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320.8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-17.4%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2.6%</w:t>
            </w:r>
          </w:p>
        </w:tc>
        <w:tc>
          <w:tcPr>
            <w:tcW w:w="700" w:type="dxa"/>
            <w:vAlign w:val="bottom"/>
            <w:tcBorders>
              <w:bottom w:val="single" w:sz="8" w:color="auto"/>
            </w:tcBorders>
          </w:tcPr>
          <w:p>
            <w:pPr>
              <w:jc w:val="center"/>
              <w:ind w:left="98"/>
              <w:spacing w:after="0"/>
              <w:rPr>
                <w:sz w:val="20"/>
                <w:szCs w:val="20"/>
                <w:color w:val="auto"/>
              </w:rPr>
            </w:pPr>
            <w:r>
              <w:rPr>
                <w:rFonts w:ascii="Arial" w:cs="Arial" w:eastAsia="Arial" w:hAnsi="Arial"/>
                <w:sz w:val="13"/>
                <w:szCs w:val="13"/>
                <w:b w:val="1"/>
                <w:bCs w:val="1"/>
                <w:color w:val="auto"/>
                <w:w w:val="96"/>
              </w:rPr>
              <w:t>1,199.0</w:t>
            </w:r>
          </w:p>
        </w:tc>
        <w:tc>
          <w:tcPr>
            <w:tcW w:w="110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3"/>
                <w:szCs w:val="13"/>
                <w:b w:val="1"/>
                <w:bCs w:val="1"/>
                <w:color w:val="auto"/>
                <w:w w:val="96"/>
              </w:rPr>
              <w:t>1,389.2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15.9%</w:t>
            </w:r>
          </w:p>
        </w:tc>
        <w:tc>
          <w:tcPr>
            <w:tcW w:w="0" w:type="dxa"/>
            <w:vAlign w:val="bottom"/>
          </w:tcPr>
          <w:p>
            <w:pPr>
              <w:spacing w:after="0"/>
              <w:rPr>
                <w:sz w:val="1"/>
                <w:szCs w:val="1"/>
                <w:color w:val="auto"/>
              </w:rPr>
            </w:pPr>
          </w:p>
        </w:tc>
      </w:tr>
      <w:tr>
        <w:trPr>
          <w:trHeight w:val="107"/>
        </w:trPr>
        <w:tc>
          <w:tcPr>
            <w:tcW w:w="126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Insurance Service Income</w:t>
            </w:r>
          </w:p>
        </w:tc>
        <w:tc>
          <w:tcPr>
            <w:tcW w:w="740" w:type="dxa"/>
            <w:vAlign w:val="bottom"/>
          </w:tcPr>
          <w:p>
            <w:pPr>
              <w:jc w:val="center"/>
              <w:spacing w:after="0" w:line="107" w:lineRule="exact"/>
              <w:rPr>
                <w:sz w:val="20"/>
                <w:szCs w:val="20"/>
                <w:color w:val="auto"/>
              </w:rPr>
            </w:pPr>
            <w:r>
              <w:rPr>
                <w:rFonts w:ascii="Arial" w:cs="Arial" w:eastAsia="Arial" w:hAnsi="Arial"/>
                <w:sz w:val="12"/>
                <w:szCs w:val="12"/>
                <w:color w:val="auto"/>
              </w:rPr>
              <w:t>492.0</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490.1</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510.3</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4.1%</w:t>
            </w:r>
          </w:p>
        </w:tc>
        <w:tc>
          <w:tcPr>
            <w:tcW w:w="8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3.7%</w:t>
            </w:r>
          </w:p>
        </w:tc>
        <w:tc>
          <w:tcPr>
            <w:tcW w:w="700" w:type="dxa"/>
            <w:vAlign w:val="bottom"/>
          </w:tcPr>
          <w:p>
            <w:pPr>
              <w:jc w:val="center"/>
              <w:ind w:left="98"/>
              <w:spacing w:after="0" w:line="107" w:lineRule="exact"/>
              <w:rPr>
                <w:sz w:val="20"/>
                <w:szCs w:val="20"/>
                <w:color w:val="auto"/>
              </w:rPr>
            </w:pPr>
            <w:r>
              <w:rPr>
                <w:rFonts w:ascii="Arial" w:cs="Arial" w:eastAsia="Arial" w:hAnsi="Arial"/>
                <w:sz w:val="12"/>
                <w:szCs w:val="12"/>
                <w:color w:val="auto"/>
              </w:rPr>
              <w:t>1,874.8</w:t>
            </w:r>
          </w:p>
        </w:tc>
        <w:tc>
          <w:tcPr>
            <w:tcW w:w="1100" w:type="dxa"/>
            <w:vAlign w:val="bottom"/>
            <w:tcBorders>
              <w:right w:val="single" w:sz="8" w:color="auto"/>
            </w:tcBorders>
          </w:tcPr>
          <w:p>
            <w:pPr>
              <w:jc w:val="center"/>
              <w:ind w:left="98"/>
              <w:spacing w:after="0" w:line="107" w:lineRule="exact"/>
              <w:rPr>
                <w:sz w:val="20"/>
                <w:szCs w:val="20"/>
                <w:color w:val="auto"/>
              </w:rPr>
            </w:pPr>
            <w:r>
              <w:rPr>
                <w:rFonts w:ascii="Arial" w:cs="Arial" w:eastAsia="Arial" w:hAnsi="Arial"/>
                <w:sz w:val="12"/>
                <w:szCs w:val="12"/>
                <w:color w:val="auto"/>
              </w:rPr>
              <w:t>1,960.4</w:t>
            </w:r>
          </w:p>
        </w:tc>
        <w:tc>
          <w:tcPr>
            <w:tcW w:w="14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P&amp;C</w:t>
            </w:r>
          </w:p>
        </w:tc>
        <w:tc>
          <w:tcPr>
            <w:tcW w:w="2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Insurance Service Expenses</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7"/>
              </w:rPr>
              <w:t>(331.5)</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7"/>
              </w:rPr>
              <w:t>(319.7)</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(248.5)</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2"/>
              </w:rPr>
              <w:t>-22.3%</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-25.0%</w:t>
            </w:r>
          </w:p>
        </w:tc>
        <w:tc>
          <w:tcPr>
            <w:tcW w:w="700" w:type="dxa"/>
            <w:vAlign w:val="bottom"/>
          </w:tcPr>
          <w:p>
            <w:pPr>
              <w:jc w:val="center"/>
              <w:ind w:left="98"/>
              <w:spacing w:after="0" w:line="135" w:lineRule="exact"/>
              <w:rPr>
                <w:sz w:val="20"/>
                <w:szCs w:val="20"/>
                <w:color w:val="auto"/>
              </w:rPr>
            </w:pPr>
            <w:r>
              <w:rPr>
                <w:rFonts w:ascii="Arial" w:cs="Arial" w:eastAsia="Arial" w:hAnsi="Arial"/>
                <w:sz w:val="13"/>
                <w:szCs w:val="13"/>
                <w:color w:val="auto"/>
                <w:w w:val="96"/>
              </w:rPr>
              <w:t>(1,148.9)</w:t>
            </w:r>
          </w:p>
        </w:tc>
        <w:tc>
          <w:tcPr>
            <w:tcW w:w="1100" w:type="dxa"/>
            <w:vAlign w:val="bottom"/>
            <w:tcBorders>
              <w:right w:val="single" w:sz="8" w:color="auto"/>
            </w:tcBorders>
          </w:tcPr>
          <w:p>
            <w:pPr>
              <w:jc w:val="center"/>
              <w:ind w:left="98"/>
              <w:spacing w:after="0" w:line="135" w:lineRule="exact"/>
              <w:rPr>
                <w:sz w:val="20"/>
                <w:szCs w:val="20"/>
                <w:color w:val="auto"/>
              </w:rPr>
            </w:pPr>
            <w:r>
              <w:rPr>
                <w:rFonts w:ascii="Arial" w:cs="Arial" w:eastAsia="Arial" w:hAnsi="Arial"/>
                <w:sz w:val="13"/>
                <w:szCs w:val="13"/>
                <w:color w:val="auto"/>
                <w:w w:val="96"/>
              </w:rPr>
              <w:t>(1,212.3)</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5.5%</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restart"/>
          </w:tcPr>
          <w:p>
            <w:pPr>
              <w:spacing w:after="0" w:line="133" w:lineRule="exact"/>
              <w:rPr>
                <w:sz w:val="20"/>
                <w:szCs w:val="20"/>
                <w:color w:val="auto"/>
              </w:rPr>
            </w:pPr>
            <w:r>
              <w:rPr>
                <w:rFonts w:ascii="Arial" w:cs="Arial" w:eastAsia="Arial" w:hAnsi="Arial"/>
                <w:sz w:val="13"/>
                <w:szCs w:val="13"/>
                <w:color w:val="auto"/>
              </w:rPr>
              <w:t>Reinsurance Results</w:t>
            </w:r>
          </w:p>
        </w:tc>
        <w:tc>
          <w:tcPr>
            <w:tcW w:w="74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(78.4)</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(72.9)</w:t>
            </w:r>
          </w:p>
        </w:tc>
        <w:tc>
          <w:tcPr>
            <w:tcW w:w="7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(159.7)</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5"/>
              </w:rPr>
              <w:t>119.1%</w:t>
            </w:r>
          </w:p>
        </w:tc>
        <w:tc>
          <w:tcPr>
            <w:tcW w:w="8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5"/>
              </w:rPr>
              <w:t>103.8%</w:t>
            </w:r>
          </w:p>
        </w:tc>
        <w:tc>
          <w:tcPr>
            <w:tcW w:w="700" w:type="dxa"/>
            <w:vAlign w:val="bottom"/>
            <w:vMerge w:val="restart"/>
          </w:tcPr>
          <w:p>
            <w:pPr>
              <w:jc w:val="center"/>
              <w:ind w:left="118"/>
              <w:spacing w:after="0" w:line="133" w:lineRule="exact"/>
              <w:rPr>
                <w:sz w:val="20"/>
                <w:szCs w:val="20"/>
                <w:color w:val="auto"/>
              </w:rPr>
            </w:pPr>
            <w:r>
              <w:rPr>
                <w:rFonts w:ascii="Arial" w:cs="Arial" w:eastAsia="Arial" w:hAnsi="Arial"/>
                <w:sz w:val="13"/>
                <w:szCs w:val="13"/>
                <w:color w:val="auto"/>
                <w:w w:val="97"/>
              </w:rPr>
              <w:t>(412.5)</w:t>
            </w:r>
          </w:p>
        </w:tc>
        <w:tc>
          <w:tcPr>
            <w:tcW w:w="1100" w:type="dxa"/>
            <w:vAlign w:val="bottom"/>
            <w:tcBorders>
              <w:right w:val="single" w:sz="8" w:color="auto"/>
            </w:tcBorders>
            <w:vMerge w:val="restart"/>
          </w:tcPr>
          <w:p>
            <w:pPr>
              <w:jc w:val="center"/>
              <w:ind w:left="118"/>
              <w:spacing w:after="0" w:line="133" w:lineRule="exact"/>
              <w:rPr>
                <w:sz w:val="20"/>
                <w:szCs w:val="20"/>
                <w:color w:val="auto"/>
              </w:rPr>
            </w:pPr>
            <w:r>
              <w:rPr>
                <w:rFonts w:ascii="Arial" w:cs="Arial" w:eastAsia="Arial" w:hAnsi="Arial"/>
                <w:sz w:val="13"/>
                <w:szCs w:val="13"/>
                <w:color w:val="auto"/>
                <w:w w:val="97"/>
              </w:rPr>
              <w:t>(393.6)</w:t>
            </w:r>
          </w:p>
        </w:tc>
        <w:tc>
          <w:tcPr>
            <w:tcW w:w="14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4"/>
              </w:rPr>
              <w:t>-4.6%</w:t>
            </w:r>
          </w:p>
        </w:tc>
        <w:tc>
          <w:tcPr>
            <w:tcW w:w="0" w:type="dxa"/>
            <w:vAlign w:val="bottom"/>
          </w:tcPr>
          <w:p>
            <w:pPr>
              <w:spacing w:after="0"/>
              <w:rPr>
                <w:sz w:val="1"/>
                <w:szCs w:val="1"/>
                <w:color w:val="auto"/>
              </w:rPr>
            </w:pPr>
          </w:p>
        </w:tc>
      </w:tr>
      <w:tr>
        <w:trPr>
          <w:trHeight w:val="31"/>
        </w:trPr>
        <w:tc>
          <w:tcPr>
            <w:tcW w:w="126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20" w:type="dxa"/>
            <w:vAlign w:val="bottom"/>
            <w:tcBorders>
              <w:right w:val="single" w:sz="8" w:color="auto"/>
            </w:tcBorders>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Insurance Undewrwriting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82.1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97.5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102.1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24.4%</w:t>
            </w:r>
          </w:p>
        </w:tc>
        <w:tc>
          <w:tcPr>
            <w:tcW w:w="700" w:type="dxa"/>
            <w:vAlign w:val="bottom"/>
            <w:tcBorders>
              <w:bottom w:val="single" w:sz="8" w:color="auto"/>
            </w:tcBorders>
          </w:tcPr>
          <w:p>
            <w:pPr>
              <w:jc w:val="center"/>
              <w:ind w:left="118"/>
              <w:spacing w:after="0"/>
              <w:rPr>
                <w:sz w:val="20"/>
                <w:szCs w:val="20"/>
                <w:color w:val="auto"/>
              </w:rPr>
            </w:pPr>
            <w:r>
              <w:rPr>
                <w:rFonts w:ascii="Arial" w:cs="Arial" w:eastAsia="Arial" w:hAnsi="Arial"/>
                <w:sz w:val="13"/>
                <w:szCs w:val="13"/>
                <w:b w:val="1"/>
                <w:bCs w:val="1"/>
                <w:color w:val="auto"/>
                <w:w w:val="98"/>
              </w:rPr>
              <w:t>230.0</w:t>
            </w:r>
          </w:p>
        </w:tc>
        <w:tc>
          <w:tcPr>
            <w:tcW w:w="110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3"/>
                <w:szCs w:val="13"/>
                <w:b w:val="1"/>
                <w:bCs w:val="1"/>
                <w:color w:val="auto"/>
                <w:w w:val="98"/>
              </w:rPr>
              <w:t>354.5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54.1%</w:t>
            </w:r>
          </w:p>
        </w:tc>
        <w:tc>
          <w:tcPr>
            <w:tcW w:w="0" w:type="dxa"/>
            <w:vAlign w:val="bottom"/>
          </w:tcPr>
          <w:p>
            <w:pPr>
              <w:spacing w:after="0"/>
              <w:rPr>
                <w:sz w:val="1"/>
                <w:szCs w:val="1"/>
                <w:color w:val="auto"/>
              </w:rPr>
            </w:pPr>
          </w:p>
        </w:tc>
      </w:tr>
      <w:tr>
        <w:trPr>
          <w:trHeight w:val="107"/>
        </w:trPr>
        <w:tc>
          <w:tcPr>
            <w:tcW w:w="126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Insurance Service Income</w:t>
            </w:r>
          </w:p>
        </w:tc>
        <w:tc>
          <w:tcPr>
            <w:tcW w:w="740" w:type="dxa"/>
            <w:vAlign w:val="bottom"/>
          </w:tcPr>
          <w:p>
            <w:pPr>
              <w:jc w:val="center"/>
              <w:spacing w:after="0" w:line="107" w:lineRule="exact"/>
              <w:rPr>
                <w:sz w:val="20"/>
                <w:szCs w:val="20"/>
                <w:color w:val="auto"/>
              </w:rPr>
            </w:pPr>
            <w:r>
              <w:rPr>
                <w:rFonts w:ascii="Arial" w:cs="Arial" w:eastAsia="Arial" w:hAnsi="Arial"/>
                <w:sz w:val="12"/>
                <w:szCs w:val="12"/>
                <w:color w:val="auto"/>
              </w:rPr>
              <w:t>471.5</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326.7</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334.5</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2.4%</w:t>
            </w:r>
          </w:p>
        </w:tc>
        <w:tc>
          <w:tcPr>
            <w:tcW w:w="8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-29.1%</w:t>
            </w:r>
          </w:p>
        </w:tc>
        <w:tc>
          <w:tcPr>
            <w:tcW w:w="700" w:type="dxa"/>
            <w:vAlign w:val="bottom"/>
          </w:tcPr>
          <w:p>
            <w:pPr>
              <w:jc w:val="center"/>
              <w:ind w:left="98"/>
              <w:spacing w:after="0" w:line="107" w:lineRule="exact"/>
              <w:rPr>
                <w:sz w:val="20"/>
                <w:szCs w:val="20"/>
                <w:color w:val="auto"/>
              </w:rPr>
            </w:pPr>
            <w:r>
              <w:rPr>
                <w:rFonts w:ascii="Arial" w:cs="Arial" w:eastAsia="Arial" w:hAnsi="Arial"/>
                <w:sz w:val="12"/>
                <w:szCs w:val="12"/>
                <w:color w:val="auto"/>
              </w:rPr>
              <w:t>1,818.7</w:t>
            </w:r>
          </w:p>
        </w:tc>
        <w:tc>
          <w:tcPr>
            <w:tcW w:w="1100" w:type="dxa"/>
            <w:vAlign w:val="bottom"/>
            <w:tcBorders>
              <w:right w:val="single" w:sz="8" w:color="auto"/>
            </w:tcBorders>
          </w:tcPr>
          <w:p>
            <w:pPr>
              <w:jc w:val="center"/>
              <w:ind w:left="98"/>
              <w:spacing w:after="0" w:line="107" w:lineRule="exact"/>
              <w:rPr>
                <w:sz w:val="20"/>
                <w:szCs w:val="20"/>
                <w:color w:val="auto"/>
              </w:rPr>
            </w:pPr>
            <w:r>
              <w:rPr>
                <w:rFonts w:ascii="Arial" w:cs="Arial" w:eastAsia="Arial" w:hAnsi="Arial"/>
                <w:sz w:val="12"/>
                <w:szCs w:val="12"/>
                <w:color w:val="auto"/>
              </w:rPr>
              <w:t>1,320.0</w:t>
            </w:r>
          </w:p>
        </w:tc>
        <w:tc>
          <w:tcPr>
            <w:tcW w:w="14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Life</w:t>
            </w:r>
          </w:p>
        </w:tc>
        <w:tc>
          <w:tcPr>
            <w:tcW w:w="2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Insurance Service Expenses</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7"/>
              </w:rPr>
              <w:t>(238.1)</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4"/>
              </w:rPr>
              <w:t>(38.0)</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(131.2)</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5"/>
              </w:rPr>
              <w:t>245.4%</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-44.9%</w:t>
            </w:r>
          </w:p>
        </w:tc>
        <w:tc>
          <w:tcPr>
            <w:tcW w:w="700" w:type="dxa"/>
            <w:vAlign w:val="bottom"/>
          </w:tcPr>
          <w:p>
            <w:pPr>
              <w:jc w:val="center"/>
              <w:ind w:left="118"/>
              <w:spacing w:after="0" w:line="135" w:lineRule="exact"/>
              <w:rPr>
                <w:sz w:val="20"/>
                <w:szCs w:val="20"/>
                <w:color w:val="auto"/>
              </w:rPr>
            </w:pPr>
            <w:r>
              <w:rPr>
                <w:rFonts w:ascii="Arial" w:cs="Arial" w:eastAsia="Arial" w:hAnsi="Arial"/>
                <w:sz w:val="13"/>
                <w:szCs w:val="13"/>
                <w:color w:val="auto"/>
                <w:w w:val="97"/>
              </w:rPr>
              <w:t>(910.5)</w:t>
            </w:r>
          </w:p>
        </w:tc>
        <w:tc>
          <w:tcPr>
            <w:tcW w:w="1100" w:type="dxa"/>
            <w:vAlign w:val="bottom"/>
            <w:tcBorders>
              <w:right w:val="single" w:sz="8" w:color="auto"/>
            </w:tcBorders>
          </w:tcPr>
          <w:p>
            <w:pPr>
              <w:jc w:val="center"/>
              <w:ind w:left="118"/>
              <w:spacing w:after="0" w:line="135" w:lineRule="exact"/>
              <w:rPr>
                <w:sz w:val="20"/>
                <w:szCs w:val="20"/>
                <w:color w:val="auto"/>
              </w:rPr>
            </w:pPr>
            <w:r>
              <w:rPr>
                <w:rFonts w:ascii="Arial" w:cs="Arial" w:eastAsia="Arial" w:hAnsi="Arial"/>
                <w:sz w:val="13"/>
                <w:szCs w:val="13"/>
                <w:color w:val="auto"/>
                <w:w w:val="97"/>
              </w:rPr>
              <w:t>(355.5)</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-61.0%</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restart"/>
          </w:tcPr>
          <w:p>
            <w:pPr>
              <w:spacing w:after="0" w:line="133" w:lineRule="exact"/>
              <w:rPr>
                <w:sz w:val="20"/>
                <w:szCs w:val="20"/>
                <w:color w:val="auto"/>
              </w:rPr>
            </w:pPr>
            <w:r>
              <w:rPr>
                <w:rFonts w:ascii="Arial" w:cs="Arial" w:eastAsia="Arial" w:hAnsi="Arial"/>
                <w:sz w:val="13"/>
                <w:szCs w:val="13"/>
                <w:color w:val="auto"/>
              </w:rPr>
              <w:t>Reinsurance Results</w:t>
            </w:r>
          </w:p>
        </w:tc>
        <w:tc>
          <w:tcPr>
            <w:tcW w:w="74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(15.6)</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(28.9)</w:t>
            </w:r>
          </w:p>
        </w:tc>
        <w:tc>
          <w:tcPr>
            <w:tcW w:w="7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4"/>
              </w:rPr>
              <w:t>(10.6)</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2"/>
              </w:rPr>
              <w:t>-63.2%</w:t>
            </w:r>
          </w:p>
        </w:tc>
        <w:tc>
          <w:tcPr>
            <w:tcW w:w="8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-31.9%</w:t>
            </w:r>
          </w:p>
        </w:tc>
        <w:tc>
          <w:tcPr>
            <w:tcW w:w="700" w:type="dxa"/>
            <w:vAlign w:val="bottom"/>
            <w:vMerge w:val="restart"/>
          </w:tcPr>
          <w:p>
            <w:pPr>
              <w:jc w:val="center"/>
              <w:ind w:left="118"/>
              <w:spacing w:after="0" w:line="133" w:lineRule="exact"/>
              <w:rPr>
                <w:sz w:val="20"/>
                <w:szCs w:val="20"/>
                <w:color w:val="auto"/>
              </w:rPr>
            </w:pPr>
            <w:r>
              <w:rPr>
                <w:rFonts w:ascii="Arial" w:cs="Arial" w:eastAsia="Arial" w:hAnsi="Arial"/>
                <w:sz w:val="13"/>
                <w:szCs w:val="13"/>
                <w:color w:val="auto"/>
                <w:w w:val="94"/>
              </w:rPr>
              <w:t>(81.8)</w:t>
            </w:r>
          </w:p>
        </w:tc>
        <w:tc>
          <w:tcPr>
            <w:tcW w:w="1100" w:type="dxa"/>
            <w:vAlign w:val="bottom"/>
            <w:tcBorders>
              <w:right w:val="single" w:sz="8" w:color="auto"/>
            </w:tcBorders>
            <w:vMerge w:val="restart"/>
          </w:tcPr>
          <w:p>
            <w:pPr>
              <w:jc w:val="center"/>
              <w:ind w:left="98"/>
              <w:spacing w:after="0" w:line="133" w:lineRule="exact"/>
              <w:rPr>
                <w:sz w:val="20"/>
                <w:szCs w:val="20"/>
                <w:color w:val="auto"/>
              </w:rPr>
            </w:pPr>
            <w:r>
              <w:rPr>
                <w:rFonts w:ascii="Arial" w:cs="Arial" w:eastAsia="Arial" w:hAnsi="Arial"/>
                <w:sz w:val="13"/>
                <w:szCs w:val="13"/>
                <w:color w:val="auto"/>
                <w:w w:val="99"/>
              </w:rPr>
              <w:t>(60.5)</w:t>
            </w:r>
          </w:p>
        </w:tc>
        <w:tc>
          <w:tcPr>
            <w:tcW w:w="14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-26.1%</w:t>
            </w:r>
          </w:p>
        </w:tc>
        <w:tc>
          <w:tcPr>
            <w:tcW w:w="0" w:type="dxa"/>
            <w:vAlign w:val="bottom"/>
          </w:tcPr>
          <w:p>
            <w:pPr>
              <w:spacing w:after="0"/>
              <w:rPr>
                <w:sz w:val="1"/>
                <w:szCs w:val="1"/>
                <w:color w:val="auto"/>
              </w:rPr>
            </w:pPr>
          </w:p>
        </w:tc>
      </w:tr>
      <w:tr>
        <w:trPr>
          <w:trHeight w:val="31"/>
        </w:trPr>
        <w:tc>
          <w:tcPr>
            <w:tcW w:w="126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20" w:type="dxa"/>
            <w:vAlign w:val="bottom"/>
            <w:tcBorders>
              <w:right w:val="single" w:sz="8" w:color="auto"/>
            </w:tcBorders>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Insurance Undewrwriting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217.7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259.9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192.7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-25.8%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-11.5%</w:t>
            </w:r>
          </w:p>
        </w:tc>
        <w:tc>
          <w:tcPr>
            <w:tcW w:w="700" w:type="dxa"/>
            <w:vAlign w:val="bottom"/>
            <w:tcBorders>
              <w:bottom w:val="single" w:sz="8" w:color="auto"/>
            </w:tcBorders>
          </w:tcPr>
          <w:p>
            <w:pPr>
              <w:jc w:val="center"/>
              <w:ind w:left="118"/>
              <w:spacing w:after="0"/>
              <w:rPr>
                <w:sz w:val="20"/>
                <w:szCs w:val="20"/>
                <w:color w:val="auto"/>
              </w:rPr>
            </w:pPr>
            <w:r>
              <w:rPr>
                <w:rFonts w:ascii="Arial" w:cs="Arial" w:eastAsia="Arial" w:hAnsi="Arial"/>
                <w:sz w:val="13"/>
                <w:szCs w:val="13"/>
                <w:b w:val="1"/>
                <w:bCs w:val="1"/>
                <w:color w:val="auto"/>
                <w:w w:val="98"/>
              </w:rPr>
              <w:t>826.5</w:t>
            </w:r>
          </w:p>
        </w:tc>
        <w:tc>
          <w:tcPr>
            <w:tcW w:w="110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3"/>
                <w:szCs w:val="13"/>
                <w:b w:val="1"/>
                <w:bCs w:val="1"/>
                <w:color w:val="auto"/>
                <w:w w:val="98"/>
              </w:rPr>
              <w:t>904.1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9.4%</w:t>
            </w:r>
          </w:p>
        </w:tc>
        <w:tc>
          <w:tcPr>
            <w:tcW w:w="0" w:type="dxa"/>
            <w:vAlign w:val="bottom"/>
          </w:tcPr>
          <w:p>
            <w:pPr>
              <w:spacing w:after="0"/>
              <w:rPr>
                <w:sz w:val="1"/>
                <w:szCs w:val="1"/>
                <w:color w:val="auto"/>
              </w:rPr>
            </w:pPr>
          </w:p>
        </w:tc>
      </w:tr>
      <w:tr>
        <w:trPr>
          <w:trHeight w:val="107"/>
        </w:trPr>
        <w:tc>
          <w:tcPr>
            <w:tcW w:w="126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Insurance Service Income</w:t>
            </w:r>
          </w:p>
        </w:tc>
        <w:tc>
          <w:tcPr>
            <w:tcW w:w="740" w:type="dxa"/>
            <w:vAlign w:val="bottom"/>
          </w:tcPr>
          <w:p>
            <w:pPr>
              <w:jc w:val="center"/>
              <w:spacing w:after="0" w:line="107" w:lineRule="exact"/>
              <w:rPr>
                <w:sz w:val="20"/>
                <w:szCs w:val="20"/>
                <w:color w:val="auto"/>
              </w:rPr>
            </w:pPr>
            <w:r>
              <w:rPr>
                <w:rFonts w:ascii="Arial" w:cs="Arial" w:eastAsia="Arial" w:hAnsi="Arial"/>
                <w:sz w:val="12"/>
                <w:szCs w:val="12"/>
                <w:color w:val="auto"/>
              </w:rPr>
              <w:t>25.3</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14.8</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18.2</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w w:val="99"/>
              </w:rPr>
              <w:t>23.1%</w:t>
            </w:r>
          </w:p>
        </w:tc>
        <w:tc>
          <w:tcPr>
            <w:tcW w:w="8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-28.0%</w:t>
            </w:r>
          </w:p>
        </w:tc>
        <w:tc>
          <w:tcPr>
            <w:tcW w:w="700" w:type="dxa"/>
            <w:vAlign w:val="bottom"/>
          </w:tcPr>
          <w:p>
            <w:pPr>
              <w:jc w:val="center"/>
              <w:ind w:left="118"/>
              <w:spacing w:after="0" w:line="107" w:lineRule="exact"/>
              <w:rPr>
                <w:sz w:val="20"/>
                <w:szCs w:val="20"/>
                <w:color w:val="auto"/>
              </w:rPr>
            </w:pPr>
            <w:r>
              <w:rPr>
                <w:rFonts w:ascii="Arial" w:cs="Arial" w:eastAsia="Arial" w:hAnsi="Arial"/>
                <w:sz w:val="12"/>
                <w:szCs w:val="12"/>
                <w:color w:val="auto"/>
              </w:rPr>
              <w:t>99.2</w:t>
            </w:r>
          </w:p>
        </w:tc>
        <w:tc>
          <w:tcPr>
            <w:tcW w:w="1100" w:type="dxa"/>
            <w:vAlign w:val="bottom"/>
            <w:tcBorders>
              <w:right w:val="single" w:sz="8" w:color="auto"/>
            </w:tcBorders>
          </w:tcPr>
          <w:p>
            <w:pPr>
              <w:jc w:val="center"/>
              <w:ind w:left="118"/>
              <w:spacing w:after="0" w:line="107" w:lineRule="exact"/>
              <w:rPr>
                <w:sz w:val="20"/>
                <w:szCs w:val="20"/>
                <w:color w:val="auto"/>
              </w:rPr>
            </w:pPr>
            <w:r>
              <w:rPr>
                <w:rFonts w:ascii="Arial" w:cs="Arial" w:eastAsia="Arial" w:hAnsi="Arial"/>
                <w:sz w:val="12"/>
                <w:szCs w:val="12"/>
                <w:color w:val="auto"/>
              </w:rPr>
              <w:t>69.7</w:t>
            </w:r>
          </w:p>
        </w:tc>
        <w:tc>
          <w:tcPr>
            <w:tcW w:w="14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Crediseguros</w:t>
            </w:r>
          </w:p>
        </w:tc>
        <w:tc>
          <w:tcPr>
            <w:tcW w:w="2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Insurance Service Expenses</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7"/>
              </w:rPr>
              <w:t>(5.6)</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7"/>
              </w:rPr>
              <w:t>(2.2)</w:t>
            </w:r>
          </w:p>
        </w:tc>
        <w:tc>
          <w:tcPr>
            <w:tcW w:w="78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color w:val="auto"/>
                <w:w w:val="97"/>
              </w:rPr>
              <w:t>(3.6)</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2"/>
              </w:rPr>
              <w:t>69.1%</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-35.1%</w:t>
            </w:r>
          </w:p>
        </w:tc>
        <w:tc>
          <w:tcPr>
            <w:tcW w:w="700" w:type="dxa"/>
            <w:vAlign w:val="bottom"/>
          </w:tcPr>
          <w:p>
            <w:pPr>
              <w:jc w:val="center"/>
              <w:ind w:left="118"/>
              <w:spacing w:after="0" w:line="135" w:lineRule="exact"/>
              <w:rPr>
                <w:sz w:val="20"/>
                <w:szCs w:val="20"/>
                <w:color w:val="auto"/>
              </w:rPr>
            </w:pPr>
            <w:r>
              <w:rPr>
                <w:rFonts w:ascii="Arial" w:cs="Arial" w:eastAsia="Arial" w:hAnsi="Arial"/>
                <w:sz w:val="13"/>
                <w:szCs w:val="13"/>
                <w:color w:val="auto"/>
                <w:w w:val="94"/>
              </w:rPr>
              <w:t>(18.3)</w:t>
            </w:r>
          </w:p>
        </w:tc>
        <w:tc>
          <w:tcPr>
            <w:tcW w:w="1100" w:type="dxa"/>
            <w:vAlign w:val="bottom"/>
            <w:tcBorders>
              <w:right w:val="single" w:sz="8" w:color="auto"/>
            </w:tcBorders>
          </w:tcPr>
          <w:p>
            <w:pPr>
              <w:jc w:val="center"/>
              <w:ind w:left="98"/>
              <w:spacing w:after="0" w:line="135" w:lineRule="exact"/>
              <w:rPr>
                <w:sz w:val="20"/>
                <w:szCs w:val="20"/>
                <w:color w:val="auto"/>
              </w:rPr>
            </w:pPr>
            <w:r>
              <w:rPr>
                <w:rFonts w:ascii="Arial" w:cs="Arial" w:eastAsia="Arial" w:hAnsi="Arial"/>
                <w:sz w:val="13"/>
                <w:szCs w:val="13"/>
                <w:color w:val="auto"/>
                <w:w w:val="99"/>
              </w:rPr>
              <w:t>(15.8)</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-13.7%</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restart"/>
          </w:tcPr>
          <w:p>
            <w:pPr>
              <w:spacing w:after="0" w:line="133" w:lineRule="exact"/>
              <w:rPr>
                <w:sz w:val="20"/>
                <w:szCs w:val="20"/>
                <w:color w:val="auto"/>
              </w:rPr>
            </w:pPr>
            <w:r>
              <w:rPr>
                <w:rFonts w:ascii="Arial" w:cs="Arial" w:eastAsia="Arial" w:hAnsi="Arial"/>
                <w:sz w:val="13"/>
                <w:szCs w:val="13"/>
                <w:color w:val="auto"/>
              </w:rPr>
              <w:t>Reinsurance Results</w:t>
            </w:r>
          </w:p>
        </w:tc>
        <w:tc>
          <w:tcPr>
            <w:tcW w:w="74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(12.3)</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7"/>
              </w:rPr>
              <w:t>(2.9)</w:t>
            </w:r>
          </w:p>
        </w:tc>
        <w:tc>
          <w:tcPr>
            <w:tcW w:w="780" w:type="dxa"/>
            <w:vAlign w:val="bottom"/>
            <w:tcBorders>
              <w:right w:val="single" w:sz="8" w:color="auto"/>
            </w:tcBorders>
            <w:vMerge w:val="restart"/>
          </w:tcPr>
          <w:p>
            <w:pPr>
              <w:jc w:val="center"/>
              <w:ind w:right="18"/>
              <w:spacing w:after="0" w:line="133" w:lineRule="exact"/>
              <w:rPr>
                <w:sz w:val="20"/>
                <w:szCs w:val="20"/>
                <w:color w:val="auto"/>
              </w:rPr>
            </w:pPr>
            <w:r>
              <w:rPr>
                <w:rFonts w:ascii="Arial" w:cs="Arial" w:eastAsia="Arial" w:hAnsi="Arial"/>
                <w:sz w:val="13"/>
                <w:szCs w:val="13"/>
                <w:color w:val="auto"/>
                <w:w w:val="97"/>
              </w:rPr>
              <w:t>(4.0)</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2"/>
              </w:rPr>
              <w:t>39.3%</w:t>
            </w:r>
          </w:p>
        </w:tc>
        <w:tc>
          <w:tcPr>
            <w:tcW w:w="8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-67.3%</w:t>
            </w:r>
          </w:p>
        </w:tc>
        <w:tc>
          <w:tcPr>
            <w:tcW w:w="700" w:type="dxa"/>
            <w:vAlign w:val="bottom"/>
            <w:vMerge w:val="restart"/>
          </w:tcPr>
          <w:p>
            <w:pPr>
              <w:jc w:val="center"/>
              <w:ind w:left="118"/>
              <w:spacing w:after="0" w:line="133" w:lineRule="exact"/>
              <w:rPr>
                <w:sz w:val="20"/>
                <w:szCs w:val="20"/>
                <w:color w:val="auto"/>
              </w:rPr>
            </w:pPr>
            <w:r>
              <w:rPr>
                <w:rFonts w:ascii="Arial" w:cs="Arial" w:eastAsia="Arial" w:hAnsi="Arial"/>
                <w:sz w:val="13"/>
                <w:szCs w:val="13"/>
                <w:color w:val="auto"/>
                <w:w w:val="94"/>
              </w:rPr>
              <w:t>(42.2)</w:t>
            </w:r>
          </w:p>
        </w:tc>
        <w:tc>
          <w:tcPr>
            <w:tcW w:w="1100" w:type="dxa"/>
            <w:vAlign w:val="bottom"/>
            <w:tcBorders>
              <w:right w:val="single" w:sz="8" w:color="auto"/>
            </w:tcBorders>
            <w:vMerge w:val="restart"/>
          </w:tcPr>
          <w:p>
            <w:pPr>
              <w:jc w:val="center"/>
              <w:ind w:left="98"/>
              <w:spacing w:after="0" w:line="133" w:lineRule="exact"/>
              <w:rPr>
                <w:sz w:val="20"/>
                <w:szCs w:val="20"/>
                <w:color w:val="auto"/>
              </w:rPr>
            </w:pPr>
            <w:r>
              <w:rPr>
                <w:rFonts w:ascii="Arial" w:cs="Arial" w:eastAsia="Arial" w:hAnsi="Arial"/>
                <w:sz w:val="13"/>
                <w:szCs w:val="13"/>
                <w:color w:val="auto"/>
                <w:w w:val="99"/>
              </w:rPr>
              <w:t>(19.6)</w:t>
            </w:r>
          </w:p>
        </w:tc>
        <w:tc>
          <w:tcPr>
            <w:tcW w:w="14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7"/>
              </w:rPr>
              <w:t>-53.5%</w:t>
            </w:r>
          </w:p>
        </w:tc>
        <w:tc>
          <w:tcPr>
            <w:tcW w:w="0" w:type="dxa"/>
            <w:vAlign w:val="bottom"/>
          </w:tcPr>
          <w:p>
            <w:pPr>
              <w:spacing w:after="0"/>
              <w:rPr>
                <w:sz w:val="1"/>
                <w:szCs w:val="1"/>
                <w:color w:val="auto"/>
              </w:rPr>
            </w:pPr>
          </w:p>
        </w:tc>
      </w:tr>
      <w:tr>
        <w:trPr>
          <w:trHeight w:val="31"/>
        </w:trPr>
        <w:tc>
          <w:tcPr>
            <w:tcW w:w="126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20" w:type="dxa"/>
            <w:vAlign w:val="bottom"/>
            <w:tcBorders>
              <w:right w:val="single" w:sz="8" w:color="auto"/>
            </w:tcBorders>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Insurance Undewrwriting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7.3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9.8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10.5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43.5%</w:t>
            </w:r>
          </w:p>
        </w:tc>
        <w:tc>
          <w:tcPr>
            <w:tcW w:w="700" w:type="dxa"/>
            <w:vAlign w:val="bottom"/>
            <w:tcBorders>
              <w:bottom w:val="single" w:sz="8" w:color="auto"/>
            </w:tcBorders>
          </w:tcPr>
          <w:p>
            <w:pPr>
              <w:jc w:val="center"/>
              <w:ind w:left="118"/>
              <w:spacing w:after="0"/>
              <w:rPr>
                <w:sz w:val="20"/>
                <w:szCs w:val="20"/>
                <w:color w:val="auto"/>
              </w:rPr>
            </w:pPr>
            <w:r>
              <w:rPr>
                <w:rFonts w:ascii="Arial" w:cs="Arial" w:eastAsia="Arial" w:hAnsi="Arial"/>
                <w:sz w:val="13"/>
                <w:szCs w:val="13"/>
                <w:b w:val="1"/>
                <w:bCs w:val="1"/>
                <w:color w:val="auto"/>
                <w:w w:val="94"/>
              </w:rPr>
              <w:t>38.7</w:t>
            </w:r>
          </w:p>
        </w:tc>
        <w:tc>
          <w:tcPr>
            <w:tcW w:w="110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3"/>
                <w:szCs w:val="13"/>
                <w:b w:val="1"/>
                <w:bCs w:val="1"/>
                <w:color w:val="auto"/>
                <w:w w:val="94"/>
              </w:rPr>
              <w:t>34.3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-11.3%</w:t>
            </w:r>
          </w:p>
        </w:tc>
        <w:tc>
          <w:tcPr>
            <w:tcW w:w="0" w:type="dxa"/>
            <w:vAlign w:val="bottom"/>
          </w:tcPr>
          <w:p>
            <w:pPr>
              <w:spacing w:after="0"/>
              <w:rPr>
                <w:sz w:val="1"/>
                <w:szCs w:val="1"/>
                <w:color w:val="auto"/>
              </w:rPr>
            </w:pPr>
          </w:p>
        </w:tc>
      </w:tr>
      <w:tr>
        <w:trPr>
          <w:trHeight w:val="107"/>
        </w:trPr>
        <w:tc>
          <w:tcPr>
            <w:tcW w:w="126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Insurance Service Income</w:t>
            </w:r>
          </w:p>
        </w:tc>
        <w:tc>
          <w:tcPr>
            <w:tcW w:w="740" w:type="dxa"/>
            <w:vAlign w:val="bottom"/>
          </w:tcPr>
          <w:p>
            <w:pPr>
              <w:jc w:val="center"/>
              <w:spacing w:after="0" w:line="107" w:lineRule="exact"/>
              <w:rPr>
                <w:sz w:val="20"/>
                <w:szCs w:val="20"/>
                <w:color w:val="auto"/>
              </w:rPr>
            </w:pPr>
            <w:r>
              <w:rPr>
                <w:rFonts w:ascii="Arial" w:cs="Arial" w:eastAsia="Arial" w:hAnsi="Arial"/>
                <w:sz w:val="12"/>
                <w:szCs w:val="12"/>
                <w:color w:val="auto"/>
                <w:w w:val="95"/>
              </w:rPr>
              <w:t>0.0</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401.1</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406.6</w:t>
            </w:r>
          </w:p>
        </w:tc>
        <w:tc>
          <w:tcPr>
            <w:tcW w:w="860" w:type="dxa"/>
            <w:vAlign w:val="bottom"/>
          </w:tcPr>
          <w:p>
            <w:pPr>
              <w:jc w:val="center"/>
              <w:spacing w:after="0" w:line="107" w:lineRule="exact"/>
              <w:rPr>
                <w:sz w:val="20"/>
                <w:szCs w:val="20"/>
                <w:color w:val="auto"/>
              </w:rPr>
            </w:pPr>
            <w:r>
              <w:rPr>
                <w:rFonts w:ascii="Arial" w:cs="Arial" w:eastAsia="Arial" w:hAnsi="Arial"/>
                <w:sz w:val="12"/>
                <w:szCs w:val="12"/>
                <w:color w:val="auto"/>
              </w:rPr>
              <w:t>1.4%</w:t>
            </w:r>
          </w:p>
        </w:tc>
        <w:tc>
          <w:tcPr>
            <w:tcW w:w="820" w:type="dxa"/>
            <w:vAlign w:val="bottom"/>
            <w:tcBorders>
              <w:right w:val="single" w:sz="8" w:color="auto"/>
            </w:tcBorders>
          </w:tcPr>
          <w:p>
            <w:pPr>
              <w:ind w:left="300"/>
              <w:spacing w:after="0" w:line="107" w:lineRule="exact"/>
              <w:rPr>
                <w:sz w:val="20"/>
                <w:szCs w:val="20"/>
                <w:color w:val="auto"/>
              </w:rPr>
            </w:pPr>
            <w:r>
              <w:rPr>
                <w:rFonts w:ascii="Arial" w:cs="Arial" w:eastAsia="Arial" w:hAnsi="Arial"/>
                <w:sz w:val="12"/>
                <w:szCs w:val="12"/>
                <w:color w:val="auto"/>
              </w:rPr>
              <w:t>n.a.</w:t>
            </w:r>
          </w:p>
        </w:tc>
        <w:tc>
          <w:tcPr>
            <w:tcW w:w="700" w:type="dxa"/>
            <w:vAlign w:val="bottom"/>
          </w:tcPr>
          <w:p>
            <w:pPr>
              <w:jc w:val="center"/>
              <w:ind w:left="98"/>
              <w:spacing w:after="0" w:line="107" w:lineRule="exact"/>
              <w:rPr>
                <w:sz w:val="20"/>
                <w:szCs w:val="20"/>
                <w:color w:val="auto"/>
              </w:rPr>
            </w:pPr>
            <w:r>
              <w:rPr>
                <w:rFonts w:ascii="Arial" w:cs="Arial" w:eastAsia="Arial" w:hAnsi="Arial"/>
                <w:sz w:val="12"/>
                <w:szCs w:val="12"/>
                <w:color w:val="auto"/>
              </w:rPr>
              <w:t>0.0</w:t>
            </w:r>
          </w:p>
        </w:tc>
        <w:tc>
          <w:tcPr>
            <w:tcW w:w="1100" w:type="dxa"/>
            <w:vAlign w:val="bottom"/>
            <w:tcBorders>
              <w:right w:val="single" w:sz="8" w:color="auto"/>
            </w:tcBorders>
          </w:tcPr>
          <w:p>
            <w:pPr>
              <w:jc w:val="center"/>
              <w:ind w:left="98"/>
              <w:spacing w:after="0" w:line="107" w:lineRule="exact"/>
              <w:rPr>
                <w:sz w:val="20"/>
                <w:szCs w:val="20"/>
                <w:color w:val="auto"/>
              </w:rPr>
            </w:pPr>
            <w:r>
              <w:rPr>
                <w:rFonts w:ascii="Arial" w:cs="Arial" w:eastAsia="Arial" w:hAnsi="Arial"/>
                <w:sz w:val="12"/>
                <w:szCs w:val="12"/>
                <w:color w:val="auto"/>
              </w:rPr>
              <w:t>1,321.0</w:t>
            </w:r>
          </w:p>
        </w:tc>
        <w:tc>
          <w:tcPr>
            <w:tcW w:w="14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w w:val="99"/>
              </w:rPr>
              <w:t>n.a.</w:t>
            </w: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EPS</w:t>
            </w:r>
          </w:p>
        </w:tc>
        <w:tc>
          <w:tcPr>
            <w:tcW w:w="2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Insurance Service Expenses</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8"/>
              </w:rPr>
              <w:t>0.0</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7"/>
              </w:rPr>
              <w:t>(369.5)</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(374.1)</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1.3%</w:t>
            </w:r>
          </w:p>
        </w:tc>
        <w:tc>
          <w:tcPr>
            <w:tcW w:w="82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n.a.</w:t>
            </w:r>
          </w:p>
        </w:tc>
        <w:tc>
          <w:tcPr>
            <w:tcW w:w="700" w:type="dxa"/>
            <w:vAlign w:val="bottom"/>
          </w:tcPr>
          <w:p>
            <w:pPr>
              <w:jc w:val="center"/>
              <w:ind w:left="98"/>
              <w:spacing w:after="0" w:line="135" w:lineRule="exact"/>
              <w:rPr>
                <w:sz w:val="20"/>
                <w:szCs w:val="20"/>
                <w:color w:val="auto"/>
              </w:rPr>
            </w:pPr>
            <w:r>
              <w:rPr>
                <w:rFonts w:ascii="Arial" w:cs="Arial" w:eastAsia="Arial" w:hAnsi="Arial"/>
                <w:sz w:val="13"/>
                <w:szCs w:val="13"/>
                <w:color w:val="auto"/>
                <w:w w:val="99"/>
              </w:rPr>
              <w:t>0.0</w:t>
            </w:r>
          </w:p>
        </w:tc>
        <w:tc>
          <w:tcPr>
            <w:tcW w:w="1100" w:type="dxa"/>
            <w:vAlign w:val="bottom"/>
            <w:tcBorders>
              <w:right w:val="single" w:sz="8" w:color="auto"/>
            </w:tcBorders>
          </w:tcPr>
          <w:p>
            <w:pPr>
              <w:jc w:val="center"/>
              <w:ind w:left="98"/>
              <w:spacing w:after="0" w:line="135" w:lineRule="exact"/>
              <w:rPr>
                <w:sz w:val="20"/>
                <w:szCs w:val="20"/>
                <w:color w:val="auto"/>
              </w:rPr>
            </w:pPr>
            <w:r>
              <w:rPr>
                <w:rFonts w:ascii="Arial" w:cs="Arial" w:eastAsia="Arial" w:hAnsi="Arial"/>
                <w:sz w:val="13"/>
                <w:szCs w:val="13"/>
                <w:color w:val="auto"/>
                <w:w w:val="96"/>
              </w:rPr>
              <w:t>(1,223.8)</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102"/>
        </w:trPr>
        <w:tc>
          <w:tcPr>
            <w:tcW w:w="1260" w:type="dxa"/>
            <w:vAlign w:val="bottom"/>
            <w:tcBorders>
              <w:left w:val="single" w:sz="8" w:color="auto"/>
              <w:right w:val="single" w:sz="8" w:color="auto"/>
            </w:tcBorders>
            <w:vMerge w:val="continue"/>
          </w:tcPr>
          <w:p>
            <w:pPr>
              <w:spacing w:after="0"/>
              <w:rPr>
                <w:sz w:val="8"/>
                <w:szCs w:val="8"/>
                <w:color w:val="auto"/>
              </w:rPr>
            </w:pPr>
          </w:p>
        </w:tc>
        <w:tc>
          <w:tcPr>
            <w:tcW w:w="2700" w:type="dxa"/>
            <w:vAlign w:val="bottom"/>
            <w:tcBorders>
              <w:right w:val="single" w:sz="8" w:color="auto"/>
            </w:tcBorders>
            <w:vMerge w:val="restart"/>
          </w:tcPr>
          <w:p>
            <w:pPr>
              <w:spacing w:after="0" w:line="133" w:lineRule="exact"/>
              <w:rPr>
                <w:sz w:val="20"/>
                <w:szCs w:val="20"/>
                <w:color w:val="auto"/>
              </w:rPr>
            </w:pPr>
            <w:r>
              <w:rPr>
                <w:rFonts w:ascii="Arial" w:cs="Arial" w:eastAsia="Arial" w:hAnsi="Arial"/>
                <w:sz w:val="13"/>
                <w:szCs w:val="13"/>
                <w:color w:val="auto"/>
              </w:rPr>
              <w:t>Reinsurance Results</w:t>
            </w:r>
          </w:p>
        </w:tc>
        <w:tc>
          <w:tcPr>
            <w:tcW w:w="74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88"/>
              </w:rPr>
              <w:t>0.0</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9"/>
              </w:rPr>
              <w:t>1.7</w:t>
            </w:r>
          </w:p>
        </w:tc>
        <w:tc>
          <w:tcPr>
            <w:tcW w:w="780" w:type="dxa"/>
            <w:vAlign w:val="bottom"/>
            <w:tcBorders>
              <w:right w:val="single" w:sz="8" w:color="auto"/>
            </w:tcBorders>
            <w:vMerge w:val="restart"/>
          </w:tcPr>
          <w:p>
            <w:pPr>
              <w:jc w:val="center"/>
              <w:ind w:right="18"/>
              <w:spacing w:after="0" w:line="133" w:lineRule="exact"/>
              <w:rPr>
                <w:sz w:val="20"/>
                <w:szCs w:val="20"/>
                <w:color w:val="auto"/>
              </w:rPr>
            </w:pPr>
            <w:r>
              <w:rPr>
                <w:rFonts w:ascii="Arial" w:cs="Arial" w:eastAsia="Arial" w:hAnsi="Arial"/>
                <w:sz w:val="13"/>
                <w:szCs w:val="13"/>
                <w:color w:val="auto"/>
                <w:w w:val="99"/>
              </w:rPr>
              <w:t>0.0</w:t>
            </w:r>
          </w:p>
        </w:tc>
        <w:tc>
          <w:tcPr>
            <w:tcW w:w="860" w:type="dxa"/>
            <w:vAlign w:val="bottom"/>
            <w:vMerge w:val="restart"/>
          </w:tcPr>
          <w:p>
            <w:pPr>
              <w:jc w:val="center"/>
              <w:spacing w:after="0" w:line="133" w:lineRule="exact"/>
              <w:rPr>
                <w:sz w:val="20"/>
                <w:szCs w:val="20"/>
                <w:color w:val="auto"/>
              </w:rPr>
            </w:pPr>
            <w:r>
              <w:rPr>
                <w:rFonts w:ascii="Arial" w:cs="Arial" w:eastAsia="Arial" w:hAnsi="Arial"/>
                <w:sz w:val="13"/>
                <w:szCs w:val="13"/>
                <w:color w:val="auto"/>
                <w:w w:val="94"/>
              </w:rPr>
              <w:t>-100.0%</w:t>
            </w:r>
          </w:p>
        </w:tc>
        <w:tc>
          <w:tcPr>
            <w:tcW w:w="820" w:type="dxa"/>
            <w:vAlign w:val="bottom"/>
            <w:tcBorders>
              <w:right w:val="single" w:sz="8" w:color="auto"/>
            </w:tcBorders>
            <w:vMerge w:val="restart"/>
          </w:tcPr>
          <w:p>
            <w:pPr>
              <w:ind w:left="300"/>
              <w:spacing w:after="0" w:line="133" w:lineRule="exact"/>
              <w:rPr>
                <w:sz w:val="20"/>
                <w:szCs w:val="20"/>
                <w:color w:val="auto"/>
              </w:rPr>
            </w:pPr>
            <w:r>
              <w:rPr>
                <w:rFonts w:ascii="Arial" w:cs="Arial" w:eastAsia="Arial" w:hAnsi="Arial"/>
                <w:sz w:val="13"/>
                <w:szCs w:val="13"/>
                <w:color w:val="auto"/>
              </w:rPr>
              <w:t>n.a.</w:t>
            </w:r>
          </w:p>
        </w:tc>
        <w:tc>
          <w:tcPr>
            <w:tcW w:w="700" w:type="dxa"/>
            <w:vAlign w:val="bottom"/>
            <w:vMerge w:val="restart"/>
          </w:tcPr>
          <w:p>
            <w:pPr>
              <w:jc w:val="center"/>
              <w:ind w:left="98"/>
              <w:spacing w:after="0" w:line="133" w:lineRule="exact"/>
              <w:rPr>
                <w:sz w:val="20"/>
                <w:szCs w:val="20"/>
                <w:color w:val="auto"/>
              </w:rPr>
            </w:pPr>
            <w:r>
              <w:rPr>
                <w:rFonts w:ascii="Arial" w:cs="Arial" w:eastAsia="Arial" w:hAnsi="Arial"/>
                <w:sz w:val="13"/>
                <w:szCs w:val="13"/>
                <w:color w:val="auto"/>
                <w:w w:val="99"/>
              </w:rPr>
              <w:t>0.0</w:t>
            </w:r>
          </w:p>
        </w:tc>
        <w:tc>
          <w:tcPr>
            <w:tcW w:w="1100" w:type="dxa"/>
            <w:vAlign w:val="bottom"/>
            <w:tcBorders>
              <w:right w:val="single" w:sz="8" w:color="auto"/>
            </w:tcBorders>
            <w:vMerge w:val="restart"/>
          </w:tcPr>
          <w:p>
            <w:pPr>
              <w:jc w:val="center"/>
              <w:ind w:left="98"/>
              <w:spacing w:after="0" w:line="133" w:lineRule="exact"/>
              <w:rPr>
                <w:sz w:val="20"/>
                <w:szCs w:val="20"/>
                <w:color w:val="auto"/>
              </w:rPr>
            </w:pPr>
            <w:r>
              <w:rPr>
                <w:rFonts w:ascii="Arial" w:cs="Arial" w:eastAsia="Arial" w:hAnsi="Arial"/>
                <w:sz w:val="13"/>
                <w:szCs w:val="13"/>
                <w:color w:val="auto"/>
                <w:w w:val="99"/>
              </w:rPr>
              <w:t>0.0</w:t>
            </w:r>
          </w:p>
        </w:tc>
        <w:tc>
          <w:tcPr>
            <w:tcW w:w="14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2"/>
              </w:rPr>
              <w:t>n.a.</w:t>
            </w:r>
          </w:p>
        </w:tc>
        <w:tc>
          <w:tcPr>
            <w:tcW w:w="0" w:type="dxa"/>
            <w:vAlign w:val="bottom"/>
          </w:tcPr>
          <w:p>
            <w:pPr>
              <w:spacing w:after="0"/>
              <w:rPr>
                <w:sz w:val="1"/>
                <w:szCs w:val="1"/>
                <w:color w:val="auto"/>
              </w:rPr>
            </w:pPr>
          </w:p>
        </w:tc>
      </w:tr>
      <w:tr>
        <w:trPr>
          <w:trHeight w:val="31"/>
        </w:trPr>
        <w:tc>
          <w:tcPr>
            <w:tcW w:w="1260" w:type="dxa"/>
            <w:vAlign w:val="bottom"/>
            <w:tcBorders>
              <w:left w:val="single" w:sz="8" w:color="auto"/>
              <w:right w:val="single" w:sz="8" w:color="auto"/>
            </w:tcBorders>
          </w:tcPr>
          <w:p>
            <w:pPr>
              <w:spacing w:after="0"/>
              <w:rPr>
                <w:sz w:val="2"/>
                <w:szCs w:val="2"/>
                <w:color w:val="auto"/>
              </w:rPr>
            </w:pPr>
          </w:p>
        </w:tc>
        <w:tc>
          <w:tcPr>
            <w:tcW w:w="2700" w:type="dxa"/>
            <w:vAlign w:val="bottom"/>
            <w:tcBorders>
              <w:right w:val="single" w:sz="8" w:color="auto"/>
            </w:tcBorders>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20" w:type="dxa"/>
            <w:vAlign w:val="bottom"/>
            <w:tcBorders>
              <w:right w:val="single" w:sz="8" w:color="auto"/>
            </w:tcBorders>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tcBorders>
              <w:right w:val="single" w:sz="8" w:color="auto"/>
            </w:tcBorders>
            <w:vMerge w:val="continue"/>
          </w:tcPr>
          <w:p>
            <w:pPr>
              <w:spacing w:after="0"/>
              <w:rPr>
                <w:sz w:val="2"/>
                <w:szCs w:val="2"/>
                <w:color w:val="auto"/>
              </w:rPr>
            </w:pPr>
          </w:p>
        </w:tc>
        <w:tc>
          <w:tcPr>
            <w:tcW w:w="14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Insurance Undewrwriting Result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0.0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33.3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32.4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-2.6%</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w:t>
            </w:r>
          </w:p>
        </w:tc>
        <w:tc>
          <w:tcPr>
            <w:tcW w:w="700" w:type="dxa"/>
            <w:vAlign w:val="bottom"/>
            <w:tcBorders>
              <w:bottom w:val="single" w:sz="8" w:color="auto"/>
            </w:tcBorders>
          </w:tcPr>
          <w:p>
            <w:pPr>
              <w:jc w:val="center"/>
              <w:ind w:left="98"/>
              <w:spacing w:after="0"/>
              <w:rPr>
                <w:sz w:val="20"/>
                <w:szCs w:val="20"/>
                <w:color w:val="auto"/>
              </w:rPr>
            </w:pPr>
            <w:r>
              <w:rPr>
                <w:rFonts w:ascii="Arial" w:cs="Arial" w:eastAsia="Arial" w:hAnsi="Arial"/>
                <w:sz w:val="13"/>
                <w:szCs w:val="13"/>
                <w:b w:val="1"/>
                <w:bCs w:val="1"/>
                <w:color w:val="auto"/>
                <w:w w:val="99"/>
              </w:rPr>
              <w:t>0.0</w:t>
            </w:r>
          </w:p>
        </w:tc>
        <w:tc>
          <w:tcPr>
            <w:tcW w:w="110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3"/>
                <w:szCs w:val="13"/>
                <w:b w:val="1"/>
                <w:bCs w:val="1"/>
                <w:color w:val="auto"/>
                <w:w w:val="94"/>
              </w:rPr>
              <w:t>97.2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n.a.</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QoQ, the Insurance Underwriting Result dropped 17.4%. This evolution was triggered by a less favorable reinsurance result (+156.3%), which was partially mitigated by an increase in Insurance Service Income (+4.1%) and a decrease in Insurance Service Expenses (-0.4%). It is important to note that in 2025, Pacifco did not participate in the SISCO VIII contract through the D&amp;S line. Notwithstanding, the business registered extraordinary regularizations for this business. If we exclude D&amp;S, we fnd that the Insurance Underwriting Result fell 0.5%.</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YoY and YTD, the Insurance Underwriting Result increased 2.6% and 15.9%, respectively, driven by growth in Insurance Service Income (+28.5% and +23.3%), which was partially ofset by growth in Insurance Service Expenses (+30.4% and +36.2%).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721360</wp:posOffset>
            </wp:positionV>
            <wp:extent cx="71577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95250</wp:posOffset>
            </wp:positionV>
            <wp:extent cx="6764020" cy="522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64020" cy="522605"/>
                    </a:xfrm>
                    <a:prstGeom prst="rect">
                      <a:avLst/>
                    </a:prstGeom>
                    <a:noFill/>
                  </pic:spPr>
                </pic:pic>
              </a:graphicData>
            </a:graphic>
          </wp:anchor>
        </w:drawing>
      </w:r>
    </w:p>
    <w:p>
      <w:pPr>
        <w:sectPr>
          <w:pgSz w:w="11920" w:h="16838" w:orient="portrait"/>
          <w:cols w:equalWidth="0" w:num="1">
            <w:col w:w="11260"/>
          </w:cols>
          <w:pgMar w:left="340" w:top="447" w:right="318" w:bottom="1440" w:gutter="0" w:footer="0" w:header="0"/>
        </w:sectPr>
      </w:pPr>
    </w:p>
    <w:bookmarkStart w:id="39" w:name="page40"/>
    <w:bookmarkEnd w:id="39"/>
    <w:p>
      <w:pPr>
        <w:ind w:left="2687"/>
        <w:spacing w:after="0"/>
        <w:tabs>
          <w:tab w:leader="none" w:pos="2927" w:val="left"/>
          <w:tab w:leader="none" w:pos="932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145415</wp:posOffset>
            </wp:positionV>
            <wp:extent cx="7089140" cy="6172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8914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393" w:lineRule="exact"/>
        <w:rPr>
          <w:sz w:val="20"/>
          <w:szCs w:val="20"/>
          <w:color w:val="auto"/>
        </w:rPr>
      </w:pPr>
    </w:p>
    <w:p>
      <w:pPr>
        <w:ind w:left="7" w:right="5380" w:firstLine="29"/>
        <w:spacing w:after="0" w:line="370" w:lineRule="auto"/>
        <w:tabs>
          <w:tab w:leader="none" w:pos="403" w:val="left"/>
        </w:tabs>
        <w:numPr>
          <w:ilvl w:val="0"/>
          <w:numId w:val="41"/>
        </w:numPr>
        <w:rPr>
          <w:rFonts w:ascii="Arial" w:cs="Arial" w:eastAsia="Arial" w:hAnsi="Arial"/>
          <w:sz w:val="22"/>
          <w:szCs w:val="22"/>
          <w:b w:val="1"/>
          <w:bCs w:val="1"/>
          <w:color w:val="FFFFFF"/>
        </w:rPr>
      </w:pPr>
      <w:r>
        <w:rPr>
          <w:rFonts w:ascii="Arial" w:cs="Arial" w:eastAsia="Arial" w:hAnsi="Arial"/>
          <w:sz w:val="22"/>
          <w:szCs w:val="22"/>
          <w:b w:val="1"/>
          <w:bCs w:val="1"/>
          <w:color w:val="FFFFFF"/>
        </w:rPr>
        <w:t xml:space="preserve">Insurance Underwriting and Medical Services Results </w:t>
      </w:r>
      <w:r>
        <w:rPr>
          <w:rFonts w:ascii="Arial" w:cs="Arial" w:eastAsia="Arial" w:hAnsi="Arial"/>
          <w:sz w:val="22"/>
          <w:szCs w:val="22"/>
          <w:b w:val="1"/>
          <w:bCs w:val="1"/>
          <w:i w:val="1"/>
          <w:iCs w:val="1"/>
          <w:color w:val="000000"/>
        </w:rPr>
        <w:t>P &amp;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-471170</wp:posOffset>
            </wp:positionV>
            <wp:extent cx="708914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ind w:left="1627"/>
        <w:spacing w:after="0"/>
        <w:tabs>
          <w:tab w:leader="none" w:pos="7327" w:val="left"/>
        </w:tabs>
        <w:rPr>
          <w:sz w:val="20"/>
          <w:szCs w:val="20"/>
          <w:color w:val="auto"/>
        </w:rPr>
      </w:pPr>
      <w:r>
        <w:rPr>
          <w:rFonts w:ascii="Arial" w:cs="Arial" w:eastAsia="Arial" w:hAnsi="Arial"/>
          <w:sz w:val="18"/>
          <w:szCs w:val="18"/>
          <w:b w:val="1"/>
          <w:bCs w:val="1"/>
          <w:color w:val="auto"/>
        </w:rPr>
        <w:t>Insurance Service Income</w:t>
      </w:r>
      <w:r>
        <w:rPr>
          <w:sz w:val="20"/>
          <w:szCs w:val="20"/>
          <w:color w:val="auto"/>
        </w:rPr>
        <w:tab/>
      </w:r>
      <w:r>
        <w:rPr>
          <w:rFonts w:ascii="Arial" w:cs="Arial" w:eastAsia="Arial" w:hAnsi="Arial"/>
          <w:sz w:val="18"/>
          <w:szCs w:val="18"/>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141605</wp:posOffset>
            </wp:positionV>
            <wp:extent cx="6395085" cy="19799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9508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
        <w:spacing w:after="0"/>
        <w:rPr>
          <w:sz w:val="20"/>
          <w:szCs w:val="20"/>
          <w:color w:val="auto"/>
        </w:rPr>
      </w:pPr>
      <w:r>
        <w:rPr>
          <w:rFonts w:ascii="Arial" w:cs="Arial" w:eastAsia="Arial" w:hAnsi="Arial"/>
          <w:sz w:val="18"/>
          <w:szCs w:val="18"/>
          <w:color w:val="auto"/>
        </w:rPr>
        <w:t>QoQ, the Insurance Underwriting Result rose 4.8%. The following dynamics were noteworthy:</w:t>
      </w:r>
    </w:p>
    <w:p>
      <w:pPr>
        <w:spacing w:after="0" w:line="18" w:lineRule="exact"/>
        <w:rPr>
          <w:sz w:val="20"/>
          <w:szCs w:val="20"/>
          <w:color w:val="auto"/>
        </w:rPr>
      </w:pPr>
    </w:p>
    <w:p>
      <w:pPr>
        <w:jc w:val="both"/>
        <w:ind w:left="807" w:hanging="326"/>
        <w:spacing w:after="0" w:line="234" w:lineRule="auto"/>
        <w:tabs>
          <w:tab w:leader="none" w:pos="8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Insurance Service Income rose slightly by 4.1%, driven mainly by (i) Medical Assistance, due to an increase in premiums and a decrease in reserves for current risk (RRC), and (ii) Personal lines, where higher premiums were recorded for the Card Protection product and Home Mortgage.</w:t>
      </w:r>
    </w:p>
    <w:p>
      <w:pPr>
        <w:spacing w:after="0" w:line="2" w:lineRule="exact"/>
        <w:rPr>
          <w:rFonts w:ascii="Arial" w:cs="Arial" w:eastAsia="Arial" w:hAnsi="Arial"/>
          <w:sz w:val="18"/>
          <w:szCs w:val="18"/>
          <w:color w:val="auto"/>
        </w:rPr>
      </w:pPr>
    </w:p>
    <w:p>
      <w:pPr>
        <w:ind w:left="807" w:hanging="326"/>
        <w:spacing w:after="0" w:line="234" w:lineRule="auto"/>
        <w:tabs>
          <w:tab w:leader="none" w:pos="8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Insurance Service Expenses dropped 22.3%, fueled mainly by Commercial Lines, which reported high-value claims releases in the Fire line.</w:t>
      </w:r>
    </w:p>
    <w:p>
      <w:pPr>
        <w:spacing w:after="0" w:line="1" w:lineRule="exact"/>
        <w:rPr>
          <w:rFonts w:ascii="Arial" w:cs="Arial" w:eastAsia="Arial" w:hAnsi="Arial"/>
          <w:sz w:val="18"/>
          <w:szCs w:val="18"/>
          <w:color w:val="auto"/>
        </w:rPr>
      </w:pPr>
    </w:p>
    <w:p>
      <w:pPr>
        <w:ind w:left="807" w:hanging="326"/>
        <w:spacing w:after="0" w:line="250" w:lineRule="auto"/>
        <w:tabs>
          <w:tab w:leader="none" w:pos="8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Reinsurance Result deteriorated, reflecting the drop in claims recovered from the reinsurer in Commercial lines, in line with the claims releases mentioned in the previous point.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8"/>
          <w:szCs w:val="18"/>
          <w:color w:val="auto"/>
        </w:rPr>
        <w:t>YoY, the Insurance Underwriting result increased 24.4%. This evolution was driven by the following dynamics:</w:t>
      </w:r>
    </w:p>
    <w:p>
      <w:pPr>
        <w:spacing w:after="0" w:line="18" w:lineRule="exact"/>
        <w:rPr>
          <w:sz w:val="20"/>
          <w:szCs w:val="20"/>
          <w:color w:val="auto"/>
        </w:rPr>
      </w:pPr>
    </w:p>
    <w:p>
      <w:pPr>
        <w:jc w:val="both"/>
        <w:ind w:left="807" w:hanging="326"/>
        <w:spacing w:after="0" w:line="234" w:lineRule="auto"/>
        <w:tabs>
          <w:tab w:leader="none" w:pos="8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Insurance Service Income rose 3.7%, fueled mainly by (i) Medical Assistance, which reported an increase in renewals for comprehensive health products and group oncological, (ii) Personal lines, where the card protection product reported growth in sales through the Bancassurance and Alliances channel.</w:t>
      </w:r>
    </w:p>
    <w:p>
      <w:pPr>
        <w:spacing w:after="0" w:line="2" w:lineRule="exact"/>
        <w:rPr>
          <w:rFonts w:ascii="Arial" w:cs="Arial" w:eastAsia="Arial" w:hAnsi="Arial"/>
          <w:sz w:val="18"/>
          <w:szCs w:val="18"/>
          <w:color w:val="auto"/>
        </w:rPr>
      </w:pPr>
    </w:p>
    <w:p>
      <w:pPr>
        <w:ind w:left="807" w:hanging="326"/>
        <w:spacing w:after="0" w:line="234" w:lineRule="auto"/>
        <w:tabs>
          <w:tab w:leader="none" w:pos="8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Insurance Service Expenses fell 25.0%, driven by the same dynamics in the QoQ analysis.</w:t>
      </w:r>
    </w:p>
    <w:p>
      <w:pPr>
        <w:ind w:left="807" w:hanging="326"/>
        <w:spacing w:after="0"/>
        <w:tabs>
          <w:tab w:leader="none" w:pos="8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Reinsurance Result deteriorated, due the same factors discussed in the QoQ analysis.</w:t>
      </w:r>
    </w:p>
    <w:p>
      <w:pPr>
        <w:spacing w:after="0" w:line="176"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YTD, the Insurance Underwriting Result increased 13.1% due to (i) an uptick in Insurance Service Income, which rose through growth in premiums in Personal Lines, Commercial Lines, Medical Assistance and SOAT, and (ii) a more favorable Reinsurance Result, which was fueled by an increase in claims recovered from the reinsurer in Personal Lines and Medical Assistance.</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Life</w:t>
      </w:r>
    </w:p>
    <w:p>
      <w:pPr>
        <w:spacing w:after="0" w:line="18" w:lineRule="exact"/>
        <w:rPr>
          <w:sz w:val="20"/>
          <w:szCs w:val="20"/>
          <w:color w:val="auto"/>
        </w:rPr>
      </w:pPr>
    </w:p>
    <w:p>
      <w:pPr>
        <w:ind w:left="1587"/>
        <w:spacing w:after="0"/>
        <w:tabs>
          <w:tab w:leader="none" w:pos="7327" w:val="left"/>
        </w:tabs>
        <w:rPr>
          <w:sz w:val="20"/>
          <w:szCs w:val="20"/>
          <w:color w:val="auto"/>
        </w:rPr>
      </w:pPr>
      <w:r>
        <w:rPr>
          <w:rFonts w:ascii="Arial" w:cs="Arial" w:eastAsia="Arial" w:hAnsi="Arial"/>
          <w:sz w:val="18"/>
          <w:szCs w:val="18"/>
          <w:b w:val="1"/>
          <w:bCs w:val="1"/>
          <w:color w:val="auto"/>
        </w:rPr>
        <w:t>Insurance Service Income</w:t>
      </w:r>
      <w:r>
        <w:rPr>
          <w:sz w:val="20"/>
          <w:szCs w:val="20"/>
          <w:color w:val="auto"/>
        </w:rPr>
        <w:tab/>
      </w:r>
      <w:r>
        <w:rPr>
          <w:rFonts w:ascii="Arial" w:cs="Arial" w:eastAsia="Arial" w:hAnsi="Arial"/>
          <w:sz w:val="18"/>
          <w:szCs w:val="18"/>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126365</wp:posOffset>
            </wp:positionV>
            <wp:extent cx="6377940" cy="17576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7794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 w:right="300" w:hanging="7"/>
        <w:spacing w:after="0" w:line="249" w:lineRule="auto"/>
        <w:tabs>
          <w:tab w:leader="none" w:pos="189"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of 1Q25, the business previously known as “P &amp; C Risks” has been reclassified into two separate categories: Personal Lines and Commercial Lines to better reflect the nature of insured risks. Historical figures have been adjusted for comparability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716915</wp:posOffset>
            </wp:positionV>
            <wp:extent cx="71577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116840</wp:posOffset>
            </wp:positionV>
            <wp:extent cx="6755130" cy="4972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55130" cy="497205"/>
                    </a:xfrm>
                    <a:prstGeom prst="rect">
                      <a:avLst/>
                    </a:prstGeom>
                    <a:noFill/>
                  </pic:spPr>
                </pic:pic>
              </a:graphicData>
            </a:graphic>
          </wp:anchor>
        </w:drawing>
      </w:r>
    </w:p>
    <w:p>
      <w:pPr>
        <w:sectPr>
          <w:pgSz w:w="11920" w:h="16838" w:orient="portrait"/>
          <w:cols w:equalWidth="0" w:num="1">
            <w:col w:w="11267"/>
          </w:cols>
          <w:pgMar w:left="333" w:top="542" w:right="318" w:bottom="1440" w:gutter="0" w:footer="0" w:header="0"/>
        </w:sectPr>
      </w:pPr>
    </w:p>
    <w:bookmarkStart w:id="40" w:name="page41"/>
    <w:bookmarkEnd w:id="40"/>
    <w:p>
      <w:pPr>
        <w:ind w:left="2687"/>
        <w:spacing w:after="0"/>
        <w:tabs>
          <w:tab w:leader="none" w:pos="2927" w:val="left"/>
          <w:tab w:leader="none" w:pos="932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145415</wp:posOffset>
            </wp:positionV>
            <wp:extent cx="7089140" cy="6172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8914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393" w:lineRule="exact"/>
        <w:rPr>
          <w:sz w:val="20"/>
          <w:szCs w:val="20"/>
          <w:color w:val="auto"/>
        </w:rPr>
      </w:pPr>
    </w:p>
    <w:p>
      <w:pPr>
        <w:ind w:left="27"/>
        <w:spacing w:after="0"/>
        <w:rPr>
          <w:sz w:val="20"/>
          <w:szCs w:val="20"/>
          <w:color w:val="auto"/>
        </w:rPr>
      </w:pPr>
      <w:r>
        <w:rPr>
          <w:rFonts w:ascii="Arial" w:cs="Arial" w:eastAsia="Arial" w:hAnsi="Arial"/>
          <w:sz w:val="22"/>
          <w:szCs w:val="22"/>
          <w:b w:val="1"/>
          <w:bCs w:val="1"/>
          <w:color w:val="FFFFFF"/>
        </w:rPr>
        <w:t>07. Insurance Underwriting and Medical Services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08914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186" w:lineRule="exact"/>
        <w:rPr>
          <w:sz w:val="20"/>
          <w:szCs w:val="20"/>
          <w:color w:val="auto"/>
        </w:rPr>
      </w:pPr>
    </w:p>
    <w:p>
      <w:pPr>
        <w:ind w:left="7"/>
        <w:spacing w:after="0"/>
        <w:rPr>
          <w:sz w:val="20"/>
          <w:szCs w:val="20"/>
          <w:color w:val="auto"/>
        </w:rPr>
      </w:pPr>
      <w:r>
        <w:rPr>
          <w:rFonts w:ascii="Arial" w:cs="Arial" w:eastAsia="Arial" w:hAnsi="Arial"/>
          <w:sz w:val="18"/>
          <w:szCs w:val="18"/>
          <w:color w:val="auto"/>
        </w:rPr>
        <w:t>QoQ, the Insurance Underwriting Result dropped 25.8%. The following dynamics:</w:t>
      </w:r>
    </w:p>
    <w:p>
      <w:pPr>
        <w:spacing w:after="0" w:line="18" w:lineRule="exact"/>
        <w:rPr>
          <w:sz w:val="20"/>
          <w:szCs w:val="20"/>
          <w:color w:val="auto"/>
        </w:rPr>
      </w:pPr>
    </w:p>
    <w:p>
      <w:pPr>
        <w:ind w:left="807" w:hanging="326"/>
        <w:spacing w:after="0" w:line="234" w:lineRule="auto"/>
        <w:tabs>
          <w:tab w:leader="none" w:pos="8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Service Income rose 2.4%, driven primarily by (i) Individual Life, which reported growth in term life products due to higher rates of retention and (ii) Credit Life, due to growth in premiums through bancassurance and alliances.</w:t>
      </w:r>
    </w:p>
    <w:p>
      <w:pPr>
        <w:spacing w:after="0" w:line="1" w:lineRule="exact"/>
        <w:rPr>
          <w:rFonts w:ascii="Arial" w:cs="Arial" w:eastAsia="Arial" w:hAnsi="Arial"/>
          <w:sz w:val="18"/>
          <w:szCs w:val="18"/>
          <w:color w:val="auto"/>
        </w:rPr>
      </w:pPr>
    </w:p>
    <w:p>
      <w:pPr>
        <w:jc w:val="both"/>
        <w:ind w:left="807" w:hanging="326"/>
        <w:spacing w:after="0" w:line="234" w:lineRule="auto"/>
        <w:tabs>
          <w:tab w:leader="none" w:pos="8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Service Expenses rose 245.4%, fueled mainly by (i) D&amp;S, due to a base effect generated by an increase in reserve releases for SISCO VII, which were registered in the first quarter and have been normalized, and (ii) Group Life, which reported an uptick in claims.</w:t>
      </w:r>
    </w:p>
    <w:p>
      <w:pPr>
        <w:spacing w:after="0" w:line="2" w:lineRule="exact"/>
        <w:rPr>
          <w:rFonts w:ascii="Arial" w:cs="Arial" w:eastAsia="Arial" w:hAnsi="Arial"/>
          <w:sz w:val="18"/>
          <w:szCs w:val="18"/>
          <w:color w:val="auto"/>
        </w:rPr>
      </w:pPr>
    </w:p>
    <w:p>
      <w:pPr>
        <w:ind w:left="807" w:hanging="326"/>
        <w:spacing w:after="0" w:line="250" w:lineRule="auto"/>
        <w:tabs>
          <w:tab w:leader="none" w:pos="8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Reinsurance Result improved due to the evolution of D&amp;S, which reported a decrease in releases of reserves for claims recovered from the reinsurer, in line with the information provided in the previous point.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8"/>
          <w:szCs w:val="18"/>
          <w:color w:val="auto"/>
        </w:rPr>
        <w:t>YoY, the Insurance Underwriting Result fell 11.5% due to the following dynamics:</w:t>
      </w:r>
    </w:p>
    <w:p>
      <w:pPr>
        <w:spacing w:after="0" w:line="18" w:lineRule="exact"/>
        <w:rPr>
          <w:sz w:val="20"/>
          <w:szCs w:val="20"/>
          <w:color w:val="auto"/>
        </w:rPr>
      </w:pPr>
    </w:p>
    <w:p>
      <w:pPr>
        <w:jc w:val="both"/>
        <w:ind w:left="807" w:hanging="326"/>
        <w:spacing w:after="0" w:line="234" w:lineRule="auto"/>
        <w:tabs>
          <w:tab w:leader="none" w:pos="8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Insurance Service Income dropped 29.1%, mainly due to the evolution of D&amp;S, given that Pacifico did not award any tranche under the SISCO VIII contract award after having won a tranche under SISCO VII. The drop in the D&amp;S Line was partially attenuated by Credit Life, which reported growth in premiums allotted to the period that were distributed through the Bancassurance and Alliances channel.</w:t>
      </w:r>
    </w:p>
    <w:p>
      <w:pPr>
        <w:spacing w:after="0" w:line="2" w:lineRule="exact"/>
        <w:rPr>
          <w:rFonts w:ascii="Arial" w:cs="Arial" w:eastAsia="Arial" w:hAnsi="Arial"/>
          <w:sz w:val="18"/>
          <w:szCs w:val="18"/>
          <w:color w:val="auto"/>
        </w:rPr>
      </w:pPr>
    </w:p>
    <w:p>
      <w:pPr>
        <w:ind w:left="807" w:hanging="326"/>
        <w:spacing w:after="0" w:line="234" w:lineRule="auto"/>
        <w:tabs>
          <w:tab w:leader="none" w:pos="8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Insurance Service Expenses declined 44.9%, triggered mainly by (i) D&amp;S, after Pacifico did not award any tranche under the SISCO VIII contract, and (ii) Credit Life, after claims fell through the Bancassurance channel.</w:t>
      </w:r>
    </w:p>
    <w:p>
      <w:pPr>
        <w:spacing w:after="0" w:line="1" w:lineRule="exact"/>
        <w:rPr>
          <w:rFonts w:ascii="Arial" w:cs="Arial" w:eastAsia="Arial" w:hAnsi="Arial"/>
          <w:sz w:val="18"/>
          <w:szCs w:val="18"/>
          <w:color w:val="auto"/>
        </w:rPr>
      </w:pPr>
    </w:p>
    <w:p>
      <w:pPr>
        <w:ind w:left="807" w:hanging="326"/>
        <w:spacing w:after="0"/>
        <w:tabs>
          <w:tab w:leader="none" w:pos="8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Reinsurance Result improved, due primarily to an increase in claims recovered from the reinsurer.</w:t>
      </w:r>
    </w:p>
    <w:p>
      <w:pPr>
        <w:spacing w:after="0" w:line="176" w:lineRule="exact"/>
        <w:rPr>
          <w:sz w:val="20"/>
          <w:szCs w:val="20"/>
          <w:color w:val="auto"/>
        </w:rPr>
      </w:pPr>
    </w:p>
    <w:p>
      <w:pPr>
        <w:jc w:val="both"/>
        <w:ind w:left="7"/>
        <w:spacing w:after="0" w:line="248" w:lineRule="auto"/>
        <w:rPr>
          <w:sz w:val="20"/>
          <w:szCs w:val="20"/>
          <w:color w:val="auto"/>
        </w:rPr>
      </w:pPr>
      <w:r>
        <w:rPr>
          <w:rFonts w:ascii="Arial" w:cs="Arial" w:eastAsia="Arial" w:hAnsi="Arial"/>
          <w:sz w:val="18"/>
          <w:szCs w:val="18"/>
          <w:color w:val="auto"/>
        </w:rPr>
        <w:t>YTD, the Insurance Underwriting Result rose 9.4%. This evolution was mainly attributable to a decrease in Insurance Service Expenses in D&amp;S and secondarily, in Individual Life and Credit Life. Growth in Insurance Service Income in Credit Life, which registered an increase in direct premiums distributed by Bancassurance and Alliances, also contributed to the improvement in the Underwriting Results. Bancassurance will have a key role in sustaining our insurance business in the long term.</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25"/>
          <w:szCs w:val="25"/>
          <w:b w:val="1"/>
          <w:bCs w:val="1"/>
          <w:i w:val="1"/>
          <w:iCs w:val="1"/>
          <w:color w:val="C2139D"/>
        </w:rPr>
        <w:t>Medical Services Result</w:t>
      </w:r>
    </w:p>
    <w:p>
      <w:pPr>
        <w:spacing w:after="0" w:line="218" w:lineRule="exact"/>
        <w:rPr>
          <w:sz w:val="20"/>
          <w:szCs w:val="20"/>
          <w:color w:val="auto"/>
        </w:rPr>
      </w:pPr>
    </w:p>
    <w:p>
      <w:pPr>
        <w:jc w:val="both"/>
        <w:ind w:left="7"/>
        <w:spacing w:after="0" w:line="243" w:lineRule="auto"/>
        <w:rPr>
          <w:sz w:val="20"/>
          <w:szCs w:val="20"/>
          <w:color w:val="auto"/>
        </w:rPr>
      </w:pPr>
      <w:r>
        <w:rPr>
          <w:rFonts w:ascii="Arial" w:cs="Arial" w:eastAsia="Arial" w:hAnsi="Arial"/>
          <w:sz w:val="18"/>
          <w:szCs w:val="18"/>
          <w:color w:val="auto"/>
        </w:rPr>
        <w:t>In March 2025, Credicorp completed its acquisition of the remaining 50% stake in Empresas Banmédica under the joint venture with Pacífico Compañía de Seguros y Reaseguros S.A. (“Pacifico Seguros”) set forth in December 2014. This transaction allowed Credicorp, through its subsidiaries Pacifico Seguros y Grupo Crédito S.A., to assume fully ownership of Pacífico S.A. Entidad Prestadora de Salud (“Pacifico EPS”), which manages corporate healthcare for employees, medical services, and private medical insurance in Peru. This acquisition strengthens Credicorp’s capacity to create a more sustainable and inclusive economy by improving access to health insurance and services and bolstering efforts to expand financial inclusion.</w:t>
      </w:r>
    </w:p>
    <w:p>
      <w:pPr>
        <w:spacing w:after="0" w:line="160"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Consequently, as of March 2025, the Corporate Health business’s result is primarily consolidated in Credicorp’s Underwriting Insurance Result lime while the Medical Services result is reported in a new account named “Medical Services.” It is important to note that in 1Q25, only the month of March was included.</w:t>
      </w:r>
    </w:p>
    <w:p>
      <w:pPr>
        <w:spacing w:after="0" w:line="150" w:lineRule="exact"/>
        <w:rPr>
          <w:sz w:val="20"/>
          <w:szCs w:val="20"/>
          <w:color w:val="auto"/>
        </w:rPr>
      </w:pPr>
    </w:p>
    <w:p>
      <w:pPr>
        <w:jc w:val="both"/>
        <w:ind w:left="7"/>
        <w:spacing w:after="0" w:line="276" w:lineRule="auto"/>
        <w:rPr>
          <w:sz w:val="20"/>
          <w:szCs w:val="20"/>
          <w:color w:val="auto"/>
        </w:rPr>
      </w:pPr>
      <w:r>
        <w:rPr>
          <w:rFonts w:ascii="Arial" w:cs="Arial" w:eastAsia="Arial" w:hAnsi="Arial"/>
          <w:sz w:val="18"/>
          <w:szCs w:val="18"/>
          <w:color w:val="auto"/>
        </w:rPr>
        <w:t>QoQ, the Medical Services Result rose 0.6%, backed by solid commercial dynamics and prudent control over spending. YTD, the Medical Services Result contributed S/ 415M.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97790</wp:posOffset>
            </wp:positionV>
            <wp:extent cx="3188970" cy="1671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8897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7" w:hanging="87"/>
        <w:spacing w:after="0"/>
        <w:tabs>
          <w:tab w:leader="none" w:pos="87" w:val="left"/>
        </w:tabs>
        <w:numPr>
          <w:ilvl w:val="0"/>
          <w:numId w:val="47"/>
        </w:numPr>
        <w:rPr>
          <w:rFonts w:ascii="Arial" w:cs="Arial" w:eastAsia="Arial" w:hAnsi="Arial"/>
          <w:sz w:val="21"/>
          <w:szCs w:val="21"/>
          <w:color w:val="auto"/>
          <w:vertAlign w:val="superscript"/>
        </w:rPr>
      </w:pPr>
      <w:r>
        <w:rPr>
          <w:rFonts w:ascii="Arial" w:cs="Arial" w:eastAsia="Arial" w:hAnsi="Arial"/>
          <w:sz w:val="13"/>
          <w:szCs w:val="13"/>
          <w:color w:val="auto"/>
        </w:rPr>
        <w:t>Includes results from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720725</wp:posOffset>
            </wp:positionV>
            <wp:extent cx="71577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120650</wp:posOffset>
            </wp:positionV>
            <wp:extent cx="6780530" cy="4972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80530" cy="497205"/>
                    </a:xfrm>
                    <a:prstGeom prst="rect">
                      <a:avLst/>
                    </a:prstGeom>
                    <a:noFill/>
                  </pic:spPr>
                </pic:pic>
              </a:graphicData>
            </a:graphic>
          </wp:anchor>
        </w:drawing>
      </w:r>
    </w:p>
    <w:p>
      <w:pPr>
        <w:sectPr>
          <w:pgSz w:w="11920" w:h="16838" w:orient="portrait"/>
          <w:cols w:equalWidth="0" w:num="1">
            <w:col w:w="11267"/>
          </w:cols>
          <w:pgMar w:left="333" w:top="542" w:right="318" w:bottom="1440" w:gutter="0" w:footer="0" w:header="0"/>
        </w:sectPr>
      </w:pPr>
    </w:p>
    <w:bookmarkStart w:id="41" w:name="page42"/>
    <w:bookmarkEnd w:id="41"/>
    <w:p>
      <w:pPr>
        <w:ind w:left="2687"/>
        <w:spacing w:after="0"/>
        <w:tabs>
          <w:tab w:leader="none" w:pos="2927" w:val="left"/>
          <w:tab w:leader="none" w:pos="932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146050</wp:posOffset>
            </wp:positionV>
            <wp:extent cx="7089140" cy="6172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8914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0" w:lineRule="exact"/>
        <w:rPr>
          <w:sz w:val="20"/>
          <w:szCs w:val="20"/>
          <w:color w:val="auto"/>
        </w:rPr>
      </w:pPr>
    </w:p>
    <w:p>
      <w:pPr>
        <w:spacing w:after="0" w:line="358" w:lineRule="exact"/>
        <w:rPr>
          <w:sz w:val="20"/>
          <w:szCs w:val="20"/>
          <w:color w:val="auto"/>
        </w:rPr>
      </w:pPr>
    </w:p>
    <w:p>
      <w:pPr>
        <w:ind w:left="7"/>
        <w:spacing w:after="0"/>
        <w:rPr>
          <w:sz w:val="20"/>
          <w:szCs w:val="20"/>
          <w:color w:val="auto"/>
        </w:rPr>
      </w:pPr>
      <w:r>
        <w:rPr>
          <w:rFonts w:ascii="Arial" w:cs="Arial" w:eastAsia="Arial" w:hAnsi="Arial"/>
          <w:sz w:val="52"/>
          <w:szCs w:val="52"/>
          <w:b w:val="1"/>
          <w:bCs w:val="1"/>
          <w:color w:val="E93BAC"/>
        </w:rPr>
        <w:t xml:space="preserve">08 </w:t>
      </w:r>
      <w:r>
        <w:rPr>
          <w:rFonts w:ascii="Arial" w:cs="Arial" w:eastAsia="Arial" w:hAnsi="Arial"/>
          <w:sz w:val="32"/>
          <w:szCs w:val="32"/>
          <w:color w:val="E93B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57720" cy="1036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1036955"/>
                    </a:xfrm>
                    <a:prstGeom prst="rect">
                      <a:avLst/>
                    </a:prstGeom>
                    <a:noFill/>
                  </pic:spPr>
                </pic:pic>
              </a:graphicData>
            </a:graphic>
          </wp:anchor>
        </w:drawing>
      </w:r>
    </w:p>
    <w:p>
      <w:pPr>
        <w:spacing w:after="0" w:line="283" w:lineRule="exact"/>
        <w:rPr>
          <w:sz w:val="20"/>
          <w:szCs w:val="20"/>
          <w:color w:val="auto"/>
        </w:rPr>
      </w:pPr>
    </w:p>
    <w:p>
      <w:pPr>
        <w:jc w:val="both"/>
        <w:ind w:left="207" w:right="40"/>
        <w:spacing w:after="0" w:line="243" w:lineRule="auto"/>
        <w:rPr>
          <w:sz w:val="20"/>
          <w:szCs w:val="20"/>
          <w:color w:val="auto"/>
        </w:rPr>
      </w:pPr>
      <w:r>
        <w:rPr>
          <w:rFonts w:ascii="Arial" w:cs="Arial" w:eastAsia="Arial" w:hAnsi="Arial"/>
          <w:sz w:val="18"/>
          <w:szCs w:val="18"/>
          <w:color w:val="FFFFFF"/>
        </w:rPr>
        <w:t>Operating expenses rose 12.0% on a full-year basis, driven mainly by core businesses at BCP Stand-alone and innovation initiatives at the Credicorp level. Expenses for core business at BCP Stand-alone rose due to: (i) growth in expenses for salaries and employee benefits, which registered higher expenses due to an increase in headcount associated with key strategic projects; and (ii) an increase in administrative and general expenses, mainly at BCP Stand-alone, which was driven by an uptick in cloud use due to growth in transactions in Yape, and at Pacifico, after the 100% of the operations in the joint venture with Banmedica were consolidated. Expenses for initiatives in the innovation portfolio at Credicorp rose 18.4%.</w:t>
      </w:r>
    </w:p>
    <w:p>
      <w:pPr>
        <w:spacing w:after="0" w:line="200" w:lineRule="exact"/>
        <w:rPr>
          <w:sz w:val="20"/>
          <w:szCs w:val="20"/>
          <w:color w:val="auto"/>
        </w:rPr>
      </w:pPr>
    </w:p>
    <w:p>
      <w:pPr>
        <w:spacing w:after="0" w:line="32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Total Operating Expenses</w:t>
      </w:r>
    </w:p>
    <w:p>
      <w:pPr>
        <w:spacing w:after="0" w:line="203" w:lineRule="exact"/>
        <w:rPr>
          <w:sz w:val="20"/>
          <w:szCs w:val="20"/>
          <w:color w:val="auto"/>
        </w:rPr>
      </w:pPr>
    </w:p>
    <w:tbl>
      <w:tblPr>
        <w:tblLayout w:type="fixed"/>
        <w:tblInd w:w="17" w:type="dxa"/>
        <w:tblCellMar>
          <w:top w:w="0" w:type="dxa"/>
          <w:left w:w="0" w:type="dxa"/>
          <w:bottom w:w="0" w:type="dxa"/>
          <w:right w:w="0" w:type="dxa"/>
        </w:tblCellMar>
      </w:tblPr>
      <w:tr>
        <w:trPr>
          <w:trHeight w:val="143"/>
        </w:trPr>
        <w:tc>
          <w:tcPr>
            <w:tcW w:w="3380" w:type="dxa"/>
            <w:vAlign w:val="bottom"/>
            <w:tcBorders>
              <w:top w:val="single" w:sz="8" w:color="auto"/>
              <w:left w:val="single" w:sz="8" w:color="auto"/>
              <w:right w:val="single" w:sz="8" w:color="auto"/>
            </w:tcBorders>
            <w:shd w:val="clear" w:color="auto" w:fill="33CCCC"/>
          </w:tcPr>
          <w:p>
            <w:pPr>
              <w:spacing w:after="0" w:line="144" w:lineRule="exact"/>
              <w:rPr>
                <w:sz w:val="20"/>
                <w:szCs w:val="20"/>
                <w:color w:val="auto"/>
              </w:rPr>
            </w:pPr>
            <w:r>
              <w:rPr>
                <w:rFonts w:ascii="Arial" w:cs="Arial" w:eastAsia="Arial" w:hAnsi="Arial"/>
                <w:sz w:val="13"/>
                <w:szCs w:val="13"/>
                <w:b w:val="1"/>
                <w:bCs w:val="1"/>
                <w:color w:val="FFFFFF"/>
              </w:rPr>
              <w:t>Operating expenses</w:t>
            </w:r>
          </w:p>
        </w:tc>
        <w:tc>
          <w:tcPr>
            <w:tcW w:w="980" w:type="dxa"/>
            <w:vAlign w:val="bottom"/>
            <w:tcBorders>
              <w:top w:val="single" w:sz="8" w:color="auto"/>
            </w:tcBorders>
            <w:shd w:val="clear" w:color="auto" w:fill="33CCCC"/>
          </w:tcPr>
          <w:p>
            <w:pPr>
              <w:spacing w:after="0"/>
              <w:rPr>
                <w:sz w:val="12"/>
                <w:szCs w:val="12"/>
                <w:color w:val="auto"/>
              </w:rPr>
            </w:pPr>
          </w:p>
        </w:tc>
        <w:tc>
          <w:tcPr>
            <w:tcW w:w="1000" w:type="dxa"/>
            <w:vAlign w:val="bottom"/>
            <w:tcBorders>
              <w:top w:val="single" w:sz="8" w:color="auto"/>
            </w:tcBorders>
            <w:shd w:val="clear" w:color="auto" w:fill="33CCCC"/>
          </w:tcPr>
          <w:p>
            <w:pPr>
              <w:ind w:left="260"/>
              <w:spacing w:after="0" w:line="144" w:lineRule="exact"/>
              <w:rPr>
                <w:sz w:val="20"/>
                <w:szCs w:val="20"/>
                <w:color w:val="auto"/>
              </w:rPr>
            </w:pPr>
            <w:r>
              <w:rPr>
                <w:rFonts w:ascii="Arial" w:cs="Arial" w:eastAsia="Arial" w:hAnsi="Arial"/>
                <w:sz w:val="13"/>
                <w:szCs w:val="13"/>
                <w:b w:val="1"/>
                <w:bCs w:val="1"/>
                <w:color w:val="FFFFFF"/>
              </w:rPr>
              <w:t>Quarter</w:t>
            </w:r>
          </w:p>
        </w:tc>
        <w:tc>
          <w:tcPr>
            <w:tcW w:w="1020" w:type="dxa"/>
            <w:vAlign w:val="bottom"/>
            <w:tcBorders>
              <w:top w:val="single" w:sz="8" w:color="auto"/>
              <w:right w:val="single" w:sz="8" w:color="auto"/>
            </w:tcBorders>
            <w:shd w:val="clear" w:color="auto" w:fill="33CCCC"/>
          </w:tcPr>
          <w:p>
            <w:pPr>
              <w:spacing w:after="0"/>
              <w:rPr>
                <w:sz w:val="12"/>
                <w:szCs w:val="12"/>
                <w:color w:val="auto"/>
              </w:rPr>
            </w:pPr>
          </w:p>
        </w:tc>
        <w:tc>
          <w:tcPr>
            <w:tcW w:w="1520" w:type="dxa"/>
            <w:vAlign w:val="bottom"/>
            <w:tcBorders>
              <w:top w:val="single" w:sz="8" w:color="auto"/>
              <w:right w:val="single" w:sz="8" w:color="auto"/>
            </w:tcBorders>
            <w:gridSpan w:val="2"/>
            <w:shd w:val="clear" w:color="auto" w:fill="33CCCC"/>
          </w:tcPr>
          <w:p>
            <w:pPr>
              <w:ind w:left="420"/>
              <w:spacing w:after="0" w:line="144" w:lineRule="exact"/>
              <w:rPr>
                <w:sz w:val="20"/>
                <w:szCs w:val="20"/>
                <w:color w:val="auto"/>
              </w:rPr>
            </w:pPr>
            <w:r>
              <w:rPr>
                <w:rFonts w:ascii="Arial" w:cs="Arial" w:eastAsia="Arial" w:hAnsi="Arial"/>
                <w:sz w:val="13"/>
                <w:szCs w:val="13"/>
                <w:b w:val="1"/>
                <w:bCs w:val="1"/>
                <w:color w:val="FFFFFF"/>
              </w:rPr>
              <w:t>% change</w:t>
            </w:r>
          </w:p>
        </w:tc>
        <w:tc>
          <w:tcPr>
            <w:tcW w:w="820" w:type="dxa"/>
            <w:vAlign w:val="bottom"/>
            <w:tcBorders>
              <w:top w:val="single" w:sz="8" w:color="auto"/>
            </w:tcBorders>
            <w:shd w:val="clear" w:color="auto" w:fill="33CCCC"/>
          </w:tcPr>
          <w:p>
            <w:pPr>
              <w:spacing w:after="0"/>
              <w:rPr>
                <w:sz w:val="12"/>
                <w:szCs w:val="12"/>
                <w:color w:val="auto"/>
              </w:rPr>
            </w:pPr>
          </w:p>
        </w:tc>
        <w:tc>
          <w:tcPr>
            <w:tcW w:w="1280" w:type="dxa"/>
            <w:vAlign w:val="bottom"/>
            <w:tcBorders>
              <w:top w:val="single" w:sz="8" w:color="auto"/>
              <w:right w:val="single" w:sz="8" w:color="auto"/>
            </w:tcBorders>
            <w:shd w:val="clear" w:color="auto" w:fill="33CCCC"/>
          </w:tcPr>
          <w:p>
            <w:pPr>
              <w:ind w:left="40"/>
              <w:spacing w:after="0" w:line="144" w:lineRule="exact"/>
              <w:rPr>
                <w:sz w:val="20"/>
                <w:szCs w:val="20"/>
                <w:color w:val="auto"/>
              </w:rPr>
            </w:pPr>
            <w:r>
              <w:rPr>
                <w:rFonts w:ascii="Arial" w:cs="Arial" w:eastAsia="Arial" w:hAnsi="Arial"/>
                <w:sz w:val="13"/>
                <w:szCs w:val="13"/>
                <w:b w:val="1"/>
                <w:bCs w:val="1"/>
                <w:color w:val="FFFFFF"/>
              </w:rPr>
              <w:t>Up to</w:t>
            </w:r>
          </w:p>
        </w:tc>
        <w:tc>
          <w:tcPr>
            <w:tcW w:w="1280" w:type="dxa"/>
            <w:vAlign w:val="bottom"/>
            <w:tcBorders>
              <w:top w:val="single" w:sz="8" w:color="auto"/>
              <w:right w:val="single" w:sz="8" w:color="auto"/>
            </w:tcBorders>
            <w:shd w:val="clear" w:color="auto" w:fill="33CCCC"/>
          </w:tcPr>
          <w:p>
            <w:pPr>
              <w:jc w:val="center"/>
              <w:spacing w:after="0" w:line="144" w:lineRule="exact"/>
              <w:rPr>
                <w:sz w:val="20"/>
                <w:szCs w:val="20"/>
                <w:color w:val="auto"/>
              </w:rPr>
            </w:pPr>
            <w:r>
              <w:rPr>
                <w:rFonts w:ascii="Arial" w:cs="Arial" w:eastAsia="Arial" w:hAnsi="Arial"/>
                <w:sz w:val="13"/>
                <w:szCs w:val="13"/>
                <w:b w:val="1"/>
                <w:bCs w:val="1"/>
                <w:color w:val="FFFFFF"/>
              </w:rPr>
              <w:t>% change</w:t>
            </w:r>
          </w:p>
        </w:tc>
      </w:tr>
      <w:tr>
        <w:trPr>
          <w:trHeight w:val="167"/>
        </w:trPr>
        <w:tc>
          <w:tcPr>
            <w:tcW w:w="338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S/000</w:t>
            </w:r>
          </w:p>
        </w:tc>
        <w:tc>
          <w:tcPr>
            <w:tcW w:w="9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4Q25</w:t>
            </w:r>
          </w:p>
        </w:tc>
        <w:tc>
          <w:tcPr>
            <w:tcW w:w="70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3"/>
                <w:szCs w:val="13"/>
                <w:b w:val="1"/>
                <w:bCs w:val="1"/>
                <w:color w:val="FFFFFF"/>
              </w:rPr>
              <w:t>QoQ</w:t>
            </w:r>
          </w:p>
        </w:tc>
        <w:tc>
          <w:tcPr>
            <w:tcW w:w="820" w:type="dxa"/>
            <w:vAlign w:val="bottom"/>
            <w:tcBorders>
              <w:bottom w:val="single" w:sz="8" w:color="auto"/>
              <w:right w:val="single" w:sz="8" w:color="auto"/>
            </w:tcBorders>
            <w:shd w:val="clear" w:color="auto" w:fill="33CCCC"/>
          </w:tcPr>
          <w:p>
            <w:pPr>
              <w:ind w:left="260"/>
              <w:spacing w:after="0"/>
              <w:rPr>
                <w:sz w:val="20"/>
                <w:szCs w:val="20"/>
                <w:color w:val="auto"/>
              </w:rPr>
            </w:pPr>
            <w:r>
              <w:rPr>
                <w:rFonts w:ascii="Arial" w:cs="Arial" w:eastAsia="Arial" w:hAnsi="Arial"/>
                <w:sz w:val="13"/>
                <w:szCs w:val="13"/>
                <w:b w:val="1"/>
                <w:bCs w:val="1"/>
                <w:color w:val="FFFFFF"/>
              </w:rPr>
              <w:t>YoY</w:t>
            </w:r>
          </w:p>
        </w:tc>
        <w:tc>
          <w:tcPr>
            <w:tcW w:w="82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Dec 24</w:t>
            </w:r>
          </w:p>
        </w:tc>
        <w:tc>
          <w:tcPr>
            <w:tcW w:w="1280" w:type="dxa"/>
            <w:vAlign w:val="bottom"/>
            <w:tcBorders>
              <w:bottom w:val="single" w:sz="8" w:color="auto"/>
              <w:right w:val="single" w:sz="8" w:color="auto"/>
            </w:tcBorders>
            <w:shd w:val="clear" w:color="auto" w:fill="33CCCC"/>
          </w:tcPr>
          <w:p>
            <w:pPr>
              <w:ind w:left="500"/>
              <w:spacing w:after="0"/>
              <w:rPr>
                <w:sz w:val="20"/>
                <w:szCs w:val="20"/>
                <w:color w:val="auto"/>
              </w:rPr>
            </w:pPr>
            <w:r>
              <w:rPr>
                <w:rFonts w:ascii="Arial" w:cs="Arial" w:eastAsia="Arial" w:hAnsi="Arial"/>
                <w:sz w:val="13"/>
                <w:szCs w:val="13"/>
                <w:b w:val="1"/>
                <w:bCs w:val="1"/>
                <w:color w:val="FFFFFF"/>
              </w:rPr>
              <w:t>Dec 25</w:t>
            </w:r>
          </w:p>
        </w:tc>
        <w:tc>
          <w:tcPr>
            <w:tcW w:w="12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Dec 25 / Dec 24</w:t>
            </w:r>
          </w:p>
        </w:tc>
      </w:tr>
      <w:tr>
        <w:trPr>
          <w:trHeight w:val="125"/>
        </w:trPr>
        <w:tc>
          <w:tcPr>
            <w:tcW w:w="3380" w:type="dxa"/>
            <w:vAlign w:val="bottom"/>
            <w:tcBorders>
              <w:left w:val="single" w:sz="8" w:color="auto"/>
              <w:right w:val="single" w:sz="8" w:color="auto"/>
            </w:tcBorders>
          </w:tcPr>
          <w:p>
            <w:pPr>
              <w:spacing w:after="0" w:line="126" w:lineRule="exact"/>
              <w:rPr>
                <w:sz w:val="20"/>
                <w:szCs w:val="20"/>
                <w:color w:val="auto"/>
              </w:rPr>
            </w:pPr>
            <w:r>
              <w:rPr>
                <w:rFonts w:ascii="Arial" w:cs="Arial" w:eastAsia="Arial" w:hAnsi="Arial"/>
                <w:sz w:val="13"/>
                <w:szCs w:val="13"/>
                <w:color w:val="auto"/>
              </w:rPr>
              <w:t>Salaries and employees benefits</w:t>
            </w:r>
          </w:p>
        </w:tc>
        <w:tc>
          <w:tcPr>
            <w:tcW w:w="980" w:type="dxa"/>
            <w:vAlign w:val="bottom"/>
          </w:tcPr>
          <w:p>
            <w:pPr>
              <w:jc w:val="center"/>
              <w:spacing w:after="0" w:line="126" w:lineRule="exact"/>
              <w:rPr>
                <w:sz w:val="20"/>
                <w:szCs w:val="20"/>
                <w:color w:val="auto"/>
              </w:rPr>
            </w:pPr>
            <w:r>
              <w:rPr>
                <w:rFonts w:ascii="Arial" w:cs="Arial" w:eastAsia="Arial" w:hAnsi="Arial"/>
                <w:sz w:val="13"/>
                <w:szCs w:val="13"/>
                <w:color w:val="auto"/>
              </w:rPr>
              <w:t>1,271,578</w:t>
            </w:r>
          </w:p>
        </w:tc>
        <w:tc>
          <w:tcPr>
            <w:tcW w:w="1000" w:type="dxa"/>
            <w:vAlign w:val="bottom"/>
          </w:tcPr>
          <w:p>
            <w:pPr>
              <w:jc w:val="center"/>
              <w:spacing w:after="0" w:line="126" w:lineRule="exact"/>
              <w:rPr>
                <w:sz w:val="20"/>
                <w:szCs w:val="20"/>
                <w:color w:val="auto"/>
              </w:rPr>
            </w:pPr>
            <w:r>
              <w:rPr>
                <w:rFonts w:ascii="Arial" w:cs="Arial" w:eastAsia="Arial" w:hAnsi="Arial"/>
                <w:sz w:val="13"/>
                <w:szCs w:val="13"/>
                <w:color w:val="auto"/>
              </w:rPr>
              <w:t>1,341,137</w:t>
            </w:r>
          </w:p>
        </w:tc>
        <w:tc>
          <w:tcPr>
            <w:tcW w:w="10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1,428,178</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auto"/>
              </w:rPr>
              <w:t>6.5%</w:t>
            </w:r>
          </w:p>
        </w:tc>
        <w:tc>
          <w:tcPr>
            <w:tcW w:w="8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12.3%</w:t>
            </w:r>
          </w:p>
        </w:tc>
        <w:tc>
          <w:tcPr>
            <w:tcW w:w="820" w:type="dxa"/>
            <w:vAlign w:val="bottom"/>
          </w:tcPr>
          <w:p>
            <w:pPr>
              <w:jc w:val="center"/>
              <w:ind w:left="73"/>
              <w:spacing w:after="0" w:line="126" w:lineRule="exact"/>
              <w:rPr>
                <w:sz w:val="20"/>
                <w:szCs w:val="20"/>
                <w:color w:val="auto"/>
              </w:rPr>
            </w:pPr>
            <w:r>
              <w:rPr>
                <w:rFonts w:ascii="Arial" w:cs="Arial" w:eastAsia="Arial" w:hAnsi="Arial"/>
                <w:sz w:val="13"/>
                <w:szCs w:val="13"/>
                <w:color w:val="auto"/>
              </w:rPr>
              <w:t>4,676,436</w:t>
            </w:r>
          </w:p>
        </w:tc>
        <w:tc>
          <w:tcPr>
            <w:tcW w:w="1280" w:type="dxa"/>
            <w:vAlign w:val="bottom"/>
            <w:tcBorders>
              <w:right w:val="single" w:sz="8" w:color="auto"/>
            </w:tcBorders>
          </w:tcPr>
          <w:p>
            <w:pPr>
              <w:jc w:val="center"/>
              <w:ind w:left="93"/>
              <w:spacing w:after="0" w:line="126" w:lineRule="exact"/>
              <w:rPr>
                <w:sz w:val="20"/>
                <w:szCs w:val="20"/>
                <w:color w:val="auto"/>
              </w:rPr>
            </w:pPr>
            <w:r>
              <w:rPr>
                <w:rFonts w:ascii="Arial" w:cs="Arial" w:eastAsia="Arial" w:hAnsi="Arial"/>
                <w:sz w:val="13"/>
                <w:szCs w:val="13"/>
                <w:color w:val="auto"/>
              </w:rPr>
              <w:t>5,435,471</w:t>
            </w:r>
          </w:p>
        </w:tc>
        <w:tc>
          <w:tcPr>
            <w:tcW w:w="12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16.2%</w:t>
            </w:r>
          </w:p>
        </w:tc>
      </w:tr>
      <w:tr>
        <w:trPr>
          <w:trHeight w:val="148"/>
        </w:trPr>
        <w:tc>
          <w:tcPr>
            <w:tcW w:w="33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Administrative and general expenses</w:t>
            </w:r>
          </w:p>
        </w:tc>
        <w:tc>
          <w:tcPr>
            <w:tcW w:w="980" w:type="dxa"/>
            <w:vAlign w:val="bottom"/>
          </w:tcPr>
          <w:p>
            <w:pPr>
              <w:jc w:val="center"/>
              <w:spacing w:after="0"/>
              <w:rPr>
                <w:sz w:val="20"/>
                <w:szCs w:val="20"/>
                <w:color w:val="auto"/>
              </w:rPr>
            </w:pPr>
            <w:r>
              <w:rPr>
                <w:rFonts w:ascii="Arial" w:cs="Arial" w:eastAsia="Arial" w:hAnsi="Arial"/>
                <w:sz w:val="13"/>
                <w:szCs w:val="13"/>
                <w:color w:val="auto"/>
              </w:rPr>
              <w:t>1,150,867</w:t>
            </w:r>
          </w:p>
        </w:tc>
        <w:tc>
          <w:tcPr>
            <w:tcW w:w="1000" w:type="dxa"/>
            <w:vAlign w:val="bottom"/>
          </w:tcPr>
          <w:p>
            <w:pPr>
              <w:jc w:val="center"/>
              <w:spacing w:after="0"/>
              <w:rPr>
                <w:sz w:val="20"/>
                <w:szCs w:val="20"/>
                <w:color w:val="auto"/>
              </w:rPr>
            </w:pPr>
            <w:r>
              <w:rPr>
                <w:rFonts w:ascii="Arial" w:cs="Arial" w:eastAsia="Arial" w:hAnsi="Arial"/>
                <w:sz w:val="13"/>
                <w:szCs w:val="13"/>
                <w:color w:val="auto"/>
              </w:rPr>
              <w:t>1,068,459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1,186,497</w:t>
            </w:r>
          </w:p>
        </w:tc>
        <w:tc>
          <w:tcPr>
            <w:tcW w:w="700" w:type="dxa"/>
            <w:vAlign w:val="bottom"/>
          </w:tcPr>
          <w:p>
            <w:pPr>
              <w:jc w:val="center"/>
              <w:spacing w:after="0"/>
              <w:rPr>
                <w:sz w:val="20"/>
                <w:szCs w:val="20"/>
                <w:color w:val="auto"/>
              </w:rPr>
            </w:pPr>
            <w:r>
              <w:rPr>
                <w:rFonts w:ascii="Arial" w:cs="Arial" w:eastAsia="Arial" w:hAnsi="Arial"/>
                <w:sz w:val="13"/>
                <w:szCs w:val="13"/>
                <w:color w:val="auto"/>
                <w:w w:val="97"/>
              </w:rPr>
              <w:t>11.0%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w:t>
            </w:r>
          </w:p>
        </w:tc>
        <w:tc>
          <w:tcPr>
            <w:tcW w:w="820" w:type="dxa"/>
            <w:vAlign w:val="bottom"/>
          </w:tcPr>
          <w:p>
            <w:pPr>
              <w:jc w:val="center"/>
              <w:ind w:left="73"/>
              <w:spacing w:after="0"/>
              <w:rPr>
                <w:sz w:val="20"/>
                <w:szCs w:val="20"/>
                <w:color w:val="auto"/>
              </w:rPr>
            </w:pPr>
            <w:r>
              <w:rPr>
                <w:rFonts w:ascii="Arial" w:cs="Arial" w:eastAsia="Arial" w:hAnsi="Arial"/>
                <w:sz w:val="13"/>
                <w:szCs w:val="13"/>
                <w:color w:val="auto"/>
              </w:rPr>
              <w:t>3,891,622</w:t>
            </w:r>
          </w:p>
        </w:tc>
        <w:tc>
          <w:tcPr>
            <w:tcW w:w="1280" w:type="dxa"/>
            <w:vAlign w:val="bottom"/>
            <w:tcBorders>
              <w:right w:val="single" w:sz="8" w:color="auto"/>
            </w:tcBorders>
          </w:tcPr>
          <w:p>
            <w:pPr>
              <w:jc w:val="center"/>
              <w:ind w:left="93"/>
              <w:spacing w:after="0"/>
              <w:rPr>
                <w:sz w:val="20"/>
                <w:szCs w:val="20"/>
                <w:color w:val="auto"/>
              </w:rPr>
            </w:pPr>
            <w:r>
              <w:rPr>
                <w:rFonts w:ascii="Arial" w:cs="Arial" w:eastAsia="Arial" w:hAnsi="Arial"/>
                <w:sz w:val="13"/>
                <w:szCs w:val="13"/>
                <w:color w:val="auto"/>
              </w:rPr>
              <w:t>4,090,784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5.1%</w:t>
            </w:r>
          </w:p>
        </w:tc>
      </w:tr>
      <w:tr>
        <w:trPr>
          <w:trHeight w:val="148"/>
        </w:trPr>
        <w:tc>
          <w:tcPr>
            <w:tcW w:w="33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jc w:val="center"/>
              <w:spacing w:after="0"/>
              <w:rPr>
                <w:sz w:val="20"/>
                <w:szCs w:val="20"/>
                <w:color w:val="auto"/>
              </w:rPr>
            </w:pPr>
            <w:r>
              <w:rPr>
                <w:rFonts w:ascii="Arial" w:cs="Arial" w:eastAsia="Arial" w:hAnsi="Arial"/>
                <w:sz w:val="13"/>
                <w:szCs w:val="13"/>
                <w:color w:val="auto"/>
              </w:rPr>
              <w:t>186,625</w:t>
            </w:r>
          </w:p>
        </w:tc>
        <w:tc>
          <w:tcPr>
            <w:tcW w:w="1000" w:type="dxa"/>
            <w:vAlign w:val="bottom"/>
          </w:tcPr>
          <w:p>
            <w:pPr>
              <w:jc w:val="center"/>
              <w:spacing w:after="0"/>
              <w:rPr>
                <w:sz w:val="20"/>
                <w:szCs w:val="20"/>
                <w:color w:val="auto"/>
              </w:rPr>
            </w:pPr>
            <w:r>
              <w:rPr>
                <w:rFonts w:ascii="Arial" w:cs="Arial" w:eastAsia="Arial" w:hAnsi="Arial"/>
                <w:sz w:val="13"/>
                <w:szCs w:val="13"/>
                <w:color w:val="auto"/>
              </w:rPr>
              <w:t>219,800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256,914</w:t>
            </w:r>
          </w:p>
        </w:tc>
        <w:tc>
          <w:tcPr>
            <w:tcW w:w="700" w:type="dxa"/>
            <w:vAlign w:val="bottom"/>
          </w:tcPr>
          <w:p>
            <w:pPr>
              <w:jc w:val="center"/>
              <w:spacing w:after="0"/>
              <w:rPr>
                <w:sz w:val="20"/>
                <w:szCs w:val="20"/>
                <w:color w:val="auto"/>
              </w:rPr>
            </w:pPr>
            <w:r>
              <w:rPr>
                <w:rFonts w:ascii="Arial" w:cs="Arial" w:eastAsia="Arial" w:hAnsi="Arial"/>
                <w:sz w:val="13"/>
                <w:szCs w:val="13"/>
                <w:color w:val="auto"/>
              </w:rPr>
              <w:t>16.9%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37.7%</w:t>
            </w:r>
          </w:p>
        </w:tc>
        <w:tc>
          <w:tcPr>
            <w:tcW w:w="820" w:type="dxa"/>
            <w:vAlign w:val="bottom"/>
          </w:tcPr>
          <w:p>
            <w:pPr>
              <w:jc w:val="center"/>
              <w:ind w:left="93"/>
              <w:spacing w:after="0"/>
              <w:rPr>
                <w:sz w:val="20"/>
                <w:szCs w:val="20"/>
                <w:color w:val="auto"/>
              </w:rPr>
            </w:pPr>
            <w:r>
              <w:rPr>
                <w:rFonts w:ascii="Arial" w:cs="Arial" w:eastAsia="Arial" w:hAnsi="Arial"/>
                <w:sz w:val="13"/>
                <w:szCs w:val="13"/>
                <w:color w:val="auto"/>
              </w:rPr>
              <w:t>713,470</w:t>
            </w:r>
          </w:p>
        </w:tc>
        <w:tc>
          <w:tcPr>
            <w:tcW w:w="12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893,142</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25.2%</w:t>
            </w:r>
          </w:p>
        </w:tc>
      </w:tr>
      <w:tr>
        <w:trPr>
          <w:trHeight w:val="165"/>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Association in participation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3,808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120</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84.6%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-96.8%</w:t>
            </w:r>
          </w:p>
        </w:tc>
        <w:tc>
          <w:tcPr>
            <w:tcW w:w="82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color w:val="auto"/>
              </w:rPr>
              <w:t>28,269</w:t>
            </w:r>
          </w:p>
        </w:tc>
        <w:tc>
          <w:tcPr>
            <w:tcW w:w="128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3"/>
                <w:szCs w:val="13"/>
                <w:color w:val="auto"/>
              </w:rPr>
              <w:t>7,355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-74.0%</w:t>
            </w:r>
          </w:p>
        </w:tc>
      </w:tr>
      <w:tr>
        <w:trPr>
          <w:trHeight w:val="142"/>
        </w:trPr>
        <w:tc>
          <w:tcPr>
            <w:tcW w:w="33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1"/>
                <w:szCs w:val="11"/>
                <w:b w:val="1"/>
                <w:bCs w:val="1"/>
                <w:color w:val="auto"/>
              </w:rPr>
              <w:t xml:space="preserve">Operating expenses </w:t>
            </w:r>
            <w:r>
              <w:rPr>
                <w:rFonts w:ascii="Arial" w:cs="Arial" w:eastAsia="Arial" w:hAnsi="Arial"/>
                <w:sz w:val="16"/>
                <w:szCs w:val="16"/>
                <w:b w:val="1"/>
                <w:bCs w:val="1"/>
                <w:color w:val="auto"/>
                <w:vertAlign w:val="superscript"/>
              </w:rPr>
              <w:t>(1)</w:t>
            </w: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2,612,878</w:t>
            </w: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2,629,461</w:t>
            </w:r>
          </w:p>
        </w:tc>
        <w:tc>
          <w:tcPr>
            <w:tcW w:w="10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2,871,709</w:t>
            </w: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9.2%</w:t>
            </w:r>
          </w:p>
        </w:tc>
        <w:tc>
          <w:tcPr>
            <w:tcW w:w="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9.9%</w:t>
            </w:r>
          </w:p>
        </w:tc>
        <w:tc>
          <w:tcPr>
            <w:tcW w:w="820" w:type="dxa"/>
            <w:vAlign w:val="bottom"/>
            <w:tcBorders>
              <w:bottom w:val="single" w:sz="8" w:color="auto"/>
            </w:tcBorders>
          </w:tcPr>
          <w:p>
            <w:pPr>
              <w:jc w:val="center"/>
              <w:ind w:left="73"/>
              <w:spacing w:after="0" w:line="142" w:lineRule="exact"/>
              <w:rPr>
                <w:sz w:val="20"/>
                <w:szCs w:val="20"/>
                <w:color w:val="auto"/>
              </w:rPr>
            </w:pPr>
            <w:r>
              <w:rPr>
                <w:rFonts w:ascii="Arial" w:cs="Arial" w:eastAsia="Arial" w:hAnsi="Arial"/>
                <w:sz w:val="13"/>
                <w:szCs w:val="13"/>
                <w:b w:val="1"/>
                <w:bCs w:val="1"/>
                <w:color w:val="auto"/>
              </w:rPr>
              <w:t>9,309,797</w:t>
            </w:r>
          </w:p>
        </w:tc>
        <w:tc>
          <w:tcPr>
            <w:tcW w:w="1280" w:type="dxa"/>
            <w:vAlign w:val="bottom"/>
            <w:tcBorders>
              <w:bottom w:val="single" w:sz="8" w:color="auto"/>
              <w:right w:val="single" w:sz="8" w:color="auto"/>
            </w:tcBorders>
          </w:tcPr>
          <w:p>
            <w:pPr>
              <w:jc w:val="center"/>
              <w:ind w:left="73"/>
              <w:spacing w:after="0" w:line="142" w:lineRule="exact"/>
              <w:rPr>
                <w:sz w:val="20"/>
                <w:szCs w:val="20"/>
                <w:color w:val="auto"/>
              </w:rPr>
            </w:pPr>
            <w:r>
              <w:rPr>
                <w:rFonts w:ascii="Arial" w:cs="Arial" w:eastAsia="Arial" w:hAnsi="Arial"/>
                <w:sz w:val="13"/>
                <w:szCs w:val="13"/>
                <w:b w:val="1"/>
                <w:bCs w:val="1"/>
                <w:color w:val="auto"/>
              </w:rPr>
              <w:t>10,426,752</w:t>
            </w:r>
          </w:p>
        </w:tc>
        <w:tc>
          <w:tcPr>
            <w:tcW w:w="12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12.0%</w:t>
            </w:r>
          </w:p>
        </w:tc>
      </w:tr>
    </w:tbl>
    <w:p>
      <w:pPr>
        <w:spacing w:after="0" w:line="193"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analyze expenses, we will focus on YTD movements to eliminate seasonal effects between quarters.</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8"/>
          <w:szCs w:val="18"/>
          <w:color w:val="auto"/>
        </w:rPr>
        <w:t>YTD, Operating Expenses rose 12.0%, driven primarily by:</w:t>
      </w:r>
    </w:p>
    <w:p>
      <w:pPr>
        <w:spacing w:after="0" w:line="198" w:lineRule="exact"/>
        <w:rPr>
          <w:sz w:val="20"/>
          <w:szCs w:val="20"/>
          <w:color w:val="auto"/>
        </w:rPr>
      </w:pPr>
    </w:p>
    <w:p>
      <w:pPr>
        <w:jc w:val="both"/>
        <w:ind w:left="327" w:hanging="327"/>
        <w:spacing w:after="0" w:line="243" w:lineRule="auto"/>
        <w:tabs>
          <w:tab w:leader="none" w:pos="3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in Salaries and Employee Benefits, which was fueled mainly by (i) BCP Stand-alone, which reported an increase in expenses for new hires, mainly for new projects related to commercial, and technological and transactional capabilities development, and (ii) Pacífico, which reported an uptick in compensation.</w:t>
      </w:r>
    </w:p>
    <w:p>
      <w:pPr>
        <w:jc w:val="both"/>
        <w:ind w:left="327" w:hanging="327"/>
        <w:spacing w:after="0" w:line="239" w:lineRule="auto"/>
        <w:tabs>
          <w:tab w:leader="none" w:pos="3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Growth in Administrative and General Expenses was driven by BCP Stand-alone and Pacifico. At BCP Stand-alone, the transactions volume rose through Yape, which generated an increase in expenses for infrastructure use in the cloud and for other services related to IT. At Pacifico, higher expenses were mainly driven by a change in the consolidation perimeter after Credicorp’s acquisition of 50% of Empresas Banmedica’s shares in the joint venture with Pacífico Compañía de Seguros y Reaseguros S.A., which was effective as of March 2025.</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Administrative and General Expenses</w:t>
      </w:r>
    </w:p>
    <w:p>
      <w:pPr>
        <w:spacing w:after="0" w:line="203" w:lineRule="exact"/>
        <w:rPr>
          <w:sz w:val="20"/>
          <w:szCs w:val="20"/>
          <w:color w:val="auto"/>
        </w:rPr>
      </w:pPr>
    </w:p>
    <w:tbl>
      <w:tblPr>
        <w:tblLayout w:type="fixed"/>
        <w:tblInd w:w="17" w:type="dxa"/>
        <w:tblCellMar>
          <w:top w:w="0" w:type="dxa"/>
          <w:left w:w="0" w:type="dxa"/>
          <w:bottom w:w="0" w:type="dxa"/>
          <w:right w:w="0" w:type="dxa"/>
        </w:tblCellMar>
      </w:tblPr>
      <w:tr>
        <w:trPr>
          <w:trHeight w:val="143"/>
        </w:trPr>
        <w:tc>
          <w:tcPr>
            <w:tcW w:w="4260" w:type="dxa"/>
            <w:vAlign w:val="bottom"/>
            <w:tcBorders>
              <w:top w:val="single" w:sz="8" w:color="auto"/>
              <w:left w:val="single" w:sz="8" w:color="auto"/>
              <w:right w:val="single" w:sz="8" w:color="auto"/>
            </w:tcBorders>
            <w:shd w:val="clear" w:color="auto" w:fill="33CCCC"/>
          </w:tcPr>
          <w:p>
            <w:pPr>
              <w:spacing w:after="0" w:line="144" w:lineRule="exact"/>
              <w:rPr>
                <w:sz w:val="20"/>
                <w:szCs w:val="20"/>
                <w:color w:val="auto"/>
              </w:rPr>
            </w:pPr>
            <w:r>
              <w:rPr>
                <w:rFonts w:ascii="Arial" w:cs="Arial" w:eastAsia="Arial" w:hAnsi="Arial"/>
                <w:sz w:val="13"/>
                <w:szCs w:val="13"/>
                <w:b w:val="1"/>
                <w:bCs w:val="1"/>
                <w:color w:val="FFFFFF"/>
              </w:rPr>
              <w:t>Administrative and General Expenses</w:t>
            </w:r>
          </w:p>
        </w:tc>
        <w:tc>
          <w:tcPr>
            <w:tcW w:w="860" w:type="dxa"/>
            <w:vAlign w:val="bottom"/>
            <w:tcBorders>
              <w:top w:val="single" w:sz="8" w:color="auto"/>
            </w:tcBorders>
            <w:shd w:val="clear" w:color="auto" w:fill="33CCCC"/>
          </w:tcPr>
          <w:p>
            <w:pPr>
              <w:spacing w:after="0"/>
              <w:rPr>
                <w:sz w:val="12"/>
                <w:szCs w:val="12"/>
                <w:color w:val="auto"/>
              </w:rPr>
            </w:pPr>
          </w:p>
        </w:tc>
        <w:tc>
          <w:tcPr>
            <w:tcW w:w="900" w:type="dxa"/>
            <w:vAlign w:val="bottom"/>
            <w:tcBorders>
              <w:top w:val="single" w:sz="8" w:color="auto"/>
            </w:tcBorders>
            <w:shd w:val="clear" w:color="auto" w:fill="33CCCC"/>
          </w:tcPr>
          <w:p>
            <w:pPr>
              <w:ind w:left="200"/>
              <w:spacing w:after="0" w:line="144" w:lineRule="exact"/>
              <w:rPr>
                <w:sz w:val="20"/>
                <w:szCs w:val="20"/>
                <w:color w:val="auto"/>
              </w:rPr>
            </w:pPr>
            <w:r>
              <w:rPr>
                <w:rFonts w:ascii="Arial" w:cs="Arial" w:eastAsia="Arial" w:hAnsi="Arial"/>
                <w:sz w:val="13"/>
                <w:szCs w:val="13"/>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2"/>
                <w:szCs w:val="12"/>
                <w:color w:val="auto"/>
              </w:rPr>
            </w:pPr>
          </w:p>
        </w:tc>
        <w:tc>
          <w:tcPr>
            <w:tcW w:w="1580" w:type="dxa"/>
            <w:vAlign w:val="bottom"/>
            <w:tcBorders>
              <w:top w:val="single" w:sz="8" w:color="auto"/>
              <w:right w:val="single" w:sz="8" w:color="auto"/>
            </w:tcBorders>
            <w:gridSpan w:val="2"/>
            <w:shd w:val="clear" w:color="auto" w:fill="33CCCC"/>
          </w:tcPr>
          <w:p>
            <w:pPr>
              <w:ind w:left="460"/>
              <w:spacing w:after="0" w:line="144" w:lineRule="exact"/>
              <w:rPr>
                <w:sz w:val="20"/>
                <w:szCs w:val="20"/>
                <w:color w:val="auto"/>
              </w:rPr>
            </w:pPr>
            <w:r>
              <w:rPr>
                <w:rFonts w:ascii="Arial" w:cs="Arial" w:eastAsia="Arial" w:hAnsi="Arial"/>
                <w:sz w:val="13"/>
                <w:szCs w:val="13"/>
                <w:b w:val="1"/>
                <w:bCs w:val="1"/>
                <w:color w:val="FFFFFF"/>
              </w:rPr>
              <w:t>% change</w:t>
            </w:r>
          </w:p>
        </w:tc>
        <w:tc>
          <w:tcPr>
            <w:tcW w:w="1780" w:type="dxa"/>
            <w:vAlign w:val="bottom"/>
            <w:tcBorders>
              <w:top w:val="single" w:sz="8" w:color="auto"/>
              <w:right w:val="single" w:sz="8" w:color="auto"/>
            </w:tcBorders>
            <w:gridSpan w:val="2"/>
            <w:shd w:val="clear" w:color="auto" w:fill="33CCCC"/>
          </w:tcPr>
          <w:p>
            <w:pPr>
              <w:ind w:left="700"/>
              <w:spacing w:after="0" w:line="144" w:lineRule="exact"/>
              <w:rPr>
                <w:sz w:val="20"/>
                <w:szCs w:val="20"/>
                <w:color w:val="auto"/>
              </w:rPr>
            </w:pPr>
            <w:r>
              <w:rPr>
                <w:rFonts w:ascii="Arial" w:cs="Arial" w:eastAsia="Arial" w:hAnsi="Arial"/>
                <w:sz w:val="13"/>
                <w:szCs w:val="13"/>
                <w:b w:val="1"/>
                <w:bCs w:val="1"/>
                <w:color w:val="FFFFFF"/>
              </w:rPr>
              <w:t>Up to</w:t>
            </w:r>
          </w:p>
        </w:tc>
        <w:tc>
          <w:tcPr>
            <w:tcW w:w="1000" w:type="dxa"/>
            <w:vAlign w:val="bottom"/>
            <w:tcBorders>
              <w:top w:val="single" w:sz="8" w:color="auto"/>
              <w:right w:val="single" w:sz="8" w:color="auto"/>
            </w:tcBorders>
            <w:shd w:val="clear" w:color="auto" w:fill="33CCCC"/>
          </w:tcPr>
          <w:p>
            <w:pPr>
              <w:jc w:val="center"/>
              <w:spacing w:after="0" w:line="144" w:lineRule="exact"/>
              <w:rPr>
                <w:sz w:val="20"/>
                <w:szCs w:val="20"/>
                <w:color w:val="auto"/>
              </w:rPr>
            </w:pPr>
            <w:r>
              <w:rPr>
                <w:rFonts w:ascii="Arial" w:cs="Arial" w:eastAsia="Arial" w:hAnsi="Arial"/>
                <w:sz w:val="13"/>
                <w:szCs w:val="13"/>
                <w:b w:val="1"/>
                <w:bCs w:val="1"/>
                <w:color w:val="FFFFFF"/>
              </w:rPr>
              <w:t>% change</w:t>
            </w:r>
          </w:p>
        </w:tc>
      </w:tr>
      <w:tr>
        <w:trPr>
          <w:trHeight w:val="167"/>
        </w:trPr>
        <w:tc>
          <w:tcPr>
            <w:tcW w:w="426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S/000</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9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c>
          <w:tcPr>
            <w:tcW w:w="9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4Q25</w:t>
            </w:r>
          </w:p>
        </w:tc>
        <w:tc>
          <w:tcPr>
            <w:tcW w:w="780" w:type="dxa"/>
            <w:vAlign w:val="bottom"/>
            <w:tcBorders>
              <w:bottom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QoQ</w:t>
            </w:r>
          </w:p>
        </w:tc>
        <w:tc>
          <w:tcPr>
            <w:tcW w:w="800" w:type="dxa"/>
            <w:vAlign w:val="bottom"/>
            <w:tcBorders>
              <w:bottom w:val="single" w:sz="8" w:color="auto"/>
              <w:right w:val="single" w:sz="8" w:color="auto"/>
            </w:tcBorders>
            <w:shd w:val="clear" w:color="auto" w:fill="33CCCC"/>
          </w:tcPr>
          <w:p>
            <w:pPr>
              <w:ind w:left="260"/>
              <w:spacing w:after="0"/>
              <w:rPr>
                <w:sz w:val="20"/>
                <w:szCs w:val="20"/>
                <w:color w:val="auto"/>
              </w:rPr>
            </w:pPr>
            <w:r>
              <w:rPr>
                <w:rFonts w:ascii="Arial" w:cs="Arial" w:eastAsia="Arial" w:hAnsi="Arial"/>
                <w:sz w:val="13"/>
                <w:szCs w:val="13"/>
                <w:b w:val="1"/>
                <w:bCs w:val="1"/>
                <w:color w:val="FFFFFF"/>
              </w:rPr>
              <w:t>YoY</w:t>
            </w:r>
          </w:p>
        </w:tc>
        <w:tc>
          <w:tcPr>
            <w:tcW w:w="86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3"/>
                <w:szCs w:val="13"/>
                <w:b w:val="1"/>
                <w:bCs w:val="1"/>
                <w:color w:val="FFFFFF"/>
              </w:rPr>
              <w:t>Dec 24</w:t>
            </w:r>
          </w:p>
        </w:tc>
        <w:tc>
          <w:tcPr>
            <w:tcW w:w="920" w:type="dxa"/>
            <w:vAlign w:val="bottom"/>
            <w:tcBorders>
              <w:bottom w:val="single" w:sz="8" w:color="auto"/>
              <w:right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Dec 25</w:t>
            </w: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Dec 25 / Dec 24</w:t>
            </w:r>
          </w:p>
        </w:tc>
      </w:tr>
      <w:tr>
        <w:trPr>
          <w:trHeight w:val="125"/>
        </w:trPr>
        <w:tc>
          <w:tcPr>
            <w:tcW w:w="4260" w:type="dxa"/>
            <w:vAlign w:val="bottom"/>
            <w:tcBorders>
              <w:left w:val="single" w:sz="8" w:color="auto"/>
              <w:right w:val="single" w:sz="8" w:color="auto"/>
            </w:tcBorders>
          </w:tcPr>
          <w:p>
            <w:pPr>
              <w:spacing w:after="0" w:line="126" w:lineRule="exact"/>
              <w:rPr>
                <w:sz w:val="20"/>
                <w:szCs w:val="20"/>
                <w:color w:val="auto"/>
              </w:rPr>
            </w:pPr>
            <w:r>
              <w:rPr>
                <w:rFonts w:ascii="Arial" w:cs="Arial" w:eastAsia="Arial" w:hAnsi="Arial"/>
                <w:sz w:val="13"/>
                <w:szCs w:val="13"/>
                <w:color w:val="auto"/>
              </w:rPr>
              <w:t>IT expenses and IT third-party services</w:t>
            </w:r>
          </w:p>
        </w:tc>
        <w:tc>
          <w:tcPr>
            <w:tcW w:w="860" w:type="dxa"/>
            <w:vAlign w:val="bottom"/>
          </w:tcPr>
          <w:p>
            <w:pPr>
              <w:jc w:val="center"/>
              <w:spacing w:after="0" w:line="126" w:lineRule="exact"/>
              <w:rPr>
                <w:sz w:val="20"/>
                <w:szCs w:val="20"/>
                <w:color w:val="auto"/>
              </w:rPr>
            </w:pPr>
            <w:r>
              <w:rPr>
                <w:rFonts w:ascii="Arial" w:cs="Arial" w:eastAsia="Arial" w:hAnsi="Arial"/>
                <w:sz w:val="13"/>
                <w:szCs w:val="13"/>
                <w:color w:val="auto"/>
              </w:rPr>
              <w:t>386,150</w:t>
            </w:r>
          </w:p>
        </w:tc>
        <w:tc>
          <w:tcPr>
            <w:tcW w:w="900" w:type="dxa"/>
            <w:vAlign w:val="bottom"/>
          </w:tcPr>
          <w:p>
            <w:pPr>
              <w:jc w:val="center"/>
              <w:spacing w:after="0" w:line="126" w:lineRule="exact"/>
              <w:rPr>
                <w:sz w:val="20"/>
                <w:szCs w:val="20"/>
                <w:color w:val="auto"/>
              </w:rPr>
            </w:pPr>
            <w:r>
              <w:rPr>
                <w:rFonts w:ascii="Arial" w:cs="Arial" w:eastAsia="Arial" w:hAnsi="Arial"/>
                <w:sz w:val="13"/>
                <w:szCs w:val="13"/>
                <w:color w:val="auto"/>
              </w:rPr>
              <w:t>336,894</w:t>
            </w:r>
          </w:p>
        </w:tc>
        <w:tc>
          <w:tcPr>
            <w:tcW w:w="9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422,856</w:t>
            </w:r>
          </w:p>
        </w:tc>
        <w:tc>
          <w:tcPr>
            <w:tcW w:w="780" w:type="dxa"/>
            <w:vAlign w:val="bottom"/>
          </w:tcPr>
          <w:p>
            <w:pPr>
              <w:jc w:val="center"/>
              <w:spacing w:after="0" w:line="126" w:lineRule="exact"/>
              <w:rPr>
                <w:sz w:val="20"/>
                <w:szCs w:val="20"/>
                <w:color w:val="auto"/>
              </w:rPr>
            </w:pPr>
            <w:r>
              <w:rPr>
                <w:rFonts w:ascii="Arial" w:cs="Arial" w:eastAsia="Arial" w:hAnsi="Arial"/>
                <w:sz w:val="13"/>
                <w:szCs w:val="13"/>
                <w:color w:val="auto"/>
              </w:rPr>
              <w:t>25.5%</w:t>
            </w:r>
          </w:p>
        </w:tc>
        <w:tc>
          <w:tcPr>
            <w:tcW w:w="8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9.5%</w:t>
            </w:r>
          </w:p>
        </w:tc>
        <w:tc>
          <w:tcPr>
            <w:tcW w:w="860" w:type="dxa"/>
            <w:vAlign w:val="bottom"/>
          </w:tcPr>
          <w:p>
            <w:pPr>
              <w:jc w:val="center"/>
              <w:spacing w:after="0" w:line="126" w:lineRule="exact"/>
              <w:rPr>
                <w:sz w:val="20"/>
                <w:szCs w:val="20"/>
                <w:color w:val="auto"/>
              </w:rPr>
            </w:pPr>
            <w:r>
              <w:rPr>
                <w:rFonts w:ascii="Arial" w:cs="Arial" w:eastAsia="Arial" w:hAnsi="Arial"/>
                <w:sz w:val="13"/>
                <w:szCs w:val="13"/>
                <w:color w:val="auto"/>
              </w:rPr>
              <w:t>1,251,424</w:t>
            </w:r>
          </w:p>
        </w:tc>
        <w:tc>
          <w:tcPr>
            <w:tcW w:w="9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1,385,862</w:t>
            </w:r>
          </w:p>
        </w:tc>
        <w:tc>
          <w:tcPr>
            <w:tcW w:w="10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10.7%</w:t>
            </w:r>
          </w:p>
        </w:tc>
      </w:tr>
      <w:tr>
        <w:trPr>
          <w:trHeight w:val="149"/>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Advertising and customer loyalty programs</w:t>
            </w:r>
          </w:p>
        </w:tc>
        <w:tc>
          <w:tcPr>
            <w:tcW w:w="860" w:type="dxa"/>
            <w:vAlign w:val="bottom"/>
          </w:tcPr>
          <w:p>
            <w:pPr>
              <w:jc w:val="center"/>
              <w:spacing w:after="0"/>
              <w:rPr>
                <w:sz w:val="20"/>
                <w:szCs w:val="20"/>
                <w:color w:val="auto"/>
              </w:rPr>
            </w:pPr>
            <w:r>
              <w:rPr>
                <w:rFonts w:ascii="Arial" w:cs="Arial" w:eastAsia="Arial" w:hAnsi="Arial"/>
                <w:sz w:val="13"/>
                <w:szCs w:val="13"/>
                <w:color w:val="auto"/>
              </w:rPr>
              <w:t>163,897</w:t>
            </w:r>
          </w:p>
        </w:tc>
        <w:tc>
          <w:tcPr>
            <w:tcW w:w="900" w:type="dxa"/>
            <w:vAlign w:val="bottom"/>
          </w:tcPr>
          <w:p>
            <w:pPr>
              <w:jc w:val="center"/>
              <w:spacing w:after="0"/>
              <w:rPr>
                <w:sz w:val="20"/>
                <w:szCs w:val="20"/>
                <w:color w:val="auto"/>
              </w:rPr>
            </w:pPr>
            <w:r>
              <w:rPr>
                <w:rFonts w:ascii="Arial" w:cs="Arial" w:eastAsia="Arial" w:hAnsi="Arial"/>
                <w:sz w:val="13"/>
                <w:szCs w:val="13"/>
                <w:color w:val="auto"/>
              </w:rPr>
              <w:t>133,510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183,504</w:t>
            </w:r>
          </w:p>
        </w:tc>
        <w:tc>
          <w:tcPr>
            <w:tcW w:w="780" w:type="dxa"/>
            <w:vAlign w:val="bottom"/>
          </w:tcPr>
          <w:p>
            <w:pPr>
              <w:jc w:val="center"/>
              <w:spacing w:after="0"/>
              <w:rPr>
                <w:sz w:val="20"/>
                <w:szCs w:val="20"/>
                <w:color w:val="auto"/>
              </w:rPr>
            </w:pPr>
            <w:r>
              <w:rPr>
                <w:rFonts w:ascii="Arial" w:cs="Arial" w:eastAsia="Arial" w:hAnsi="Arial"/>
                <w:sz w:val="13"/>
                <w:szCs w:val="13"/>
                <w:color w:val="auto"/>
              </w:rPr>
              <w:t>37.4%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12.0%</w:t>
            </w:r>
          </w:p>
        </w:tc>
        <w:tc>
          <w:tcPr>
            <w:tcW w:w="860" w:type="dxa"/>
            <w:vAlign w:val="bottom"/>
          </w:tcPr>
          <w:p>
            <w:pPr>
              <w:jc w:val="center"/>
              <w:spacing w:after="0"/>
              <w:rPr>
                <w:sz w:val="20"/>
                <w:szCs w:val="20"/>
                <w:color w:val="auto"/>
              </w:rPr>
            </w:pPr>
            <w:r>
              <w:rPr>
                <w:rFonts w:ascii="Arial" w:cs="Arial" w:eastAsia="Arial" w:hAnsi="Arial"/>
                <w:sz w:val="13"/>
                <w:szCs w:val="13"/>
                <w:color w:val="auto"/>
              </w:rPr>
              <w:t>478,812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514,431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7.4%</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Taxes and contributions</w:t>
            </w:r>
          </w:p>
        </w:tc>
        <w:tc>
          <w:tcPr>
            <w:tcW w:w="860" w:type="dxa"/>
            <w:vAlign w:val="bottom"/>
          </w:tcPr>
          <w:p>
            <w:pPr>
              <w:jc w:val="center"/>
              <w:spacing w:after="0"/>
              <w:rPr>
                <w:sz w:val="20"/>
                <w:szCs w:val="20"/>
                <w:color w:val="auto"/>
              </w:rPr>
            </w:pPr>
            <w:r>
              <w:rPr>
                <w:rFonts w:ascii="Arial" w:cs="Arial" w:eastAsia="Arial" w:hAnsi="Arial"/>
                <w:sz w:val="13"/>
                <w:szCs w:val="13"/>
                <w:color w:val="auto"/>
              </w:rPr>
              <w:t>105,296</w:t>
            </w:r>
          </w:p>
        </w:tc>
        <w:tc>
          <w:tcPr>
            <w:tcW w:w="900" w:type="dxa"/>
            <w:vAlign w:val="bottom"/>
          </w:tcPr>
          <w:p>
            <w:pPr>
              <w:jc w:val="center"/>
              <w:spacing w:after="0"/>
              <w:rPr>
                <w:sz w:val="20"/>
                <w:szCs w:val="20"/>
                <w:color w:val="auto"/>
              </w:rPr>
            </w:pPr>
            <w:r>
              <w:rPr>
                <w:rFonts w:ascii="Arial" w:cs="Arial" w:eastAsia="Arial" w:hAnsi="Arial"/>
                <w:sz w:val="13"/>
                <w:szCs w:val="13"/>
                <w:color w:val="auto"/>
              </w:rPr>
              <w:t>90,710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93,975</w:t>
            </w:r>
          </w:p>
        </w:tc>
        <w:tc>
          <w:tcPr>
            <w:tcW w:w="780" w:type="dxa"/>
            <w:vAlign w:val="bottom"/>
          </w:tcPr>
          <w:p>
            <w:pPr>
              <w:jc w:val="center"/>
              <w:spacing w:after="0"/>
              <w:rPr>
                <w:sz w:val="20"/>
                <w:szCs w:val="20"/>
                <w:color w:val="auto"/>
              </w:rPr>
            </w:pPr>
            <w:r>
              <w:rPr>
                <w:rFonts w:ascii="Arial" w:cs="Arial" w:eastAsia="Arial" w:hAnsi="Arial"/>
                <w:sz w:val="13"/>
                <w:szCs w:val="13"/>
                <w:color w:val="auto"/>
              </w:rPr>
              <w:t>3.6%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-10.8%</w:t>
            </w:r>
          </w:p>
        </w:tc>
        <w:tc>
          <w:tcPr>
            <w:tcW w:w="860" w:type="dxa"/>
            <w:vAlign w:val="bottom"/>
          </w:tcPr>
          <w:p>
            <w:pPr>
              <w:jc w:val="center"/>
              <w:spacing w:after="0"/>
              <w:rPr>
                <w:sz w:val="20"/>
                <w:szCs w:val="20"/>
                <w:color w:val="auto"/>
              </w:rPr>
            </w:pPr>
            <w:r>
              <w:rPr>
                <w:rFonts w:ascii="Arial" w:cs="Arial" w:eastAsia="Arial" w:hAnsi="Arial"/>
                <w:sz w:val="13"/>
                <w:szCs w:val="13"/>
                <w:color w:val="auto"/>
              </w:rPr>
              <w:t>382,711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354,353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-7.4%</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Audit Services, Consulting and professional fees</w:t>
            </w:r>
          </w:p>
        </w:tc>
        <w:tc>
          <w:tcPr>
            <w:tcW w:w="860" w:type="dxa"/>
            <w:vAlign w:val="bottom"/>
          </w:tcPr>
          <w:p>
            <w:pPr>
              <w:jc w:val="center"/>
              <w:spacing w:after="0"/>
              <w:rPr>
                <w:sz w:val="20"/>
                <w:szCs w:val="20"/>
                <w:color w:val="auto"/>
              </w:rPr>
            </w:pPr>
            <w:r>
              <w:rPr>
                <w:rFonts w:ascii="Arial" w:cs="Arial" w:eastAsia="Arial" w:hAnsi="Arial"/>
                <w:sz w:val="13"/>
                <w:szCs w:val="13"/>
                <w:color w:val="auto"/>
              </w:rPr>
              <w:t>171,101</w:t>
            </w:r>
          </w:p>
        </w:tc>
        <w:tc>
          <w:tcPr>
            <w:tcW w:w="900" w:type="dxa"/>
            <w:vAlign w:val="bottom"/>
          </w:tcPr>
          <w:p>
            <w:pPr>
              <w:jc w:val="center"/>
              <w:spacing w:after="0"/>
              <w:rPr>
                <w:sz w:val="20"/>
                <w:szCs w:val="20"/>
                <w:color w:val="auto"/>
              </w:rPr>
            </w:pPr>
            <w:r>
              <w:rPr>
                <w:rFonts w:ascii="Arial" w:cs="Arial" w:eastAsia="Arial" w:hAnsi="Arial"/>
                <w:sz w:val="13"/>
                <w:szCs w:val="13"/>
                <w:color w:val="auto"/>
              </w:rPr>
              <w:t>120,177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165,592</w:t>
            </w:r>
          </w:p>
        </w:tc>
        <w:tc>
          <w:tcPr>
            <w:tcW w:w="780" w:type="dxa"/>
            <w:vAlign w:val="bottom"/>
          </w:tcPr>
          <w:p>
            <w:pPr>
              <w:jc w:val="center"/>
              <w:spacing w:after="0"/>
              <w:rPr>
                <w:sz w:val="20"/>
                <w:szCs w:val="20"/>
                <w:color w:val="auto"/>
              </w:rPr>
            </w:pPr>
            <w:r>
              <w:rPr>
                <w:rFonts w:ascii="Arial" w:cs="Arial" w:eastAsia="Arial" w:hAnsi="Arial"/>
                <w:sz w:val="13"/>
                <w:szCs w:val="13"/>
                <w:color w:val="auto"/>
              </w:rPr>
              <w:t>37.8%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w:t>
            </w:r>
          </w:p>
        </w:tc>
        <w:tc>
          <w:tcPr>
            <w:tcW w:w="860" w:type="dxa"/>
            <w:vAlign w:val="bottom"/>
          </w:tcPr>
          <w:p>
            <w:pPr>
              <w:jc w:val="center"/>
              <w:spacing w:after="0"/>
              <w:rPr>
                <w:sz w:val="20"/>
                <w:szCs w:val="20"/>
                <w:color w:val="auto"/>
              </w:rPr>
            </w:pPr>
            <w:r>
              <w:rPr>
                <w:rFonts w:ascii="Arial" w:cs="Arial" w:eastAsia="Arial" w:hAnsi="Arial"/>
                <w:sz w:val="13"/>
                <w:szCs w:val="13"/>
                <w:color w:val="auto"/>
              </w:rPr>
              <w:t>407,508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448,927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10.2%</w:t>
            </w:r>
          </w:p>
        </w:tc>
      </w:tr>
      <w:tr>
        <w:trPr>
          <w:trHeight w:val="149"/>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Transport and communications</w:t>
            </w:r>
          </w:p>
        </w:tc>
        <w:tc>
          <w:tcPr>
            <w:tcW w:w="860" w:type="dxa"/>
            <w:vAlign w:val="bottom"/>
          </w:tcPr>
          <w:p>
            <w:pPr>
              <w:jc w:val="center"/>
              <w:spacing w:after="0"/>
              <w:rPr>
                <w:sz w:val="20"/>
                <w:szCs w:val="20"/>
                <w:color w:val="auto"/>
              </w:rPr>
            </w:pPr>
            <w:r>
              <w:rPr>
                <w:rFonts w:ascii="Arial" w:cs="Arial" w:eastAsia="Arial" w:hAnsi="Arial"/>
                <w:sz w:val="13"/>
                <w:szCs w:val="13"/>
                <w:color w:val="auto"/>
              </w:rPr>
              <w:t>67,398</w:t>
            </w:r>
          </w:p>
        </w:tc>
        <w:tc>
          <w:tcPr>
            <w:tcW w:w="900" w:type="dxa"/>
            <w:vAlign w:val="bottom"/>
          </w:tcPr>
          <w:p>
            <w:pPr>
              <w:jc w:val="center"/>
              <w:spacing w:after="0"/>
              <w:rPr>
                <w:sz w:val="20"/>
                <w:szCs w:val="20"/>
                <w:color w:val="auto"/>
              </w:rPr>
            </w:pPr>
            <w:r>
              <w:rPr>
                <w:rFonts w:ascii="Arial" w:cs="Arial" w:eastAsia="Arial" w:hAnsi="Arial"/>
                <w:sz w:val="13"/>
                <w:szCs w:val="13"/>
                <w:color w:val="auto"/>
              </w:rPr>
              <w:t>64,565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74,704</w:t>
            </w:r>
          </w:p>
        </w:tc>
        <w:tc>
          <w:tcPr>
            <w:tcW w:w="780" w:type="dxa"/>
            <w:vAlign w:val="bottom"/>
          </w:tcPr>
          <w:p>
            <w:pPr>
              <w:jc w:val="center"/>
              <w:spacing w:after="0"/>
              <w:rPr>
                <w:sz w:val="20"/>
                <w:szCs w:val="20"/>
                <w:color w:val="auto"/>
              </w:rPr>
            </w:pPr>
            <w:r>
              <w:rPr>
                <w:rFonts w:ascii="Arial" w:cs="Arial" w:eastAsia="Arial" w:hAnsi="Arial"/>
                <w:sz w:val="13"/>
                <w:szCs w:val="13"/>
                <w:color w:val="auto"/>
              </w:rPr>
              <w:t>15.7%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10.8%</w:t>
            </w:r>
          </w:p>
        </w:tc>
        <w:tc>
          <w:tcPr>
            <w:tcW w:w="860" w:type="dxa"/>
            <w:vAlign w:val="bottom"/>
          </w:tcPr>
          <w:p>
            <w:pPr>
              <w:jc w:val="center"/>
              <w:spacing w:after="0"/>
              <w:rPr>
                <w:sz w:val="20"/>
                <w:szCs w:val="20"/>
                <w:color w:val="auto"/>
              </w:rPr>
            </w:pPr>
            <w:r>
              <w:rPr>
                <w:rFonts w:ascii="Arial" w:cs="Arial" w:eastAsia="Arial" w:hAnsi="Arial"/>
                <w:sz w:val="13"/>
                <w:szCs w:val="13"/>
                <w:color w:val="auto"/>
              </w:rPr>
              <w:t>244,255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250,470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Repair and maintenance</w:t>
            </w:r>
          </w:p>
        </w:tc>
        <w:tc>
          <w:tcPr>
            <w:tcW w:w="860" w:type="dxa"/>
            <w:vAlign w:val="bottom"/>
          </w:tcPr>
          <w:p>
            <w:pPr>
              <w:jc w:val="center"/>
              <w:spacing w:after="0"/>
              <w:rPr>
                <w:sz w:val="20"/>
                <w:szCs w:val="20"/>
                <w:color w:val="auto"/>
              </w:rPr>
            </w:pPr>
            <w:r>
              <w:rPr>
                <w:rFonts w:ascii="Arial" w:cs="Arial" w:eastAsia="Arial" w:hAnsi="Arial"/>
                <w:sz w:val="13"/>
                <w:szCs w:val="13"/>
                <w:color w:val="auto"/>
              </w:rPr>
              <w:t>50,981</w:t>
            </w:r>
          </w:p>
        </w:tc>
        <w:tc>
          <w:tcPr>
            <w:tcW w:w="900" w:type="dxa"/>
            <w:vAlign w:val="bottom"/>
          </w:tcPr>
          <w:p>
            <w:pPr>
              <w:jc w:val="center"/>
              <w:spacing w:after="0"/>
              <w:rPr>
                <w:sz w:val="20"/>
                <w:szCs w:val="20"/>
                <w:color w:val="auto"/>
              </w:rPr>
            </w:pPr>
            <w:r>
              <w:rPr>
                <w:rFonts w:ascii="Arial" w:cs="Arial" w:eastAsia="Arial" w:hAnsi="Arial"/>
                <w:sz w:val="13"/>
                <w:szCs w:val="13"/>
                <w:color w:val="auto"/>
              </w:rPr>
              <w:t>43,719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57,177</w:t>
            </w:r>
          </w:p>
        </w:tc>
        <w:tc>
          <w:tcPr>
            <w:tcW w:w="780" w:type="dxa"/>
            <w:vAlign w:val="bottom"/>
          </w:tcPr>
          <w:p>
            <w:pPr>
              <w:jc w:val="center"/>
              <w:spacing w:after="0"/>
              <w:rPr>
                <w:sz w:val="20"/>
                <w:szCs w:val="20"/>
                <w:color w:val="auto"/>
              </w:rPr>
            </w:pPr>
            <w:r>
              <w:rPr>
                <w:rFonts w:ascii="Arial" w:cs="Arial" w:eastAsia="Arial" w:hAnsi="Arial"/>
                <w:sz w:val="13"/>
                <w:szCs w:val="13"/>
                <w:color w:val="auto"/>
              </w:rPr>
              <w:t>30.8%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12.2%</w:t>
            </w:r>
          </w:p>
        </w:tc>
        <w:tc>
          <w:tcPr>
            <w:tcW w:w="860" w:type="dxa"/>
            <w:vAlign w:val="bottom"/>
          </w:tcPr>
          <w:p>
            <w:pPr>
              <w:jc w:val="center"/>
              <w:spacing w:after="0"/>
              <w:rPr>
                <w:sz w:val="20"/>
                <w:szCs w:val="20"/>
                <w:color w:val="auto"/>
              </w:rPr>
            </w:pPr>
            <w:r>
              <w:rPr>
                <w:rFonts w:ascii="Arial" w:cs="Arial" w:eastAsia="Arial" w:hAnsi="Arial"/>
                <w:sz w:val="13"/>
                <w:szCs w:val="13"/>
                <w:color w:val="auto"/>
              </w:rPr>
              <w:t>154,533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170,417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10.3%</w:t>
            </w:r>
          </w:p>
        </w:tc>
      </w:tr>
      <w:tr>
        <w:trPr>
          <w:trHeight w:val="149"/>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Agents’ Fees</w:t>
            </w:r>
          </w:p>
        </w:tc>
        <w:tc>
          <w:tcPr>
            <w:tcW w:w="860" w:type="dxa"/>
            <w:vAlign w:val="bottom"/>
          </w:tcPr>
          <w:p>
            <w:pPr>
              <w:jc w:val="center"/>
              <w:spacing w:after="0"/>
              <w:rPr>
                <w:sz w:val="20"/>
                <w:szCs w:val="20"/>
                <w:color w:val="auto"/>
              </w:rPr>
            </w:pPr>
            <w:r>
              <w:rPr>
                <w:rFonts w:ascii="Arial" w:cs="Arial" w:eastAsia="Arial" w:hAnsi="Arial"/>
                <w:sz w:val="13"/>
                <w:szCs w:val="13"/>
                <w:color w:val="auto"/>
              </w:rPr>
              <w:t>31,436</w:t>
            </w:r>
          </w:p>
        </w:tc>
        <w:tc>
          <w:tcPr>
            <w:tcW w:w="900" w:type="dxa"/>
            <w:vAlign w:val="bottom"/>
          </w:tcPr>
          <w:p>
            <w:pPr>
              <w:jc w:val="center"/>
              <w:spacing w:after="0"/>
              <w:rPr>
                <w:sz w:val="20"/>
                <w:szCs w:val="20"/>
                <w:color w:val="auto"/>
              </w:rPr>
            </w:pPr>
            <w:r>
              <w:rPr>
                <w:rFonts w:ascii="Arial" w:cs="Arial" w:eastAsia="Arial" w:hAnsi="Arial"/>
                <w:sz w:val="13"/>
                <w:szCs w:val="13"/>
                <w:color w:val="auto"/>
              </w:rPr>
              <w:t>27,807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26,734</w:t>
            </w:r>
          </w:p>
        </w:tc>
        <w:tc>
          <w:tcPr>
            <w:tcW w:w="780" w:type="dxa"/>
            <w:vAlign w:val="bottom"/>
          </w:tcPr>
          <w:p>
            <w:pPr>
              <w:jc w:val="center"/>
              <w:spacing w:after="0"/>
              <w:rPr>
                <w:sz w:val="20"/>
                <w:szCs w:val="20"/>
                <w:color w:val="auto"/>
              </w:rPr>
            </w:pPr>
            <w:r>
              <w:rPr>
                <w:rFonts w:ascii="Arial" w:cs="Arial" w:eastAsia="Arial" w:hAnsi="Arial"/>
                <w:sz w:val="13"/>
                <w:szCs w:val="13"/>
                <w:color w:val="auto"/>
              </w:rPr>
              <w:t>-3.9%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-15.0%</w:t>
            </w:r>
          </w:p>
        </w:tc>
        <w:tc>
          <w:tcPr>
            <w:tcW w:w="860" w:type="dxa"/>
            <w:vAlign w:val="bottom"/>
          </w:tcPr>
          <w:p>
            <w:pPr>
              <w:jc w:val="center"/>
              <w:spacing w:after="0"/>
              <w:rPr>
                <w:sz w:val="20"/>
                <w:szCs w:val="20"/>
                <w:color w:val="auto"/>
              </w:rPr>
            </w:pPr>
            <w:r>
              <w:rPr>
                <w:rFonts w:ascii="Arial" w:cs="Arial" w:eastAsia="Arial" w:hAnsi="Arial"/>
                <w:sz w:val="13"/>
                <w:szCs w:val="13"/>
                <w:color w:val="auto"/>
              </w:rPr>
              <w:t>118,156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108,710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-8.0%</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Services by third-party</w:t>
            </w:r>
          </w:p>
        </w:tc>
        <w:tc>
          <w:tcPr>
            <w:tcW w:w="860" w:type="dxa"/>
            <w:vAlign w:val="bottom"/>
          </w:tcPr>
          <w:p>
            <w:pPr>
              <w:jc w:val="center"/>
              <w:spacing w:after="0"/>
              <w:rPr>
                <w:sz w:val="20"/>
                <w:szCs w:val="20"/>
                <w:color w:val="auto"/>
              </w:rPr>
            </w:pPr>
            <w:r>
              <w:rPr>
                <w:rFonts w:ascii="Arial" w:cs="Arial" w:eastAsia="Arial" w:hAnsi="Arial"/>
                <w:sz w:val="13"/>
                <w:szCs w:val="13"/>
                <w:color w:val="auto"/>
              </w:rPr>
              <w:t>6,220</w:t>
            </w:r>
          </w:p>
        </w:tc>
        <w:tc>
          <w:tcPr>
            <w:tcW w:w="900" w:type="dxa"/>
            <w:vAlign w:val="bottom"/>
          </w:tcPr>
          <w:p>
            <w:pPr>
              <w:jc w:val="center"/>
              <w:spacing w:after="0"/>
              <w:rPr>
                <w:sz w:val="20"/>
                <w:szCs w:val="20"/>
                <w:color w:val="auto"/>
              </w:rPr>
            </w:pPr>
            <w:r>
              <w:rPr>
                <w:rFonts w:ascii="Arial" w:cs="Arial" w:eastAsia="Arial" w:hAnsi="Arial"/>
                <w:sz w:val="13"/>
                <w:szCs w:val="13"/>
                <w:color w:val="auto"/>
              </w:rPr>
              <w:t>27,766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37,126</w:t>
            </w:r>
          </w:p>
        </w:tc>
        <w:tc>
          <w:tcPr>
            <w:tcW w:w="780" w:type="dxa"/>
            <w:vAlign w:val="bottom"/>
          </w:tcPr>
          <w:p>
            <w:pPr>
              <w:jc w:val="center"/>
              <w:spacing w:after="0"/>
              <w:rPr>
                <w:sz w:val="20"/>
                <w:szCs w:val="20"/>
                <w:color w:val="auto"/>
              </w:rPr>
            </w:pPr>
            <w:r>
              <w:rPr>
                <w:rFonts w:ascii="Arial" w:cs="Arial" w:eastAsia="Arial" w:hAnsi="Arial"/>
                <w:sz w:val="13"/>
                <w:szCs w:val="13"/>
                <w:color w:val="auto"/>
              </w:rPr>
              <w:t>33.7%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496.9%</w:t>
            </w:r>
          </w:p>
        </w:tc>
        <w:tc>
          <w:tcPr>
            <w:tcW w:w="860" w:type="dxa"/>
            <w:vAlign w:val="bottom"/>
          </w:tcPr>
          <w:p>
            <w:pPr>
              <w:jc w:val="center"/>
              <w:spacing w:after="0"/>
              <w:rPr>
                <w:sz w:val="20"/>
                <w:szCs w:val="20"/>
                <w:color w:val="auto"/>
              </w:rPr>
            </w:pPr>
            <w:r>
              <w:rPr>
                <w:rFonts w:ascii="Arial" w:cs="Arial" w:eastAsia="Arial" w:hAnsi="Arial"/>
                <w:sz w:val="13"/>
                <w:szCs w:val="13"/>
                <w:color w:val="auto"/>
              </w:rPr>
              <w:t>107,274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112,962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5.3%</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Leases of low value and short-term</w:t>
            </w:r>
          </w:p>
        </w:tc>
        <w:tc>
          <w:tcPr>
            <w:tcW w:w="860" w:type="dxa"/>
            <w:vAlign w:val="bottom"/>
          </w:tcPr>
          <w:p>
            <w:pPr>
              <w:jc w:val="center"/>
              <w:spacing w:after="0"/>
              <w:rPr>
                <w:sz w:val="20"/>
                <w:szCs w:val="20"/>
                <w:color w:val="auto"/>
              </w:rPr>
            </w:pPr>
            <w:r>
              <w:rPr>
                <w:rFonts w:ascii="Arial" w:cs="Arial" w:eastAsia="Arial" w:hAnsi="Arial"/>
                <w:sz w:val="13"/>
                <w:szCs w:val="13"/>
                <w:color w:val="auto"/>
              </w:rPr>
              <w:t>36,936</w:t>
            </w:r>
          </w:p>
        </w:tc>
        <w:tc>
          <w:tcPr>
            <w:tcW w:w="900" w:type="dxa"/>
            <w:vAlign w:val="bottom"/>
          </w:tcPr>
          <w:p>
            <w:pPr>
              <w:jc w:val="center"/>
              <w:spacing w:after="0"/>
              <w:rPr>
                <w:sz w:val="20"/>
                <w:szCs w:val="20"/>
                <w:color w:val="auto"/>
              </w:rPr>
            </w:pPr>
            <w:r>
              <w:rPr>
                <w:rFonts w:ascii="Arial" w:cs="Arial" w:eastAsia="Arial" w:hAnsi="Arial"/>
                <w:sz w:val="13"/>
                <w:szCs w:val="13"/>
                <w:color w:val="auto"/>
              </w:rPr>
              <w:t>34,858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40,883</w:t>
            </w:r>
          </w:p>
        </w:tc>
        <w:tc>
          <w:tcPr>
            <w:tcW w:w="780" w:type="dxa"/>
            <w:vAlign w:val="bottom"/>
          </w:tcPr>
          <w:p>
            <w:pPr>
              <w:jc w:val="center"/>
              <w:spacing w:after="0"/>
              <w:rPr>
                <w:sz w:val="20"/>
                <w:szCs w:val="20"/>
                <w:color w:val="auto"/>
              </w:rPr>
            </w:pPr>
            <w:r>
              <w:rPr>
                <w:rFonts w:ascii="Arial" w:cs="Arial" w:eastAsia="Arial" w:hAnsi="Arial"/>
                <w:sz w:val="13"/>
                <w:szCs w:val="13"/>
                <w:color w:val="auto"/>
              </w:rPr>
              <w:t>17.3%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10.7%</w:t>
            </w:r>
          </w:p>
        </w:tc>
        <w:tc>
          <w:tcPr>
            <w:tcW w:w="860" w:type="dxa"/>
            <w:vAlign w:val="bottom"/>
          </w:tcPr>
          <w:p>
            <w:pPr>
              <w:jc w:val="center"/>
              <w:spacing w:after="0"/>
              <w:rPr>
                <w:sz w:val="20"/>
                <w:szCs w:val="20"/>
                <w:color w:val="auto"/>
              </w:rPr>
            </w:pPr>
            <w:r>
              <w:rPr>
                <w:rFonts w:ascii="Arial" w:cs="Arial" w:eastAsia="Arial" w:hAnsi="Arial"/>
                <w:sz w:val="13"/>
                <w:szCs w:val="13"/>
                <w:color w:val="auto"/>
              </w:rPr>
              <w:t>124,781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143,855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15.3%</w:t>
            </w:r>
          </w:p>
        </w:tc>
      </w:tr>
      <w:tr>
        <w:trPr>
          <w:trHeight w:val="149"/>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Miscellaneous supplies</w:t>
            </w:r>
          </w:p>
        </w:tc>
        <w:tc>
          <w:tcPr>
            <w:tcW w:w="860" w:type="dxa"/>
            <w:vAlign w:val="bottom"/>
          </w:tcPr>
          <w:p>
            <w:pPr>
              <w:jc w:val="center"/>
              <w:spacing w:after="0"/>
              <w:rPr>
                <w:sz w:val="20"/>
                <w:szCs w:val="20"/>
                <w:color w:val="auto"/>
              </w:rPr>
            </w:pPr>
            <w:r>
              <w:rPr>
                <w:rFonts w:ascii="Arial" w:cs="Arial" w:eastAsia="Arial" w:hAnsi="Arial"/>
                <w:sz w:val="13"/>
                <w:szCs w:val="13"/>
                <w:color w:val="auto"/>
              </w:rPr>
              <w:t>24,864</w:t>
            </w:r>
          </w:p>
        </w:tc>
        <w:tc>
          <w:tcPr>
            <w:tcW w:w="900" w:type="dxa"/>
            <w:vAlign w:val="bottom"/>
          </w:tcPr>
          <w:p>
            <w:pPr>
              <w:jc w:val="center"/>
              <w:spacing w:after="0"/>
              <w:rPr>
                <w:sz w:val="20"/>
                <w:szCs w:val="20"/>
                <w:color w:val="auto"/>
              </w:rPr>
            </w:pPr>
            <w:r>
              <w:rPr>
                <w:rFonts w:ascii="Arial" w:cs="Arial" w:eastAsia="Arial" w:hAnsi="Arial"/>
                <w:sz w:val="13"/>
                <w:szCs w:val="13"/>
                <w:color w:val="auto"/>
              </w:rPr>
              <w:t>16,993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15,014</w:t>
            </w:r>
          </w:p>
        </w:tc>
        <w:tc>
          <w:tcPr>
            <w:tcW w:w="780" w:type="dxa"/>
            <w:vAlign w:val="bottom"/>
          </w:tcPr>
          <w:p>
            <w:pPr>
              <w:jc w:val="center"/>
              <w:spacing w:after="0"/>
              <w:rPr>
                <w:sz w:val="20"/>
                <w:szCs w:val="20"/>
                <w:color w:val="auto"/>
              </w:rPr>
            </w:pPr>
            <w:r>
              <w:rPr>
                <w:rFonts w:ascii="Arial" w:cs="Arial" w:eastAsia="Arial" w:hAnsi="Arial"/>
                <w:sz w:val="13"/>
                <w:szCs w:val="13"/>
                <w:color w:val="auto"/>
              </w:rPr>
              <w:t>-11.6%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-39.6%</w:t>
            </w:r>
          </w:p>
        </w:tc>
        <w:tc>
          <w:tcPr>
            <w:tcW w:w="860" w:type="dxa"/>
            <w:vAlign w:val="bottom"/>
          </w:tcPr>
          <w:p>
            <w:pPr>
              <w:jc w:val="center"/>
              <w:spacing w:after="0"/>
              <w:rPr>
                <w:sz w:val="20"/>
                <w:szCs w:val="20"/>
                <w:color w:val="auto"/>
              </w:rPr>
            </w:pPr>
            <w:r>
              <w:rPr>
                <w:rFonts w:ascii="Arial" w:cs="Arial" w:eastAsia="Arial" w:hAnsi="Arial"/>
                <w:sz w:val="13"/>
                <w:szCs w:val="13"/>
                <w:color w:val="auto"/>
              </w:rPr>
              <w:t>91,769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69,582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-24.2%</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Security and protection</w:t>
            </w:r>
          </w:p>
        </w:tc>
        <w:tc>
          <w:tcPr>
            <w:tcW w:w="860" w:type="dxa"/>
            <w:vAlign w:val="bottom"/>
          </w:tcPr>
          <w:p>
            <w:pPr>
              <w:jc w:val="center"/>
              <w:spacing w:after="0"/>
              <w:rPr>
                <w:sz w:val="20"/>
                <w:szCs w:val="20"/>
                <w:color w:val="auto"/>
              </w:rPr>
            </w:pPr>
            <w:r>
              <w:rPr>
                <w:rFonts w:ascii="Arial" w:cs="Arial" w:eastAsia="Arial" w:hAnsi="Arial"/>
                <w:sz w:val="13"/>
                <w:szCs w:val="13"/>
                <w:color w:val="auto"/>
              </w:rPr>
              <w:t>16,614</w:t>
            </w:r>
          </w:p>
        </w:tc>
        <w:tc>
          <w:tcPr>
            <w:tcW w:w="900" w:type="dxa"/>
            <w:vAlign w:val="bottom"/>
          </w:tcPr>
          <w:p>
            <w:pPr>
              <w:jc w:val="center"/>
              <w:spacing w:after="0"/>
              <w:rPr>
                <w:sz w:val="20"/>
                <w:szCs w:val="20"/>
                <w:color w:val="auto"/>
              </w:rPr>
            </w:pPr>
            <w:r>
              <w:rPr>
                <w:rFonts w:ascii="Arial" w:cs="Arial" w:eastAsia="Arial" w:hAnsi="Arial"/>
                <w:sz w:val="13"/>
                <w:szCs w:val="13"/>
                <w:color w:val="auto"/>
              </w:rPr>
              <w:t>16,888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18,905</w:t>
            </w:r>
          </w:p>
        </w:tc>
        <w:tc>
          <w:tcPr>
            <w:tcW w:w="780" w:type="dxa"/>
            <w:vAlign w:val="bottom"/>
          </w:tcPr>
          <w:p>
            <w:pPr>
              <w:jc w:val="center"/>
              <w:spacing w:after="0"/>
              <w:rPr>
                <w:sz w:val="20"/>
                <w:szCs w:val="20"/>
                <w:color w:val="auto"/>
              </w:rPr>
            </w:pPr>
            <w:r>
              <w:rPr>
                <w:rFonts w:ascii="Arial" w:cs="Arial" w:eastAsia="Arial" w:hAnsi="Arial"/>
                <w:sz w:val="13"/>
                <w:szCs w:val="13"/>
                <w:color w:val="auto"/>
              </w:rPr>
              <w:t>11.9%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13.8%</w:t>
            </w:r>
          </w:p>
        </w:tc>
        <w:tc>
          <w:tcPr>
            <w:tcW w:w="860" w:type="dxa"/>
            <w:vAlign w:val="bottom"/>
          </w:tcPr>
          <w:p>
            <w:pPr>
              <w:jc w:val="center"/>
              <w:spacing w:after="0"/>
              <w:rPr>
                <w:sz w:val="20"/>
                <w:szCs w:val="20"/>
                <w:color w:val="auto"/>
              </w:rPr>
            </w:pPr>
            <w:r>
              <w:rPr>
                <w:rFonts w:ascii="Arial" w:cs="Arial" w:eastAsia="Arial" w:hAnsi="Arial"/>
                <w:sz w:val="13"/>
                <w:szCs w:val="13"/>
                <w:color w:val="auto"/>
              </w:rPr>
              <w:t>65,970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69,679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5.6%</w:t>
            </w:r>
          </w:p>
        </w:tc>
      </w:tr>
      <w:tr>
        <w:trPr>
          <w:trHeight w:val="149"/>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Subscriptions and quotes</w:t>
            </w:r>
          </w:p>
        </w:tc>
        <w:tc>
          <w:tcPr>
            <w:tcW w:w="860" w:type="dxa"/>
            <w:vAlign w:val="bottom"/>
          </w:tcPr>
          <w:p>
            <w:pPr>
              <w:jc w:val="center"/>
              <w:spacing w:after="0"/>
              <w:rPr>
                <w:sz w:val="20"/>
                <w:szCs w:val="20"/>
                <w:color w:val="auto"/>
              </w:rPr>
            </w:pPr>
            <w:r>
              <w:rPr>
                <w:rFonts w:ascii="Arial" w:cs="Arial" w:eastAsia="Arial" w:hAnsi="Arial"/>
                <w:sz w:val="13"/>
                <w:szCs w:val="13"/>
                <w:color w:val="auto"/>
              </w:rPr>
              <w:t>14,261</w:t>
            </w:r>
          </w:p>
        </w:tc>
        <w:tc>
          <w:tcPr>
            <w:tcW w:w="900" w:type="dxa"/>
            <w:vAlign w:val="bottom"/>
          </w:tcPr>
          <w:p>
            <w:pPr>
              <w:jc w:val="center"/>
              <w:spacing w:after="0"/>
              <w:rPr>
                <w:sz w:val="20"/>
                <w:szCs w:val="20"/>
                <w:color w:val="auto"/>
              </w:rPr>
            </w:pPr>
            <w:r>
              <w:rPr>
                <w:rFonts w:ascii="Arial" w:cs="Arial" w:eastAsia="Arial" w:hAnsi="Arial"/>
                <w:sz w:val="13"/>
                <w:szCs w:val="13"/>
                <w:color w:val="auto"/>
              </w:rPr>
              <w:t>20,774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19,525</w:t>
            </w:r>
          </w:p>
        </w:tc>
        <w:tc>
          <w:tcPr>
            <w:tcW w:w="780" w:type="dxa"/>
            <w:vAlign w:val="bottom"/>
          </w:tcPr>
          <w:p>
            <w:pPr>
              <w:jc w:val="center"/>
              <w:spacing w:after="0"/>
              <w:rPr>
                <w:sz w:val="20"/>
                <w:szCs w:val="20"/>
                <w:color w:val="auto"/>
              </w:rPr>
            </w:pPr>
            <w:r>
              <w:rPr>
                <w:rFonts w:ascii="Arial" w:cs="Arial" w:eastAsia="Arial" w:hAnsi="Arial"/>
                <w:sz w:val="13"/>
                <w:szCs w:val="13"/>
                <w:color w:val="auto"/>
              </w:rPr>
              <w:t>-6.0%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36.9%</w:t>
            </w:r>
          </w:p>
        </w:tc>
        <w:tc>
          <w:tcPr>
            <w:tcW w:w="860" w:type="dxa"/>
            <w:vAlign w:val="bottom"/>
          </w:tcPr>
          <w:p>
            <w:pPr>
              <w:jc w:val="center"/>
              <w:spacing w:after="0"/>
              <w:rPr>
                <w:sz w:val="20"/>
                <w:szCs w:val="20"/>
                <w:color w:val="auto"/>
              </w:rPr>
            </w:pPr>
            <w:r>
              <w:rPr>
                <w:rFonts w:ascii="Arial" w:cs="Arial" w:eastAsia="Arial" w:hAnsi="Arial"/>
                <w:sz w:val="13"/>
                <w:szCs w:val="13"/>
                <w:color w:val="auto"/>
              </w:rPr>
              <w:t>74,002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78,402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5.9%</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Electricity and water</w:t>
            </w:r>
          </w:p>
        </w:tc>
        <w:tc>
          <w:tcPr>
            <w:tcW w:w="860" w:type="dxa"/>
            <w:vAlign w:val="bottom"/>
          </w:tcPr>
          <w:p>
            <w:pPr>
              <w:jc w:val="center"/>
              <w:spacing w:after="0"/>
              <w:rPr>
                <w:sz w:val="20"/>
                <w:szCs w:val="20"/>
                <w:color w:val="auto"/>
              </w:rPr>
            </w:pPr>
            <w:r>
              <w:rPr>
                <w:rFonts w:ascii="Arial" w:cs="Arial" w:eastAsia="Arial" w:hAnsi="Arial"/>
                <w:sz w:val="13"/>
                <w:szCs w:val="13"/>
                <w:color w:val="auto"/>
              </w:rPr>
              <w:t>15,053</w:t>
            </w:r>
          </w:p>
        </w:tc>
        <w:tc>
          <w:tcPr>
            <w:tcW w:w="900" w:type="dxa"/>
            <w:vAlign w:val="bottom"/>
          </w:tcPr>
          <w:p>
            <w:pPr>
              <w:jc w:val="center"/>
              <w:spacing w:after="0"/>
              <w:rPr>
                <w:sz w:val="20"/>
                <w:szCs w:val="20"/>
                <w:color w:val="auto"/>
              </w:rPr>
            </w:pPr>
            <w:r>
              <w:rPr>
                <w:rFonts w:ascii="Arial" w:cs="Arial" w:eastAsia="Arial" w:hAnsi="Arial"/>
                <w:sz w:val="13"/>
                <w:szCs w:val="13"/>
                <w:color w:val="auto"/>
              </w:rPr>
              <w:t>11,390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13,972</w:t>
            </w:r>
          </w:p>
        </w:tc>
        <w:tc>
          <w:tcPr>
            <w:tcW w:w="780" w:type="dxa"/>
            <w:vAlign w:val="bottom"/>
          </w:tcPr>
          <w:p>
            <w:pPr>
              <w:jc w:val="center"/>
              <w:spacing w:after="0"/>
              <w:rPr>
                <w:sz w:val="20"/>
                <w:szCs w:val="20"/>
                <w:color w:val="auto"/>
              </w:rPr>
            </w:pPr>
            <w:r>
              <w:rPr>
                <w:rFonts w:ascii="Arial" w:cs="Arial" w:eastAsia="Arial" w:hAnsi="Arial"/>
                <w:sz w:val="13"/>
                <w:szCs w:val="13"/>
                <w:color w:val="auto"/>
              </w:rPr>
              <w:t>22.7%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-7.2%</w:t>
            </w:r>
          </w:p>
        </w:tc>
        <w:tc>
          <w:tcPr>
            <w:tcW w:w="860" w:type="dxa"/>
            <w:vAlign w:val="bottom"/>
          </w:tcPr>
          <w:p>
            <w:pPr>
              <w:jc w:val="center"/>
              <w:spacing w:after="0"/>
              <w:rPr>
                <w:sz w:val="20"/>
                <w:szCs w:val="20"/>
                <w:color w:val="auto"/>
              </w:rPr>
            </w:pPr>
            <w:r>
              <w:rPr>
                <w:rFonts w:ascii="Arial" w:cs="Arial" w:eastAsia="Arial" w:hAnsi="Arial"/>
                <w:sz w:val="13"/>
                <w:szCs w:val="13"/>
                <w:color w:val="auto"/>
              </w:rPr>
              <w:t>52,260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48,150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-7.9%</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Electronic processing</w:t>
            </w:r>
          </w:p>
        </w:tc>
        <w:tc>
          <w:tcPr>
            <w:tcW w:w="860" w:type="dxa"/>
            <w:vAlign w:val="bottom"/>
          </w:tcPr>
          <w:p>
            <w:pPr>
              <w:jc w:val="center"/>
              <w:spacing w:after="0"/>
              <w:rPr>
                <w:sz w:val="20"/>
                <w:szCs w:val="20"/>
                <w:color w:val="auto"/>
              </w:rPr>
            </w:pPr>
            <w:r>
              <w:rPr>
                <w:rFonts w:ascii="Arial" w:cs="Arial" w:eastAsia="Arial" w:hAnsi="Arial"/>
                <w:sz w:val="13"/>
                <w:szCs w:val="13"/>
                <w:color w:val="auto"/>
              </w:rPr>
              <w:t>8,124</w:t>
            </w:r>
          </w:p>
        </w:tc>
        <w:tc>
          <w:tcPr>
            <w:tcW w:w="900" w:type="dxa"/>
            <w:vAlign w:val="bottom"/>
          </w:tcPr>
          <w:p>
            <w:pPr>
              <w:jc w:val="center"/>
              <w:spacing w:after="0"/>
              <w:rPr>
                <w:sz w:val="20"/>
                <w:szCs w:val="20"/>
                <w:color w:val="auto"/>
              </w:rPr>
            </w:pPr>
            <w:r>
              <w:rPr>
                <w:rFonts w:ascii="Arial" w:cs="Arial" w:eastAsia="Arial" w:hAnsi="Arial"/>
                <w:sz w:val="13"/>
                <w:szCs w:val="13"/>
                <w:color w:val="auto"/>
              </w:rPr>
              <w:t>8,935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9,247</w:t>
            </w:r>
          </w:p>
        </w:tc>
        <w:tc>
          <w:tcPr>
            <w:tcW w:w="780" w:type="dxa"/>
            <w:vAlign w:val="bottom"/>
          </w:tcPr>
          <w:p>
            <w:pPr>
              <w:jc w:val="center"/>
              <w:spacing w:after="0"/>
              <w:rPr>
                <w:sz w:val="20"/>
                <w:szCs w:val="20"/>
                <w:color w:val="auto"/>
              </w:rPr>
            </w:pPr>
            <w:r>
              <w:rPr>
                <w:rFonts w:ascii="Arial" w:cs="Arial" w:eastAsia="Arial" w:hAnsi="Arial"/>
                <w:sz w:val="13"/>
                <w:szCs w:val="13"/>
                <w:color w:val="auto"/>
              </w:rPr>
              <w:t>3.5%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13.8%</w:t>
            </w:r>
          </w:p>
        </w:tc>
        <w:tc>
          <w:tcPr>
            <w:tcW w:w="860" w:type="dxa"/>
            <w:vAlign w:val="bottom"/>
          </w:tcPr>
          <w:p>
            <w:pPr>
              <w:jc w:val="center"/>
              <w:spacing w:after="0"/>
              <w:rPr>
                <w:sz w:val="20"/>
                <w:szCs w:val="20"/>
                <w:color w:val="auto"/>
              </w:rPr>
            </w:pPr>
            <w:r>
              <w:rPr>
                <w:rFonts w:ascii="Arial" w:cs="Arial" w:eastAsia="Arial" w:hAnsi="Arial"/>
                <w:sz w:val="13"/>
                <w:szCs w:val="13"/>
                <w:color w:val="auto"/>
              </w:rPr>
              <w:t>29,466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33,579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14.0%</w:t>
            </w:r>
          </w:p>
        </w:tc>
      </w:tr>
      <w:tr>
        <w:trPr>
          <w:trHeight w:val="149"/>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Insurance</w:t>
            </w:r>
          </w:p>
        </w:tc>
        <w:tc>
          <w:tcPr>
            <w:tcW w:w="860" w:type="dxa"/>
            <w:vAlign w:val="bottom"/>
          </w:tcPr>
          <w:p>
            <w:pPr>
              <w:jc w:val="center"/>
              <w:spacing w:after="0"/>
              <w:rPr>
                <w:sz w:val="20"/>
                <w:szCs w:val="20"/>
                <w:color w:val="auto"/>
              </w:rPr>
            </w:pPr>
            <w:r>
              <w:rPr>
                <w:rFonts w:ascii="Arial" w:cs="Arial" w:eastAsia="Arial" w:hAnsi="Arial"/>
                <w:sz w:val="13"/>
                <w:szCs w:val="13"/>
                <w:color w:val="auto"/>
              </w:rPr>
              <w:t>14,312</w:t>
            </w:r>
          </w:p>
        </w:tc>
        <w:tc>
          <w:tcPr>
            <w:tcW w:w="900" w:type="dxa"/>
            <w:vAlign w:val="bottom"/>
          </w:tcPr>
          <w:p>
            <w:pPr>
              <w:jc w:val="center"/>
              <w:spacing w:after="0"/>
              <w:rPr>
                <w:sz w:val="20"/>
                <w:szCs w:val="20"/>
                <w:color w:val="auto"/>
              </w:rPr>
            </w:pPr>
            <w:r>
              <w:rPr>
                <w:rFonts w:ascii="Arial" w:cs="Arial" w:eastAsia="Arial" w:hAnsi="Arial"/>
                <w:sz w:val="13"/>
                <w:szCs w:val="13"/>
                <w:color w:val="auto"/>
              </w:rPr>
              <w:t>34,401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-18,515</w:t>
            </w:r>
          </w:p>
        </w:tc>
        <w:tc>
          <w:tcPr>
            <w:tcW w:w="780" w:type="dxa"/>
            <w:vAlign w:val="bottom"/>
          </w:tcPr>
          <w:p>
            <w:pPr>
              <w:jc w:val="center"/>
              <w:spacing w:after="0"/>
              <w:rPr>
                <w:sz w:val="20"/>
                <w:szCs w:val="20"/>
                <w:color w:val="auto"/>
              </w:rPr>
            </w:pPr>
            <w:r>
              <w:rPr>
                <w:rFonts w:ascii="Arial" w:cs="Arial" w:eastAsia="Arial" w:hAnsi="Arial"/>
                <w:sz w:val="13"/>
                <w:szCs w:val="13"/>
                <w:color w:val="auto"/>
              </w:rPr>
              <w:t>-153.8%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-229.4%</w:t>
            </w:r>
          </w:p>
        </w:tc>
        <w:tc>
          <w:tcPr>
            <w:tcW w:w="860" w:type="dxa"/>
            <w:vAlign w:val="bottom"/>
          </w:tcPr>
          <w:p>
            <w:pPr>
              <w:jc w:val="center"/>
              <w:spacing w:after="0"/>
              <w:rPr>
                <w:sz w:val="20"/>
                <w:szCs w:val="20"/>
                <w:color w:val="auto"/>
              </w:rPr>
            </w:pPr>
            <w:r>
              <w:rPr>
                <w:rFonts w:ascii="Arial" w:cs="Arial" w:eastAsia="Arial" w:hAnsi="Arial"/>
                <w:sz w:val="13"/>
                <w:szCs w:val="13"/>
                <w:color w:val="auto"/>
              </w:rPr>
              <w:t>55,150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44,046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-20.1%</w:t>
            </w:r>
          </w:p>
        </w:tc>
      </w:tr>
      <w:tr>
        <w:trPr>
          <w:trHeight w:val="148"/>
        </w:trPr>
        <w:tc>
          <w:tcPr>
            <w:tcW w:w="426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Cleaning</w:t>
            </w:r>
          </w:p>
        </w:tc>
        <w:tc>
          <w:tcPr>
            <w:tcW w:w="860" w:type="dxa"/>
            <w:vAlign w:val="bottom"/>
          </w:tcPr>
          <w:p>
            <w:pPr>
              <w:jc w:val="center"/>
              <w:spacing w:after="0"/>
              <w:rPr>
                <w:sz w:val="20"/>
                <w:szCs w:val="20"/>
                <w:color w:val="auto"/>
              </w:rPr>
            </w:pPr>
            <w:r>
              <w:rPr>
                <w:rFonts w:ascii="Arial" w:cs="Arial" w:eastAsia="Arial" w:hAnsi="Arial"/>
                <w:sz w:val="13"/>
                <w:szCs w:val="13"/>
                <w:color w:val="auto"/>
              </w:rPr>
              <w:t>8,415</w:t>
            </w:r>
          </w:p>
        </w:tc>
        <w:tc>
          <w:tcPr>
            <w:tcW w:w="900" w:type="dxa"/>
            <w:vAlign w:val="bottom"/>
          </w:tcPr>
          <w:p>
            <w:pPr>
              <w:jc w:val="center"/>
              <w:spacing w:after="0"/>
              <w:rPr>
                <w:sz w:val="20"/>
                <w:szCs w:val="20"/>
                <w:color w:val="auto"/>
              </w:rPr>
            </w:pPr>
            <w:r>
              <w:rPr>
                <w:rFonts w:ascii="Arial" w:cs="Arial" w:eastAsia="Arial" w:hAnsi="Arial"/>
                <w:sz w:val="13"/>
                <w:szCs w:val="13"/>
                <w:color w:val="auto"/>
              </w:rPr>
              <w:t>6,474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7,208</w:t>
            </w:r>
          </w:p>
        </w:tc>
        <w:tc>
          <w:tcPr>
            <w:tcW w:w="780" w:type="dxa"/>
            <w:vAlign w:val="bottom"/>
          </w:tcPr>
          <w:p>
            <w:pPr>
              <w:jc w:val="center"/>
              <w:spacing w:after="0"/>
              <w:rPr>
                <w:sz w:val="20"/>
                <w:szCs w:val="20"/>
                <w:color w:val="auto"/>
              </w:rPr>
            </w:pPr>
            <w:r>
              <w:rPr>
                <w:rFonts w:ascii="Arial" w:cs="Arial" w:eastAsia="Arial" w:hAnsi="Arial"/>
                <w:sz w:val="13"/>
                <w:szCs w:val="13"/>
                <w:color w:val="auto"/>
              </w:rPr>
              <w:t>11.3%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-14.3%</w:t>
            </w:r>
          </w:p>
        </w:tc>
        <w:tc>
          <w:tcPr>
            <w:tcW w:w="860" w:type="dxa"/>
            <w:vAlign w:val="bottom"/>
          </w:tcPr>
          <w:p>
            <w:pPr>
              <w:jc w:val="center"/>
              <w:spacing w:after="0"/>
              <w:rPr>
                <w:sz w:val="20"/>
                <w:szCs w:val="20"/>
                <w:color w:val="auto"/>
              </w:rPr>
            </w:pPr>
            <w:r>
              <w:rPr>
                <w:rFonts w:ascii="Arial" w:cs="Arial" w:eastAsia="Arial" w:hAnsi="Arial"/>
                <w:sz w:val="13"/>
                <w:szCs w:val="13"/>
                <w:color w:val="auto"/>
              </w:rPr>
              <w:t>25,549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27,254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6.7%</w:t>
            </w:r>
          </w:p>
        </w:tc>
      </w:tr>
      <w:tr>
        <w:trPr>
          <w:trHeight w:val="165"/>
        </w:trPr>
        <w:tc>
          <w:tcPr>
            <w:tcW w:w="42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Others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29,809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72,598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18,590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-74.4%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-37.6%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228,002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230,105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0.9%</w:t>
            </w:r>
          </w:p>
        </w:tc>
      </w:tr>
      <w:tr>
        <w:trPr>
          <w:trHeight w:val="142"/>
        </w:trPr>
        <w:tc>
          <w:tcPr>
            <w:tcW w:w="426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w:t>
            </w: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1,150,867</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1,068,459</w:t>
            </w: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1,186,497</w:t>
            </w: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11.0%</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3.1%</w:t>
            </w: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3,891,622</w:t>
            </w:r>
          </w:p>
        </w:tc>
        <w:tc>
          <w:tcPr>
            <w:tcW w:w="9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4,090,784</w:t>
            </w:r>
          </w:p>
        </w:tc>
        <w:tc>
          <w:tcPr>
            <w:tcW w:w="10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5.1%</w:t>
            </w:r>
          </w:p>
        </w:tc>
      </w:tr>
      <w:tr>
        <w:trPr>
          <w:trHeight w:val="1175"/>
        </w:trPr>
        <w:tc>
          <w:tcPr>
            <w:tcW w:w="4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-633730</wp:posOffset>
            </wp:positionV>
            <wp:extent cx="6780530" cy="514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80530" cy="514350"/>
                    </a:xfrm>
                    <a:prstGeom prst="rect">
                      <a:avLst/>
                    </a:prstGeom>
                    <a:noFill/>
                  </pic:spPr>
                </pic:pic>
              </a:graphicData>
            </a:graphic>
          </wp:anchor>
        </w:drawing>
      </w:r>
    </w:p>
    <w:p>
      <w:pPr>
        <w:sectPr>
          <w:pgSz w:w="11920" w:h="16838" w:orient="portrait"/>
          <w:cols w:equalWidth="0" w:num="1">
            <w:col w:w="11267"/>
          </w:cols>
          <w:pgMar w:left="333" w:top="542" w:right="318" w:bottom="1440" w:gutter="0" w:footer="0" w:header="0"/>
        </w:sectPr>
      </w:pPr>
    </w:p>
    <w:bookmarkStart w:id="42" w:name="page43"/>
    <w:bookmarkEnd w:id="42"/>
    <w:p>
      <w:pPr>
        <w:ind w:left="2687"/>
        <w:spacing w:after="0"/>
        <w:tabs>
          <w:tab w:leader="none" w:pos="2927" w:val="left"/>
          <w:tab w:leader="none" w:pos="932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145415</wp:posOffset>
            </wp:positionV>
            <wp:extent cx="7089140" cy="6172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8914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393" w:lineRule="exact"/>
        <w:rPr>
          <w:sz w:val="20"/>
          <w:szCs w:val="20"/>
          <w:color w:val="auto"/>
        </w:rPr>
      </w:pPr>
    </w:p>
    <w:p>
      <w:pPr>
        <w:ind w:left="27"/>
        <w:spacing w:after="0"/>
        <w:rPr>
          <w:sz w:val="20"/>
          <w:szCs w:val="20"/>
          <w:color w:val="auto"/>
        </w:rPr>
      </w:pPr>
      <w:r>
        <w:rPr>
          <w:rFonts w:ascii="Arial" w:cs="Arial" w:eastAsia="Arial" w:hAnsi="Arial"/>
          <w:sz w:val="22"/>
          <w:szCs w:val="22"/>
          <w:b w:val="1"/>
          <w:bCs w:val="1"/>
          <w:color w:val="FFFFFF"/>
        </w:rPr>
        <w:t>08.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08914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186"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YTD, administrative expenses rose 5.1%. Growth in operating expenses was driven mainly by BCP Stand-alone and, to a lesser degree, by Pacifico, which reported an increase in expenses for IT and system outsourcing as well as higher expenses for Auditing, Consulting, and professional fees (primarily associated with digital transformation initiatives).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Operating Expenses for Core Businesses and the Innovation Portfolio</w:t>
      </w:r>
    </w:p>
    <w:p>
      <w:pPr>
        <w:spacing w:after="0" w:line="202" w:lineRule="exact"/>
        <w:rPr>
          <w:sz w:val="20"/>
          <w:szCs w:val="20"/>
          <w:color w:val="auto"/>
        </w:rPr>
      </w:pPr>
    </w:p>
    <w:tbl>
      <w:tblPr>
        <w:tblLayout w:type="fixed"/>
        <w:tblInd w:w="17" w:type="dxa"/>
        <w:tblCellMar>
          <w:top w:w="0" w:type="dxa"/>
          <w:left w:w="0" w:type="dxa"/>
          <w:bottom w:w="0" w:type="dxa"/>
          <w:right w:w="0" w:type="dxa"/>
        </w:tblCellMar>
      </w:tblPr>
      <w:tr>
        <w:trPr>
          <w:trHeight w:val="125"/>
        </w:trPr>
        <w:tc>
          <w:tcPr>
            <w:tcW w:w="2600" w:type="dxa"/>
            <w:vAlign w:val="bottom"/>
            <w:tcBorders>
              <w:top w:val="single" w:sz="8" w:color="auto"/>
              <w:left w:val="single" w:sz="8" w:color="auto"/>
              <w:right w:val="single" w:sz="8" w:color="auto"/>
            </w:tcBorders>
            <w:shd w:val="clear" w:color="auto" w:fill="33CCCC"/>
          </w:tcPr>
          <w:p>
            <w:pPr>
              <w:spacing w:after="0" w:line="125" w:lineRule="exact"/>
              <w:rPr>
                <w:sz w:val="20"/>
                <w:szCs w:val="20"/>
                <w:color w:val="auto"/>
              </w:rPr>
            </w:pPr>
            <w:r>
              <w:rPr>
                <w:rFonts w:ascii="Arial" w:cs="Arial" w:eastAsia="Arial" w:hAnsi="Arial"/>
                <w:sz w:val="9"/>
                <w:szCs w:val="9"/>
                <w:b w:val="1"/>
                <w:bCs w:val="1"/>
                <w:color w:val="FFFFFF"/>
              </w:rPr>
              <w:t xml:space="preserve">Operating Expenses </w:t>
            </w:r>
            <w:r>
              <w:rPr>
                <w:rFonts w:ascii="Arial" w:cs="Arial" w:eastAsia="Arial" w:hAnsi="Arial"/>
                <w:sz w:val="14"/>
                <w:szCs w:val="14"/>
                <w:b w:val="1"/>
                <w:bCs w:val="1"/>
                <w:color w:val="FFFFFF"/>
                <w:vertAlign w:val="superscript"/>
              </w:rPr>
              <w:t>(1)</w:t>
            </w:r>
          </w:p>
        </w:tc>
        <w:tc>
          <w:tcPr>
            <w:tcW w:w="1080" w:type="dxa"/>
            <w:vAlign w:val="bottom"/>
            <w:tcBorders>
              <w:top w:val="single" w:sz="8" w:color="auto"/>
            </w:tcBorders>
            <w:shd w:val="clear" w:color="auto" w:fill="33CCCC"/>
          </w:tcPr>
          <w:p>
            <w:pPr>
              <w:spacing w:after="0"/>
              <w:rPr>
                <w:sz w:val="10"/>
                <w:szCs w:val="10"/>
                <w:color w:val="auto"/>
              </w:rPr>
            </w:pPr>
          </w:p>
        </w:tc>
        <w:tc>
          <w:tcPr>
            <w:tcW w:w="1240" w:type="dxa"/>
            <w:vAlign w:val="bottom"/>
            <w:tcBorders>
              <w:top w:val="single" w:sz="8" w:color="auto"/>
            </w:tcBorders>
            <w:shd w:val="clear" w:color="auto" w:fill="33CCCC"/>
          </w:tcPr>
          <w:p>
            <w:pPr>
              <w:jc w:val="right"/>
              <w:ind w:right="219"/>
              <w:spacing w:after="0" w:line="125" w:lineRule="exact"/>
              <w:rPr>
                <w:sz w:val="20"/>
                <w:szCs w:val="20"/>
                <w:color w:val="auto"/>
              </w:rPr>
            </w:pPr>
            <w:r>
              <w:rPr>
                <w:rFonts w:ascii="Arial" w:cs="Arial" w:eastAsia="Arial" w:hAnsi="Arial"/>
                <w:sz w:val="13"/>
                <w:szCs w:val="13"/>
                <w:b w:val="1"/>
                <w:bCs w:val="1"/>
                <w:color w:val="FFFFFF"/>
              </w:rPr>
              <w:t>Quarter</w:t>
            </w:r>
          </w:p>
        </w:tc>
        <w:tc>
          <w:tcPr>
            <w:tcW w:w="1340" w:type="dxa"/>
            <w:vAlign w:val="bottom"/>
            <w:tcBorders>
              <w:top w:val="single" w:sz="8" w:color="auto"/>
              <w:right w:val="single" w:sz="8" w:color="auto"/>
            </w:tcBorders>
            <w:shd w:val="clear" w:color="auto" w:fill="33CCCC"/>
          </w:tcPr>
          <w:p>
            <w:pPr>
              <w:spacing w:after="0"/>
              <w:rPr>
                <w:sz w:val="10"/>
                <w:szCs w:val="10"/>
                <w:color w:val="auto"/>
              </w:rPr>
            </w:pPr>
          </w:p>
        </w:tc>
        <w:tc>
          <w:tcPr>
            <w:tcW w:w="1440" w:type="dxa"/>
            <w:vAlign w:val="bottom"/>
            <w:tcBorders>
              <w:top w:val="single" w:sz="8" w:color="auto"/>
              <w:right w:val="single" w:sz="8" w:color="auto"/>
            </w:tcBorders>
            <w:gridSpan w:val="2"/>
            <w:shd w:val="clear" w:color="auto" w:fill="33CCCC"/>
          </w:tcPr>
          <w:p>
            <w:pPr>
              <w:ind w:left="420"/>
              <w:spacing w:after="0" w:line="125" w:lineRule="exact"/>
              <w:rPr>
                <w:sz w:val="20"/>
                <w:szCs w:val="20"/>
                <w:color w:val="auto"/>
              </w:rPr>
            </w:pPr>
            <w:r>
              <w:rPr>
                <w:rFonts w:ascii="Arial" w:cs="Arial" w:eastAsia="Arial" w:hAnsi="Arial"/>
                <w:sz w:val="13"/>
                <w:szCs w:val="13"/>
                <w:b w:val="1"/>
                <w:bCs w:val="1"/>
                <w:color w:val="FFFFFF"/>
              </w:rPr>
              <w:t>% change</w:t>
            </w:r>
          </w:p>
        </w:tc>
        <w:tc>
          <w:tcPr>
            <w:tcW w:w="920" w:type="dxa"/>
            <w:vAlign w:val="bottom"/>
            <w:tcBorders>
              <w:top w:val="single" w:sz="8" w:color="auto"/>
            </w:tcBorders>
            <w:shd w:val="clear" w:color="auto" w:fill="33CCCC"/>
          </w:tcPr>
          <w:p>
            <w:pPr>
              <w:spacing w:after="0"/>
              <w:rPr>
                <w:sz w:val="10"/>
                <w:szCs w:val="10"/>
                <w:color w:val="auto"/>
              </w:rPr>
            </w:pPr>
          </w:p>
        </w:tc>
        <w:tc>
          <w:tcPr>
            <w:tcW w:w="1540" w:type="dxa"/>
            <w:vAlign w:val="bottom"/>
            <w:tcBorders>
              <w:top w:val="single" w:sz="8" w:color="auto"/>
              <w:right w:val="single" w:sz="8" w:color="auto"/>
            </w:tcBorders>
            <w:shd w:val="clear" w:color="auto" w:fill="33CCCC"/>
          </w:tcPr>
          <w:p>
            <w:pPr>
              <w:jc w:val="right"/>
              <w:ind w:right="1039"/>
              <w:spacing w:after="0" w:line="125" w:lineRule="exact"/>
              <w:rPr>
                <w:sz w:val="20"/>
                <w:szCs w:val="20"/>
                <w:color w:val="auto"/>
              </w:rPr>
            </w:pPr>
            <w:r>
              <w:rPr>
                <w:rFonts w:ascii="Arial" w:cs="Arial" w:eastAsia="Arial" w:hAnsi="Arial"/>
                <w:sz w:val="13"/>
                <w:szCs w:val="13"/>
                <w:b w:val="1"/>
                <w:bCs w:val="1"/>
                <w:color w:val="FFFFFF"/>
              </w:rPr>
              <w:t>Up to</w:t>
            </w:r>
          </w:p>
        </w:tc>
        <w:tc>
          <w:tcPr>
            <w:tcW w:w="1120" w:type="dxa"/>
            <w:vAlign w:val="bottom"/>
            <w:tcBorders>
              <w:top w:val="single" w:sz="8" w:color="auto"/>
              <w:right w:val="single" w:sz="8" w:color="auto"/>
            </w:tcBorders>
            <w:shd w:val="clear" w:color="auto" w:fill="33CCCC"/>
          </w:tcPr>
          <w:p>
            <w:pPr>
              <w:jc w:val="center"/>
              <w:spacing w:after="0" w:line="125" w:lineRule="exact"/>
              <w:rPr>
                <w:sz w:val="20"/>
                <w:szCs w:val="20"/>
                <w:color w:val="auto"/>
              </w:rPr>
            </w:pPr>
            <w:r>
              <w:rPr>
                <w:rFonts w:ascii="Arial" w:cs="Arial" w:eastAsia="Arial" w:hAnsi="Arial"/>
                <w:sz w:val="13"/>
                <w:szCs w:val="13"/>
                <w:b w:val="1"/>
                <w:bCs w:val="1"/>
                <w:color w:val="FFFFFF"/>
                <w:w w:val="95"/>
              </w:rPr>
              <w:t>% change</w:t>
            </w:r>
          </w:p>
        </w:tc>
      </w:tr>
      <w:tr>
        <w:trPr>
          <w:trHeight w:val="159"/>
        </w:trPr>
        <w:tc>
          <w:tcPr>
            <w:tcW w:w="260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 000</w:t>
            </w:r>
          </w:p>
        </w:tc>
        <w:tc>
          <w:tcPr>
            <w:tcW w:w="1080" w:type="dxa"/>
            <w:vAlign w:val="bottom"/>
            <w:tcBorders>
              <w:bottom w:val="single" w:sz="8" w:color="auto"/>
            </w:tcBorders>
            <w:shd w:val="clear" w:color="auto" w:fill="33CCCC"/>
          </w:tcPr>
          <w:p>
            <w:pPr>
              <w:jc w:val="right"/>
              <w:ind w:right="260"/>
              <w:spacing w:after="0"/>
              <w:rPr>
                <w:sz w:val="20"/>
                <w:szCs w:val="20"/>
                <w:color w:val="auto"/>
              </w:rPr>
            </w:pPr>
            <w:r>
              <w:rPr>
                <w:rFonts w:ascii="Arial" w:cs="Arial" w:eastAsia="Arial" w:hAnsi="Arial"/>
                <w:sz w:val="13"/>
                <w:szCs w:val="13"/>
                <w:b w:val="1"/>
                <w:bCs w:val="1"/>
                <w:color w:val="FFFFFF"/>
              </w:rPr>
              <w:t>4Q24</w:t>
            </w:r>
          </w:p>
        </w:tc>
        <w:tc>
          <w:tcPr>
            <w:tcW w:w="1240" w:type="dxa"/>
            <w:vAlign w:val="bottom"/>
            <w:tcBorders>
              <w:bottom w:val="single" w:sz="8" w:color="auto"/>
            </w:tcBorders>
            <w:shd w:val="clear" w:color="auto" w:fill="33CCCC"/>
          </w:tcPr>
          <w:p>
            <w:pPr>
              <w:jc w:val="right"/>
              <w:ind w:right="279"/>
              <w:spacing w:after="0"/>
              <w:rPr>
                <w:sz w:val="20"/>
                <w:szCs w:val="20"/>
                <w:color w:val="auto"/>
              </w:rPr>
            </w:pPr>
            <w:r>
              <w:rPr>
                <w:rFonts w:ascii="Arial" w:cs="Arial" w:eastAsia="Arial" w:hAnsi="Arial"/>
                <w:sz w:val="13"/>
                <w:szCs w:val="13"/>
                <w:b w:val="1"/>
                <w:bCs w:val="1"/>
                <w:color w:val="FFFFFF"/>
              </w:rPr>
              <w:t>3Q25</w:t>
            </w:r>
          </w:p>
        </w:tc>
        <w:tc>
          <w:tcPr>
            <w:tcW w:w="1340" w:type="dxa"/>
            <w:vAlign w:val="bottom"/>
            <w:tcBorders>
              <w:bottom w:val="single" w:sz="8" w:color="auto"/>
              <w:right w:val="single" w:sz="8" w:color="auto"/>
            </w:tcBorders>
            <w:shd w:val="clear" w:color="auto" w:fill="33CCCC"/>
          </w:tcPr>
          <w:p>
            <w:pPr>
              <w:jc w:val="right"/>
              <w:ind w:right="400"/>
              <w:spacing w:after="0"/>
              <w:rPr>
                <w:sz w:val="20"/>
                <w:szCs w:val="20"/>
                <w:color w:val="auto"/>
              </w:rPr>
            </w:pPr>
            <w:r>
              <w:rPr>
                <w:rFonts w:ascii="Arial" w:cs="Arial" w:eastAsia="Arial" w:hAnsi="Arial"/>
                <w:sz w:val="13"/>
                <w:szCs w:val="13"/>
                <w:b w:val="1"/>
                <w:bCs w:val="1"/>
                <w:color w:val="FFFFFF"/>
              </w:rPr>
              <w:t>4Q25</w:t>
            </w:r>
          </w:p>
        </w:tc>
        <w:tc>
          <w:tcPr>
            <w:tcW w:w="700" w:type="dxa"/>
            <w:vAlign w:val="bottom"/>
            <w:tcBorders>
              <w:bottom w:val="single" w:sz="8" w:color="auto"/>
            </w:tcBorders>
            <w:shd w:val="clear" w:color="auto" w:fill="33CCCC"/>
          </w:tcPr>
          <w:p>
            <w:pPr>
              <w:ind w:left="220"/>
              <w:spacing w:after="0"/>
              <w:rPr>
                <w:sz w:val="20"/>
                <w:szCs w:val="20"/>
                <w:color w:val="auto"/>
              </w:rPr>
            </w:pPr>
            <w:r>
              <w:rPr>
                <w:rFonts w:ascii="Arial" w:cs="Arial" w:eastAsia="Arial" w:hAnsi="Arial"/>
                <w:sz w:val="13"/>
                <w:szCs w:val="13"/>
                <w:b w:val="1"/>
                <w:bCs w:val="1"/>
                <w:color w:val="FFFFFF"/>
              </w:rPr>
              <w:t>QoQ</w:t>
            </w:r>
          </w:p>
        </w:tc>
        <w:tc>
          <w:tcPr>
            <w:tcW w:w="740" w:type="dxa"/>
            <w:vAlign w:val="bottom"/>
            <w:tcBorders>
              <w:bottom w:val="single" w:sz="8" w:color="auto"/>
              <w:right w:val="single" w:sz="8" w:color="auto"/>
            </w:tcBorders>
            <w:shd w:val="clear" w:color="auto" w:fill="33CCCC"/>
          </w:tcPr>
          <w:p>
            <w:pPr>
              <w:ind w:left="240"/>
              <w:spacing w:after="0"/>
              <w:rPr>
                <w:sz w:val="20"/>
                <w:szCs w:val="20"/>
                <w:color w:val="auto"/>
              </w:rPr>
            </w:pPr>
            <w:r>
              <w:rPr>
                <w:rFonts w:ascii="Arial" w:cs="Arial" w:eastAsia="Arial" w:hAnsi="Arial"/>
                <w:sz w:val="13"/>
                <w:szCs w:val="13"/>
                <w:b w:val="1"/>
                <w:bCs w:val="1"/>
                <w:color w:val="FFFFFF"/>
              </w:rPr>
              <w:t>YoY</w:t>
            </w:r>
          </w:p>
        </w:tc>
        <w:tc>
          <w:tcPr>
            <w:tcW w:w="920" w:type="dxa"/>
            <w:vAlign w:val="bottom"/>
            <w:tcBorders>
              <w:bottom w:val="single" w:sz="8" w:color="auto"/>
            </w:tcBorders>
            <w:shd w:val="clear" w:color="auto" w:fill="33CCCC"/>
          </w:tcPr>
          <w:p>
            <w:pPr>
              <w:jc w:val="right"/>
              <w:ind w:right="60"/>
              <w:spacing w:after="0"/>
              <w:rPr>
                <w:sz w:val="20"/>
                <w:szCs w:val="20"/>
                <w:color w:val="auto"/>
              </w:rPr>
            </w:pPr>
            <w:r>
              <w:rPr>
                <w:rFonts w:ascii="Arial" w:cs="Arial" w:eastAsia="Arial" w:hAnsi="Arial"/>
                <w:sz w:val="13"/>
                <w:szCs w:val="13"/>
                <w:b w:val="1"/>
                <w:bCs w:val="1"/>
                <w:color w:val="FFFFFF"/>
              </w:rPr>
              <w:t>Dec 24</w:t>
            </w:r>
          </w:p>
        </w:tc>
        <w:tc>
          <w:tcPr>
            <w:tcW w:w="1540" w:type="dxa"/>
            <w:vAlign w:val="bottom"/>
            <w:tcBorders>
              <w:bottom w:val="single" w:sz="8" w:color="auto"/>
              <w:right w:val="single" w:sz="8" w:color="auto"/>
            </w:tcBorders>
            <w:shd w:val="clear" w:color="auto" w:fill="33CCCC"/>
          </w:tcPr>
          <w:p>
            <w:pPr>
              <w:jc w:val="right"/>
              <w:ind w:right="379"/>
              <w:spacing w:after="0"/>
              <w:rPr>
                <w:sz w:val="20"/>
                <w:szCs w:val="20"/>
                <w:color w:val="auto"/>
              </w:rPr>
            </w:pPr>
            <w:r>
              <w:rPr>
                <w:rFonts w:ascii="Arial" w:cs="Arial" w:eastAsia="Arial" w:hAnsi="Arial"/>
                <w:sz w:val="13"/>
                <w:szCs w:val="13"/>
                <w:b w:val="1"/>
                <w:bCs w:val="1"/>
                <w:color w:val="FFFFFF"/>
              </w:rPr>
              <w:t>Dec 25</w:t>
            </w:r>
          </w:p>
        </w:tc>
        <w:tc>
          <w:tcPr>
            <w:tcW w:w="11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7"/>
              </w:rPr>
              <w:t>Dec 25 / Dec 24</w:t>
            </w:r>
          </w:p>
        </w:tc>
      </w:tr>
      <w:tr>
        <w:trPr>
          <w:trHeight w:val="103"/>
        </w:trPr>
        <w:tc>
          <w:tcPr>
            <w:tcW w:w="2600" w:type="dxa"/>
            <w:vAlign w:val="bottom"/>
            <w:tcBorders>
              <w:left w:val="single" w:sz="8" w:color="auto"/>
              <w:right w:val="single" w:sz="8" w:color="auto"/>
            </w:tcBorders>
          </w:tcPr>
          <w:p>
            <w:pPr>
              <w:spacing w:after="0" w:line="103" w:lineRule="exact"/>
              <w:rPr>
                <w:sz w:val="20"/>
                <w:szCs w:val="20"/>
                <w:color w:val="auto"/>
              </w:rPr>
            </w:pPr>
            <w:r>
              <w:rPr>
                <w:rFonts w:ascii="Arial" w:cs="Arial" w:eastAsia="Arial" w:hAnsi="Arial"/>
                <w:sz w:val="10"/>
                <w:szCs w:val="10"/>
                <w:color w:val="auto"/>
              </w:rPr>
              <w:t>Operating Expenses Ex Innovation</w:t>
            </w:r>
          </w:p>
        </w:tc>
        <w:tc>
          <w:tcPr>
            <w:tcW w:w="1080" w:type="dxa"/>
            <w:vAlign w:val="bottom"/>
          </w:tcPr>
          <w:p>
            <w:pPr>
              <w:jc w:val="right"/>
              <w:ind w:right="300"/>
              <w:spacing w:after="0" w:line="103" w:lineRule="exact"/>
              <w:rPr>
                <w:sz w:val="20"/>
                <w:szCs w:val="20"/>
                <w:color w:val="auto"/>
              </w:rPr>
            </w:pPr>
            <w:r>
              <w:rPr>
                <w:rFonts w:ascii="Arial" w:cs="Arial" w:eastAsia="Arial" w:hAnsi="Arial"/>
                <w:sz w:val="10"/>
                <w:szCs w:val="10"/>
                <w:color w:val="auto"/>
              </w:rPr>
              <w:t>2,256,447</w:t>
            </w:r>
          </w:p>
        </w:tc>
        <w:tc>
          <w:tcPr>
            <w:tcW w:w="1240" w:type="dxa"/>
            <w:vAlign w:val="bottom"/>
          </w:tcPr>
          <w:p>
            <w:pPr>
              <w:jc w:val="right"/>
              <w:ind w:right="319"/>
              <w:spacing w:after="0" w:line="103" w:lineRule="exact"/>
              <w:rPr>
                <w:sz w:val="20"/>
                <w:szCs w:val="20"/>
                <w:color w:val="auto"/>
              </w:rPr>
            </w:pPr>
            <w:r>
              <w:rPr>
                <w:rFonts w:ascii="Arial" w:cs="Arial" w:eastAsia="Arial" w:hAnsi="Arial"/>
                <w:sz w:val="10"/>
                <w:szCs w:val="10"/>
                <w:color w:val="auto"/>
              </w:rPr>
              <w:t>2,282,506</w:t>
            </w:r>
          </w:p>
        </w:tc>
        <w:tc>
          <w:tcPr>
            <w:tcW w:w="1340" w:type="dxa"/>
            <w:vAlign w:val="bottom"/>
            <w:tcBorders>
              <w:right w:val="single" w:sz="8" w:color="auto"/>
            </w:tcBorders>
          </w:tcPr>
          <w:p>
            <w:pPr>
              <w:jc w:val="right"/>
              <w:ind w:right="440"/>
              <w:spacing w:after="0" w:line="103" w:lineRule="exact"/>
              <w:rPr>
                <w:sz w:val="20"/>
                <w:szCs w:val="20"/>
                <w:color w:val="auto"/>
              </w:rPr>
            </w:pPr>
            <w:r>
              <w:rPr>
                <w:rFonts w:ascii="Arial" w:cs="Arial" w:eastAsia="Arial" w:hAnsi="Arial"/>
                <w:sz w:val="10"/>
                <w:szCs w:val="10"/>
                <w:color w:val="auto"/>
              </w:rPr>
              <w:t>2,436,589</w:t>
            </w:r>
          </w:p>
        </w:tc>
        <w:tc>
          <w:tcPr>
            <w:tcW w:w="700" w:type="dxa"/>
            <w:vAlign w:val="bottom"/>
          </w:tcPr>
          <w:p>
            <w:pPr>
              <w:jc w:val="center"/>
              <w:spacing w:after="0" w:line="103" w:lineRule="exact"/>
              <w:rPr>
                <w:sz w:val="20"/>
                <w:szCs w:val="20"/>
                <w:color w:val="auto"/>
              </w:rPr>
            </w:pPr>
            <w:r>
              <w:rPr>
                <w:rFonts w:ascii="Arial" w:cs="Arial" w:eastAsia="Arial" w:hAnsi="Arial"/>
                <w:sz w:val="10"/>
                <w:szCs w:val="10"/>
                <w:color w:val="auto"/>
              </w:rPr>
              <w:t>6.8%</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8.0%</w:t>
            </w:r>
          </w:p>
        </w:tc>
        <w:tc>
          <w:tcPr>
            <w:tcW w:w="920" w:type="dxa"/>
            <w:vAlign w:val="bottom"/>
          </w:tcPr>
          <w:p>
            <w:pPr>
              <w:jc w:val="right"/>
              <w:ind w:right="140"/>
              <w:spacing w:after="0" w:line="103" w:lineRule="exact"/>
              <w:rPr>
                <w:sz w:val="20"/>
                <w:szCs w:val="20"/>
                <w:color w:val="auto"/>
              </w:rPr>
            </w:pPr>
            <w:r>
              <w:rPr>
                <w:rFonts w:ascii="Arial" w:cs="Arial" w:eastAsia="Arial" w:hAnsi="Arial"/>
                <w:sz w:val="10"/>
                <w:szCs w:val="10"/>
                <w:color w:val="auto"/>
              </w:rPr>
              <w:t>8,124,718</w:t>
            </w:r>
          </w:p>
        </w:tc>
        <w:tc>
          <w:tcPr>
            <w:tcW w:w="1540" w:type="dxa"/>
            <w:vAlign w:val="bottom"/>
            <w:tcBorders>
              <w:right w:val="single" w:sz="8" w:color="auto"/>
            </w:tcBorders>
          </w:tcPr>
          <w:p>
            <w:pPr>
              <w:jc w:val="right"/>
              <w:ind w:right="459"/>
              <w:spacing w:after="0" w:line="103" w:lineRule="exact"/>
              <w:rPr>
                <w:sz w:val="20"/>
                <w:szCs w:val="20"/>
                <w:color w:val="auto"/>
              </w:rPr>
            </w:pPr>
            <w:r>
              <w:rPr>
                <w:rFonts w:ascii="Arial" w:cs="Arial" w:eastAsia="Arial" w:hAnsi="Arial"/>
                <w:sz w:val="10"/>
                <w:szCs w:val="10"/>
                <w:color w:val="auto"/>
              </w:rPr>
              <w:t>9,023,546</w:t>
            </w:r>
          </w:p>
        </w:tc>
        <w:tc>
          <w:tcPr>
            <w:tcW w:w="11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11.1%</w:t>
            </w:r>
          </w:p>
        </w:tc>
      </w:tr>
      <w:tr>
        <w:trPr>
          <w:trHeight w:val="161"/>
        </w:trPr>
        <w:tc>
          <w:tcPr>
            <w:tcW w:w="260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2"/>
                <w:szCs w:val="12"/>
                <w:color w:val="auto"/>
              </w:rPr>
              <w:t xml:space="preserve">Innovation Portfolio </w:t>
            </w:r>
            <w:r>
              <w:rPr>
                <w:rFonts w:ascii="Arial" w:cs="Arial" w:eastAsia="Arial" w:hAnsi="Arial"/>
                <w:sz w:val="18"/>
                <w:szCs w:val="18"/>
                <w:color w:val="auto"/>
                <w:vertAlign w:val="superscript"/>
              </w:rPr>
              <w:t>(2)</w:t>
            </w: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color w:val="auto"/>
              </w:rPr>
              <w:t>356,431</w:t>
            </w: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color w:val="auto"/>
              </w:rPr>
              <w:t>346,955</w:t>
            </w:r>
          </w:p>
        </w:tc>
        <w:tc>
          <w:tcPr>
            <w:tcW w:w="1340" w:type="dxa"/>
            <w:vAlign w:val="bottom"/>
            <w:tcBorders>
              <w:bottom w:val="single" w:sz="8" w:color="auto"/>
              <w:right w:val="single" w:sz="8" w:color="auto"/>
            </w:tcBorders>
          </w:tcPr>
          <w:p>
            <w:pPr>
              <w:jc w:val="right"/>
              <w:ind w:right="440"/>
              <w:spacing w:after="0"/>
              <w:rPr>
                <w:sz w:val="20"/>
                <w:szCs w:val="20"/>
                <w:color w:val="auto"/>
              </w:rPr>
            </w:pPr>
            <w:r>
              <w:rPr>
                <w:rFonts w:ascii="Arial" w:cs="Arial" w:eastAsia="Arial" w:hAnsi="Arial"/>
                <w:sz w:val="13"/>
                <w:szCs w:val="13"/>
                <w:color w:val="auto"/>
              </w:rPr>
              <w:t>435,120</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25.4%</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22.1%</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color w:val="auto"/>
              </w:rPr>
              <w:t>1,185,079</w:t>
            </w:r>
          </w:p>
        </w:tc>
        <w:tc>
          <w:tcPr>
            <w:tcW w:w="154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3"/>
                <w:szCs w:val="13"/>
                <w:color w:val="auto"/>
              </w:rPr>
              <w:t>1,403,206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18.4%</w:t>
            </w:r>
          </w:p>
        </w:tc>
      </w:tr>
      <w:tr>
        <w:trPr>
          <w:trHeight w:val="128"/>
        </w:trPr>
        <w:tc>
          <w:tcPr>
            <w:tcW w:w="260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Total Operating Expenses</w:t>
            </w:r>
          </w:p>
        </w:tc>
        <w:tc>
          <w:tcPr>
            <w:tcW w:w="1080" w:type="dxa"/>
            <w:vAlign w:val="bottom"/>
            <w:tcBorders>
              <w:bottom w:val="single" w:sz="8" w:color="auto"/>
            </w:tcBorders>
          </w:tcPr>
          <w:p>
            <w:pPr>
              <w:jc w:val="right"/>
              <w:ind w:right="300"/>
              <w:spacing w:after="0" w:line="129" w:lineRule="exact"/>
              <w:rPr>
                <w:sz w:val="20"/>
                <w:szCs w:val="20"/>
                <w:color w:val="auto"/>
              </w:rPr>
            </w:pPr>
            <w:r>
              <w:rPr>
                <w:rFonts w:ascii="Arial" w:cs="Arial" w:eastAsia="Arial" w:hAnsi="Arial"/>
                <w:sz w:val="13"/>
                <w:szCs w:val="13"/>
                <w:b w:val="1"/>
                <w:bCs w:val="1"/>
                <w:color w:val="auto"/>
              </w:rPr>
              <w:t>2,612,878</w:t>
            </w:r>
          </w:p>
        </w:tc>
        <w:tc>
          <w:tcPr>
            <w:tcW w:w="1240" w:type="dxa"/>
            <w:vAlign w:val="bottom"/>
            <w:tcBorders>
              <w:bottom w:val="single" w:sz="8" w:color="auto"/>
            </w:tcBorders>
          </w:tcPr>
          <w:p>
            <w:pPr>
              <w:jc w:val="right"/>
              <w:ind w:right="319"/>
              <w:spacing w:after="0" w:line="129" w:lineRule="exact"/>
              <w:rPr>
                <w:sz w:val="20"/>
                <w:szCs w:val="20"/>
                <w:color w:val="auto"/>
              </w:rPr>
            </w:pPr>
            <w:r>
              <w:rPr>
                <w:rFonts w:ascii="Arial" w:cs="Arial" w:eastAsia="Arial" w:hAnsi="Arial"/>
                <w:sz w:val="13"/>
                <w:szCs w:val="13"/>
                <w:b w:val="1"/>
                <w:bCs w:val="1"/>
                <w:color w:val="auto"/>
              </w:rPr>
              <w:t>2,629,461</w:t>
            </w:r>
          </w:p>
        </w:tc>
        <w:tc>
          <w:tcPr>
            <w:tcW w:w="1340" w:type="dxa"/>
            <w:vAlign w:val="bottom"/>
            <w:tcBorders>
              <w:bottom w:val="single" w:sz="8" w:color="auto"/>
              <w:right w:val="single" w:sz="8" w:color="auto"/>
            </w:tcBorders>
          </w:tcPr>
          <w:p>
            <w:pPr>
              <w:jc w:val="right"/>
              <w:ind w:right="440"/>
              <w:spacing w:after="0" w:line="129" w:lineRule="exact"/>
              <w:rPr>
                <w:sz w:val="20"/>
                <w:szCs w:val="20"/>
                <w:color w:val="auto"/>
              </w:rPr>
            </w:pPr>
            <w:r>
              <w:rPr>
                <w:rFonts w:ascii="Arial" w:cs="Arial" w:eastAsia="Arial" w:hAnsi="Arial"/>
                <w:sz w:val="13"/>
                <w:szCs w:val="13"/>
                <w:b w:val="1"/>
                <w:bCs w:val="1"/>
                <w:color w:val="auto"/>
              </w:rPr>
              <w:t>2,871,709</w:t>
            </w:r>
          </w:p>
        </w:tc>
        <w:tc>
          <w:tcPr>
            <w:tcW w:w="7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9.2%</w:t>
            </w:r>
          </w:p>
        </w:tc>
        <w:tc>
          <w:tcPr>
            <w:tcW w:w="7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9.9%</w:t>
            </w:r>
          </w:p>
        </w:tc>
        <w:tc>
          <w:tcPr>
            <w:tcW w:w="920" w:type="dxa"/>
            <w:vAlign w:val="bottom"/>
            <w:tcBorders>
              <w:bottom w:val="single" w:sz="8" w:color="auto"/>
            </w:tcBorders>
          </w:tcPr>
          <w:p>
            <w:pPr>
              <w:jc w:val="right"/>
              <w:ind w:right="140"/>
              <w:spacing w:after="0" w:line="129" w:lineRule="exact"/>
              <w:rPr>
                <w:sz w:val="20"/>
                <w:szCs w:val="20"/>
                <w:color w:val="auto"/>
              </w:rPr>
            </w:pPr>
            <w:r>
              <w:rPr>
                <w:rFonts w:ascii="Arial" w:cs="Arial" w:eastAsia="Arial" w:hAnsi="Arial"/>
                <w:sz w:val="13"/>
                <w:szCs w:val="13"/>
                <w:b w:val="1"/>
                <w:bCs w:val="1"/>
                <w:color w:val="auto"/>
              </w:rPr>
              <w:t>9,309,797</w:t>
            </w:r>
          </w:p>
        </w:tc>
        <w:tc>
          <w:tcPr>
            <w:tcW w:w="1540" w:type="dxa"/>
            <w:vAlign w:val="bottom"/>
            <w:tcBorders>
              <w:bottom w:val="single" w:sz="8" w:color="auto"/>
              <w:right w:val="single" w:sz="8" w:color="auto"/>
            </w:tcBorders>
          </w:tcPr>
          <w:p>
            <w:pPr>
              <w:jc w:val="right"/>
              <w:ind w:right="459"/>
              <w:spacing w:after="0" w:line="129" w:lineRule="exact"/>
              <w:rPr>
                <w:sz w:val="20"/>
                <w:szCs w:val="20"/>
                <w:color w:val="auto"/>
              </w:rPr>
            </w:pPr>
            <w:r>
              <w:rPr>
                <w:rFonts w:ascii="Arial" w:cs="Arial" w:eastAsia="Arial" w:hAnsi="Arial"/>
                <w:sz w:val="13"/>
                <w:szCs w:val="13"/>
                <w:b w:val="1"/>
                <w:bCs w:val="1"/>
                <w:color w:val="auto"/>
              </w:rPr>
              <w:t>10,426,752</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12.0%</w:t>
            </w:r>
          </w:p>
        </w:tc>
      </w:tr>
    </w:tbl>
    <w:p>
      <w:pPr>
        <w:spacing w:after="0" w:line="191" w:lineRule="exact"/>
        <w:rPr>
          <w:sz w:val="20"/>
          <w:szCs w:val="20"/>
          <w:color w:val="auto"/>
        </w:rPr>
      </w:pPr>
    </w:p>
    <w:p>
      <w:pPr>
        <w:ind w:left="167" w:hanging="167"/>
        <w:spacing w:after="0"/>
        <w:tabs>
          <w:tab w:leader="none" w:pos="167" w:val="left"/>
        </w:tabs>
        <w:numPr>
          <w:ilvl w:val="0"/>
          <w:numId w:val="49"/>
        </w:numPr>
        <w:rPr>
          <w:rFonts w:ascii="Arial" w:cs="Arial" w:eastAsia="Arial" w:hAnsi="Arial"/>
          <w:sz w:val="12"/>
          <w:szCs w:val="12"/>
          <w:color w:val="auto"/>
        </w:rPr>
      </w:pPr>
      <w:r>
        <w:rPr>
          <w:rFonts w:ascii="Arial" w:cs="Arial" w:eastAsia="Arial" w:hAnsi="Arial"/>
          <w:sz w:val="12"/>
          <w:szCs w:val="12"/>
          <w:color w:val="auto"/>
        </w:rPr>
        <w:t>Management figures</w:t>
      </w:r>
    </w:p>
    <w:p>
      <w:pPr>
        <w:spacing w:after="0" w:line="11" w:lineRule="exact"/>
        <w:rPr>
          <w:rFonts w:ascii="Arial" w:cs="Arial" w:eastAsia="Arial" w:hAnsi="Arial"/>
          <w:sz w:val="12"/>
          <w:szCs w:val="12"/>
          <w:color w:val="auto"/>
        </w:rPr>
      </w:pPr>
    </w:p>
    <w:p>
      <w:pPr>
        <w:ind w:left="167" w:hanging="167"/>
        <w:spacing w:after="0"/>
        <w:tabs>
          <w:tab w:leader="none" w:pos="167"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Includes innovation portfolio initiatives in subsidiaries and Krealo.</w:t>
      </w:r>
    </w:p>
    <w:p>
      <w:pPr>
        <w:spacing w:after="0" w:line="174"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YoY, the 12.0% increase in operating expenses was mainly fueled by core business at BCP Stand -alone and by our innovation portfolio at the Credicorp level. Disruption expenses currently represent 13.5% of total expenses and rose 18.4% YTD. Yape, Tenpo and Culqi were the main contributors to disruption expenses and represent 83% of total expenses on disruptive initiatives.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color w:val="auto"/>
        </w:rPr>
        <w:t>Growth in expenses for core business at BCP Stand-alone was driven by:</w:t>
      </w:r>
    </w:p>
    <w:p>
      <w:pPr>
        <w:spacing w:after="0" w:line="210" w:lineRule="exact"/>
        <w:rPr>
          <w:sz w:val="20"/>
          <w:szCs w:val="20"/>
          <w:color w:val="auto"/>
        </w:rPr>
      </w:pPr>
    </w:p>
    <w:p>
      <w:pPr>
        <w:ind w:left="807" w:hanging="326"/>
        <w:spacing w:after="0"/>
        <w:tabs>
          <w:tab w:leader="none" w:pos="807"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Core business expenses excluding IT</w:t>
      </w:r>
    </w:p>
    <w:p>
      <w:pPr>
        <w:spacing w:after="0" w:line="19" w:lineRule="exact"/>
        <w:rPr>
          <w:rFonts w:ascii="Arial" w:cs="Arial" w:eastAsia="Arial" w:hAnsi="Arial"/>
          <w:sz w:val="18"/>
          <w:szCs w:val="18"/>
          <w:color w:val="auto"/>
        </w:rPr>
      </w:pPr>
    </w:p>
    <w:p>
      <w:pPr>
        <w:jc w:val="both"/>
        <w:ind w:left="1447" w:hanging="318"/>
        <w:spacing w:after="0" w:line="234" w:lineRule="auto"/>
        <w:tabs>
          <w:tab w:leader="none" w:pos="14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Growth in Employee Salaries and Benefits due to (i) an increase in headcount for new initiatives related to commercial, and technological and transactional capabilities development, and (ii) provisions for variable compensation, which rose alongside improved results.</w:t>
      </w:r>
    </w:p>
    <w:p>
      <w:pPr>
        <w:spacing w:after="0" w:line="2" w:lineRule="exact"/>
        <w:rPr>
          <w:rFonts w:ascii="Arial" w:cs="Arial" w:eastAsia="Arial" w:hAnsi="Arial"/>
          <w:sz w:val="18"/>
          <w:szCs w:val="18"/>
          <w:color w:val="auto"/>
        </w:rPr>
      </w:pPr>
    </w:p>
    <w:p>
      <w:pPr>
        <w:ind w:left="807" w:hanging="326"/>
        <w:spacing w:after="0" w:line="234" w:lineRule="auto"/>
        <w:tabs>
          <w:tab w:leader="none" w:pos="807"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Technology expenses (IT)</w:t>
      </w:r>
    </w:p>
    <w:p>
      <w:pPr>
        <w:ind w:left="1447" w:hanging="318"/>
        <w:spacing w:after="0" w:line="234" w:lineRule="auto"/>
        <w:tabs>
          <w:tab w:leader="none" w:pos="14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More personnel specializing in digital capacities (Data &amp; Analytics and Software Engineering) were hired with salaries above the average. This is aligned with execution of strategic projects.</w:t>
      </w:r>
    </w:p>
    <w:p>
      <w:pPr>
        <w:spacing w:after="0" w:line="1" w:lineRule="exact"/>
        <w:rPr>
          <w:rFonts w:ascii="Arial" w:cs="Arial" w:eastAsia="Arial" w:hAnsi="Arial"/>
          <w:sz w:val="18"/>
          <w:szCs w:val="18"/>
          <w:color w:val="auto"/>
        </w:rPr>
      </w:pPr>
    </w:p>
    <w:p>
      <w:pPr>
        <w:ind w:left="1447" w:hanging="318"/>
        <w:spacing w:after="0"/>
        <w:tabs>
          <w:tab w:leader="none" w:pos="14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Growth in expenses for licenses and third-party IT services, in line with an uptick in hiring of specialized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743585</wp:posOffset>
            </wp:positionV>
            <wp:extent cx="71577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126365</wp:posOffset>
            </wp:positionV>
            <wp:extent cx="6764020" cy="514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64020" cy="514350"/>
                    </a:xfrm>
                    <a:prstGeom prst="rect">
                      <a:avLst/>
                    </a:prstGeom>
                    <a:noFill/>
                  </pic:spPr>
                </pic:pic>
              </a:graphicData>
            </a:graphic>
          </wp:anchor>
        </w:drawing>
      </w:r>
    </w:p>
    <w:p>
      <w:pPr>
        <w:sectPr>
          <w:pgSz w:w="11920" w:h="16838" w:orient="portrait"/>
          <w:cols w:equalWidth="0" w:num="1">
            <w:col w:w="11267"/>
          </w:cols>
          <w:pgMar w:left="333" w:top="542" w:right="318" w:bottom="1440" w:gutter="0" w:footer="0" w:header="0"/>
        </w:sectPr>
      </w:pPr>
    </w:p>
    <w:bookmarkStart w:id="43" w:name="page44"/>
    <w:bookmarkEnd w:id="43"/>
    <w:p>
      <w:pPr>
        <w:ind w:left="2687"/>
        <w:spacing w:after="0"/>
        <w:tabs>
          <w:tab w:leader="none" w:pos="2927" w:val="left"/>
          <w:tab w:leader="none" w:pos="932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145415</wp:posOffset>
            </wp:positionV>
            <wp:extent cx="7089140" cy="617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8914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0" w:lineRule="exact"/>
        <w:rPr>
          <w:sz w:val="20"/>
          <w:szCs w:val="20"/>
          <w:color w:val="auto"/>
        </w:rPr>
      </w:pPr>
    </w:p>
    <w:p>
      <w:pPr>
        <w:spacing w:after="0" w:line="358" w:lineRule="exact"/>
        <w:rPr>
          <w:sz w:val="20"/>
          <w:szCs w:val="20"/>
          <w:color w:val="auto"/>
        </w:rPr>
      </w:pPr>
    </w:p>
    <w:p>
      <w:pPr>
        <w:ind w:left="7"/>
        <w:spacing w:after="0"/>
        <w:rPr>
          <w:sz w:val="20"/>
          <w:szCs w:val="20"/>
          <w:color w:val="auto"/>
        </w:rPr>
      </w:pPr>
      <w:r>
        <w:rPr>
          <w:rFonts w:ascii="Arial" w:cs="Arial" w:eastAsia="Arial" w:hAnsi="Arial"/>
          <w:sz w:val="52"/>
          <w:szCs w:val="52"/>
          <w:b w:val="1"/>
          <w:bCs w:val="1"/>
          <w:color w:val="E93BAC"/>
        </w:rPr>
        <w:t xml:space="preserve">09 </w:t>
      </w:r>
      <w:r>
        <w:rPr>
          <w:rFonts w:ascii="Arial" w:cs="Arial" w:eastAsia="Arial" w:hAnsi="Arial"/>
          <w:sz w:val="32"/>
          <w:szCs w:val="32"/>
          <w:color w:val="E93B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57720" cy="7112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711200"/>
                    </a:xfrm>
                    <a:prstGeom prst="rect">
                      <a:avLst/>
                    </a:prstGeom>
                    <a:noFill/>
                  </pic:spPr>
                </pic:pic>
              </a:graphicData>
            </a:graphic>
          </wp:anchor>
        </w:drawing>
      </w:r>
    </w:p>
    <w:p>
      <w:pPr>
        <w:spacing w:after="0" w:line="283" w:lineRule="exact"/>
        <w:rPr>
          <w:sz w:val="20"/>
          <w:szCs w:val="20"/>
          <w:color w:val="auto"/>
        </w:rPr>
      </w:pPr>
    </w:p>
    <w:p>
      <w:pPr>
        <w:jc w:val="both"/>
        <w:ind w:left="207" w:right="200"/>
        <w:spacing w:after="0" w:line="248" w:lineRule="auto"/>
        <w:rPr>
          <w:sz w:val="20"/>
          <w:szCs w:val="20"/>
          <w:color w:val="auto"/>
        </w:rPr>
      </w:pPr>
      <w:r>
        <w:rPr>
          <w:rFonts w:ascii="Arial" w:cs="Arial" w:eastAsia="Arial" w:hAnsi="Arial"/>
          <w:sz w:val="18"/>
          <w:szCs w:val="18"/>
          <w:color w:val="FFFFFF"/>
        </w:rPr>
        <w:t>The efficiency ratio evolved as expected and remains within the target range. YTD, the efficiency ratio deteriorated 154 pbs after the increase in operating expenses surpassed growth in operating income. This evolution is in line with higher expenses for core business growth at BCP Stand-alone and for innovation initiatives at the Credicorp level, whose objective is to strengthen our capabilities, drive efficiency down the line and ensure sustainable competitive advantages for the long term.</w:t>
      </w:r>
    </w:p>
    <w:p>
      <w:pPr>
        <w:spacing w:after="0" w:line="200" w:lineRule="exact"/>
        <w:rPr>
          <w:sz w:val="20"/>
          <w:szCs w:val="20"/>
          <w:color w:val="auto"/>
        </w:rPr>
      </w:pPr>
    </w:p>
    <w:p>
      <w:pPr>
        <w:spacing w:after="0" w:line="20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Efficiency Ratio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reported by subsidiary</w:t>
      </w:r>
    </w:p>
    <w:p>
      <w:pPr>
        <w:spacing w:after="0" w:line="86" w:lineRule="exact"/>
        <w:rPr>
          <w:sz w:val="20"/>
          <w:szCs w:val="20"/>
          <w:color w:val="auto"/>
        </w:rPr>
      </w:pPr>
    </w:p>
    <w:tbl>
      <w:tblPr>
        <w:tblLayout w:type="fixed"/>
        <w:tblInd w:w="17" w:type="dxa"/>
        <w:tblCellMar>
          <w:top w:w="0" w:type="dxa"/>
          <w:left w:w="0" w:type="dxa"/>
          <w:bottom w:w="0" w:type="dxa"/>
          <w:right w:w="0" w:type="dxa"/>
        </w:tblCellMar>
      </w:tblPr>
      <w:tr>
        <w:trPr>
          <w:trHeight w:val="143"/>
        </w:trPr>
        <w:tc>
          <w:tcPr>
            <w:tcW w:w="1920" w:type="dxa"/>
            <w:vAlign w:val="bottom"/>
            <w:tcBorders>
              <w:top w:val="single" w:sz="8" w:color="auto"/>
              <w:left w:val="single" w:sz="8" w:color="auto"/>
              <w:right w:val="single" w:sz="8" w:color="auto"/>
            </w:tcBorders>
            <w:vMerge w:val="restart"/>
            <w:shd w:val="clear" w:color="auto" w:fill="33CCCC"/>
          </w:tcPr>
          <w:p>
            <w:pPr>
              <w:ind w:left="620"/>
              <w:spacing w:after="0"/>
              <w:rPr>
                <w:sz w:val="20"/>
                <w:szCs w:val="20"/>
                <w:color w:val="auto"/>
              </w:rPr>
            </w:pPr>
            <w:r>
              <w:rPr>
                <w:rFonts w:ascii="Arial" w:cs="Arial" w:eastAsia="Arial" w:hAnsi="Arial"/>
                <w:sz w:val="13"/>
                <w:szCs w:val="13"/>
                <w:b w:val="1"/>
                <w:bCs w:val="1"/>
                <w:color w:val="FFFFFF"/>
              </w:rPr>
              <w:t>Subsidiary</w:t>
            </w:r>
          </w:p>
        </w:tc>
        <w:tc>
          <w:tcPr>
            <w:tcW w:w="1100" w:type="dxa"/>
            <w:vAlign w:val="bottom"/>
            <w:tcBorders>
              <w:top w:val="single" w:sz="8" w:color="auto"/>
            </w:tcBorders>
            <w:shd w:val="clear" w:color="auto" w:fill="33CCCC"/>
          </w:tcPr>
          <w:p>
            <w:pPr>
              <w:spacing w:after="0"/>
              <w:rPr>
                <w:sz w:val="12"/>
                <w:szCs w:val="12"/>
                <w:color w:val="auto"/>
              </w:rPr>
            </w:pPr>
          </w:p>
        </w:tc>
        <w:tc>
          <w:tcPr>
            <w:tcW w:w="1160" w:type="dxa"/>
            <w:vAlign w:val="bottom"/>
            <w:tcBorders>
              <w:top w:val="single" w:sz="8" w:color="auto"/>
            </w:tcBorders>
            <w:shd w:val="clear" w:color="auto" w:fill="33CCCC"/>
          </w:tcPr>
          <w:p>
            <w:pPr>
              <w:ind w:left="340"/>
              <w:spacing w:after="0" w:line="144" w:lineRule="exact"/>
              <w:rPr>
                <w:sz w:val="20"/>
                <w:szCs w:val="20"/>
                <w:color w:val="auto"/>
              </w:rPr>
            </w:pPr>
            <w:r>
              <w:rPr>
                <w:rFonts w:ascii="Arial" w:cs="Arial" w:eastAsia="Arial" w:hAnsi="Arial"/>
                <w:sz w:val="13"/>
                <w:szCs w:val="13"/>
                <w:b w:val="1"/>
                <w:bCs w:val="1"/>
                <w:color w:val="FFFFFF"/>
              </w:rPr>
              <w:t>Quarter</w:t>
            </w:r>
          </w:p>
        </w:tc>
        <w:tc>
          <w:tcPr>
            <w:tcW w:w="1120" w:type="dxa"/>
            <w:vAlign w:val="bottom"/>
            <w:tcBorders>
              <w:top w:val="single" w:sz="8" w:color="auto"/>
              <w:right w:val="single" w:sz="8" w:color="auto"/>
            </w:tcBorders>
            <w:shd w:val="clear" w:color="auto" w:fill="33CCCC"/>
          </w:tcPr>
          <w:p>
            <w:pPr>
              <w:spacing w:after="0"/>
              <w:rPr>
                <w:sz w:val="12"/>
                <w:szCs w:val="12"/>
                <w:color w:val="auto"/>
              </w:rPr>
            </w:pPr>
          </w:p>
        </w:tc>
        <w:tc>
          <w:tcPr>
            <w:tcW w:w="2240" w:type="dxa"/>
            <w:vAlign w:val="bottom"/>
            <w:tcBorders>
              <w:top w:val="single" w:sz="8" w:color="auto"/>
              <w:right w:val="single" w:sz="8" w:color="auto"/>
            </w:tcBorders>
            <w:gridSpan w:val="2"/>
            <w:shd w:val="clear" w:color="auto" w:fill="33CCCC"/>
          </w:tcPr>
          <w:p>
            <w:pPr>
              <w:ind w:left="800"/>
              <w:spacing w:after="0" w:line="144" w:lineRule="exact"/>
              <w:rPr>
                <w:sz w:val="20"/>
                <w:szCs w:val="20"/>
                <w:color w:val="auto"/>
              </w:rPr>
            </w:pPr>
            <w:r>
              <w:rPr>
                <w:rFonts w:ascii="Arial" w:cs="Arial" w:eastAsia="Arial" w:hAnsi="Arial"/>
                <w:sz w:val="13"/>
                <w:szCs w:val="13"/>
                <w:b w:val="1"/>
                <w:bCs w:val="1"/>
                <w:color w:val="FFFFFF"/>
              </w:rPr>
              <w:t>% change</w:t>
            </w:r>
          </w:p>
        </w:tc>
        <w:tc>
          <w:tcPr>
            <w:tcW w:w="860" w:type="dxa"/>
            <w:vAlign w:val="bottom"/>
            <w:tcBorders>
              <w:top w:val="single" w:sz="8" w:color="auto"/>
            </w:tcBorders>
            <w:shd w:val="clear" w:color="auto" w:fill="33CCCC"/>
          </w:tcPr>
          <w:p>
            <w:pPr>
              <w:spacing w:after="0"/>
              <w:rPr>
                <w:sz w:val="12"/>
                <w:szCs w:val="12"/>
                <w:color w:val="auto"/>
              </w:rPr>
            </w:pPr>
          </w:p>
        </w:tc>
        <w:tc>
          <w:tcPr>
            <w:tcW w:w="1400" w:type="dxa"/>
            <w:vAlign w:val="bottom"/>
            <w:tcBorders>
              <w:top w:val="single" w:sz="8" w:color="auto"/>
              <w:right w:val="single" w:sz="8" w:color="auto"/>
            </w:tcBorders>
            <w:shd w:val="clear" w:color="auto" w:fill="33CCCC"/>
          </w:tcPr>
          <w:p>
            <w:pPr>
              <w:ind w:left="80"/>
              <w:spacing w:after="0" w:line="144" w:lineRule="exact"/>
              <w:rPr>
                <w:sz w:val="20"/>
                <w:szCs w:val="20"/>
                <w:color w:val="auto"/>
              </w:rPr>
            </w:pPr>
            <w:r>
              <w:rPr>
                <w:rFonts w:ascii="Arial" w:cs="Arial" w:eastAsia="Arial" w:hAnsi="Arial"/>
                <w:sz w:val="13"/>
                <w:szCs w:val="13"/>
                <w:b w:val="1"/>
                <w:bCs w:val="1"/>
                <w:color w:val="FFFFFF"/>
              </w:rPr>
              <w:t>As of</w:t>
            </w:r>
          </w:p>
        </w:tc>
        <w:tc>
          <w:tcPr>
            <w:tcW w:w="1480" w:type="dxa"/>
            <w:vAlign w:val="bottom"/>
            <w:tcBorders>
              <w:top w:val="single" w:sz="8" w:color="auto"/>
              <w:right w:val="single" w:sz="8" w:color="auto"/>
            </w:tcBorders>
            <w:shd w:val="clear" w:color="auto" w:fill="33CCCC"/>
          </w:tcPr>
          <w:p>
            <w:pPr>
              <w:jc w:val="center"/>
              <w:spacing w:after="0" w:line="144"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1920" w:type="dxa"/>
            <w:vAlign w:val="bottom"/>
            <w:tcBorders>
              <w:left w:val="single" w:sz="8" w:color="auto"/>
              <w:bottom w:val="single" w:sz="8" w:color="33CCCC"/>
              <w:right w:val="single" w:sz="8" w:color="auto"/>
            </w:tcBorders>
            <w:vMerge w:val="continue"/>
            <w:shd w:val="clear" w:color="auto" w:fill="33CCCC"/>
          </w:tcPr>
          <w:p>
            <w:pPr>
              <w:spacing w:after="0"/>
              <w:rPr>
                <w:sz w:val="14"/>
                <w:szCs w:val="14"/>
                <w:color w:val="auto"/>
              </w:rPr>
            </w:pPr>
          </w:p>
        </w:tc>
        <w:tc>
          <w:tcPr>
            <w:tcW w:w="110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4Q24</w:t>
            </w:r>
          </w:p>
        </w:tc>
        <w:tc>
          <w:tcPr>
            <w:tcW w:w="116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3Q25</w:t>
            </w:r>
          </w:p>
        </w:tc>
        <w:tc>
          <w:tcPr>
            <w:tcW w:w="112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4Q25</w:t>
            </w:r>
          </w:p>
        </w:tc>
        <w:tc>
          <w:tcPr>
            <w:tcW w:w="114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QoQ</w:t>
            </w:r>
          </w:p>
        </w:tc>
        <w:tc>
          <w:tcPr>
            <w:tcW w:w="110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YoY</w:t>
            </w:r>
          </w:p>
        </w:tc>
        <w:tc>
          <w:tcPr>
            <w:tcW w:w="860" w:type="dxa"/>
            <w:vAlign w:val="bottom"/>
            <w:tcBorders>
              <w:bottom w:val="single" w:sz="8" w:color="33CCCC"/>
            </w:tcBorders>
            <w:shd w:val="clear" w:color="auto" w:fill="33CCCC"/>
          </w:tcPr>
          <w:p>
            <w:pPr>
              <w:jc w:val="center"/>
              <w:ind w:left="193"/>
              <w:spacing w:after="0"/>
              <w:rPr>
                <w:sz w:val="20"/>
                <w:szCs w:val="20"/>
                <w:color w:val="auto"/>
              </w:rPr>
            </w:pPr>
            <w:r>
              <w:rPr>
                <w:rFonts w:ascii="Arial" w:cs="Arial" w:eastAsia="Arial" w:hAnsi="Arial"/>
                <w:sz w:val="13"/>
                <w:szCs w:val="13"/>
                <w:b w:val="1"/>
                <w:bCs w:val="1"/>
                <w:color w:val="FFFFFF"/>
              </w:rPr>
              <w:t>Dec 24</w:t>
            </w:r>
          </w:p>
        </w:tc>
        <w:tc>
          <w:tcPr>
            <w:tcW w:w="1400" w:type="dxa"/>
            <w:vAlign w:val="bottom"/>
            <w:tcBorders>
              <w:bottom w:val="single" w:sz="8" w:color="33CCCC"/>
              <w:right w:val="single" w:sz="8" w:color="auto"/>
            </w:tcBorders>
            <w:shd w:val="clear" w:color="auto" w:fill="33CCCC"/>
          </w:tcPr>
          <w:p>
            <w:pPr>
              <w:jc w:val="center"/>
              <w:ind w:left="173"/>
              <w:spacing w:after="0"/>
              <w:rPr>
                <w:sz w:val="20"/>
                <w:szCs w:val="20"/>
                <w:color w:val="auto"/>
              </w:rPr>
            </w:pPr>
            <w:r>
              <w:rPr>
                <w:rFonts w:ascii="Arial" w:cs="Arial" w:eastAsia="Arial" w:hAnsi="Arial"/>
                <w:sz w:val="13"/>
                <w:szCs w:val="13"/>
                <w:b w:val="1"/>
                <w:bCs w:val="1"/>
                <w:color w:val="FFFFFF"/>
              </w:rPr>
              <w:t>Dec 25</w:t>
            </w:r>
          </w:p>
        </w:tc>
        <w:tc>
          <w:tcPr>
            <w:tcW w:w="148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Dec 25 / Dec 24</w:t>
            </w:r>
          </w:p>
        </w:tc>
        <w:tc>
          <w:tcPr>
            <w:tcW w:w="0" w:type="dxa"/>
            <w:vAlign w:val="bottom"/>
          </w:tcPr>
          <w:p>
            <w:pPr>
              <w:spacing w:after="0"/>
              <w:rPr>
                <w:sz w:val="1"/>
                <w:szCs w:val="1"/>
                <w:color w:val="auto"/>
              </w:rPr>
            </w:pPr>
          </w:p>
        </w:tc>
      </w:tr>
      <w:tr>
        <w:trPr>
          <w:trHeight w:val="125"/>
        </w:trPr>
        <w:tc>
          <w:tcPr>
            <w:tcW w:w="1920" w:type="dxa"/>
            <w:vAlign w:val="bottom"/>
            <w:tcBorders>
              <w:top w:val="single" w:sz="8" w:color="auto"/>
              <w:left w:val="single" w:sz="8" w:color="auto"/>
              <w:right w:val="single" w:sz="8" w:color="auto"/>
            </w:tcBorders>
          </w:tcPr>
          <w:p>
            <w:pPr>
              <w:spacing w:after="0" w:line="126" w:lineRule="exact"/>
              <w:rPr>
                <w:sz w:val="20"/>
                <w:szCs w:val="20"/>
                <w:color w:val="auto"/>
              </w:rPr>
            </w:pPr>
            <w:r>
              <w:rPr>
                <w:rFonts w:ascii="Arial" w:cs="Arial" w:eastAsia="Arial" w:hAnsi="Arial"/>
                <w:sz w:val="13"/>
                <w:szCs w:val="13"/>
                <w:color w:val="auto"/>
              </w:rPr>
              <w:t>BCP Stand-alone</w:t>
            </w:r>
          </w:p>
        </w:tc>
        <w:tc>
          <w:tcPr>
            <w:tcW w:w="11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rPr>
              <w:t>43.7%</w:t>
            </w:r>
          </w:p>
        </w:tc>
        <w:tc>
          <w:tcPr>
            <w:tcW w:w="11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rPr>
              <w:t>39.9%</w:t>
            </w:r>
          </w:p>
        </w:tc>
        <w:tc>
          <w:tcPr>
            <w:tcW w:w="112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42.7%</w:t>
            </w:r>
          </w:p>
        </w:tc>
        <w:tc>
          <w:tcPr>
            <w:tcW w:w="11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rPr>
              <w:t>278 bps</w:t>
            </w:r>
          </w:p>
        </w:tc>
        <w:tc>
          <w:tcPr>
            <w:tcW w:w="110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-96 bps</w:t>
            </w:r>
          </w:p>
        </w:tc>
        <w:tc>
          <w:tcPr>
            <w:tcW w:w="860" w:type="dxa"/>
            <w:vAlign w:val="bottom"/>
            <w:tcBorders>
              <w:top w:val="single" w:sz="8" w:color="auto"/>
            </w:tcBorders>
          </w:tcPr>
          <w:p>
            <w:pPr>
              <w:jc w:val="center"/>
              <w:ind w:left="213"/>
              <w:spacing w:after="0" w:line="126" w:lineRule="exact"/>
              <w:rPr>
                <w:sz w:val="20"/>
                <w:szCs w:val="20"/>
                <w:color w:val="auto"/>
              </w:rPr>
            </w:pPr>
            <w:r>
              <w:rPr>
                <w:rFonts w:ascii="Arial" w:cs="Arial" w:eastAsia="Arial" w:hAnsi="Arial"/>
                <w:sz w:val="13"/>
                <w:szCs w:val="13"/>
                <w:color w:val="auto"/>
              </w:rPr>
              <w:t>38.1%</w:t>
            </w:r>
          </w:p>
        </w:tc>
        <w:tc>
          <w:tcPr>
            <w:tcW w:w="1400" w:type="dxa"/>
            <w:vAlign w:val="bottom"/>
            <w:tcBorders>
              <w:top w:val="single" w:sz="8" w:color="auto"/>
              <w:right w:val="single" w:sz="8" w:color="auto"/>
            </w:tcBorders>
          </w:tcPr>
          <w:p>
            <w:pPr>
              <w:jc w:val="center"/>
              <w:ind w:left="173"/>
              <w:spacing w:after="0" w:line="126" w:lineRule="exact"/>
              <w:rPr>
                <w:sz w:val="20"/>
                <w:szCs w:val="20"/>
                <w:color w:val="auto"/>
              </w:rPr>
            </w:pPr>
            <w:r>
              <w:rPr>
                <w:rFonts w:ascii="Arial" w:cs="Arial" w:eastAsia="Arial" w:hAnsi="Arial"/>
                <w:sz w:val="13"/>
                <w:szCs w:val="13"/>
                <w:color w:val="auto"/>
              </w:rPr>
              <w:t>39.7%</w:t>
            </w:r>
          </w:p>
        </w:tc>
        <w:tc>
          <w:tcPr>
            <w:tcW w:w="148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160 bps</w:t>
            </w:r>
          </w:p>
        </w:tc>
        <w:tc>
          <w:tcPr>
            <w:tcW w:w="0" w:type="dxa"/>
            <w:vAlign w:val="bottom"/>
          </w:tcPr>
          <w:p>
            <w:pPr>
              <w:spacing w:after="0"/>
              <w:rPr>
                <w:sz w:val="1"/>
                <w:szCs w:val="1"/>
                <w:color w:val="auto"/>
              </w:rPr>
            </w:pPr>
          </w:p>
        </w:tc>
      </w:tr>
      <w:tr>
        <w:trPr>
          <w:trHeight w:val="148"/>
        </w:trPr>
        <w:tc>
          <w:tcPr>
            <w:tcW w:w="19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BCP Bolivia</w:t>
            </w:r>
          </w:p>
        </w:tc>
        <w:tc>
          <w:tcPr>
            <w:tcW w:w="1100" w:type="dxa"/>
            <w:vAlign w:val="bottom"/>
          </w:tcPr>
          <w:p>
            <w:pPr>
              <w:jc w:val="center"/>
              <w:spacing w:after="0"/>
              <w:rPr>
                <w:sz w:val="20"/>
                <w:szCs w:val="20"/>
                <w:color w:val="auto"/>
              </w:rPr>
            </w:pPr>
            <w:r>
              <w:rPr>
                <w:rFonts w:ascii="Arial" w:cs="Arial" w:eastAsia="Arial" w:hAnsi="Arial"/>
                <w:sz w:val="13"/>
                <w:szCs w:val="13"/>
                <w:color w:val="auto"/>
              </w:rPr>
              <w:t>63.0%</w:t>
            </w:r>
          </w:p>
        </w:tc>
        <w:tc>
          <w:tcPr>
            <w:tcW w:w="1160" w:type="dxa"/>
            <w:vAlign w:val="bottom"/>
          </w:tcPr>
          <w:p>
            <w:pPr>
              <w:jc w:val="center"/>
              <w:spacing w:after="0"/>
              <w:rPr>
                <w:sz w:val="20"/>
                <w:szCs w:val="20"/>
                <w:color w:val="auto"/>
              </w:rPr>
            </w:pPr>
            <w:r>
              <w:rPr>
                <w:rFonts w:ascii="Arial" w:cs="Arial" w:eastAsia="Arial" w:hAnsi="Arial"/>
                <w:sz w:val="13"/>
                <w:szCs w:val="13"/>
                <w:color w:val="auto"/>
              </w:rPr>
              <w:t>59.0%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74.2%</w:t>
            </w:r>
          </w:p>
        </w:tc>
        <w:tc>
          <w:tcPr>
            <w:tcW w:w="1140" w:type="dxa"/>
            <w:vAlign w:val="bottom"/>
          </w:tcPr>
          <w:p>
            <w:pPr>
              <w:jc w:val="center"/>
              <w:spacing w:after="0"/>
              <w:rPr>
                <w:sz w:val="20"/>
                <w:szCs w:val="20"/>
                <w:color w:val="auto"/>
              </w:rPr>
            </w:pPr>
            <w:r>
              <w:rPr>
                <w:rFonts w:ascii="Arial" w:cs="Arial" w:eastAsia="Arial" w:hAnsi="Arial"/>
                <w:sz w:val="13"/>
                <w:szCs w:val="13"/>
                <w:color w:val="auto"/>
              </w:rPr>
              <w:t>1520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1124 bps</w:t>
            </w:r>
          </w:p>
        </w:tc>
        <w:tc>
          <w:tcPr>
            <w:tcW w:w="860" w:type="dxa"/>
            <w:vAlign w:val="bottom"/>
          </w:tcPr>
          <w:p>
            <w:pPr>
              <w:jc w:val="center"/>
              <w:ind w:left="213"/>
              <w:spacing w:after="0"/>
              <w:rPr>
                <w:sz w:val="20"/>
                <w:szCs w:val="20"/>
                <w:color w:val="auto"/>
              </w:rPr>
            </w:pPr>
            <w:r>
              <w:rPr>
                <w:rFonts w:ascii="Arial" w:cs="Arial" w:eastAsia="Arial" w:hAnsi="Arial"/>
                <w:sz w:val="13"/>
                <w:szCs w:val="13"/>
                <w:color w:val="auto"/>
              </w:rPr>
              <w:t>63.9%</w:t>
            </w:r>
          </w:p>
        </w:tc>
        <w:tc>
          <w:tcPr>
            <w:tcW w:w="1400" w:type="dxa"/>
            <w:vAlign w:val="bottom"/>
            <w:tcBorders>
              <w:right w:val="single" w:sz="8" w:color="auto"/>
            </w:tcBorders>
          </w:tcPr>
          <w:p>
            <w:pPr>
              <w:jc w:val="center"/>
              <w:ind w:left="173"/>
              <w:spacing w:after="0"/>
              <w:rPr>
                <w:sz w:val="20"/>
                <w:szCs w:val="20"/>
                <w:color w:val="auto"/>
              </w:rPr>
            </w:pPr>
            <w:r>
              <w:rPr>
                <w:rFonts w:ascii="Arial" w:cs="Arial" w:eastAsia="Arial" w:hAnsi="Arial"/>
                <w:sz w:val="13"/>
                <w:szCs w:val="13"/>
                <w:color w:val="auto"/>
              </w:rPr>
              <w:t>67.8%</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384 bps</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Mibanco Peru</w:t>
            </w:r>
          </w:p>
        </w:tc>
        <w:tc>
          <w:tcPr>
            <w:tcW w:w="1100" w:type="dxa"/>
            <w:vAlign w:val="bottom"/>
          </w:tcPr>
          <w:p>
            <w:pPr>
              <w:jc w:val="center"/>
              <w:spacing w:after="0"/>
              <w:rPr>
                <w:sz w:val="20"/>
                <w:szCs w:val="20"/>
                <w:color w:val="auto"/>
              </w:rPr>
            </w:pPr>
            <w:r>
              <w:rPr>
                <w:rFonts w:ascii="Arial" w:cs="Arial" w:eastAsia="Arial" w:hAnsi="Arial"/>
                <w:sz w:val="13"/>
                <w:szCs w:val="13"/>
                <w:color w:val="auto"/>
              </w:rPr>
              <w:t>52.2%</w:t>
            </w:r>
          </w:p>
        </w:tc>
        <w:tc>
          <w:tcPr>
            <w:tcW w:w="1160" w:type="dxa"/>
            <w:vAlign w:val="bottom"/>
          </w:tcPr>
          <w:p>
            <w:pPr>
              <w:jc w:val="center"/>
              <w:spacing w:after="0"/>
              <w:rPr>
                <w:sz w:val="20"/>
                <w:szCs w:val="20"/>
                <w:color w:val="auto"/>
              </w:rPr>
            </w:pPr>
            <w:r>
              <w:rPr>
                <w:rFonts w:ascii="Arial" w:cs="Arial" w:eastAsia="Arial" w:hAnsi="Arial"/>
                <w:sz w:val="13"/>
                <w:szCs w:val="13"/>
                <w:color w:val="auto"/>
              </w:rPr>
              <w:t>49.4%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49.6%</w:t>
            </w:r>
          </w:p>
        </w:tc>
        <w:tc>
          <w:tcPr>
            <w:tcW w:w="1140" w:type="dxa"/>
            <w:vAlign w:val="bottom"/>
          </w:tcPr>
          <w:p>
            <w:pPr>
              <w:jc w:val="center"/>
              <w:spacing w:after="0"/>
              <w:rPr>
                <w:sz w:val="20"/>
                <w:szCs w:val="20"/>
                <w:color w:val="auto"/>
              </w:rPr>
            </w:pPr>
            <w:r>
              <w:rPr>
                <w:rFonts w:ascii="Arial" w:cs="Arial" w:eastAsia="Arial" w:hAnsi="Arial"/>
                <w:sz w:val="13"/>
                <w:szCs w:val="13"/>
                <w:color w:val="auto"/>
              </w:rPr>
              <w:t>14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-264 bps</w:t>
            </w:r>
          </w:p>
        </w:tc>
        <w:tc>
          <w:tcPr>
            <w:tcW w:w="860" w:type="dxa"/>
            <w:vAlign w:val="bottom"/>
          </w:tcPr>
          <w:p>
            <w:pPr>
              <w:jc w:val="center"/>
              <w:ind w:left="213"/>
              <w:spacing w:after="0"/>
              <w:rPr>
                <w:sz w:val="20"/>
                <w:szCs w:val="20"/>
                <w:color w:val="auto"/>
              </w:rPr>
            </w:pPr>
            <w:r>
              <w:rPr>
                <w:rFonts w:ascii="Arial" w:cs="Arial" w:eastAsia="Arial" w:hAnsi="Arial"/>
                <w:sz w:val="13"/>
                <w:szCs w:val="13"/>
                <w:color w:val="auto"/>
              </w:rPr>
              <w:t>52.7%</w:t>
            </w:r>
          </w:p>
        </w:tc>
        <w:tc>
          <w:tcPr>
            <w:tcW w:w="1400" w:type="dxa"/>
            <w:vAlign w:val="bottom"/>
            <w:tcBorders>
              <w:right w:val="single" w:sz="8" w:color="auto"/>
            </w:tcBorders>
          </w:tcPr>
          <w:p>
            <w:pPr>
              <w:jc w:val="center"/>
              <w:ind w:left="173"/>
              <w:spacing w:after="0"/>
              <w:rPr>
                <w:sz w:val="20"/>
                <w:szCs w:val="20"/>
                <w:color w:val="auto"/>
              </w:rPr>
            </w:pPr>
            <w:r>
              <w:rPr>
                <w:rFonts w:ascii="Arial" w:cs="Arial" w:eastAsia="Arial" w:hAnsi="Arial"/>
                <w:sz w:val="13"/>
                <w:szCs w:val="13"/>
                <w:color w:val="auto"/>
              </w:rPr>
              <w:t>50.9%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-176 bps</w:t>
            </w:r>
          </w:p>
        </w:tc>
        <w:tc>
          <w:tcPr>
            <w:tcW w:w="0" w:type="dxa"/>
            <w:vAlign w:val="bottom"/>
          </w:tcPr>
          <w:p>
            <w:pPr>
              <w:spacing w:after="0"/>
              <w:rPr>
                <w:sz w:val="1"/>
                <w:szCs w:val="1"/>
                <w:color w:val="auto"/>
              </w:rPr>
            </w:pPr>
          </w:p>
        </w:tc>
      </w:tr>
      <w:tr>
        <w:trPr>
          <w:trHeight w:val="148"/>
        </w:trPr>
        <w:tc>
          <w:tcPr>
            <w:tcW w:w="19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Mibanco Colombia</w:t>
            </w:r>
          </w:p>
        </w:tc>
        <w:tc>
          <w:tcPr>
            <w:tcW w:w="1100" w:type="dxa"/>
            <w:vAlign w:val="bottom"/>
          </w:tcPr>
          <w:p>
            <w:pPr>
              <w:jc w:val="center"/>
              <w:spacing w:after="0"/>
              <w:rPr>
                <w:sz w:val="20"/>
                <w:szCs w:val="20"/>
                <w:color w:val="auto"/>
              </w:rPr>
            </w:pPr>
            <w:r>
              <w:rPr>
                <w:rFonts w:ascii="Arial" w:cs="Arial" w:eastAsia="Arial" w:hAnsi="Arial"/>
                <w:sz w:val="13"/>
                <w:szCs w:val="13"/>
                <w:color w:val="auto"/>
              </w:rPr>
              <w:t>69.5%</w:t>
            </w:r>
          </w:p>
        </w:tc>
        <w:tc>
          <w:tcPr>
            <w:tcW w:w="1160" w:type="dxa"/>
            <w:vAlign w:val="bottom"/>
          </w:tcPr>
          <w:p>
            <w:pPr>
              <w:jc w:val="center"/>
              <w:spacing w:after="0"/>
              <w:rPr>
                <w:sz w:val="20"/>
                <w:szCs w:val="20"/>
                <w:color w:val="auto"/>
              </w:rPr>
            </w:pPr>
            <w:r>
              <w:rPr>
                <w:rFonts w:ascii="Arial" w:cs="Arial" w:eastAsia="Arial" w:hAnsi="Arial"/>
                <w:sz w:val="13"/>
                <w:szCs w:val="13"/>
                <w:color w:val="auto"/>
              </w:rPr>
              <w:t>63.7%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66.2%</w:t>
            </w:r>
          </w:p>
        </w:tc>
        <w:tc>
          <w:tcPr>
            <w:tcW w:w="1140" w:type="dxa"/>
            <w:vAlign w:val="bottom"/>
          </w:tcPr>
          <w:p>
            <w:pPr>
              <w:jc w:val="center"/>
              <w:spacing w:after="0"/>
              <w:rPr>
                <w:sz w:val="20"/>
                <w:szCs w:val="20"/>
                <w:color w:val="auto"/>
              </w:rPr>
            </w:pPr>
            <w:r>
              <w:rPr>
                <w:rFonts w:ascii="Arial" w:cs="Arial" w:eastAsia="Arial" w:hAnsi="Arial"/>
                <w:sz w:val="13"/>
                <w:szCs w:val="13"/>
                <w:color w:val="auto"/>
              </w:rPr>
              <w:t>245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-330 bps</w:t>
            </w:r>
          </w:p>
        </w:tc>
        <w:tc>
          <w:tcPr>
            <w:tcW w:w="860" w:type="dxa"/>
            <w:vAlign w:val="bottom"/>
          </w:tcPr>
          <w:p>
            <w:pPr>
              <w:jc w:val="center"/>
              <w:ind w:left="213"/>
              <w:spacing w:after="0"/>
              <w:rPr>
                <w:sz w:val="20"/>
                <w:szCs w:val="20"/>
                <w:color w:val="auto"/>
              </w:rPr>
            </w:pPr>
            <w:r>
              <w:rPr>
                <w:rFonts w:ascii="Arial" w:cs="Arial" w:eastAsia="Arial" w:hAnsi="Arial"/>
                <w:sz w:val="13"/>
                <w:szCs w:val="13"/>
                <w:color w:val="auto"/>
              </w:rPr>
              <w:t>76.2%</w:t>
            </w:r>
          </w:p>
        </w:tc>
        <w:tc>
          <w:tcPr>
            <w:tcW w:w="1400" w:type="dxa"/>
            <w:vAlign w:val="bottom"/>
            <w:tcBorders>
              <w:right w:val="single" w:sz="8" w:color="auto"/>
            </w:tcBorders>
          </w:tcPr>
          <w:p>
            <w:pPr>
              <w:jc w:val="center"/>
              <w:ind w:left="173"/>
              <w:spacing w:after="0"/>
              <w:rPr>
                <w:sz w:val="20"/>
                <w:szCs w:val="20"/>
                <w:color w:val="auto"/>
              </w:rPr>
            </w:pPr>
            <w:r>
              <w:rPr>
                <w:rFonts w:ascii="Arial" w:cs="Arial" w:eastAsia="Arial" w:hAnsi="Arial"/>
                <w:sz w:val="13"/>
                <w:szCs w:val="13"/>
                <w:color w:val="auto"/>
              </w:rPr>
              <w:t>66.3%</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-992 bps</w:t>
            </w:r>
          </w:p>
        </w:tc>
        <w:tc>
          <w:tcPr>
            <w:tcW w:w="0" w:type="dxa"/>
            <w:vAlign w:val="bottom"/>
          </w:tcPr>
          <w:p>
            <w:pPr>
              <w:spacing w:after="0"/>
              <w:rPr>
                <w:sz w:val="1"/>
                <w:szCs w:val="1"/>
                <w:color w:val="auto"/>
              </w:rPr>
            </w:pPr>
          </w:p>
        </w:tc>
      </w:tr>
      <w:tr>
        <w:trPr>
          <w:trHeight w:val="148"/>
        </w:trPr>
        <w:tc>
          <w:tcPr>
            <w:tcW w:w="19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Pacífico</w:t>
            </w:r>
          </w:p>
        </w:tc>
        <w:tc>
          <w:tcPr>
            <w:tcW w:w="1100" w:type="dxa"/>
            <w:vAlign w:val="bottom"/>
          </w:tcPr>
          <w:p>
            <w:pPr>
              <w:jc w:val="center"/>
              <w:spacing w:after="0"/>
              <w:rPr>
                <w:sz w:val="20"/>
                <w:szCs w:val="20"/>
                <w:color w:val="auto"/>
              </w:rPr>
            </w:pPr>
            <w:r>
              <w:rPr>
                <w:rFonts w:ascii="Arial" w:cs="Arial" w:eastAsia="Arial" w:hAnsi="Arial"/>
                <w:sz w:val="13"/>
                <w:szCs w:val="13"/>
                <w:color w:val="auto"/>
              </w:rPr>
              <w:t>29.6%</w:t>
            </w:r>
          </w:p>
        </w:tc>
        <w:tc>
          <w:tcPr>
            <w:tcW w:w="1160" w:type="dxa"/>
            <w:vAlign w:val="bottom"/>
          </w:tcPr>
          <w:p>
            <w:pPr>
              <w:jc w:val="center"/>
              <w:spacing w:after="0"/>
              <w:rPr>
                <w:sz w:val="20"/>
                <w:szCs w:val="20"/>
                <w:color w:val="auto"/>
              </w:rPr>
            </w:pPr>
            <w:r>
              <w:rPr>
                <w:rFonts w:ascii="Arial" w:cs="Arial" w:eastAsia="Arial" w:hAnsi="Arial"/>
                <w:sz w:val="13"/>
                <w:szCs w:val="13"/>
                <w:color w:val="auto"/>
              </w:rPr>
              <w:t>38.2%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45.0%</w:t>
            </w:r>
          </w:p>
        </w:tc>
        <w:tc>
          <w:tcPr>
            <w:tcW w:w="1140" w:type="dxa"/>
            <w:vAlign w:val="bottom"/>
          </w:tcPr>
          <w:p>
            <w:pPr>
              <w:jc w:val="center"/>
              <w:spacing w:after="0"/>
              <w:rPr>
                <w:sz w:val="20"/>
                <w:szCs w:val="20"/>
                <w:color w:val="auto"/>
              </w:rPr>
            </w:pPr>
            <w:r>
              <w:rPr>
                <w:rFonts w:ascii="Arial" w:cs="Arial" w:eastAsia="Arial" w:hAnsi="Arial"/>
                <w:sz w:val="13"/>
                <w:szCs w:val="13"/>
                <w:color w:val="auto"/>
              </w:rPr>
              <w:t>680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1539 bps</w:t>
            </w:r>
          </w:p>
        </w:tc>
        <w:tc>
          <w:tcPr>
            <w:tcW w:w="860" w:type="dxa"/>
            <w:vAlign w:val="bottom"/>
          </w:tcPr>
          <w:p>
            <w:pPr>
              <w:jc w:val="center"/>
              <w:ind w:left="213"/>
              <w:spacing w:after="0"/>
              <w:rPr>
                <w:sz w:val="20"/>
                <w:szCs w:val="20"/>
                <w:color w:val="auto"/>
              </w:rPr>
            </w:pPr>
            <w:r>
              <w:rPr>
                <w:rFonts w:ascii="Arial" w:cs="Arial" w:eastAsia="Arial" w:hAnsi="Arial"/>
                <w:sz w:val="13"/>
                <w:szCs w:val="13"/>
                <w:color w:val="auto"/>
              </w:rPr>
              <w:t>27.6%</w:t>
            </w:r>
          </w:p>
        </w:tc>
        <w:tc>
          <w:tcPr>
            <w:tcW w:w="1400" w:type="dxa"/>
            <w:vAlign w:val="bottom"/>
            <w:tcBorders>
              <w:right w:val="single" w:sz="8" w:color="auto"/>
            </w:tcBorders>
          </w:tcPr>
          <w:p>
            <w:pPr>
              <w:jc w:val="center"/>
              <w:ind w:left="173"/>
              <w:spacing w:after="0"/>
              <w:rPr>
                <w:sz w:val="20"/>
                <w:szCs w:val="20"/>
                <w:color w:val="auto"/>
              </w:rPr>
            </w:pPr>
            <w:r>
              <w:rPr>
                <w:rFonts w:ascii="Arial" w:cs="Arial" w:eastAsia="Arial" w:hAnsi="Arial"/>
                <w:sz w:val="13"/>
                <w:szCs w:val="13"/>
                <w:color w:val="auto"/>
              </w:rPr>
              <w:t>38.3%</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1064 bps</w:t>
            </w:r>
          </w:p>
        </w:tc>
        <w:tc>
          <w:tcPr>
            <w:tcW w:w="0" w:type="dxa"/>
            <w:vAlign w:val="bottom"/>
          </w:tcPr>
          <w:p>
            <w:pPr>
              <w:spacing w:after="0"/>
              <w:rPr>
                <w:sz w:val="1"/>
                <w:szCs w:val="1"/>
                <w:color w:val="auto"/>
              </w:rPr>
            </w:pPr>
          </w:p>
        </w:tc>
      </w:tr>
      <w:tr>
        <w:trPr>
          <w:trHeight w:val="165"/>
        </w:trPr>
        <w:tc>
          <w:tcPr>
            <w:tcW w:w="19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Prima AFP</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64.2%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52.5%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57.7%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520 bps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-652 bps</w:t>
            </w:r>
          </w:p>
        </w:tc>
        <w:tc>
          <w:tcPr>
            <w:tcW w:w="860" w:type="dxa"/>
            <w:vAlign w:val="bottom"/>
            <w:tcBorders>
              <w:bottom w:val="single" w:sz="8" w:color="auto"/>
            </w:tcBorders>
          </w:tcPr>
          <w:p>
            <w:pPr>
              <w:jc w:val="center"/>
              <w:ind w:left="213"/>
              <w:spacing w:after="0"/>
              <w:rPr>
                <w:sz w:val="20"/>
                <w:szCs w:val="20"/>
                <w:color w:val="auto"/>
              </w:rPr>
            </w:pPr>
            <w:r>
              <w:rPr>
                <w:rFonts w:ascii="Arial" w:cs="Arial" w:eastAsia="Arial" w:hAnsi="Arial"/>
                <w:sz w:val="13"/>
                <w:szCs w:val="13"/>
                <w:color w:val="auto"/>
              </w:rPr>
              <w:t>54.2%</w:t>
            </w:r>
          </w:p>
        </w:tc>
        <w:tc>
          <w:tcPr>
            <w:tcW w:w="1400" w:type="dxa"/>
            <w:vAlign w:val="bottom"/>
            <w:tcBorders>
              <w:bottom w:val="single" w:sz="8" w:color="auto"/>
              <w:right w:val="single" w:sz="8" w:color="auto"/>
            </w:tcBorders>
          </w:tcPr>
          <w:p>
            <w:pPr>
              <w:jc w:val="center"/>
              <w:ind w:left="173"/>
              <w:spacing w:after="0"/>
              <w:rPr>
                <w:sz w:val="20"/>
                <w:szCs w:val="20"/>
                <w:color w:val="auto"/>
              </w:rPr>
            </w:pPr>
            <w:r>
              <w:rPr>
                <w:rFonts w:ascii="Arial" w:cs="Arial" w:eastAsia="Arial" w:hAnsi="Arial"/>
                <w:sz w:val="13"/>
                <w:szCs w:val="13"/>
                <w:color w:val="auto"/>
              </w:rPr>
              <w:t>54.0%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-20 bps</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Credicorp</w:t>
            </w: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48.4%</w:t>
            </w: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46.4%</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49.0%</w:t>
            </w: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266 bps</w:t>
            </w:r>
          </w:p>
        </w:tc>
        <w:tc>
          <w:tcPr>
            <w:tcW w:w="11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61 bps</w:t>
            </w:r>
          </w:p>
        </w:tc>
        <w:tc>
          <w:tcPr>
            <w:tcW w:w="860" w:type="dxa"/>
            <w:vAlign w:val="bottom"/>
            <w:tcBorders>
              <w:bottom w:val="single" w:sz="8" w:color="auto"/>
            </w:tcBorders>
          </w:tcPr>
          <w:p>
            <w:pPr>
              <w:jc w:val="center"/>
              <w:ind w:left="213"/>
              <w:spacing w:after="0" w:line="142" w:lineRule="exact"/>
              <w:rPr>
                <w:sz w:val="20"/>
                <w:szCs w:val="20"/>
                <w:color w:val="auto"/>
              </w:rPr>
            </w:pPr>
            <w:r>
              <w:rPr>
                <w:rFonts w:ascii="Arial" w:cs="Arial" w:eastAsia="Arial" w:hAnsi="Arial"/>
                <w:sz w:val="13"/>
                <w:szCs w:val="13"/>
                <w:b w:val="1"/>
                <w:bCs w:val="1"/>
                <w:color w:val="auto"/>
              </w:rPr>
              <w:t>45.0%</w:t>
            </w:r>
          </w:p>
        </w:tc>
        <w:tc>
          <w:tcPr>
            <w:tcW w:w="1400" w:type="dxa"/>
            <w:vAlign w:val="bottom"/>
            <w:tcBorders>
              <w:bottom w:val="single" w:sz="8" w:color="auto"/>
              <w:right w:val="single" w:sz="8" w:color="auto"/>
            </w:tcBorders>
          </w:tcPr>
          <w:p>
            <w:pPr>
              <w:jc w:val="center"/>
              <w:ind w:left="173"/>
              <w:spacing w:after="0" w:line="142" w:lineRule="exact"/>
              <w:rPr>
                <w:sz w:val="20"/>
                <w:szCs w:val="20"/>
                <w:color w:val="auto"/>
              </w:rPr>
            </w:pPr>
            <w:r>
              <w:rPr>
                <w:rFonts w:ascii="Arial" w:cs="Arial" w:eastAsia="Arial" w:hAnsi="Arial"/>
                <w:sz w:val="13"/>
                <w:szCs w:val="13"/>
                <w:b w:val="1"/>
                <w:bCs w:val="1"/>
                <w:color w:val="auto"/>
              </w:rPr>
              <w:t>46.6%</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154 bps</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7" w:right="380" w:hanging="7"/>
        <w:spacing w:after="0" w:line="235" w:lineRule="auto"/>
        <w:tabs>
          <w:tab w:leader="none" w:pos="196" w:val="left"/>
        </w:tabs>
        <w:numPr>
          <w:ilvl w:val="0"/>
          <w:numId w:val="51"/>
        </w:numPr>
        <w:rPr>
          <w:rFonts w:ascii="Arial" w:cs="Arial" w:eastAsia="Arial" w:hAnsi="Arial"/>
          <w:sz w:val="13"/>
          <w:szCs w:val="13"/>
          <w:color w:val="auto"/>
        </w:rPr>
      </w:pPr>
      <w:r>
        <w:rPr>
          <w:rFonts w:ascii="Arial" w:cs="Arial" w:eastAsia="Arial" w:hAnsi="Arial"/>
          <w:sz w:val="13"/>
          <w:szCs w:val="13"/>
          <w:color w:val="auto"/>
        </w:rPr>
        <w:t>Operating expenses / Operating income (under IFRS 1). Operating expenses = Salaries and employee benefits + Administrative expenses + Depreciation and amortization + Association in participation + Acquisition cost. Operating income = Net interest, similar income, and expenses + Fee income + Net gain on foreign exchange transactions + Net gain from associates + Net gain on derivatives held for trading + Net gain from exchange differences + Insurance Underwriting Results + Results for Medical Services</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analysis will focus on YTD movements to eliminate seasonal effects between quarters.</w:t>
      </w:r>
    </w:p>
    <w:p>
      <w:pPr>
        <w:spacing w:after="0" w:line="212" w:lineRule="exact"/>
        <w:rPr>
          <w:sz w:val="20"/>
          <w:szCs w:val="20"/>
          <w:color w:val="auto"/>
        </w:rPr>
      </w:pPr>
    </w:p>
    <w:p>
      <w:pPr>
        <w:jc w:val="both"/>
        <w:ind w:left="7"/>
        <w:spacing w:after="0" w:line="248" w:lineRule="auto"/>
        <w:rPr>
          <w:sz w:val="20"/>
          <w:szCs w:val="20"/>
          <w:color w:val="auto"/>
        </w:rPr>
      </w:pPr>
      <w:r>
        <w:rPr>
          <w:rFonts w:ascii="Arial" w:cs="Arial" w:eastAsia="Arial" w:hAnsi="Arial"/>
          <w:sz w:val="18"/>
          <w:szCs w:val="18"/>
          <w:color w:val="auto"/>
        </w:rPr>
        <w:t>The efficiency ratio has evolved as expected and remains in the target range despite a 154 bps increase YTD. The rise was fueled mainly by growth in operating expenses for: (i) core business at BCP, in line with an increase in expenses for Salaries and Employee Benefits and Administrative and General Expenses, and (ii) initiatives in Credicorp’s innovation portfolio. It is important to note that growth in Operating Income has been accompanied by growth in Operating Expenses.</w:t>
      </w:r>
    </w:p>
    <w:p>
      <w:pPr>
        <w:spacing w:after="0" w:line="170"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As of 1Q25, a change was implemented in the calculation of the efficiency ratio. Specifically, within Operating Income, expenses for credit card fidelity programs are netted in the Fee Income line instead of the General and Administrative Expenses line, as was the case prior to 1Q25.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692785</wp:posOffset>
            </wp:positionV>
            <wp:extent cx="71577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109855</wp:posOffset>
            </wp:positionV>
            <wp:extent cx="6789420" cy="4800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89420" cy="480060"/>
                    </a:xfrm>
                    <a:prstGeom prst="rect">
                      <a:avLst/>
                    </a:prstGeom>
                    <a:noFill/>
                  </pic:spPr>
                </pic:pic>
              </a:graphicData>
            </a:graphic>
          </wp:anchor>
        </w:drawing>
      </w:r>
    </w:p>
    <w:p>
      <w:pPr>
        <w:sectPr>
          <w:pgSz w:w="11920" w:h="16838" w:orient="portrait"/>
          <w:cols w:equalWidth="0" w:num="1">
            <w:col w:w="11267"/>
          </w:cols>
          <w:pgMar w:left="333" w:top="542" w:right="318" w:bottom="1440" w:gutter="0" w:footer="0" w:header="0"/>
        </w:sectPr>
      </w:pPr>
    </w:p>
    <w:bookmarkStart w:id="44" w:name="page45"/>
    <w:bookmarkEnd w:id="44"/>
    <w:p>
      <w:pPr>
        <w:ind w:left="2680"/>
        <w:spacing w:after="0"/>
        <w:tabs>
          <w:tab w:leader="none" w:pos="2920" w:val="left"/>
          <w:tab w:leader="none" w:pos="9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145415</wp:posOffset>
            </wp:positionV>
            <wp:extent cx="7089140" cy="6172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8914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10 </w:t>
      </w:r>
      <w:r>
        <w:rPr>
          <w:rFonts w:ascii="Arial" w:cs="Arial" w:eastAsia="Arial" w:hAnsi="Arial"/>
          <w:sz w:val="32"/>
          <w:szCs w:val="32"/>
          <w:color w:val="E93B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wp:posOffset>
            </wp:positionV>
            <wp:extent cx="7157720" cy="1165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1165860"/>
                    </a:xfrm>
                    <a:prstGeom prst="rect">
                      <a:avLst/>
                    </a:prstGeom>
                    <a:noFill/>
                  </pic:spPr>
                </pic:pic>
              </a:graphicData>
            </a:graphic>
          </wp:anchor>
        </w:drawing>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FFFFFF"/>
        </w:rPr>
        <w:t>At the end of 4Q25, the regulatory capital ratio stood at 135%, which was above the minimum required.</w:t>
      </w:r>
    </w:p>
    <w:p>
      <w:pPr>
        <w:spacing w:after="0" w:line="136" w:lineRule="exact"/>
        <w:rPr>
          <w:sz w:val="20"/>
          <w:szCs w:val="20"/>
          <w:color w:val="auto"/>
        </w:rPr>
      </w:pPr>
    </w:p>
    <w:p>
      <w:pPr>
        <w:jc w:val="both"/>
        <w:ind w:left="200" w:right="200"/>
        <w:spacing w:after="0" w:line="255" w:lineRule="auto"/>
        <w:rPr>
          <w:sz w:val="20"/>
          <w:szCs w:val="20"/>
          <w:color w:val="auto"/>
        </w:rPr>
      </w:pPr>
      <w:r>
        <w:rPr>
          <w:rFonts w:ascii="Arial" w:cs="Arial" w:eastAsia="Arial" w:hAnsi="Arial"/>
          <w:sz w:val="18"/>
          <w:szCs w:val="18"/>
          <w:color w:val="FFFFFF"/>
        </w:rPr>
        <w:t>The IFRS ratio at BCP Stand-alone rose 67 bps YoY to stand at 13.99%, which was above our internal appetite of 11%. This increase was driven by growth in Retained Earnings, which rose alongside business expansion, offset by an increase in RWAs, which reported growth in the balance of operating RWAs.</w:t>
      </w:r>
    </w:p>
    <w:p>
      <w:pPr>
        <w:spacing w:after="0" w:line="96" w:lineRule="exact"/>
        <w:rPr>
          <w:sz w:val="20"/>
          <w:szCs w:val="20"/>
          <w:color w:val="auto"/>
        </w:rPr>
      </w:pPr>
    </w:p>
    <w:p>
      <w:pPr>
        <w:jc w:val="both"/>
        <w:ind w:left="200" w:right="200"/>
        <w:spacing w:after="0" w:line="255" w:lineRule="auto"/>
        <w:rPr>
          <w:sz w:val="20"/>
          <w:szCs w:val="20"/>
          <w:color w:val="auto"/>
        </w:rPr>
      </w:pPr>
      <w:r>
        <w:rPr>
          <w:rFonts w:ascii="Arial" w:cs="Arial" w:eastAsia="Arial" w:hAnsi="Arial"/>
          <w:sz w:val="18"/>
          <w:szCs w:val="18"/>
          <w:color w:val="FFFFFF"/>
        </w:rPr>
        <w:t>The IFRS CET1 Ratio at Mibanco dropped 22 bps YoY to stand at 17.30%, which was above our internal appetite of 15%. The YoY decrease in this ratio was triggered by growth in RWAs, which rose alongside portfolio growth, and was partially offset by an uptick in Retained Earnings, which reflects business expansion.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Regulatory Capital at Credicorp</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Analysis of the Financial Group</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20"/>
                <w:szCs w:val="20"/>
                <w:color w:val="auto"/>
              </w:rPr>
            </w:pPr>
            <w:r>
              <w:rPr>
                <w:rFonts w:ascii="Arial" w:cs="Arial" w:eastAsia="Arial" w:hAnsi="Arial"/>
                <w:sz w:val="18"/>
                <w:szCs w:val="18"/>
                <w:color w:val="auto"/>
              </w:rPr>
              <w:t>At the end of 4Q25, Credicorp’s Regulatory Capital Ratio stood</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135% above the regulatory minimum. This attests to the Group’s</w:t>
            </w:r>
          </w:p>
        </w:tc>
        <w:tc>
          <w:tcPr>
            <w:tcW w:w="314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99"/>
              </w:rPr>
              <w:t>Capital Coverage Ratios</w:t>
            </w:r>
          </w:p>
        </w:tc>
        <w:tc>
          <w:tcPr>
            <w:tcW w:w="0" w:type="dxa"/>
            <w:vAlign w:val="bottom"/>
          </w:tcPr>
          <w:p>
            <w:pPr>
              <w:spacing w:after="0"/>
              <w:rPr>
                <w:sz w:val="1"/>
                <w:szCs w:val="1"/>
                <w:color w:val="auto"/>
              </w:rPr>
            </w:pPr>
          </w:p>
        </w:tc>
      </w:tr>
      <w:tr>
        <w:trPr>
          <w:trHeight w:val="143"/>
        </w:trPr>
        <w:tc>
          <w:tcPr>
            <w:tcW w:w="6460" w:type="dxa"/>
            <w:vAlign w:val="bottom"/>
            <w:vMerge w:val="restart"/>
          </w:tcPr>
          <w:p>
            <w:pPr>
              <w:spacing w:after="0" w:line="202" w:lineRule="exact"/>
              <w:rPr>
                <w:sz w:val="20"/>
                <w:szCs w:val="20"/>
                <w:color w:val="auto"/>
              </w:rPr>
            </w:pPr>
            <w:r>
              <w:rPr>
                <w:rFonts w:ascii="Arial" w:cs="Arial" w:eastAsia="Arial" w:hAnsi="Arial"/>
                <w:sz w:val="18"/>
                <w:szCs w:val="18"/>
                <w:color w:val="auto"/>
              </w:rPr>
              <w:t>financial solidity and stability. The ratio decreased 120 bps QoQ</w:t>
            </w:r>
          </w:p>
        </w:tc>
        <w:tc>
          <w:tcPr>
            <w:tcW w:w="3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6460" w:type="dxa"/>
            <w:vAlign w:val="bottom"/>
            <w:vMerge w:val="continue"/>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mainly by an increase in Retained Earnings, which was driven by</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business growth and higher Subordined Debt, due to an issuance in</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BCP.  This  increase  was  partially  offset  by  growth  in  capital</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requirements which rose alongside portfolio growth in BCP and</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Mibanco. YoY, the ratio fell 193bps, impacted by an increase in</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capital requirements due to the same dynamics seen QoQ. This</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reduction was offset by a rise in Retained Earnings, which was</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driven by the same dynamics that drove the QoQ result and a</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higher Reserves for 2024 profit capitalization.</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-1107440</wp:posOffset>
            </wp:positionV>
            <wp:extent cx="2914650" cy="128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14650" cy="12858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Regulatory Tier 1 Ratio stood at 167% (-464bps QoQ, -77 bps YoY), while the CET1 ratio was situated at 200% (-776bps QoQ, - 273bps YoY), both above the regulatory minimum. Growth in both ratios was driven by the same dynamics that fueled the Regulatory Capital Ratio, with the exception of Subordinated Debt, which had no impact on either the Regulatory Tier 1 or CET1 ratios.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Analysis of Capital at BCP Stand-alone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IFRS CET 1 ratio 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rose 82 bps </w:t>
      </w:r>
      <w:r>
        <w:rPr>
          <w:rFonts w:ascii="Arial" w:cs="Arial" w:eastAsia="Arial" w:hAnsi="Arial"/>
          <w:sz w:val="16"/>
          <w:szCs w:val="16"/>
          <w:b w:val="1"/>
          <w:bCs w:val="1"/>
          <w:color w:val="auto"/>
        </w:rPr>
        <w:t>QoQ</w:t>
      </w:r>
      <w:r>
        <w:rPr>
          <w:rFonts w:ascii="Arial" w:cs="Arial" w:eastAsia="Arial" w:hAnsi="Arial"/>
          <w:sz w:val="16"/>
          <w:szCs w:val="16"/>
          <w:color w:val="auto"/>
        </w:rPr>
        <w:t xml:space="preserve"> to stand at 13.99% in 4Q25, which is above our internal appetite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14605</wp:posOffset>
            </wp:positionV>
            <wp:extent cx="2125980" cy="14916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25980" cy="1491615"/>
                    </a:xfrm>
                    <a:prstGeom prst="rect">
                      <a:avLst/>
                    </a:prstGeom>
                    <a:noFill/>
                  </pic:spPr>
                </pic:pic>
              </a:graphicData>
            </a:graphic>
          </wp:anchor>
        </w:drawing>
      </w:r>
    </w:p>
    <w:p>
      <w:pPr>
        <w:spacing w:after="0" w:line="7" w:lineRule="exact"/>
        <w:rPr>
          <w:sz w:val="20"/>
          <w:szCs w:val="20"/>
          <w:color w:val="auto"/>
        </w:rPr>
      </w:pPr>
    </w:p>
    <w:p>
      <w:pPr>
        <w:jc w:val="both"/>
        <w:ind w:left="5860"/>
        <w:spacing w:after="0" w:line="306" w:lineRule="auto"/>
        <w:rPr>
          <w:sz w:val="20"/>
          <w:szCs w:val="20"/>
          <w:color w:val="auto"/>
        </w:rPr>
      </w:pPr>
      <w:r>
        <w:rPr>
          <w:rFonts w:ascii="Arial" w:cs="Arial" w:eastAsia="Arial" w:hAnsi="Arial"/>
          <w:sz w:val="16"/>
          <w:szCs w:val="16"/>
          <w:color w:val="auto"/>
        </w:rPr>
        <w:t xml:space="preserve">This uptick was driven by growth in Retained Earnings, which increased on the back of business expansion. This evolution was partially ofset by an increase in RWAs, which reported growth in the balance of operating RWAs, on the back of an uptick in the Bank’s margin. </w:t>
      </w:r>
      <w:r>
        <w:rPr>
          <w:rFonts w:ascii="Arial" w:cs="Arial" w:eastAsia="Arial" w:hAnsi="Arial"/>
          <w:sz w:val="16"/>
          <w:szCs w:val="16"/>
          <w:b w:val="1"/>
          <w:bCs w:val="1"/>
          <w:color w:val="auto"/>
        </w:rPr>
        <w:t>YoY</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the ratio increased 67pbs, driven mainly by growth in Retained Earnings, which was fueled by the same dynamics seen QoQ. Growth in this line was ofset by an increase in RWAS, and credit RWAs in particular, which rose alongside</w:t>
      </w:r>
    </w:p>
    <w:p>
      <w:pPr>
        <w:spacing w:after="0" w:line="156" w:lineRule="exact"/>
        <w:rPr>
          <w:sz w:val="20"/>
          <w:szCs w:val="20"/>
          <w:color w:val="auto"/>
        </w:rPr>
      </w:pPr>
    </w:p>
    <w:p>
      <w:pPr>
        <w:jc w:val="both"/>
        <w:ind w:left="5860"/>
        <w:spacing w:after="0" w:line="286" w:lineRule="auto"/>
        <w:rPr>
          <w:sz w:val="20"/>
          <w:szCs w:val="20"/>
          <w:color w:val="auto"/>
        </w:rPr>
      </w:pPr>
      <w:r>
        <w:rPr>
          <w:rFonts w:ascii="Arial" w:cs="Arial" w:eastAsia="Arial" w:hAnsi="Arial"/>
          <w:sz w:val="17"/>
          <w:szCs w:val="17"/>
          <w:color w:val="auto"/>
        </w:rPr>
        <w:t xml:space="preserve">Finally, under current regulatory standards, the local CET1 ratio stood at 13.66%, which compares favorably with the minimum of 8.38% required at the end of December 2025. The Regulatory Global Capital Ratio, in turn, stood at 19.44% (+173bps </w:t>
      </w:r>
      <w:r>
        <w:rPr>
          <w:rFonts w:ascii="Arial" w:cs="Arial" w:eastAsia="Arial" w:hAnsi="Arial"/>
          <w:sz w:val="17"/>
          <w:szCs w:val="17"/>
          <w:b w:val="1"/>
          <w:bCs w:val="1"/>
          <w:color w:val="auto"/>
        </w:rPr>
        <w:t>QoQ</w:t>
      </w:r>
      <w:r>
        <w:rPr>
          <w:rFonts w:ascii="Arial" w:cs="Arial" w:eastAsia="Arial" w:hAnsi="Arial"/>
          <w:sz w:val="17"/>
          <w:szCs w:val="17"/>
          <w:color w:val="auto"/>
        </w:rPr>
        <w:t xml:space="preserve">). This ratio is above the minimum of 15.00% required by the regulatory as of December 2025. </w:t>
      </w:r>
      <w:r>
        <w:rPr>
          <w:rFonts w:ascii="Arial" w:cs="Arial" w:eastAsia="Arial" w:hAnsi="Arial"/>
          <w:sz w:val="17"/>
          <w:szCs w:val="17"/>
          <w:b w:val="1"/>
          <w:bCs w:val="1"/>
          <w:color w:val="auto"/>
        </w:rPr>
        <w:t>QoQ and YoY</w:t>
      </w:r>
      <w:r>
        <w:rPr>
          <w:rFonts w:ascii="Arial" w:cs="Arial" w:eastAsia="Arial" w:hAnsi="Arial"/>
          <w:sz w:val="17"/>
          <w:szCs w:val="17"/>
          <w:color w:val="auto"/>
        </w:rPr>
        <w:t>, variations for the local CET1 ratio were driven by the same dynamics that drove the evolution of IFRS CET1. Movements in the values for the Regulatory Global Capital ratio over the same period were driven by the same dynamics in play for IFRS CET1 and by growth in Subordinated Debt following an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701675</wp:posOffset>
            </wp:positionV>
            <wp:extent cx="71577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101600</wp:posOffset>
            </wp:positionV>
            <wp:extent cx="6755130" cy="4972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55130" cy="497205"/>
                    </a:xfrm>
                    <a:prstGeom prst="rect">
                      <a:avLst/>
                    </a:prstGeom>
                    <a:noFill/>
                  </pic:spPr>
                </pic:pic>
              </a:graphicData>
            </a:graphic>
          </wp:anchor>
        </w:drawing>
      </w:r>
    </w:p>
    <w:p>
      <w:pPr>
        <w:sectPr>
          <w:pgSz w:w="11920" w:h="16838" w:orient="portrait"/>
          <w:cols w:equalWidth="0" w:num="1">
            <w:col w:w="11260"/>
          </w:cols>
          <w:pgMar w:left="340" w:top="542" w:right="318" w:bottom="1440" w:gutter="0" w:footer="0" w:header="0"/>
        </w:sectPr>
      </w:pPr>
    </w:p>
    <w:bookmarkStart w:id="45" w:name="page46"/>
    <w:bookmarkEnd w:id="45"/>
    <w:p>
      <w:pPr>
        <w:ind w:left="2680"/>
        <w:spacing w:after="0"/>
        <w:tabs>
          <w:tab w:leader="none" w:pos="2920" w:val="left"/>
          <w:tab w:leader="none" w:pos="932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145415</wp:posOffset>
            </wp:positionV>
            <wp:extent cx="7089140" cy="6172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89140" cy="61722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10.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08914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20" w:type="dxa"/>
            <w:vAlign w:val="bottom"/>
          </w:tcPr>
          <w:p>
            <w:pPr>
              <w:spacing w:after="0"/>
              <w:rPr>
                <w:sz w:val="20"/>
                <w:szCs w:val="20"/>
                <w:color w:val="auto"/>
              </w:rPr>
            </w:pPr>
            <w:r>
              <w:rPr>
                <w:rFonts w:ascii="Arial" w:cs="Arial" w:eastAsia="Arial" w:hAnsi="Arial"/>
                <w:sz w:val="18"/>
                <w:szCs w:val="18"/>
                <w:b w:val="1"/>
                <w:bCs w:val="1"/>
                <w:color w:val="auto"/>
              </w:rPr>
              <w:t>10.3 Analysis of Capital at Mibanco</w:t>
            </w:r>
          </w:p>
        </w:tc>
        <w:tc>
          <w:tcPr>
            <w:tcW w:w="6840" w:type="dxa"/>
            <w:vAlign w:val="bottom"/>
          </w:tcPr>
          <w:p>
            <w:pPr>
              <w:ind w:left="1440"/>
              <w:spacing w:after="0"/>
              <w:rPr>
                <w:sz w:val="20"/>
                <w:szCs w:val="20"/>
                <w:color w:val="auto"/>
              </w:rPr>
            </w:pPr>
            <w:r>
              <w:rPr>
                <w:rFonts w:ascii="Arial" w:cs="Arial" w:eastAsia="Arial" w:hAnsi="Arial"/>
                <w:sz w:val="18"/>
                <w:szCs w:val="18"/>
                <w:color w:val="auto"/>
                <w:w w:val="94"/>
              </w:rPr>
              <w:t xml:space="preserve">At the end of 4Q25, the IFRS CET 1 Ratio at </w:t>
            </w:r>
            <w:r>
              <w:rPr>
                <w:rFonts w:ascii="Arial" w:cs="Arial" w:eastAsia="Arial" w:hAnsi="Arial"/>
                <w:sz w:val="18"/>
                <w:szCs w:val="18"/>
                <w:b w:val="1"/>
                <w:bCs w:val="1"/>
                <w:color w:val="auto"/>
                <w:w w:val="94"/>
              </w:rPr>
              <w:t>Mibanco</w:t>
            </w:r>
            <w:r>
              <w:rPr>
                <w:rFonts w:ascii="Arial" w:cs="Arial" w:eastAsia="Arial" w:hAnsi="Arial"/>
                <w:sz w:val="18"/>
                <w:szCs w:val="18"/>
                <w:color w:val="auto"/>
                <w:w w:val="94"/>
              </w:rPr>
              <w:t xml:space="preserve"> stood at 17.30%</w:t>
            </w:r>
          </w:p>
        </w:tc>
      </w:tr>
      <w:tr>
        <w:trPr>
          <w:trHeight w:val="232"/>
        </w:trPr>
        <w:tc>
          <w:tcPr>
            <w:tcW w:w="4420" w:type="dxa"/>
            <w:vAlign w:val="bottom"/>
          </w:tcPr>
          <w:p>
            <w:pPr>
              <w:spacing w:after="0"/>
              <w:rPr>
                <w:sz w:val="20"/>
                <w:szCs w:val="20"/>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4"/>
              </w:rPr>
              <w:t xml:space="preserve">(+16bps QoQ), which was above our internal appetite of 15%. </w:t>
            </w:r>
            <w:r>
              <w:rPr>
                <w:rFonts w:ascii="Arial" w:cs="Arial" w:eastAsia="Arial" w:hAnsi="Arial"/>
                <w:sz w:val="18"/>
                <w:szCs w:val="18"/>
                <w:b w:val="1"/>
                <w:bCs w:val="1"/>
                <w:color w:val="auto"/>
                <w:w w:val="94"/>
              </w:rPr>
              <w:t>QoQ</w:t>
            </w:r>
            <w:r>
              <w:rPr>
                <w:rFonts w:ascii="Times New Roman" w:cs="Times New Roman" w:eastAsia="Times New Roman" w:hAnsi="Times New Roman"/>
                <w:sz w:val="18"/>
                <w:szCs w:val="18"/>
                <w:color w:val="auto"/>
                <w:w w:val="94"/>
              </w:rPr>
              <w:t>,</w:t>
            </w:r>
            <w:r>
              <w:rPr>
                <w:rFonts w:ascii="Arial" w:cs="Arial" w:eastAsia="Arial" w:hAnsi="Arial"/>
                <w:sz w:val="18"/>
                <w:szCs w:val="18"/>
                <w:color w:val="auto"/>
                <w:w w:val="94"/>
              </w:rPr>
              <w:t xml:space="preserve"> the</w:t>
            </w:r>
          </w:p>
        </w:tc>
      </w:tr>
      <w:tr>
        <w:trPr>
          <w:trHeight w:val="229"/>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5"/>
              </w:rPr>
              <w:t>increase was driven by growth in Retained Earnings, which rose on the</w:t>
            </w:r>
          </w:p>
        </w:tc>
      </w:tr>
      <w:tr>
        <w:trPr>
          <w:trHeight w:val="229"/>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rPr>
              <w:t>back of business expansion. The impact of an increase in Retained</w:t>
            </w:r>
          </w:p>
        </w:tc>
      </w:tr>
      <w:tr>
        <w:trPr>
          <w:trHeight w:val="228"/>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4"/>
              </w:rPr>
              <w:t>Earnings was ofset by an uptick in RWAs, which was fueled by portfolio</w:t>
            </w:r>
          </w:p>
        </w:tc>
      </w:tr>
      <w:tr>
        <w:trPr>
          <w:trHeight w:val="231"/>
        </w:trPr>
        <w:tc>
          <w:tcPr>
            <w:tcW w:w="4420" w:type="dxa"/>
            <w:vAlign w:val="bottom"/>
          </w:tcPr>
          <w:p>
            <w:pPr>
              <w:spacing w:after="0"/>
              <w:rPr>
                <w:sz w:val="20"/>
                <w:szCs w:val="20"/>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5"/>
              </w:rPr>
              <w:t xml:space="preserve">growth. </w:t>
            </w:r>
            <w:r>
              <w:rPr>
                <w:rFonts w:ascii="Arial" w:cs="Arial" w:eastAsia="Arial" w:hAnsi="Arial"/>
                <w:sz w:val="18"/>
                <w:szCs w:val="18"/>
                <w:b w:val="1"/>
                <w:bCs w:val="1"/>
                <w:color w:val="auto"/>
                <w:w w:val="95"/>
              </w:rPr>
              <w:t>YoY</w:t>
            </w:r>
            <w:r>
              <w:rPr>
                <w:rFonts w:ascii="Arial" w:cs="Arial" w:eastAsia="Arial" w:hAnsi="Arial"/>
                <w:sz w:val="18"/>
                <w:szCs w:val="18"/>
                <w:color w:val="auto"/>
                <w:w w:val="95"/>
              </w:rPr>
              <w:t>, the ratio dropped 22 bps, refecting an increase in RWAS,</w:t>
            </w:r>
          </w:p>
        </w:tc>
      </w:tr>
      <w:tr>
        <w:trPr>
          <w:trHeight w:val="229"/>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2"/>
              </w:rPr>
              <w:t>which rose through the same dynamics seen QoQ. This rise was ofset by</w:t>
            </w:r>
          </w:p>
        </w:tc>
      </w:tr>
      <w:tr>
        <w:trPr>
          <w:trHeight w:val="230"/>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2"/>
              </w:rPr>
              <w:t>growth in Retained Earnings in a context marked by business expansion.</w:t>
            </w:r>
          </w:p>
        </w:tc>
      </w:tr>
      <w:tr>
        <w:trPr>
          <w:trHeight w:val="634"/>
        </w:trPr>
        <w:tc>
          <w:tcPr>
            <w:tcW w:w="4420" w:type="dxa"/>
            <w:vAlign w:val="bottom"/>
          </w:tcPr>
          <w:p>
            <w:pPr>
              <w:spacing w:after="0"/>
              <w:rPr>
                <w:sz w:val="24"/>
                <w:szCs w:val="24"/>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4"/>
              </w:rPr>
              <w:t>Under the parameters of current regulation, the local CET 1 Ratio stood</w:t>
            </w:r>
          </w:p>
        </w:tc>
      </w:tr>
      <w:tr>
        <w:trPr>
          <w:trHeight w:val="230"/>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7"/>
              </w:rPr>
              <w:t>at  17.30%, which compares favorably to the minimum requirement of</w:t>
            </w:r>
          </w:p>
        </w:tc>
      </w:tr>
      <w:tr>
        <w:trPr>
          <w:trHeight w:val="229"/>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1"/>
              </w:rPr>
              <w:t>8.38% at the end of December 2025. This ratio’s variations were driven by</w:t>
            </w:r>
          </w:p>
        </w:tc>
      </w:tr>
      <w:tr>
        <w:trPr>
          <w:trHeight w:val="228"/>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89"/>
              </w:rPr>
              <w:t>the same dynamics that drove the evolution of IFRS CET 1. The Regulatory</w:t>
            </w:r>
          </w:p>
        </w:tc>
      </w:tr>
      <w:tr>
        <w:trPr>
          <w:trHeight w:val="231"/>
        </w:trPr>
        <w:tc>
          <w:tcPr>
            <w:tcW w:w="4420" w:type="dxa"/>
            <w:vAlign w:val="bottom"/>
          </w:tcPr>
          <w:p>
            <w:pPr>
              <w:spacing w:after="0"/>
              <w:rPr>
                <w:sz w:val="20"/>
                <w:szCs w:val="20"/>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8"/>
              </w:rPr>
              <w:t xml:space="preserve">Global Capital Ratio, in turn, stood at 21.25% (12bps </w:t>
            </w:r>
            <w:r>
              <w:rPr>
                <w:rFonts w:ascii="Arial" w:cs="Arial" w:eastAsia="Arial" w:hAnsi="Arial"/>
                <w:sz w:val="18"/>
                <w:szCs w:val="18"/>
                <w:b w:val="1"/>
                <w:bCs w:val="1"/>
                <w:color w:val="auto"/>
                <w:w w:val="98"/>
              </w:rPr>
              <w:t>QoQ</w:t>
            </w:r>
            <w:r>
              <w:rPr>
                <w:rFonts w:ascii="Arial" w:cs="Arial" w:eastAsia="Arial" w:hAnsi="Arial"/>
                <w:sz w:val="18"/>
                <w:szCs w:val="18"/>
                <w:color w:val="auto"/>
                <w:w w:val="98"/>
              </w:rPr>
              <w:t>), which is</w:t>
            </w:r>
          </w:p>
        </w:tc>
      </w:tr>
      <w:tr>
        <w:trPr>
          <w:trHeight w:val="229"/>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5"/>
              </w:rPr>
              <w:t>comfortably above the 15.25% minimum required by the regulator. This</w:t>
            </w:r>
          </w:p>
        </w:tc>
      </w:tr>
      <w:tr>
        <w:trPr>
          <w:trHeight w:val="229"/>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w w:val="96"/>
              </w:rPr>
              <w:t>variation was triggered by the same factors that drove the evolution of</w:t>
            </w:r>
          </w:p>
        </w:tc>
      </w:tr>
      <w:tr>
        <w:trPr>
          <w:trHeight w:val="230"/>
        </w:trPr>
        <w:tc>
          <w:tcPr>
            <w:tcW w:w="4420" w:type="dxa"/>
            <w:vAlign w:val="bottom"/>
          </w:tcPr>
          <w:p>
            <w:pPr>
              <w:spacing w:after="0"/>
              <w:rPr>
                <w:sz w:val="19"/>
                <w:szCs w:val="19"/>
                <w:color w:val="auto"/>
              </w:rPr>
            </w:pPr>
          </w:p>
        </w:tc>
        <w:tc>
          <w:tcPr>
            <w:tcW w:w="6840" w:type="dxa"/>
            <w:vAlign w:val="bottom"/>
          </w:tcPr>
          <w:p>
            <w:pPr>
              <w:ind w:left="1440"/>
              <w:spacing w:after="0"/>
              <w:rPr>
                <w:sz w:val="20"/>
                <w:szCs w:val="20"/>
                <w:color w:val="auto"/>
              </w:rPr>
            </w:pPr>
            <w:r>
              <w:rPr>
                <w:rFonts w:ascii="Arial" w:cs="Arial" w:eastAsia="Arial" w:hAnsi="Arial"/>
                <w:sz w:val="18"/>
                <w:szCs w:val="18"/>
                <w:color w:val="auto"/>
              </w:rPr>
              <w:t>IFRS CET1.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-2455545</wp:posOffset>
            </wp:positionV>
            <wp:extent cx="2571750" cy="23577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1750" cy="2357755"/>
                    </a:xfrm>
                    <a:prstGeom prst="rect">
                      <a:avLst/>
                    </a:prstGeom>
                    <a:noFill/>
                  </pic:spPr>
                </pic:pic>
              </a:graphicData>
            </a:graphic>
          </wp:anchor>
        </w:drawing>
      </w:r>
    </w:p>
    <w:p>
      <w:pPr>
        <w:ind w:right="260"/>
        <w:spacing w:after="0" w:line="275"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the Regulatory Global Capital ratio rose 34bps, fueled mainly by a Subordinated Debt issuance and by growth in Retained Earnings, which offset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RWAS (associated with portfolio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695960</wp:posOffset>
            </wp:positionV>
            <wp:extent cx="71577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104775</wp:posOffset>
            </wp:positionV>
            <wp:extent cx="6755130" cy="4889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55130" cy="488950"/>
                    </a:xfrm>
                    <a:prstGeom prst="rect">
                      <a:avLst/>
                    </a:prstGeom>
                    <a:noFill/>
                  </pic:spPr>
                </pic:pic>
              </a:graphicData>
            </a:graphic>
          </wp:anchor>
        </w:drawing>
      </w:r>
    </w:p>
    <w:p>
      <w:pPr>
        <w:sectPr>
          <w:pgSz w:w="11920" w:h="16838" w:orient="portrait"/>
          <w:cols w:equalWidth="0" w:num="1">
            <w:col w:w="11260"/>
          </w:cols>
          <w:pgMar w:left="340" w:top="542" w:right="318" w:bottom="1440" w:gutter="0" w:footer="0" w:header="0"/>
        </w:sectPr>
      </w:pPr>
    </w:p>
    <w:bookmarkStart w:id="46" w:name="page47"/>
    <w:bookmarkEnd w:id="46"/>
    <w:p>
      <w:pPr>
        <w:ind w:left="7"/>
        <w:spacing w:after="0"/>
        <w:rPr>
          <w:sz w:val="20"/>
          <w:szCs w:val="20"/>
          <w:color w:val="auto"/>
        </w:rPr>
      </w:pPr>
      <w:r>
        <w:rPr>
          <w:rFonts w:ascii="Arial" w:cs="Arial" w:eastAsia="Arial" w:hAnsi="Arial"/>
          <w:sz w:val="52"/>
          <w:szCs w:val="52"/>
          <w:b w:val="1"/>
          <w:bCs w:val="1"/>
          <w:color w:val="E93BAC"/>
        </w:rPr>
        <w:t xml:space="preserve">11 </w:t>
      </w:r>
      <w:r>
        <w:rPr>
          <w:rFonts w:ascii="Arial" w:cs="Arial" w:eastAsia="Arial" w:hAnsi="Arial"/>
          <w:sz w:val="32"/>
          <w:szCs w:val="32"/>
          <w:color w:val="E93B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57720" cy="12344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1234440"/>
                    </a:xfrm>
                    <a:prstGeom prst="rect">
                      <a:avLst/>
                    </a:prstGeom>
                    <a:noFill/>
                  </pic:spPr>
                </pic:pic>
              </a:graphicData>
            </a:graphic>
          </wp:anchor>
        </w:drawing>
      </w:r>
    </w:p>
    <w:p>
      <w:pPr>
        <w:spacing w:after="0" w:line="283" w:lineRule="exact"/>
        <w:rPr>
          <w:sz w:val="20"/>
          <w:szCs w:val="20"/>
          <w:color w:val="auto"/>
        </w:rPr>
      </w:pPr>
    </w:p>
    <w:p>
      <w:pPr>
        <w:jc w:val="both"/>
        <w:ind w:left="207" w:right="160"/>
        <w:spacing w:after="0" w:line="255" w:lineRule="auto"/>
        <w:rPr>
          <w:sz w:val="20"/>
          <w:szCs w:val="20"/>
          <w:color w:val="auto"/>
        </w:rPr>
      </w:pPr>
      <w:r>
        <w:rPr>
          <w:rFonts w:ascii="Arial" w:cs="Arial" w:eastAsia="Arial" w:hAnsi="Arial"/>
          <w:sz w:val="18"/>
          <w:szCs w:val="18"/>
          <w:color w:val="FFFFFF"/>
        </w:rPr>
        <w:t>In 4Q25, GDP grew around 3.0% YoY, moderating from the 3.7% YoY recorded in 3Q25. The primary sectors slowed down due to a sharped contraction of the fishing sector, and near-flat mining growth amid lower copper production. In contrast, non-primary sectors accelerated around 3.7% YoY, driven by construction, commerce, and service.</w:t>
      </w:r>
    </w:p>
    <w:p>
      <w:pPr>
        <w:spacing w:after="0" w:line="56" w:lineRule="exact"/>
        <w:rPr>
          <w:sz w:val="20"/>
          <w:szCs w:val="20"/>
          <w:color w:val="auto"/>
        </w:rPr>
      </w:pPr>
    </w:p>
    <w:p>
      <w:pPr>
        <w:jc w:val="both"/>
        <w:ind w:left="207" w:right="160"/>
        <w:spacing w:after="0" w:line="255" w:lineRule="auto"/>
        <w:rPr>
          <w:sz w:val="20"/>
          <w:szCs w:val="20"/>
          <w:color w:val="auto"/>
        </w:rPr>
      </w:pPr>
      <w:r>
        <w:rPr>
          <w:rFonts w:ascii="Arial" w:cs="Arial" w:eastAsia="Arial" w:hAnsi="Arial"/>
          <w:sz w:val="18"/>
          <w:szCs w:val="18"/>
          <w:color w:val="FFFFFF"/>
        </w:rPr>
        <w:t>Inflation accelerated marginally, closing the quarter at 1.5% YoY (compared to 1.4% YoY in 3Q25), below the midpoint of the target range (1%–3%). Meanwhile, this quarter, the BCRP decided to keep the reference interest rate unchanged at 4.25%. Over the year, the BCRP cut its reference rate by 25 basis points in three meetings (January, May, and September).</w:t>
      </w:r>
    </w:p>
    <w:p>
      <w:pPr>
        <w:spacing w:after="0" w:line="56" w:lineRule="exact"/>
        <w:rPr>
          <w:sz w:val="20"/>
          <w:szCs w:val="20"/>
          <w:color w:val="auto"/>
        </w:rPr>
      </w:pPr>
    </w:p>
    <w:p>
      <w:pPr>
        <w:jc w:val="both"/>
        <w:ind w:left="207" w:right="160"/>
        <w:spacing w:after="0" w:line="264" w:lineRule="auto"/>
        <w:rPr>
          <w:sz w:val="20"/>
          <w:szCs w:val="20"/>
          <w:color w:val="auto"/>
        </w:rPr>
      </w:pPr>
      <w:r>
        <w:rPr>
          <w:rFonts w:ascii="Arial" w:cs="Arial" w:eastAsia="Arial" w:hAnsi="Arial"/>
          <w:sz w:val="18"/>
          <w:szCs w:val="18"/>
          <w:color w:val="FFFFFF"/>
        </w:rPr>
        <w:t>According to the BCRP, the exchange rate closed 4Q25 at USDPEN 3.361. Thus, the Peruvian Sol appreciated 3.2% compared to the end of 3Q25.</w:t>
      </w:r>
    </w:p>
    <w:p>
      <w:pPr>
        <w:spacing w:after="0" w:line="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Peru: Economic Forecast</w:t>
      </w:r>
    </w:p>
    <w:p>
      <w:pPr>
        <w:spacing w:after="0" w:line="20" w:lineRule="exact"/>
        <w:rPr>
          <w:sz w:val="20"/>
          <w:szCs w:val="20"/>
          <w:color w:val="auto"/>
        </w:rPr>
      </w:pPr>
    </w:p>
    <w:tbl>
      <w:tblPr>
        <w:tblLayout w:type="fixed"/>
        <w:tblInd w:w="17" w:type="dxa"/>
        <w:tblCellMar>
          <w:top w:w="0" w:type="dxa"/>
          <w:left w:w="0" w:type="dxa"/>
          <w:bottom w:w="0" w:type="dxa"/>
          <w:right w:w="0" w:type="dxa"/>
        </w:tblCellMar>
      </w:tblPr>
      <w:tr>
        <w:trPr>
          <w:trHeight w:val="399"/>
        </w:trPr>
        <w:tc>
          <w:tcPr>
            <w:tcW w:w="5100" w:type="dxa"/>
            <w:vAlign w:val="bottom"/>
            <w:tcBorders>
              <w:top w:val="single" w:sz="8" w:color="auto"/>
              <w:left w:val="single" w:sz="8" w:color="auto"/>
              <w:bottom w:val="single" w:sz="8" w:color="auto"/>
              <w:right w:val="single" w:sz="8" w:color="auto"/>
            </w:tcBorders>
            <w:shd w:val="clear" w:color="auto" w:fill="33CCCC"/>
          </w:tcPr>
          <w:p>
            <w:pPr>
              <w:ind w:left="2380"/>
              <w:spacing w:after="0"/>
              <w:rPr>
                <w:sz w:val="20"/>
                <w:szCs w:val="20"/>
                <w:color w:val="auto"/>
              </w:rPr>
            </w:pPr>
            <w:r>
              <w:rPr>
                <w:rFonts w:ascii="Arial" w:cs="Arial" w:eastAsia="Arial" w:hAnsi="Arial"/>
                <w:sz w:val="15"/>
                <w:szCs w:val="15"/>
                <w:b w:val="1"/>
                <w:bCs w:val="1"/>
                <w:color w:val="FFFFFF"/>
              </w:rPr>
              <w:t>Peru</w:t>
            </w:r>
          </w:p>
        </w:tc>
        <w:tc>
          <w:tcPr>
            <w:tcW w:w="86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2020</w:t>
            </w:r>
          </w:p>
        </w:tc>
        <w:tc>
          <w:tcPr>
            <w:tcW w:w="90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2021</w:t>
            </w:r>
          </w:p>
        </w:tc>
        <w:tc>
          <w:tcPr>
            <w:tcW w:w="88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2022</w:t>
            </w:r>
          </w:p>
        </w:tc>
        <w:tc>
          <w:tcPr>
            <w:tcW w:w="88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2023</w:t>
            </w:r>
          </w:p>
        </w:tc>
        <w:tc>
          <w:tcPr>
            <w:tcW w:w="88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2024</w:t>
            </w:r>
          </w:p>
        </w:tc>
        <w:tc>
          <w:tcPr>
            <w:tcW w:w="90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w w:val="93"/>
              </w:rPr>
              <w:t xml:space="preserve">2025 </w:t>
            </w:r>
            <w:r>
              <w:rPr>
                <w:rFonts w:ascii="Arial" w:cs="Arial" w:eastAsia="Arial" w:hAnsi="Arial"/>
                <w:sz w:val="25"/>
                <w:szCs w:val="25"/>
                <w:b w:val="1"/>
                <w:bCs w:val="1"/>
                <w:color w:val="FFFFFF"/>
                <w:w w:val="93"/>
                <w:vertAlign w:val="superscript"/>
              </w:rPr>
              <w:t>(4)</w:t>
            </w:r>
          </w:p>
        </w:tc>
        <w:tc>
          <w:tcPr>
            <w:tcW w:w="8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color w:val="FFFFFF"/>
              </w:rPr>
              <w:t>2026</w:t>
            </w:r>
          </w:p>
        </w:tc>
      </w:tr>
      <w:tr>
        <w:trPr>
          <w:trHeight w:val="132"/>
        </w:trPr>
        <w:tc>
          <w:tcPr>
            <w:tcW w:w="5100" w:type="dxa"/>
            <w:vAlign w:val="bottom"/>
            <w:tcBorders>
              <w:left w:val="single" w:sz="8" w:color="auto"/>
              <w:right w:val="single" w:sz="8" w:color="auto"/>
            </w:tcBorders>
          </w:tcPr>
          <w:p>
            <w:pPr>
              <w:spacing w:after="0" w:line="132" w:lineRule="exact"/>
              <w:rPr>
                <w:sz w:val="20"/>
                <w:szCs w:val="20"/>
                <w:color w:val="auto"/>
              </w:rPr>
            </w:pPr>
            <w:r>
              <w:rPr>
                <w:rFonts w:ascii="Arial" w:cs="Arial" w:eastAsia="Arial" w:hAnsi="Arial"/>
                <w:sz w:val="15"/>
                <w:szCs w:val="15"/>
                <w:color w:val="auto"/>
              </w:rPr>
              <w:t>GDP (US$ Millions)</w:t>
            </w:r>
          </w:p>
        </w:tc>
        <w:tc>
          <w:tcPr>
            <w:tcW w:w="860" w:type="dxa"/>
            <w:vAlign w:val="bottom"/>
          </w:tcPr>
          <w:p>
            <w:pPr>
              <w:jc w:val="center"/>
              <w:spacing w:after="0" w:line="132" w:lineRule="exact"/>
              <w:rPr>
                <w:sz w:val="20"/>
                <w:szCs w:val="20"/>
                <w:color w:val="auto"/>
              </w:rPr>
            </w:pPr>
            <w:r>
              <w:rPr>
                <w:rFonts w:ascii="Arial" w:cs="Arial" w:eastAsia="Arial" w:hAnsi="Arial"/>
                <w:sz w:val="15"/>
                <w:szCs w:val="15"/>
                <w:color w:val="auto"/>
              </w:rPr>
              <w:t>210</w:t>
            </w:r>
          </w:p>
        </w:tc>
        <w:tc>
          <w:tcPr>
            <w:tcW w:w="900" w:type="dxa"/>
            <w:vAlign w:val="bottom"/>
          </w:tcPr>
          <w:p>
            <w:pPr>
              <w:jc w:val="center"/>
              <w:spacing w:after="0" w:line="132" w:lineRule="exact"/>
              <w:rPr>
                <w:sz w:val="20"/>
                <w:szCs w:val="20"/>
                <w:color w:val="auto"/>
              </w:rPr>
            </w:pPr>
            <w:r>
              <w:rPr>
                <w:rFonts w:ascii="Arial" w:cs="Arial" w:eastAsia="Arial" w:hAnsi="Arial"/>
                <w:sz w:val="15"/>
                <w:szCs w:val="15"/>
                <w:color w:val="auto"/>
              </w:rPr>
              <w:t>230</w:t>
            </w:r>
          </w:p>
        </w:tc>
        <w:tc>
          <w:tcPr>
            <w:tcW w:w="880" w:type="dxa"/>
            <w:vAlign w:val="bottom"/>
          </w:tcPr>
          <w:p>
            <w:pPr>
              <w:jc w:val="center"/>
              <w:spacing w:after="0" w:line="132" w:lineRule="exact"/>
              <w:rPr>
                <w:sz w:val="20"/>
                <w:szCs w:val="20"/>
                <w:color w:val="auto"/>
              </w:rPr>
            </w:pPr>
            <w:r>
              <w:rPr>
                <w:rFonts w:ascii="Arial" w:cs="Arial" w:eastAsia="Arial" w:hAnsi="Arial"/>
                <w:sz w:val="15"/>
                <w:szCs w:val="15"/>
                <w:color w:val="auto"/>
              </w:rPr>
              <w:t>249</w:t>
            </w:r>
          </w:p>
        </w:tc>
        <w:tc>
          <w:tcPr>
            <w:tcW w:w="880" w:type="dxa"/>
            <w:vAlign w:val="bottom"/>
          </w:tcPr>
          <w:p>
            <w:pPr>
              <w:jc w:val="center"/>
              <w:spacing w:after="0" w:line="132" w:lineRule="exact"/>
              <w:rPr>
                <w:sz w:val="20"/>
                <w:szCs w:val="20"/>
                <w:color w:val="auto"/>
              </w:rPr>
            </w:pPr>
            <w:r>
              <w:rPr>
                <w:rFonts w:ascii="Arial" w:cs="Arial" w:eastAsia="Arial" w:hAnsi="Arial"/>
                <w:sz w:val="15"/>
                <w:szCs w:val="15"/>
                <w:color w:val="auto"/>
                <w:w w:val="95"/>
              </w:rPr>
              <w:t>272</w:t>
            </w:r>
          </w:p>
        </w:tc>
        <w:tc>
          <w:tcPr>
            <w:tcW w:w="880" w:type="dxa"/>
            <w:vAlign w:val="bottom"/>
          </w:tcPr>
          <w:p>
            <w:pPr>
              <w:jc w:val="center"/>
              <w:spacing w:after="0" w:line="132" w:lineRule="exact"/>
              <w:rPr>
                <w:sz w:val="20"/>
                <w:szCs w:val="20"/>
                <w:color w:val="auto"/>
              </w:rPr>
            </w:pPr>
            <w:r>
              <w:rPr>
                <w:rFonts w:ascii="Arial" w:cs="Arial" w:eastAsia="Arial" w:hAnsi="Arial"/>
                <w:sz w:val="15"/>
                <w:szCs w:val="15"/>
                <w:color w:val="auto"/>
                <w:w w:val="95"/>
              </w:rPr>
              <w:t>296</w:t>
            </w:r>
          </w:p>
        </w:tc>
        <w:tc>
          <w:tcPr>
            <w:tcW w:w="900" w:type="dxa"/>
            <w:vAlign w:val="bottom"/>
            <w:tcBorders>
              <w:right w:val="single" w:sz="8" w:color="C0C0C0"/>
            </w:tcBorders>
            <w:shd w:val="clear" w:color="auto" w:fill="C0C0C0"/>
          </w:tcPr>
          <w:p>
            <w:pPr>
              <w:jc w:val="center"/>
              <w:spacing w:after="0" w:line="132" w:lineRule="exact"/>
              <w:rPr>
                <w:sz w:val="20"/>
                <w:szCs w:val="20"/>
                <w:color w:val="auto"/>
              </w:rPr>
            </w:pPr>
            <w:r>
              <w:rPr>
                <w:rFonts w:ascii="Arial" w:cs="Arial" w:eastAsia="Arial" w:hAnsi="Arial"/>
                <w:sz w:val="15"/>
                <w:szCs w:val="15"/>
                <w:color w:val="auto"/>
                <w:w w:val="95"/>
              </w:rPr>
              <w:t>327</w:t>
            </w:r>
          </w:p>
        </w:tc>
        <w:tc>
          <w:tcPr>
            <w:tcW w:w="880" w:type="dxa"/>
            <w:vAlign w:val="bottom"/>
            <w:tcBorders>
              <w:right w:val="single" w:sz="8" w:color="auto"/>
            </w:tcBorders>
            <w:shd w:val="clear" w:color="auto" w:fill="C0C0C0"/>
          </w:tcPr>
          <w:p>
            <w:pPr>
              <w:jc w:val="center"/>
              <w:spacing w:after="0" w:line="132" w:lineRule="exact"/>
              <w:rPr>
                <w:sz w:val="20"/>
                <w:szCs w:val="20"/>
                <w:color w:val="auto"/>
              </w:rPr>
            </w:pPr>
            <w:r>
              <w:rPr>
                <w:rFonts w:ascii="Arial" w:cs="Arial" w:eastAsia="Arial" w:hAnsi="Arial"/>
                <w:sz w:val="15"/>
                <w:szCs w:val="15"/>
                <w:color w:val="auto"/>
              </w:rPr>
              <w:t>373</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Real GDP (% change)</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9"/>
              </w:rPr>
              <w:t>-10.9</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13.4</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2.8</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-0.4</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3.5</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3.4</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3.5</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GDP per capita (US$)</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6,428</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6,959</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7,442</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8,159</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8,677</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9,513</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10,762</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Domestic demand (% change)</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-9.3</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13.9</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2.4</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-1.0</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4.2</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5.7</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4.7</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Gross fixed investment (as % GDP)</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-4</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13</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10</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3</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1</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4</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8</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2"/>
                <w:szCs w:val="12"/>
                <w:color w:val="auto"/>
              </w:rPr>
              <w:t xml:space="preserve">Financial system loan without Reactiva (% change) </w:t>
            </w:r>
            <w:r>
              <w:rPr>
                <w:rFonts w:ascii="Arial" w:cs="Arial" w:eastAsia="Arial" w:hAnsi="Arial"/>
                <w:sz w:val="18"/>
                <w:szCs w:val="18"/>
                <w:color w:val="auto"/>
                <w:vertAlign w:val="superscript"/>
              </w:rPr>
              <w:t>(1)</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-6.6</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9.8</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10.9</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3.6</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0.9</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7.3</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9.2</w:t>
            </w:r>
          </w:p>
        </w:tc>
      </w:tr>
      <w:tr>
        <w:trPr>
          <w:trHeight w:val="185"/>
        </w:trPr>
        <w:tc>
          <w:tcPr>
            <w:tcW w:w="5100" w:type="dxa"/>
            <w:vAlign w:val="bottom"/>
            <w:tcBorders>
              <w:left w:val="single" w:sz="8" w:color="auto"/>
              <w:bottom w:val="single" w:sz="8" w:color="auto"/>
              <w:right w:val="single" w:sz="8" w:color="auto"/>
            </w:tcBorders>
          </w:tcPr>
          <w:p>
            <w:pPr>
              <w:spacing w:after="0" w:line="186" w:lineRule="exact"/>
              <w:rPr>
                <w:sz w:val="20"/>
                <w:szCs w:val="20"/>
                <w:color w:val="auto"/>
              </w:rPr>
            </w:pPr>
            <w:r>
              <w:rPr>
                <w:rFonts w:ascii="Arial" w:cs="Arial" w:eastAsia="Arial" w:hAnsi="Arial"/>
                <w:sz w:val="13"/>
                <w:szCs w:val="13"/>
                <w:color w:val="auto"/>
              </w:rPr>
              <w:t xml:space="preserve">Inflation, end of period </w:t>
            </w:r>
            <w:r>
              <w:rPr>
                <w:rFonts w:ascii="Arial" w:cs="Arial" w:eastAsia="Arial" w:hAnsi="Arial"/>
                <w:sz w:val="21"/>
                <w:szCs w:val="21"/>
                <w:color w:val="auto"/>
                <w:vertAlign w:val="superscript"/>
              </w:rPr>
              <w:t>(2)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6.4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8.5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3.2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2.0</w:t>
            </w:r>
          </w:p>
        </w:tc>
        <w:tc>
          <w:tcPr>
            <w:tcW w:w="900" w:type="dxa"/>
            <w:vAlign w:val="bottom"/>
            <w:tcBorders>
              <w:bottom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5"/>
                <w:szCs w:val="15"/>
                <w:color w:val="auto"/>
                <w:w w:val="95"/>
              </w:rPr>
              <w:t>1.5</w:t>
            </w:r>
          </w:p>
        </w:tc>
        <w:tc>
          <w:tcPr>
            <w:tcW w:w="8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color w:val="auto"/>
                <w:w w:val="95"/>
              </w:rPr>
              <w:t>2.0</w:t>
            </w:r>
          </w:p>
        </w:tc>
      </w:tr>
      <w:tr>
        <w:trPr>
          <w:trHeight w:val="155"/>
        </w:trPr>
        <w:tc>
          <w:tcPr>
            <w:tcW w:w="51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Reference Rate, end of period</w:t>
            </w: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0.25</w:t>
            </w:r>
          </w:p>
        </w:tc>
        <w:tc>
          <w:tcPr>
            <w:tcW w:w="9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2.50</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7.50</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6.75</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5.00</w:t>
            </w:r>
          </w:p>
        </w:tc>
        <w:tc>
          <w:tcPr>
            <w:tcW w:w="900" w:type="dxa"/>
            <w:vAlign w:val="bottom"/>
            <w:tcBorders>
              <w:bottom w:val="single" w:sz="8" w:color="auto"/>
              <w:right w:val="single" w:sz="8" w:color="C0C0C0"/>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w w:val="95"/>
              </w:rPr>
              <w:t>4.25</w:t>
            </w:r>
          </w:p>
        </w:tc>
        <w:tc>
          <w:tcPr>
            <w:tcW w:w="880" w:type="dxa"/>
            <w:vAlign w:val="bottom"/>
            <w:tcBorders>
              <w:bottom w:val="single" w:sz="8" w:color="auto"/>
              <w:right w:val="single" w:sz="8" w:color="auto"/>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rPr>
              <w:t>4.00</w:t>
            </w:r>
          </w:p>
        </w:tc>
      </w:tr>
      <w:tr>
        <w:trPr>
          <w:trHeight w:val="156"/>
        </w:trPr>
        <w:tc>
          <w:tcPr>
            <w:tcW w:w="51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Exchange rate, end of period</w:t>
            </w: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3.62</w:t>
            </w:r>
          </w:p>
        </w:tc>
        <w:tc>
          <w:tcPr>
            <w:tcW w:w="9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3.99</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3.81</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3.71</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3.76</w:t>
            </w:r>
          </w:p>
        </w:tc>
        <w:tc>
          <w:tcPr>
            <w:tcW w:w="900" w:type="dxa"/>
            <w:vAlign w:val="bottom"/>
            <w:tcBorders>
              <w:bottom w:val="single" w:sz="8" w:color="auto"/>
              <w:right w:val="single" w:sz="8" w:color="C0C0C0"/>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w w:val="95"/>
              </w:rPr>
              <w:t>3.36</w:t>
            </w:r>
          </w:p>
        </w:tc>
        <w:tc>
          <w:tcPr>
            <w:tcW w:w="880" w:type="dxa"/>
            <w:vAlign w:val="bottom"/>
            <w:tcBorders>
              <w:bottom w:val="single" w:sz="8" w:color="auto"/>
              <w:right w:val="single" w:sz="8" w:color="auto"/>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rPr>
              <w:t>3.20</w:t>
            </w:r>
          </w:p>
        </w:tc>
      </w:tr>
      <w:tr>
        <w:trPr>
          <w:trHeight w:val="155"/>
        </w:trPr>
        <w:tc>
          <w:tcPr>
            <w:tcW w:w="51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2"/>
                <w:szCs w:val="12"/>
                <w:color w:val="auto"/>
              </w:rPr>
              <w:t xml:space="preserve">Exchange rate, (% change) </w:t>
            </w:r>
            <w:r>
              <w:rPr>
                <w:rFonts w:ascii="Arial" w:cs="Arial" w:eastAsia="Arial" w:hAnsi="Arial"/>
                <w:sz w:val="18"/>
                <w:szCs w:val="18"/>
                <w:color w:val="auto"/>
                <w:vertAlign w:val="superscript"/>
              </w:rPr>
              <w:t>(3)</w:t>
            </w: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-9.3%</w:t>
            </w:r>
          </w:p>
        </w:tc>
        <w:tc>
          <w:tcPr>
            <w:tcW w:w="9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-10.3%</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4.5%</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2.7%</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-1.3%</w:t>
            </w:r>
          </w:p>
        </w:tc>
        <w:tc>
          <w:tcPr>
            <w:tcW w:w="900" w:type="dxa"/>
            <w:vAlign w:val="bottom"/>
            <w:tcBorders>
              <w:bottom w:val="single" w:sz="8" w:color="auto"/>
              <w:right w:val="single" w:sz="8" w:color="C0C0C0"/>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rPr>
              <w:t>10.6%</w:t>
            </w:r>
          </w:p>
        </w:tc>
        <w:tc>
          <w:tcPr>
            <w:tcW w:w="880" w:type="dxa"/>
            <w:vAlign w:val="bottom"/>
            <w:tcBorders>
              <w:bottom w:val="single" w:sz="8" w:color="auto"/>
              <w:right w:val="single" w:sz="8" w:color="auto"/>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rPr>
              <w:t>4.8%</w:t>
            </w:r>
          </w:p>
        </w:tc>
      </w:tr>
      <w:tr>
        <w:trPr>
          <w:trHeight w:val="156"/>
        </w:trPr>
        <w:tc>
          <w:tcPr>
            <w:tcW w:w="51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Fiscal balance (% GDP)</w:t>
            </w: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-8.7</w:t>
            </w:r>
          </w:p>
        </w:tc>
        <w:tc>
          <w:tcPr>
            <w:tcW w:w="9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-2.5</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-1.7</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-2.7</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-3.4</w:t>
            </w:r>
          </w:p>
        </w:tc>
        <w:tc>
          <w:tcPr>
            <w:tcW w:w="900" w:type="dxa"/>
            <w:vAlign w:val="bottom"/>
            <w:tcBorders>
              <w:bottom w:val="single" w:sz="8" w:color="auto"/>
              <w:right w:val="single" w:sz="8" w:color="C0C0C0"/>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rPr>
              <w:t>-2.2</w:t>
            </w:r>
          </w:p>
        </w:tc>
        <w:tc>
          <w:tcPr>
            <w:tcW w:w="880" w:type="dxa"/>
            <w:vAlign w:val="bottom"/>
            <w:tcBorders>
              <w:bottom w:val="single" w:sz="8" w:color="auto"/>
              <w:right w:val="single" w:sz="8" w:color="auto"/>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rPr>
              <w:t>-1.6</w:t>
            </w:r>
          </w:p>
        </w:tc>
      </w:tr>
      <w:tr>
        <w:trPr>
          <w:trHeight w:val="156"/>
        </w:trPr>
        <w:tc>
          <w:tcPr>
            <w:tcW w:w="51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Public Debt (as % GDP)</w:t>
            </w:r>
          </w:p>
        </w:tc>
        <w:tc>
          <w:tcPr>
            <w:tcW w:w="8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34</w:t>
            </w:r>
          </w:p>
        </w:tc>
        <w:tc>
          <w:tcPr>
            <w:tcW w:w="9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35</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33</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32</w:t>
            </w:r>
          </w:p>
        </w:tc>
        <w:tc>
          <w:tcPr>
            <w:tcW w:w="88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32</w:t>
            </w:r>
          </w:p>
        </w:tc>
        <w:tc>
          <w:tcPr>
            <w:tcW w:w="900" w:type="dxa"/>
            <w:vAlign w:val="bottom"/>
            <w:tcBorders>
              <w:bottom w:val="single" w:sz="8" w:color="auto"/>
              <w:right w:val="single" w:sz="8" w:color="C0C0C0"/>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w w:val="95"/>
              </w:rPr>
              <w:t>31</w:t>
            </w:r>
          </w:p>
        </w:tc>
        <w:tc>
          <w:tcPr>
            <w:tcW w:w="880" w:type="dxa"/>
            <w:vAlign w:val="bottom"/>
            <w:tcBorders>
              <w:bottom w:val="single" w:sz="8" w:color="auto"/>
              <w:right w:val="single" w:sz="8" w:color="auto"/>
            </w:tcBorders>
            <w:shd w:val="clear" w:color="auto" w:fill="C0C0C0"/>
          </w:tcPr>
          <w:p>
            <w:pPr>
              <w:jc w:val="center"/>
              <w:spacing w:after="0" w:line="156" w:lineRule="exact"/>
              <w:rPr>
                <w:sz w:val="20"/>
                <w:szCs w:val="20"/>
                <w:color w:val="auto"/>
              </w:rPr>
            </w:pPr>
            <w:r>
              <w:rPr>
                <w:rFonts w:ascii="Arial" w:cs="Arial" w:eastAsia="Arial" w:hAnsi="Arial"/>
                <w:sz w:val="15"/>
                <w:szCs w:val="15"/>
                <w:color w:val="auto"/>
                <w:w w:val="95"/>
              </w:rPr>
              <w:t>30</w:t>
            </w:r>
          </w:p>
        </w:tc>
      </w:tr>
      <w:tr>
        <w:trPr>
          <w:trHeight w:val="132"/>
        </w:trPr>
        <w:tc>
          <w:tcPr>
            <w:tcW w:w="5100" w:type="dxa"/>
            <w:vAlign w:val="bottom"/>
            <w:tcBorders>
              <w:left w:val="single" w:sz="8" w:color="auto"/>
              <w:right w:val="single" w:sz="8" w:color="auto"/>
            </w:tcBorders>
          </w:tcPr>
          <w:p>
            <w:pPr>
              <w:spacing w:after="0" w:line="132" w:lineRule="exact"/>
              <w:rPr>
                <w:sz w:val="20"/>
                <w:szCs w:val="20"/>
                <w:color w:val="auto"/>
              </w:rPr>
            </w:pPr>
            <w:r>
              <w:rPr>
                <w:rFonts w:ascii="Arial" w:cs="Arial" w:eastAsia="Arial" w:hAnsi="Arial"/>
                <w:sz w:val="15"/>
                <w:szCs w:val="15"/>
                <w:color w:val="auto"/>
              </w:rPr>
              <w:t>Trade balance (US$ Millions)</w:t>
            </w:r>
          </w:p>
        </w:tc>
        <w:tc>
          <w:tcPr>
            <w:tcW w:w="860" w:type="dxa"/>
            <w:vAlign w:val="bottom"/>
          </w:tcPr>
          <w:p>
            <w:pPr>
              <w:jc w:val="center"/>
              <w:spacing w:after="0" w:line="132" w:lineRule="exact"/>
              <w:rPr>
                <w:sz w:val="20"/>
                <w:szCs w:val="20"/>
                <w:color w:val="auto"/>
              </w:rPr>
            </w:pPr>
            <w:r>
              <w:rPr>
                <w:rFonts w:ascii="Arial" w:cs="Arial" w:eastAsia="Arial" w:hAnsi="Arial"/>
                <w:sz w:val="15"/>
                <w:szCs w:val="15"/>
                <w:color w:val="auto"/>
                <w:w w:val="95"/>
              </w:rPr>
              <w:t>8</w:t>
            </w:r>
          </w:p>
        </w:tc>
        <w:tc>
          <w:tcPr>
            <w:tcW w:w="900" w:type="dxa"/>
            <w:vAlign w:val="bottom"/>
          </w:tcPr>
          <w:p>
            <w:pPr>
              <w:jc w:val="center"/>
              <w:spacing w:after="0" w:line="132" w:lineRule="exact"/>
              <w:rPr>
                <w:sz w:val="20"/>
                <w:szCs w:val="20"/>
                <w:color w:val="auto"/>
              </w:rPr>
            </w:pPr>
            <w:r>
              <w:rPr>
                <w:rFonts w:ascii="Arial" w:cs="Arial" w:eastAsia="Arial" w:hAnsi="Arial"/>
                <w:sz w:val="15"/>
                <w:szCs w:val="15"/>
                <w:color w:val="auto"/>
              </w:rPr>
              <w:t>15</w:t>
            </w:r>
          </w:p>
        </w:tc>
        <w:tc>
          <w:tcPr>
            <w:tcW w:w="880" w:type="dxa"/>
            <w:vAlign w:val="bottom"/>
          </w:tcPr>
          <w:p>
            <w:pPr>
              <w:jc w:val="center"/>
              <w:spacing w:after="0" w:line="132" w:lineRule="exact"/>
              <w:rPr>
                <w:sz w:val="20"/>
                <w:szCs w:val="20"/>
                <w:color w:val="auto"/>
              </w:rPr>
            </w:pPr>
            <w:r>
              <w:rPr>
                <w:rFonts w:ascii="Arial" w:cs="Arial" w:eastAsia="Arial" w:hAnsi="Arial"/>
                <w:sz w:val="15"/>
                <w:szCs w:val="15"/>
                <w:color w:val="auto"/>
                <w:w w:val="95"/>
              </w:rPr>
              <w:t>10</w:t>
            </w:r>
          </w:p>
        </w:tc>
        <w:tc>
          <w:tcPr>
            <w:tcW w:w="880" w:type="dxa"/>
            <w:vAlign w:val="bottom"/>
          </w:tcPr>
          <w:p>
            <w:pPr>
              <w:jc w:val="center"/>
              <w:spacing w:after="0" w:line="132" w:lineRule="exact"/>
              <w:rPr>
                <w:sz w:val="20"/>
                <w:szCs w:val="20"/>
                <w:color w:val="auto"/>
              </w:rPr>
            </w:pPr>
            <w:r>
              <w:rPr>
                <w:rFonts w:ascii="Arial" w:cs="Arial" w:eastAsia="Arial" w:hAnsi="Arial"/>
                <w:sz w:val="15"/>
                <w:szCs w:val="15"/>
                <w:color w:val="auto"/>
                <w:w w:val="95"/>
              </w:rPr>
              <w:t>17</w:t>
            </w:r>
          </w:p>
        </w:tc>
        <w:tc>
          <w:tcPr>
            <w:tcW w:w="880" w:type="dxa"/>
            <w:vAlign w:val="bottom"/>
          </w:tcPr>
          <w:p>
            <w:pPr>
              <w:jc w:val="center"/>
              <w:spacing w:after="0" w:line="132" w:lineRule="exact"/>
              <w:rPr>
                <w:sz w:val="20"/>
                <w:szCs w:val="20"/>
                <w:color w:val="auto"/>
              </w:rPr>
            </w:pPr>
            <w:r>
              <w:rPr>
                <w:rFonts w:ascii="Arial" w:cs="Arial" w:eastAsia="Arial" w:hAnsi="Arial"/>
                <w:sz w:val="15"/>
                <w:szCs w:val="15"/>
                <w:color w:val="auto"/>
                <w:w w:val="95"/>
              </w:rPr>
              <w:t>24</w:t>
            </w:r>
          </w:p>
        </w:tc>
        <w:tc>
          <w:tcPr>
            <w:tcW w:w="900" w:type="dxa"/>
            <w:vAlign w:val="bottom"/>
            <w:tcBorders>
              <w:right w:val="single" w:sz="8" w:color="C0C0C0"/>
            </w:tcBorders>
            <w:shd w:val="clear" w:color="auto" w:fill="C0C0C0"/>
          </w:tcPr>
          <w:p>
            <w:pPr>
              <w:jc w:val="center"/>
              <w:spacing w:after="0" w:line="132" w:lineRule="exact"/>
              <w:rPr>
                <w:sz w:val="20"/>
                <w:szCs w:val="20"/>
                <w:color w:val="auto"/>
              </w:rPr>
            </w:pPr>
            <w:r>
              <w:rPr>
                <w:rFonts w:ascii="Arial" w:cs="Arial" w:eastAsia="Arial" w:hAnsi="Arial"/>
                <w:sz w:val="15"/>
                <w:szCs w:val="15"/>
                <w:color w:val="auto"/>
                <w:w w:val="95"/>
              </w:rPr>
              <w:t>33</w:t>
            </w:r>
          </w:p>
        </w:tc>
        <w:tc>
          <w:tcPr>
            <w:tcW w:w="880" w:type="dxa"/>
            <w:vAlign w:val="bottom"/>
            <w:tcBorders>
              <w:right w:val="single" w:sz="8" w:color="auto"/>
            </w:tcBorders>
            <w:shd w:val="clear" w:color="auto" w:fill="C0C0C0"/>
          </w:tcPr>
          <w:p>
            <w:pPr>
              <w:jc w:val="center"/>
              <w:spacing w:after="0" w:line="132" w:lineRule="exact"/>
              <w:rPr>
                <w:sz w:val="20"/>
                <w:szCs w:val="20"/>
                <w:color w:val="auto"/>
              </w:rPr>
            </w:pPr>
            <w:r>
              <w:rPr>
                <w:rFonts w:ascii="Arial" w:cs="Arial" w:eastAsia="Arial" w:hAnsi="Arial"/>
                <w:sz w:val="15"/>
                <w:szCs w:val="15"/>
                <w:color w:val="auto"/>
                <w:w w:val="95"/>
              </w:rPr>
              <w:t>41</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(As % GDP)</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9"/>
              </w:rPr>
              <w:t>3.9%</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w w:val="99"/>
              </w:rPr>
              <w:t>6.6%</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4.2%</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6.3%</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8.1%</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10.1%</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8"/>
              </w:rPr>
              <w:t>11.0%</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Exports</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43</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63</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66</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67</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76</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91</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105</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Imports</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35</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48</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56</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50</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52</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58</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64</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Current account balance (As % GDP)</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9"/>
              </w:rPr>
              <w:t>0.8%</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-2.2%</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-4.0%</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0.3%</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2.2%</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2.4%</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2.5%</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Net international reserves (US$ Millions)</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75</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78</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72</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71</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w w:val="95"/>
              </w:rPr>
              <w:t>79</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90</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w w:val="95"/>
              </w:rPr>
              <w:t>110</w:t>
            </w:r>
          </w:p>
        </w:tc>
      </w:tr>
      <w:tr>
        <w:trPr>
          <w:trHeight w:val="162"/>
        </w:trPr>
        <w:tc>
          <w:tcPr>
            <w:tcW w:w="510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(As % GDP)</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35.6%</w:t>
            </w:r>
          </w:p>
        </w:tc>
        <w:tc>
          <w:tcPr>
            <w:tcW w:w="900" w:type="dxa"/>
            <w:vAlign w:val="bottom"/>
          </w:tcPr>
          <w:p>
            <w:pPr>
              <w:jc w:val="center"/>
              <w:spacing w:after="0" w:line="162" w:lineRule="exact"/>
              <w:rPr>
                <w:sz w:val="20"/>
                <w:szCs w:val="20"/>
                <w:color w:val="auto"/>
              </w:rPr>
            </w:pPr>
            <w:r>
              <w:rPr>
                <w:rFonts w:ascii="Arial" w:cs="Arial" w:eastAsia="Arial" w:hAnsi="Arial"/>
                <w:sz w:val="15"/>
                <w:szCs w:val="15"/>
                <w:color w:val="auto"/>
              </w:rPr>
              <w:t>34.1%</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28.9%</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26.1%</w:t>
            </w:r>
          </w:p>
        </w:tc>
        <w:tc>
          <w:tcPr>
            <w:tcW w:w="880" w:type="dxa"/>
            <w:vAlign w:val="bottom"/>
          </w:tcPr>
          <w:p>
            <w:pPr>
              <w:jc w:val="center"/>
              <w:spacing w:after="0" w:line="162" w:lineRule="exact"/>
              <w:rPr>
                <w:sz w:val="20"/>
                <w:szCs w:val="20"/>
                <w:color w:val="auto"/>
              </w:rPr>
            </w:pPr>
            <w:r>
              <w:rPr>
                <w:rFonts w:ascii="Arial" w:cs="Arial" w:eastAsia="Arial" w:hAnsi="Arial"/>
                <w:sz w:val="15"/>
                <w:szCs w:val="15"/>
                <w:color w:val="auto"/>
              </w:rPr>
              <w:t>26.7%</w:t>
            </w:r>
          </w:p>
        </w:tc>
        <w:tc>
          <w:tcPr>
            <w:tcW w:w="900" w:type="dxa"/>
            <w:vAlign w:val="bottom"/>
            <w:tcBorders>
              <w:right w:val="single" w:sz="8" w:color="C0C0C0"/>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27.6%</w:t>
            </w:r>
          </w:p>
        </w:tc>
        <w:tc>
          <w:tcPr>
            <w:tcW w:w="880" w:type="dxa"/>
            <w:vAlign w:val="bottom"/>
            <w:tcBorders>
              <w:right w:val="single" w:sz="8" w:color="auto"/>
            </w:tcBorders>
            <w:shd w:val="clear" w:color="auto" w:fill="C0C0C0"/>
          </w:tcPr>
          <w:p>
            <w:pPr>
              <w:jc w:val="center"/>
              <w:spacing w:after="0" w:line="162" w:lineRule="exact"/>
              <w:rPr>
                <w:sz w:val="20"/>
                <w:szCs w:val="20"/>
                <w:color w:val="auto"/>
              </w:rPr>
            </w:pPr>
            <w:r>
              <w:rPr>
                <w:rFonts w:ascii="Arial" w:cs="Arial" w:eastAsia="Arial" w:hAnsi="Arial"/>
                <w:sz w:val="15"/>
                <w:szCs w:val="15"/>
                <w:color w:val="auto"/>
              </w:rPr>
              <w:t>29.5%</w:t>
            </w:r>
          </w:p>
        </w:tc>
      </w:tr>
      <w:tr>
        <w:trPr>
          <w:trHeight w:val="185"/>
        </w:trPr>
        <w:tc>
          <w:tcPr>
            <w:tcW w:w="51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5"/>
                <w:szCs w:val="15"/>
                <w:color w:val="auto"/>
              </w:rPr>
              <w:t>(As months of imports)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15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17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18</w:t>
            </w:r>
          </w:p>
        </w:tc>
        <w:tc>
          <w:tcPr>
            <w:tcW w:w="900" w:type="dxa"/>
            <w:vAlign w:val="bottom"/>
            <w:tcBorders>
              <w:bottom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5"/>
                <w:szCs w:val="15"/>
                <w:color w:val="auto"/>
                <w:w w:val="95"/>
              </w:rPr>
              <w:t>19</w:t>
            </w:r>
          </w:p>
        </w:tc>
        <w:tc>
          <w:tcPr>
            <w:tcW w:w="8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color w:val="auto"/>
                <w:w w:val="95"/>
              </w:rPr>
              <w:t>21</w:t>
            </w:r>
          </w:p>
        </w:tc>
      </w:tr>
    </w:tbl>
    <w:p>
      <w:pPr>
        <w:spacing w:after="0" w:line="186" w:lineRule="exact"/>
        <w:rPr>
          <w:sz w:val="20"/>
          <w:szCs w:val="20"/>
          <w:color w:val="auto"/>
        </w:rPr>
      </w:pPr>
    </w:p>
    <w:p>
      <w:pPr>
        <w:ind w:left="7"/>
        <w:spacing w:after="0"/>
        <w:rPr>
          <w:sz w:val="20"/>
          <w:szCs w:val="20"/>
          <w:color w:val="auto"/>
        </w:rPr>
      </w:pPr>
      <w:r>
        <w:rPr>
          <w:rFonts w:ascii="Arial" w:cs="Arial" w:eastAsia="Arial" w:hAnsi="Arial"/>
          <w:sz w:val="13"/>
          <w:szCs w:val="13"/>
          <w:color w:val="auto"/>
        </w:rPr>
        <w:t>Sources: INEI, BCRP y SBS.</w:t>
      </w:r>
    </w:p>
    <w:p>
      <w:pPr>
        <w:spacing w:after="0" w:line="14" w:lineRule="exact"/>
        <w:rPr>
          <w:sz w:val="20"/>
          <w:szCs w:val="20"/>
          <w:color w:val="auto"/>
        </w:rPr>
      </w:pPr>
    </w:p>
    <w:p>
      <w:pPr>
        <w:ind w:left="207" w:hanging="207"/>
        <w:spacing w:after="0"/>
        <w:tabs>
          <w:tab w:leader="none" w:pos="207" w:val="left"/>
        </w:tabs>
        <w:numPr>
          <w:ilvl w:val="0"/>
          <w:numId w:val="52"/>
        </w:numPr>
        <w:rPr>
          <w:rFonts w:ascii="Arial" w:cs="Arial" w:eastAsia="Arial" w:hAnsi="Arial"/>
          <w:sz w:val="13"/>
          <w:szCs w:val="13"/>
          <w:color w:val="auto"/>
        </w:rPr>
      </w:pPr>
      <w:r>
        <w:rPr>
          <w:rFonts w:ascii="Arial" w:cs="Arial" w:eastAsia="Arial" w:hAnsi="Arial"/>
          <w:sz w:val="13"/>
          <w:szCs w:val="13"/>
          <w:color w:val="auto"/>
        </w:rPr>
        <w:t>End of period.</w:t>
      </w:r>
    </w:p>
    <w:p>
      <w:pPr>
        <w:ind w:left="207" w:hanging="207"/>
        <w:spacing w:after="0"/>
        <w:tabs>
          <w:tab w:leader="none" w:pos="207"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Inflation target: 1% - 3%</w:t>
      </w:r>
    </w:p>
    <w:p>
      <w:pPr>
        <w:ind w:left="207" w:hanging="207"/>
        <w:spacing w:after="0"/>
        <w:tabs>
          <w:tab w:leader="none" w:pos="207" w:val="left"/>
        </w:tabs>
        <w:numPr>
          <w:ilvl w:val="0"/>
          <w:numId w:val="52"/>
        </w:numPr>
        <w:rPr>
          <w:rFonts w:ascii="Arial" w:cs="Arial" w:eastAsia="Arial" w:hAnsi="Arial"/>
          <w:sz w:val="13"/>
          <w:szCs w:val="13"/>
          <w:color w:val="auto"/>
        </w:rPr>
      </w:pPr>
      <w:r>
        <w:rPr>
          <w:rFonts w:ascii="Arial" w:cs="Arial" w:eastAsia="Arial" w:hAnsi="Arial"/>
          <w:sz w:val="13"/>
          <w:szCs w:val="13"/>
          <w:color w:val="auto"/>
        </w:rPr>
        <w:t>Negative % change indicates depreciation.</w:t>
      </w:r>
    </w:p>
    <w:p>
      <w:pPr>
        <w:ind w:left="207" w:hanging="207"/>
        <w:spacing w:after="0"/>
        <w:tabs>
          <w:tab w:leader="none" w:pos="207" w:val="left"/>
        </w:tabs>
        <w:numPr>
          <w:ilvl w:val="0"/>
          <w:numId w:val="52"/>
        </w:numPr>
        <w:rPr>
          <w:rFonts w:ascii="Arial" w:cs="Arial" w:eastAsia="Arial" w:hAnsi="Arial"/>
          <w:sz w:val="13"/>
          <w:szCs w:val="13"/>
          <w:color w:val="auto"/>
        </w:rPr>
      </w:pPr>
      <w:r>
        <w:rPr>
          <w:rFonts w:ascii="Arial" w:cs="Arial" w:eastAsia="Arial" w:hAnsi="Arial"/>
          <w:sz w:val="13"/>
          <w:szCs w:val="13"/>
          <w:color w:val="auto"/>
        </w:rPr>
        <w:t>Grey area indicate estimates by BCP Economic Research as of February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728345</wp:posOffset>
            </wp:positionV>
            <wp:extent cx="71577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128270</wp:posOffset>
            </wp:positionV>
            <wp:extent cx="6764020" cy="4972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64020" cy="497205"/>
                    </a:xfrm>
                    <a:prstGeom prst="rect">
                      <a:avLst/>
                    </a:prstGeom>
                    <a:noFill/>
                  </pic:spPr>
                </pic:pic>
              </a:graphicData>
            </a:graphic>
          </wp:anchor>
        </w:drawing>
      </w:r>
    </w:p>
    <w:p>
      <w:pPr>
        <w:sectPr>
          <w:pgSz w:w="11920" w:h="16838" w:orient="portrait"/>
          <w:cols w:equalWidth="0" w:num="1">
            <w:col w:w="11267"/>
          </w:cols>
          <w:pgMar w:left="333" w:top="61" w:right="318" w:bottom="1440" w:gutter="0" w:footer="0" w:header="0"/>
        </w:sectPr>
      </w:pPr>
    </w:p>
    <w:bookmarkStart w:id="47" w:name="page48"/>
    <w:bookmarkEnd w:id="47"/>
    <w:p>
      <w:pPr>
        <w:jc w:val="both"/>
        <w:ind w:left="2687"/>
        <w:spacing w:after="0"/>
        <w:tabs>
          <w:tab w:leader="none" w:pos="2907" w:val="left"/>
        </w:tabs>
        <w:rPr>
          <w:sz w:val="20"/>
          <w:szCs w:val="20"/>
          <w:color w:val="auto"/>
        </w:rPr>
      </w:pPr>
      <w:r>
        <w:rPr>
          <w:rFonts w:ascii="Arial" w:cs="Arial" w:eastAsia="Arial" w:hAnsi="Arial"/>
          <w:sz w:val="16"/>
          <w:szCs w:val="16"/>
          <w:color w:val="A6A6A6"/>
        </w:rPr>
        <w:t>|</w:t>
      </w:r>
      <w:r>
        <w:rPr>
          <w:sz w:val="20"/>
          <w:szCs w:val="20"/>
          <w:color w:val="auto"/>
        </w:rPr>
        <w:tab/>
      </w:r>
      <w:r>
        <w:rPr>
          <w:rFonts w:ascii="Arial" w:cs="Arial" w:eastAsia="Arial" w:hAnsi="Arial"/>
          <w:sz w:val="14"/>
          <w:szCs w:val="14"/>
          <w:color w:val="FFFFFF"/>
        </w:rPr>
        <w:t>Earnings Release 4Q / 2025</w:t>
      </w:r>
    </w:p>
    <w:p>
      <w:pPr>
        <w:spacing w:after="0" w:line="297" w:lineRule="exact"/>
        <w:rPr>
          <w:sz w:val="20"/>
          <w:szCs w:val="20"/>
          <w:color w:val="auto"/>
        </w:rPr>
      </w:pPr>
    </w:p>
    <w:p>
      <w:pPr>
        <w:ind w:left="67"/>
        <w:spacing w:after="0"/>
        <w:rPr>
          <w:sz w:val="20"/>
          <w:szCs w:val="20"/>
          <w:color w:val="auto"/>
        </w:rPr>
      </w:pPr>
      <w:r>
        <w:rPr>
          <w:rFonts w:ascii="Arial" w:cs="Arial" w:eastAsia="Arial" w:hAnsi="Arial"/>
          <w:sz w:val="22"/>
          <w:szCs w:val="22"/>
          <w:b w:val="1"/>
          <w:bCs w:val="1"/>
          <w:color w:val="FFFFFF"/>
        </w:rPr>
        <w:t>11. Economic Outlook</w:t>
      </w:r>
    </w:p>
    <w:p>
      <w:pPr>
        <w:spacing w:after="0" w:line="24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Main Macroeconomic Variables</w:t>
      </w:r>
    </w:p>
    <w:p>
      <w:pPr>
        <w:spacing w:after="0" w:line="198" w:lineRule="exact"/>
        <w:rPr>
          <w:sz w:val="20"/>
          <w:szCs w:val="20"/>
          <w:color w:val="auto"/>
        </w:rPr>
      </w:pPr>
    </w:p>
    <w:p>
      <w:pPr>
        <w:ind w:left="1647"/>
        <w:spacing w:after="0"/>
        <w:rPr>
          <w:sz w:val="20"/>
          <w:szCs w:val="20"/>
          <w:color w:val="auto"/>
        </w:rPr>
      </w:pPr>
      <w:r>
        <w:rPr>
          <w:rFonts w:ascii="Arial" w:cs="Arial" w:eastAsia="Arial" w:hAnsi="Arial"/>
          <w:sz w:val="18"/>
          <w:szCs w:val="18"/>
          <w:b w:val="1"/>
          <w:bCs w:val="1"/>
          <w:color w:val="auto"/>
        </w:rPr>
        <w:t>Gross Domestic Product</w:t>
      </w:r>
    </w:p>
    <w:p>
      <w:pPr>
        <w:spacing w:after="0" w:line="20"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(Annual Real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-1905</wp:posOffset>
            </wp:positionV>
            <wp:extent cx="3086100" cy="13201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8610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-264795</wp:posOffset>
            </wp:positionV>
            <wp:extent cx="7157720" cy="6686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4Q25, GDP is estimated to have grown by around 3.0% YoY, moderating from the 3.7% YoY recorded in 3Q25. Primary sectors slowed down to approximately 0.5% YoY, affected by a sharp contraction in the fishing sector (anchovy capture during the second</w:t>
      </w:r>
    </w:p>
    <w:p>
      <w:pPr>
        <w:spacing w:after="0" w:line="2"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season of Nov/Dec</w:t>
      </w:r>
      <w:r>
        <w:rPr>
          <w:rFonts w:ascii="MS PGothic" w:cs="MS PGothic" w:eastAsia="MS PGothic" w:hAnsi="MS PGothic"/>
          <w:sz w:val="18"/>
          <w:szCs w:val="18"/>
          <w:color w:val="auto"/>
        </w:rPr>
        <w:t>‑</w:t>
      </w:r>
      <w:r>
        <w:rPr>
          <w:rFonts w:ascii="Arial" w:cs="Arial" w:eastAsia="Arial" w:hAnsi="Arial"/>
          <w:sz w:val="18"/>
          <w:szCs w:val="18"/>
          <w:color w:val="auto"/>
        </w:rPr>
        <w:t>25 reached 1.4 million MT, compared to 2.0 million MT in Nov/Dec</w:t>
      </w:r>
      <w:r>
        <w:rPr>
          <w:rFonts w:ascii="MS PGothic" w:cs="MS PGothic" w:eastAsia="MS PGothic" w:hAnsi="MS PGothic"/>
          <w:sz w:val="18"/>
          <w:szCs w:val="18"/>
          <w:color w:val="auto"/>
        </w:rPr>
        <w:t>‑</w:t>
      </w:r>
      <w:r>
        <w:rPr>
          <w:rFonts w:ascii="Arial" w:cs="Arial" w:eastAsia="Arial" w:hAnsi="Arial"/>
          <w:sz w:val="18"/>
          <w:szCs w:val="18"/>
          <w:color w:val="auto"/>
        </w:rPr>
        <w:t>24) and near</w:t>
      </w:r>
      <w:r>
        <w:rPr>
          <w:rFonts w:ascii="MS PGothic" w:cs="MS PGothic" w:eastAsia="MS PGothic" w:hAnsi="MS PGothic"/>
          <w:sz w:val="18"/>
          <w:szCs w:val="18"/>
          <w:color w:val="auto"/>
        </w:rPr>
        <w:t>‑</w:t>
      </w:r>
      <w:r>
        <w:rPr>
          <w:rFonts w:ascii="Arial" w:cs="Arial" w:eastAsia="Arial" w:hAnsi="Arial"/>
          <w:sz w:val="18"/>
          <w:szCs w:val="18"/>
          <w:color w:val="auto"/>
        </w:rPr>
        <w:t>flat mining growth, mainly due to maintenance activities at several mining units and lower copper production (</w:t>
      </w:r>
      <w:r>
        <w:rPr>
          <w:rFonts w:ascii="MS PGothic" w:cs="MS PGothic" w:eastAsia="MS PGothic" w:hAnsi="MS PGothic"/>
          <w:sz w:val="18"/>
          <w:szCs w:val="18"/>
          <w:color w:val="auto"/>
        </w:rPr>
        <w:t>‑</w:t>
      </w:r>
      <w:r>
        <w:rPr>
          <w:rFonts w:ascii="Arial" w:cs="Arial" w:eastAsia="Arial" w:hAnsi="Arial"/>
          <w:sz w:val="18"/>
          <w:szCs w:val="18"/>
          <w:color w:val="auto"/>
        </w:rPr>
        <w:t>5%). In contrast, non</w:t>
      </w:r>
      <w:r>
        <w:rPr>
          <w:rFonts w:ascii="MS PGothic" w:cs="MS PGothic" w:eastAsia="MS PGothic" w:hAnsi="MS PGothic"/>
          <w:sz w:val="18"/>
          <w:szCs w:val="18"/>
          <w:color w:val="auto"/>
        </w:rPr>
        <w:t>‑</w:t>
      </w:r>
      <w:r>
        <w:rPr>
          <w:rFonts w:ascii="Arial" w:cs="Arial" w:eastAsia="Arial" w:hAnsi="Arial"/>
          <w:sz w:val="18"/>
          <w:szCs w:val="18"/>
          <w:color w:val="auto"/>
        </w:rPr>
        <w:t>primary sectors growth accelerated to around 3.7% YoY, driven by construction, commerce, and services.</w:t>
      </w:r>
    </w:p>
    <w:p>
      <w:pPr>
        <w:spacing w:after="0" w:line="200" w:lineRule="exact"/>
        <w:rPr>
          <w:sz w:val="20"/>
          <w:szCs w:val="20"/>
          <w:color w:val="auto"/>
        </w:rPr>
      </w:pPr>
    </w:p>
    <w:p>
      <w:pPr>
        <w:sectPr>
          <w:pgSz w:w="11920" w:h="16838" w:orient="portrait"/>
          <w:cols w:equalWidth="0" w:num="2">
            <w:col w:w="5147" w:space="720"/>
            <w:col w:w="5400"/>
          </w:cols>
          <w:pgMar w:left="333" w:top="373" w:right="318" w:bottom="1440" w:gutter="0" w:footer="0" w:header="0"/>
        </w:sectPr>
      </w:pPr>
    </w:p>
    <w:p>
      <w:pPr>
        <w:spacing w:after="0" w:line="253" w:lineRule="exact"/>
        <w:rPr>
          <w:sz w:val="20"/>
          <w:szCs w:val="20"/>
          <w:color w:val="auto"/>
        </w:rPr>
      </w:pPr>
    </w:p>
    <w:p>
      <w:pPr>
        <w:ind w:left="7"/>
        <w:spacing w:after="0" w:line="224" w:lineRule="exact"/>
        <w:rPr>
          <w:sz w:val="20"/>
          <w:szCs w:val="20"/>
          <w:color w:val="auto"/>
        </w:rPr>
      </w:pPr>
      <w:r>
        <w:rPr>
          <w:rFonts w:ascii="Arial" w:cs="Arial" w:eastAsia="Arial" w:hAnsi="Arial"/>
          <w:sz w:val="18"/>
          <w:szCs w:val="18"/>
          <w:color w:val="auto"/>
        </w:rPr>
        <w:t>In 2025, the Peruvian economy grew by around 3.4%, mainly reflecting: (i) a 17% increase in terms of trade, which reached a 75</w:t>
      </w:r>
      <w:r>
        <w:rPr>
          <w:rFonts w:ascii="MS PGothic" w:cs="MS PGothic" w:eastAsia="MS PGothic" w:hAnsi="MS PGothic"/>
          <w:sz w:val="18"/>
          <w:szCs w:val="18"/>
          <w:color w:val="auto"/>
        </w:rPr>
        <w:t>‑</w:t>
      </w:r>
      <w:r>
        <w:rPr>
          <w:rFonts w:ascii="Arial" w:cs="Arial" w:eastAsia="Arial" w:hAnsi="Arial"/>
          <w:sz w:val="18"/>
          <w:szCs w:val="18"/>
          <w:color w:val="auto"/>
        </w:rPr>
        <w:t>year high (on an annual average basis, silver, gold, and copper prices rose 42%, 44%, and 9%, respectively, while oil prices declined 15%);</w:t>
      </w:r>
    </w:p>
    <w:p>
      <w:pPr>
        <w:spacing w:after="0" w:line="1" w:lineRule="exact"/>
        <w:rPr>
          <w:sz w:val="20"/>
          <w:szCs w:val="20"/>
          <w:color w:val="auto"/>
        </w:rPr>
      </w:pPr>
    </w:p>
    <w:p>
      <w:pPr>
        <w:ind w:left="7" w:hanging="7"/>
        <w:spacing w:after="0" w:line="232" w:lineRule="exact"/>
        <w:tabs>
          <w:tab w:leader="none" w:pos="2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interest rates in both U.S. dollars and soles (the Fed and the BCRP each cut policy rates by 75 bps); and (iii) the economy’s transition into the mid</w:t>
      </w:r>
      <w:r>
        <w:rPr>
          <w:rFonts w:ascii="MS PGothic" w:cs="MS PGothic" w:eastAsia="MS PGothic" w:hAnsi="MS PGothic"/>
          <w:sz w:val="18"/>
          <w:szCs w:val="18"/>
          <w:color w:val="auto"/>
        </w:rPr>
        <w:t>‑</w:t>
      </w:r>
      <w:r>
        <w:rPr>
          <w:rFonts w:ascii="Arial" w:cs="Arial" w:eastAsia="Arial" w:hAnsi="Arial"/>
          <w:sz w:val="18"/>
          <w:szCs w:val="18"/>
          <w:color w:val="auto"/>
        </w:rPr>
        <w:t>stage of the cycle following the 2023 recession and the early rebound in 2024.</w:t>
      </w:r>
    </w:p>
    <w:p>
      <w:pPr>
        <w:spacing w:after="0" w:line="177" w:lineRule="exact"/>
        <w:rPr>
          <w:sz w:val="20"/>
          <w:szCs w:val="20"/>
          <w:color w:val="auto"/>
        </w:rPr>
      </w:pPr>
    </w:p>
    <w:p>
      <w:pPr>
        <w:jc w:val="both"/>
        <w:ind w:left="7"/>
        <w:spacing w:after="0" w:line="226" w:lineRule="exact"/>
        <w:rPr>
          <w:sz w:val="20"/>
          <w:szCs w:val="20"/>
          <w:color w:val="auto"/>
        </w:rPr>
      </w:pPr>
      <w:r>
        <w:rPr>
          <w:rFonts w:ascii="Arial" w:cs="Arial" w:eastAsia="Arial" w:hAnsi="Arial"/>
          <w:sz w:val="18"/>
          <w:szCs w:val="18"/>
          <w:color w:val="auto"/>
        </w:rPr>
        <w:t>In 2025, domestic demand (consumption and investment) increased 5.7% YoY. Private investment expanded around 10%, marking its strongest performance in 13 years, excluding the post</w:t>
      </w:r>
      <w:r>
        <w:rPr>
          <w:rFonts w:ascii="MS PGothic" w:cs="MS PGothic" w:eastAsia="MS PGothic" w:hAnsi="MS PGothic"/>
          <w:sz w:val="18"/>
          <w:szCs w:val="18"/>
          <w:color w:val="auto"/>
        </w:rPr>
        <w:t>‑</w:t>
      </w:r>
      <w:r>
        <w:rPr>
          <w:rFonts w:ascii="Arial" w:cs="Arial" w:eastAsia="Arial" w:hAnsi="Arial"/>
          <w:sz w:val="18"/>
          <w:szCs w:val="18"/>
          <w:color w:val="auto"/>
        </w:rPr>
        <w:t>pandemic rebound. Non</w:t>
      </w:r>
      <w:r>
        <w:rPr>
          <w:rFonts w:ascii="MS PGothic" w:cs="MS PGothic" w:eastAsia="MS PGothic" w:hAnsi="MS PGothic"/>
          <w:sz w:val="18"/>
          <w:szCs w:val="18"/>
          <w:color w:val="auto"/>
        </w:rPr>
        <w:t>‑</w:t>
      </w:r>
      <w:r>
        <w:rPr>
          <w:rFonts w:ascii="Arial" w:cs="Arial" w:eastAsia="Arial" w:hAnsi="Arial"/>
          <w:sz w:val="18"/>
          <w:szCs w:val="18"/>
          <w:color w:val="auto"/>
        </w:rPr>
        <w:t>residential non</w:t>
      </w:r>
      <w:r>
        <w:rPr>
          <w:rFonts w:ascii="MS PGothic" w:cs="MS PGothic" w:eastAsia="MS PGothic" w:hAnsi="MS PGothic"/>
          <w:sz w:val="18"/>
          <w:szCs w:val="18"/>
          <w:color w:val="auto"/>
        </w:rPr>
        <w:t>‑</w:t>
      </w:r>
      <w:r>
        <w:rPr>
          <w:rFonts w:ascii="Arial" w:cs="Arial" w:eastAsia="Arial" w:hAnsi="Arial"/>
          <w:sz w:val="18"/>
          <w:szCs w:val="18"/>
          <w:color w:val="auto"/>
        </w:rPr>
        <w:t>mining investment stood out, growing 14%, while mining investment increased by 15%. Meanwhile, formal private employment rose by around 6%; together with low inflation and the eighth pension funds withdrawal toward year</w:t>
      </w:r>
      <w:r>
        <w:rPr>
          <w:rFonts w:ascii="MS PGothic" w:cs="MS PGothic" w:eastAsia="MS PGothic" w:hAnsi="MS PGothic"/>
          <w:sz w:val="18"/>
          <w:szCs w:val="18"/>
          <w:color w:val="auto"/>
        </w:rPr>
        <w:t>‑</w:t>
      </w:r>
      <w:r>
        <w:rPr>
          <w:rFonts w:ascii="Arial" w:cs="Arial" w:eastAsia="Arial" w:hAnsi="Arial"/>
          <w:sz w:val="18"/>
          <w:szCs w:val="18"/>
          <w:color w:val="auto"/>
        </w:rPr>
        <w:t>end, supported private consumption growth of close to 3.8%. From a sectoral perspective, construction (7%), agriculture (5%), services (3.6%), and commerce (3.5%) posted solid growth.</w:t>
      </w:r>
    </w:p>
    <w:p>
      <w:pPr>
        <w:spacing w:after="0" w:line="162" w:lineRule="exact"/>
        <w:rPr>
          <w:sz w:val="20"/>
          <w:szCs w:val="20"/>
          <w:color w:val="auto"/>
        </w:rPr>
      </w:pPr>
    </w:p>
    <w:tbl>
      <w:tblPr>
        <w:tblLayout w:type="fixed"/>
        <w:tblInd w:w="587" w:type="dxa"/>
        <w:tblCellMar>
          <w:top w:w="0" w:type="dxa"/>
          <w:left w:w="0" w:type="dxa"/>
          <w:bottom w:w="0" w:type="dxa"/>
          <w:right w:w="0" w:type="dxa"/>
        </w:tblCellMar>
      </w:tblPr>
      <w:tr>
        <w:trPr>
          <w:trHeight w:val="207"/>
        </w:trPr>
        <w:tc>
          <w:tcPr>
            <w:tcW w:w="476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Annual Inflation and Central Bank Reference Rate</w:t>
            </w:r>
          </w:p>
        </w:tc>
        <w:tc>
          <w:tcPr>
            <w:tcW w:w="5920" w:type="dxa"/>
            <w:vAlign w:val="bottom"/>
          </w:tcPr>
          <w:p>
            <w:pPr>
              <w:ind w:left="520"/>
              <w:spacing w:after="0"/>
              <w:rPr>
                <w:sz w:val="20"/>
                <w:szCs w:val="20"/>
                <w:color w:val="auto"/>
              </w:rPr>
            </w:pPr>
            <w:r>
              <w:rPr>
                <w:rFonts w:ascii="Arial" w:cs="Arial" w:eastAsia="Arial" w:hAnsi="Arial"/>
                <w:sz w:val="18"/>
                <w:szCs w:val="18"/>
                <w:color w:val="auto"/>
              </w:rPr>
              <w:t>The annual inflation rate in Metropolitan Lima edged up slightly</w:t>
            </w:r>
          </w:p>
        </w:tc>
      </w:tr>
      <w:tr>
        <w:trPr>
          <w:trHeight w:val="203"/>
        </w:trPr>
        <w:tc>
          <w:tcPr>
            <w:tcW w:w="4760" w:type="dxa"/>
            <w:vAlign w:val="bottom"/>
          </w:tcPr>
          <w:p>
            <w:pPr>
              <w:jc w:val="right"/>
              <w:ind w:right="2410"/>
              <w:spacing w:after="0" w:line="202" w:lineRule="exact"/>
              <w:rPr>
                <w:sz w:val="20"/>
                <w:szCs w:val="20"/>
                <w:color w:val="auto"/>
              </w:rPr>
            </w:pPr>
            <w:r>
              <w:rPr>
                <w:rFonts w:ascii="Arial" w:cs="Arial" w:eastAsia="Arial" w:hAnsi="Arial"/>
                <w:sz w:val="18"/>
                <w:szCs w:val="18"/>
                <w:color w:val="auto"/>
              </w:rPr>
              <w:t>(%)</w:t>
            </w:r>
          </w:p>
        </w:tc>
        <w:tc>
          <w:tcPr>
            <w:tcW w:w="5920" w:type="dxa"/>
            <w:vAlign w:val="bottom"/>
          </w:tcPr>
          <w:p>
            <w:pPr>
              <w:ind w:left="520"/>
              <w:spacing w:after="0" w:line="202" w:lineRule="exact"/>
              <w:rPr>
                <w:sz w:val="20"/>
                <w:szCs w:val="20"/>
                <w:color w:val="auto"/>
              </w:rPr>
            </w:pPr>
            <w:r>
              <w:rPr>
                <w:rFonts w:ascii="Arial" w:cs="Arial" w:eastAsia="Arial" w:hAnsi="Arial"/>
                <w:sz w:val="18"/>
                <w:szCs w:val="18"/>
                <w:color w:val="auto"/>
              </w:rPr>
              <w:t>from 1.4% at the end of 3Q25 to 1.5% at the end of 4Q25,</w:t>
            </w:r>
          </w:p>
        </w:tc>
      </w:tr>
      <w:tr>
        <w:trPr>
          <w:trHeight w:val="203"/>
        </w:trPr>
        <w:tc>
          <w:tcPr>
            <w:tcW w:w="4760" w:type="dxa"/>
            <w:vAlign w:val="bottom"/>
          </w:tcPr>
          <w:p>
            <w:pPr>
              <w:spacing w:after="0"/>
              <w:rPr>
                <w:sz w:val="17"/>
                <w:szCs w:val="17"/>
                <w:color w:val="auto"/>
              </w:rPr>
            </w:pPr>
          </w:p>
        </w:tc>
        <w:tc>
          <w:tcPr>
            <w:tcW w:w="5920" w:type="dxa"/>
            <w:vAlign w:val="bottom"/>
          </w:tcPr>
          <w:p>
            <w:pPr>
              <w:ind w:left="520"/>
              <w:spacing w:after="0" w:line="202" w:lineRule="exact"/>
              <w:rPr>
                <w:sz w:val="20"/>
                <w:szCs w:val="20"/>
                <w:color w:val="auto"/>
              </w:rPr>
            </w:pPr>
            <w:r>
              <w:rPr>
                <w:rFonts w:ascii="Arial" w:cs="Arial" w:eastAsia="Arial" w:hAnsi="Arial"/>
                <w:sz w:val="18"/>
                <w:szCs w:val="18"/>
                <w:color w:val="auto"/>
              </w:rPr>
              <w:t>remaining comfortably within the BCRP’s target range of 1%–3%.</w:t>
            </w:r>
          </w:p>
        </w:tc>
      </w:tr>
      <w:tr>
        <w:trPr>
          <w:trHeight w:val="203"/>
        </w:trPr>
        <w:tc>
          <w:tcPr>
            <w:tcW w:w="4760" w:type="dxa"/>
            <w:vAlign w:val="bottom"/>
          </w:tcPr>
          <w:p>
            <w:pPr>
              <w:spacing w:after="0"/>
              <w:rPr>
                <w:sz w:val="17"/>
                <w:szCs w:val="17"/>
                <w:color w:val="auto"/>
              </w:rPr>
            </w:pPr>
          </w:p>
        </w:tc>
        <w:tc>
          <w:tcPr>
            <w:tcW w:w="5920" w:type="dxa"/>
            <w:vAlign w:val="bottom"/>
          </w:tcPr>
          <w:p>
            <w:pPr>
              <w:ind w:left="520"/>
              <w:spacing w:after="0" w:line="202" w:lineRule="exact"/>
              <w:rPr>
                <w:sz w:val="20"/>
                <w:szCs w:val="20"/>
                <w:color w:val="auto"/>
              </w:rPr>
            </w:pPr>
            <w:r>
              <w:rPr>
                <w:rFonts w:ascii="Arial" w:cs="Arial" w:eastAsia="Arial" w:hAnsi="Arial"/>
                <w:sz w:val="18"/>
                <w:szCs w:val="18"/>
                <w:color w:val="auto"/>
                <w:w w:val="99"/>
              </w:rPr>
              <w:t>Core inflation (excluding food and energy) remained stable at 1.8%.</w:t>
            </w:r>
          </w:p>
        </w:tc>
      </w:tr>
      <w:tr>
        <w:trPr>
          <w:trHeight w:val="203"/>
        </w:trPr>
        <w:tc>
          <w:tcPr>
            <w:tcW w:w="4760" w:type="dxa"/>
            <w:vAlign w:val="bottom"/>
          </w:tcPr>
          <w:p>
            <w:pPr>
              <w:spacing w:after="0"/>
              <w:rPr>
                <w:sz w:val="17"/>
                <w:szCs w:val="17"/>
                <w:color w:val="auto"/>
              </w:rPr>
            </w:pPr>
          </w:p>
        </w:tc>
        <w:tc>
          <w:tcPr>
            <w:tcW w:w="5920" w:type="dxa"/>
            <w:vAlign w:val="bottom"/>
          </w:tcPr>
          <w:p>
            <w:pPr>
              <w:ind w:left="520"/>
              <w:spacing w:after="0" w:line="202" w:lineRule="exact"/>
              <w:rPr>
                <w:sz w:val="20"/>
                <w:szCs w:val="20"/>
                <w:color w:val="auto"/>
              </w:rPr>
            </w:pPr>
            <w:r>
              <w:rPr>
                <w:rFonts w:ascii="Arial" w:cs="Arial" w:eastAsia="Arial" w:hAnsi="Arial"/>
                <w:sz w:val="18"/>
                <w:szCs w:val="18"/>
                <w:color w:val="auto"/>
              </w:rPr>
              <w:t>Year-end headline inflation was the lowest in seven years, while</w:t>
            </w:r>
          </w:p>
        </w:tc>
      </w:tr>
      <w:tr>
        <w:trPr>
          <w:trHeight w:val="243"/>
        </w:trPr>
        <w:tc>
          <w:tcPr>
            <w:tcW w:w="4760" w:type="dxa"/>
            <w:vAlign w:val="bottom"/>
          </w:tcPr>
          <w:p>
            <w:pPr>
              <w:spacing w:after="0"/>
              <w:rPr>
                <w:sz w:val="21"/>
                <w:szCs w:val="21"/>
                <w:color w:val="auto"/>
              </w:rPr>
            </w:pPr>
          </w:p>
        </w:tc>
        <w:tc>
          <w:tcPr>
            <w:tcW w:w="5920" w:type="dxa"/>
            <w:vAlign w:val="bottom"/>
          </w:tcPr>
          <w:p>
            <w:pPr>
              <w:ind w:left="520"/>
              <w:spacing w:after="0"/>
              <w:rPr>
                <w:sz w:val="20"/>
                <w:szCs w:val="20"/>
                <w:color w:val="auto"/>
              </w:rPr>
            </w:pPr>
            <w:r>
              <w:rPr>
                <w:rFonts w:ascii="Arial" w:cs="Arial" w:eastAsia="Arial" w:hAnsi="Arial"/>
                <w:sz w:val="18"/>
                <w:szCs w:val="18"/>
                <w:color w:val="auto"/>
              </w:rPr>
              <w:t>core inflation reached its lowest level in 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-524510</wp:posOffset>
            </wp:positionV>
            <wp:extent cx="2991485" cy="12084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9148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 w:right="140"/>
        <w:spacing w:after="0" w:line="248" w:lineRule="auto"/>
        <w:rPr>
          <w:sz w:val="20"/>
          <w:szCs w:val="20"/>
          <w:color w:val="auto"/>
        </w:rPr>
      </w:pPr>
      <w:r>
        <w:rPr>
          <w:rFonts w:ascii="Arial" w:cs="Arial" w:eastAsia="Arial" w:hAnsi="Arial"/>
          <w:sz w:val="18"/>
          <w:szCs w:val="18"/>
          <w:color w:val="auto"/>
        </w:rPr>
        <w:t>In 4Q25, the BCRP kept its policy rate unchanged at 4.25%. Over the year, the central bank cut its reference rate by 25 basis points in three meetings (January, May, and September). The pace of easing was more gradual than in the previous two years, as the policy rate moved closer to its neutral level. Thus, since September 2023, when the easing cycle began, the BCRP has reduced its reference rate by a cumulative 350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680085</wp:posOffset>
            </wp:positionV>
            <wp:extent cx="71577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114300</wp:posOffset>
            </wp:positionV>
            <wp:extent cx="6772275" cy="4629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2275" cy="462915"/>
                    </a:xfrm>
                    <a:prstGeom prst="rect">
                      <a:avLst/>
                    </a:prstGeom>
                    <a:noFill/>
                  </pic:spPr>
                </pic:pic>
              </a:graphicData>
            </a:graphic>
          </wp:anchor>
        </w:drawing>
      </w:r>
    </w:p>
    <w:p>
      <w:pPr>
        <w:sectPr>
          <w:pgSz w:w="11920" w:h="16838" w:orient="portrait"/>
          <w:cols w:equalWidth="0" w:num="1">
            <w:col w:w="11267"/>
          </w:cols>
          <w:pgMar w:left="333" w:top="373" w:right="318" w:bottom="1440" w:gutter="0" w:footer="0" w:header="0"/>
          <w:type w:val="continuous"/>
        </w:sectPr>
      </w:pPr>
    </w:p>
    <w:bookmarkStart w:id="48" w:name="page49"/>
    <w:bookmarkEnd w:id="48"/>
    <w:p>
      <w:pPr>
        <w:ind w:left="2680"/>
        <w:spacing w:after="0"/>
        <w:tabs>
          <w:tab w:leader="none" w:pos="2900" w:val="left"/>
          <w:tab w:leader="none" w:pos="95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57720" cy="2228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11. Economic Outlook</w:t>
      </w:r>
    </w:p>
    <w:p>
      <w:pPr>
        <w:spacing w:after="0" w:line="258" w:lineRule="exact"/>
        <w:rPr>
          <w:sz w:val="20"/>
          <w:szCs w:val="20"/>
          <w:color w:val="auto"/>
        </w:rPr>
      </w:pPr>
    </w:p>
    <w:tbl>
      <w:tblPr>
        <w:tblLayout w:type="fixed"/>
        <w:tblInd w:w="780" w:type="dxa"/>
        <w:tblCellMar>
          <w:top w:w="0" w:type="dxa"/>
          <w:left w:w="0" w:type="dxa"/>
          <w:bottom w:w="0" w:type="dxa"/>
          <w:right w:w="0" w:type="dxa"/>
        </w:tblCellMar>
      </w:tblPr>
      <w:tr>
        <w:trPr>
          <w:trHeight w:val="224"/>
        </w:trPr>
        <w:tc>
          <w:tcPr>
            <w:tcW w:w="4460" w:type="dxa"/>
            <w:vAlign w:val="bottom"/>
          </w:tcPr>
          <w:p>
            <w:pPr>
              <w:jc w:val="center"/>
              <w:ind w:right="550"/>
              <w:spacing w:after="0"/>
              <w:rPr>
                <w:sz w:val="20"/>
                <w:szCs w:val="20"/>
                <w:color w:val="auto"/>
              </w:rPr>
            </w:pPr>
            <w:r>
              <w:rPr>
                <w:rFonts w:ascii="Arial" w:cs="Arial" w:eastAsia="Arial" w:hAnsi="Arial"/>
                <w:sz w:val="18"/>
                <w:szCs w:val="18"/>
                <w:b w:val="1"/>
                <w:bCs w:val="1"/>
                <w:color w:val="auto"/>
                <w:w w:val="99"/>
              </w:rPr>
              <w:t>Fiscal Balance and Current Account Balance</w:t>
            </w:r>
          </w:p>
        </w:tc>
        <w:tc>
          <w:tcPr>
            <w:tcW w:w="6020" w:type="dxa"/>
            <w:vAlign w:val="bottom"/>
          </w:tcPr>
          <w:p>
            <w:pPr>
              <w:ind w:left="620"/>
              <w:spacing w:after="0"/>
              <w:rPr>
                <w:sz w:val="20"/>
                <w:szCs w:val="20"/>
                <w:color w:val="auto"/>
              </w:rPr>
            </w:pPr>
            <w:r>
              <w:rPr>
                <w:rFonts w:ascii="Arial" w:cs="Arial" w:eastAsia="Arial" w:hAnsi="Arial"/>
                <w:sz w:val="18"/>
                <w:szCs w:val="18"/>
                <w:color w:val="auto"/>
              </w:rPr>
              <w:t>The annualized fiscal deficit as of December 2025 stood at 2.2% of</w:t>
            </w:r>
          </w:p>
        </w:tc>
      </w:tr>
      <w:tr>
        <w:trPr>
          <w:trHeight w:val="224"/>
        </w:trPr>
        <w:tc>
          <w:tcPr>
            <w:tcW w:w="4460" w:type="dxa"/>
            <w:vAlign w:val="bottom"/>
          </w:tcPr>
          <w:p>
            <w:pPr>
              <w:jc w:val="center"/>
              <w:ind w:right="530"/>
              <w:spacing w:after="0"/>
              <w:rPr>
                <w:sz w:val="20"/>
                <w:szCs w:val="20"/>
                <w:color w:val="auto"/>
              </w:rPr>
            </w:pPr>
            <w:r>
              <w:rPr>
                <w:rFonts w:ascii="Arial" w:cs="Arial" w:eastAsia="Arial" w:hAnsi="Arial"/>
                <w:sz w:val="18"/>
                <w:szCs w:val="18"/>
                <w:color w:val="auto"/>
                <w:w w:val="98"/>
              </w:rPr>
              <w:t>(% of GDP, Quarter)</w:t>
            </w:r>
          </w:p>
        </w:tc>
        <w:tc>
          <w:tcPr>
            <w:tcW w:w="6020" w:type="dxa"/>
            <w:vAlign w:val="bottom"/>
          </w:tcPr>
          <w:p>
            <w:pPr>
              <w:ind w:left="620"/>
              <w:spacing w:after="0" w:line="207" w:lineRule="exact"/>
              <w:rPr>
                <w:sz w:val="20"/>
                <w:szCs w:val="20"/>
                <w:color w:val="auto"/>
              </w:rPr>
            </w:pPr>
            <w:r>
              <w:rPr>
                <w:rFonts w:ascii="Arial" w:cs="Arial" w:eastAsia="Arial" w:hAnsi="Arial"/>
                <w:sz w:val="18"/>
                <w:szCs w:val="18"/>
                <w:color w:val="auto"/>
                <w:w w:val="99"/>
              </w:rPr>
              <w:t>GDP, a significant improvement from 3.4% of GDP at end</w:t>
            </w:r>
            <w:r>
              <w:rPr>
                <w:rFonts w:ascii="MS PGothic" w:cs="MS PGothic" w:eastAsia="MS PGothic" w:hAnsi="MS PGothic"/>
                <w:sz w:val="18"/>
                <w:szCs w:val="18"/>
                <w:color w:val="auto"/>
                <w:w w:val="99"/>
              </w:rPr>
              <w:t>‑</w:t>
            </w:r>
            <w:r>
              <w:rPr>
                <w:rFonts w:ascii="Arial" w:cs="Arial" w:eastAsia="Arial" w:hAnsi="Arial"/>
                <w:sz w:val="18"/>
                <w:szCs w:val="18"/>
                <w:color w:val="auto"/>
                <w:w w:val="99"/>
              </w:rPr>
              <w:t>2024 and</w:t>
            </w:r>
          </w:p>
        </w:tc>
      </w:tr>
      <w:tr>
        <w:trPr>
          <w:trHeight w:val="222"/>
        </w:trPr>
        <w:tc>
          <w:tcPr>
            <w:tcW w:w="4460" w:type="dxa"/>
            <w:vAlign w:val="bottom"/>
          </w:tcPr>
          <w:p>
            <w:pPr>
              <w:spacing w:after="0"/>
              <w:rPr>
                <w:sz w:val="19"/>
                <w:szCs w:val="19"/>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in  line  with  the  fiscal  rule  limit  in  force  this  year,  after  two</w:t>
            </w:r>
          </w:p>
        </w:tc>
      </w:tr>
      <w:tr>
        <w:trPr>
          <w:trHeight w:val="224"/>
        </w:trPr>
        <w:tc>
          <w:tcPr>
            <w:tcW w:w="4460" w:type="dxa"/>
            <w:vAlign w:val="bottom"/>
          </w:tcPr>
          <w:p>
            <w:pPr>
              <w:spacing w:after="0"/>
              <w:rPr>
                <w:sz w:val="19"/>
                <w:szCs w:val="19"/>
                <w:color w:val="auto"/>
              </w:rPr>
            </w:pPr>
          </w:p>
        </w:tc>
        <w:tc>
          <w:tcPr>
            <w:tcW w:w="6020" w:type="dxa"/>
            <w:vAlign w:val="bottom"/>
          </w:tcPr>
          <w:p>
            <w:pPr>
              <w:ind w:left="620"/>
              <w:spacing w:after="0" w:line="207" w:lineRule="exact"/>
              <w:rPr>
                <w:sz w:val="20"/>
                <w:szCs w:val="20"/>
                <w:color w:val="auto"/>
              </w:rPr>
            </w:pPr>
            <w:r>
              <w:rPr>
                <w:rFonts w:ascii="Arial" w:cs="Arial" w:eastAsia="Arial" w:hAnsi="Arial"/>
                <w:sz w:val="18"/>
                <w:szCs w:val="18"/>
                <w:color w:val="auto"/>
              </w:rPr>
              <w:t>consecutive years of non</w:t>
            </w:r>
            <w:r>
              <w:rPr>
                <w:rFonts w:ascii="MS PGothic" w:cs="MS PGothic" w:eastAsia="MS PGothic" w:hAnsi="MS PGothic"/>
                <w:sz w:val="18"/>
                <w:szCs w:val="18"/>
                <w:color w:val="auto"/>
              </w:rPr>
              <w:t>‑</w:t>
            </w:r>
            <w:r>
              <w:rPr>
                <w:rFonts w:ascii="Arial" w:cs="Arial" w:eastAsia="Arial" w:hAnsi="Arial"/>
                <w:sz w:val="18"/>
                <w:szCs w:val="18"/>
                <w:color w:val="auto"/>
              </w:rPr>
              <w:t>compliance. This notable improvement</w:t>
            </w:r>
          </w:p>
        </w:tc>
      </w:tr>
      <w:tr>
        <w:trPr>
          <w:trHeight w:val="203"/>
        </w:trPr>
        <w:tc>
          <w:tcPr>
            <w:tcW w:w="4460" w:type="dxa"/>
            <w:vAlign w:val="bottom"/>
          </w:tcPr>
          <w:p>
            <w:pPr>
              <w:spacing w:after="0"/>
              <w:rPr>
                <w:sz w:val="17"/>
                <w:szCs w:val="17"/>
                <w:color w:val="auto"/>
              </w:rPr>
            </w:pPr>
          </w:p>
        </w:tc>
        <w:tc>
          <w:tcPr>
            <w:tcW w:w="6020" w:type="dxa"/>
            <w:vAlign w:val="bottom"/>
          </w:tcPr>
          <w:p>
            <w:pPr>
              <w:ind w:left="620"/>
              <w:spacing w:after="0" w:line="202" w:lineRule="exact"/>
              <w:rPr>
                <w:sz w:val="20"/>
                <w:szCs w:val="20"/>
                <w:color w:val="auto"/>
              </w:rPr>
            </w:pPr>
            <w:r>
              <w:rPr>
                <w:rFonts w:ascii="Arial" w:cs="Arial" w:eastAsia="Arial" w:hAnsi="Arial"/>
                <w:sz w:val="18"/>
                <w:szCs w:val="18"/>
                <w:color w:val="auto"/>
              </w:rPr>
              <w:t>was mainly driven by higher fiscal revenues (+11.0% in 2025),</w:t>
            </w:r>
          </w:p>
        </w:tc>
      </w:tr>
      <w:tr>
        <w:trPr>
          <w:trHeight w:val="203"/>
        </w:trPr>
        <w:tc>
          <w:tcPr>
            <w:tcW w:w="4460" w:type="dxa"/>
            <w:vAlign w:val="bottom"/>
          </w:tcPr>
          <w:p>
            <w:pPr>
              <w:spacing w:after="0"/>
              <w:rPr>
                <w:sz w:val="17"/>
                <w:szCs w:val="17"/>
                <w:color w:val="auto"/>
              </w:rPr>
            </w:pPr>
          </w:p>
        </w:tc>
        <w:tc>
          <w:tcPr>
            <w:tcW w:w="6020" w:type="dxa"/>
            <w:vAlign w:val="bottom"/>
          </w:tcPr>
          <w:p>
            <w:pPr>
              <w:ind w:left="620"/>
              <w:spacing w:after="0" w:line="202" w:lineRule="exact"/>
              <w:rPr>
                <w:sz w:val="20"/>
                <w:szCs w:val="20"/>
                <w:color w:val="auto"/>
              </w:rPr>
            </w:pPr>
            <w:r>
              <w:rPr>
                <w:rFonts w:ascii="Arial" w:cs="Arial" w:eastAsia="Arial" w:hAnsi="Arial"/>
                <w:sz w:val="18"/>
                <w:szCs w:val="18"/>
                <w:color w:val="auto"/>
              </w:rPr>
              <w:t>reflecting elevated metal prices and solid domestic demand growth.</w:t>
            </w:r>
          </w:p>
        </w:tc>
      </w:tr>
      <w:tr>
        <w:trPr>
          <w:trHeight w:val="203"/>
        </w:trPr>
        <w:tc>
          <w:tcPr>
            <w:tcW w:w="4460" w:type="dxa"/>
            <w:vAlign w:val="bottom"/>
          </w:tcPr>
          <w:p>
            <w:pPr>
              <w:spacing w:after="0"/>
              <w:rPr>
                <w:sz w:val="17"/>
                <w:szCs w:val="17"/>
                <w:color w:val="auto"/>
              </w:rPr>
            </w:pPr>
          </w:p>
        </w:tc>
        <w:tc>
          <w:tcPr>
            <w:tcW w:w="6020" w:type="dxa"/>
            <w:vAlign w:val="bottom"/>
          </w:tcPr>
          <w:p>
            <w:pPr>
              <w:ind w:left="620"/>
              <w:spacing w:after="0" w:line="202" w:lineRule="exact"/>
              <w:rPr>
                <w:sz w:val="20"/>
                <w:szCs w:val="20"/>
                <w:color w:val="auto"/>
              </w:rPr>
            </w:pPr>
            <w:r>
              <w:rPr>
                <w:rFonts w:ascii="Arial" w:cs="Arial" w:eastAsia="Arial" w:hAnsi="Arial"/>
                <w:sz w:val="18"/>
                <w:szCs w:val="18"/>
                <w:color w:val="auto"/>
              </w:rPr>
              <w:t>On the expenditure side, current spending increased 6.8% (wages:</w:t>
            </w:r>
          </w:p>
        </w:tc>
      </w:tr>
      <w:tr>
        <w:trPr>
          <w:trHeight w:val="203"/>
        </w:trPr>
        <w:tc>
          <w:tcPr>
            <w:tcW w:w="4460" w:type="dxa"/>
            <w:vAlign w:val="bottom"/>
          </w:tcPr>
          <w:p>
            <w:pPr>
              <w:spacing w:after="0"/>
              <w:rPr>
                <w:sz w:val="17"/>
                <w:szCs w:val="17"/>
                <w:color w:val="auto"/>
              </w:rPr>
            </w:pPr>
          </w:p>
        </w:tc>
        <w:tc>
          <w:tcPr>
            <w:tcW w:w="6020" w:type="dxa"/>
            <w:vAlign w:val="bottom"/>
          </w:tcPr>
          <w:p>
            <w:pPr>
              <w:ind w:left="620"/>
              <w:spacing w:after="0" w:line="202" w:lineRule="exact"/>
              <w:rPr>
                <w:sz w:val="20"/>
                <w:szCs w:val="20"/>
                <w:color w:val="auto"/>
              </w:rPr>
            </w:pPr>
            <w:r>
              <w:rPr>
                <w:rFonts w:ascii="Arial" w:cs="Arial" w:eastAsia="Arial" w:hAnsi="Arial"/>
                <w:sz w:val="18"/>
                <w:szCs w:val="18"/>
                <w:color w:val="auto"/>
              </w:rPr>
              <w:t>+7.8%),  while  gross  fixed  capital  formation,  linked  to  public</w:t>
            </w:r>
          </w:p>
        </w:tc>
      </w:tr>
      <w:tr>
        <w:trPr>
          <w:trHeight w:val="243"/>
        </w:trPr>
        <w:tc>
          <w:tcPr>
            <w:tcW w:w="4460" w:type="dxa"/>
            <w:vAlign w:val="bottom"/>
          </w:tcPr>
          <w:p>
            <w:pPr>
              <w:spacing w:after="0"/>
              <w:rPr>
                <w:sz w:val="21"/>
                <w:szCs w:val="21"/>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investment, rose 7.8%.</w:t>
            </w:r>
          </w:p>
        </w:tc>
      </w:tr>
      <w:tr>
        <w:trPr>
          <w:trHeight w:val="365"/>
        </w:trPr>
        <w:tc>
          <w:tcPr>
            <w:tcW w:w="4460" w:type="dxa"/>
            <w:vAlign w:val="bottom"/>
          </w:tcPr>
          <w:p>
            <w:pPr>
              <w:spacing w:after="0"/>
              <w:rPr>
                <w:sz w:val="24"/>
                <w:szCs w:val="24"/>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In 2025, Moody’s, Fitch, and Standard &amp; Poor’s reaffirmed Peru’s</w:t>
            </w:r>
          </w:p>
        </w:tc>
      </w:tr>
      <w:tr>
        <w:trPr>
          <w:trHeight w:val="203"/>
        </w:trPr>
        <w:tc>
          <w:tcPr>
            <w:tcW w:w="4460" w:type="dxa"/>
            <w:vAlign w:val="bottom"/>
          </w:tcPr>
          <w:p>
            <w:pPr>
              <w:spacing w:after="0"/>
              <w:rPr>
                <w:sz w:val="17"/>
                <w:szCs w:val="17"/>
                <w:color w:val="auto"/>
              </w:rPr>
            </w:pPr>
          </w:p>
        </w:tc>
        <w:tc>
          <w:tcPr>
            <w:tcW w:w="6020" w:type="dxa"/>
            <w:vAlign w:val="bottom"/>
          </w:tcPr>
          <w:p>
            <w:pPr>
              <w:ind w:left="620"/>
              <w:spacing w:after="0" w:line="202" w:lineRule="exact"/>
              <w:rPr>
                <w:sz w:val="20"/>
                <w:szCs w:val="20"/>
                <w:color w:val="auto"/>
              </w:rPr>
            </w:pPr>
            <w:r>
              <w:rPr>
                <w:rFonts w:ascii="Arial" w:cs="Arial" w:eastAsia="Arial" w:hAnsi="Arial"/>
                <w:sz w:val="18"/>
                <w:szCs w:val="18"/>
                <w:color w:val="auto"/>
              </w:rPr>
              <w:t>sovereign credit ratings with stable outlooks. Moody’s assigns a</w:t>
            </w:r>
          </w:p>
        </w:tc>
      </w:tr>
      <w:tr>
        <w:trPr>
          <w:trHeight w:val="203"/>
        </w:trPr>
        <w:tc>
          <w:tcPr>
            <w:tcW w:w="4460" w:type="dxa"/>
            <w:vAlign w:val="bottom"/>
          </w:tcPr>
          <w:p>
            <w:pPr>
              <w:spacing w:after="0"/>
              <w:rPr>
                <w:sz w:val="17"/>
                <w:szCs w:val="17"/>
                <w:color w:val="auto"/>
              </w:rPr>
            </w:pPr>
          </w:p>
        </w:tc>
        <w:tc>
          <w:tcPr>
            <w:tcW w:w="6020" w:type="dxa"/>
            <w:vAlign w:val="bottom"/>
          </w:tcPr>
          <w:p>
            <w:pPr>
              <w:ind w:left="620"/>
              <w:spacing w:after="0" w:line="202" w:lineRule="exact"/>
              <w:rPr>
                <w:sz w:val="20"/>
                <w:szCs w:val="20"/>
                <w:color w:val="auto"/>
              </w:rPr>
            </w:pPr>
            <w:r>
              <w:rPr>
                <w:rFonts w:ascii="Arial" w:cs="Arial" w:eastAsia="Arial" w:hAnsi="Arial"/>
                <w:sz w:val="18"/>
                <w:szCs w:val="18"/>
                <w:color w:val="auto"/>
              </w:rPr>
              <w:t>Baa1 rating (three notches above investment grade), Fitch rates</w:t>
            </w:r>
          </w:p>
        </w:tc>
      </w:tr>
      <w:tr>
        <w:trPr>
          <w:trHeight w:val="222"/>
        </w:trPr>
        <w:tc>
          <w:tcPr>
            <w:tcW w:w="4460" w:type="dxa"/>
            <w:vAlign w:val="bottom"/>
          </w:tcPr>
          <w:p>
            <w:pPr>
              <w:spacing w:after="0"/>
              <w:rPr>
                <w:sz w:val="19"/>
                <w:szCs w:val="19"/>
                <w:color w:val="auto"/>
              </w:rPr>
            </w:pPr>
          </w:p>
        </w:tc>
        <w:tc>
          <w:tcPr>
            <w:tcW w:w="6020" w:type="dxa"/>
            <w:vAlign w:val="bottom"/>
          </w:tcPr>
          <w:p>
            <w:pPr>
              <w:ind w:left="620"/>
              <w:spacing w:after="0"/>
              <w:rPr>
                <w:sz w:val="20"/>
                <w:szCs w:val="20"/>
                <w:color w:val="auto"/>
              </w:rPr>
            </w:pPr>
            <w:r>
              <w:rPr>
                <w:rFonts w:ascii="Arial" w:cs="Arial" w:eastAsia="Arial" w:hAnsi="Arial"/>
                <w:sz w:val="18"/>
                <w:szCs w:val="18"/>
                <w:color w:val="auto"/>
              </w:rPr>
              <w:t>Peru at BBB (two notches above investment grade), and S&amp;P</w:t>
            </w:r>
          </w:p>
        </w:tc>
      </w:tr>
      <w:tr>
        <w:trPr>
          <w:trHeight w:val="262"/>
        </w:trPr>
        <w:tc>
          <w:tcPr>
            <w:tcW w:w="4460" w:type="dxa"/>
            <w:vAlign w:val="bottom"/>
          </w:tcPr>
          <w:p>
            <w:pPr>
              <w:spacing w:after="0"/>
              <w:rPr>
                <w:sz w:val="22"/>
                <w:szCs w:val="22"/>
                <w:color w:val="auto"/>
              </w:rPr>
            </w:pPr>
          </w:p>
        </w:tc>
        <w:tc>
          <w:tcPr>
            <w:tcW w:w="6020" w:type="dxa"/>
            <w:vAlign w:val="bottom"/>
          </w:tcPr>
          <w:p>
            <w:pPr>
              <w:ind w:left="620"/>
              <w:spacing w:after="0" w:line="207" w:lineRule="exact"/>
              <w:rPr>
                <w:sz w:val="20"/>
                <w:szCs w:val="20"/>
                <w:color w:val="auto"/>
              </w:rPr>
            </w:pPr>
            <w:r>
              <w:rPr>
                <w:rFonts w:ascii="Arial" w:cs="Arial" w:eastAsia="Arial" w:hAnsi="Arial"/>
                <w:sz w:val="18"/>
                <w:szCs w:val="18"/>
                <w:color w:val="auto"/>
              </w:rPr>
              <w:t>assigns BBB</w:t>
            </w:r>
            <w:r>
              <w:rPr>
                <w:rFonts w:ascii="MS PGothic" w:cs="MS PGothic" w:eastAsia="MS PGothic" w:hAnsi="MS PGothic"/>
                <w:sz w:val="18"/>
                <w:szCs w:val="18"/>
                <w:color w:val="auto"/>
              </w:rPr>
              <w:t>‑</w:t>
            </w:r>
            <w:r>
              <w:rPr>
                <w:rFonts w:ascii="Arial" w:cs="Arial" w:eastAsia="Arial" w:hAnsi="Arial"/>
                <w:sz w:val="18"/>
                <w:szCs w:val="18"/>
                <w:color w:val="auto"/>
              </w:rPr>
              <w:t>, the lowest investment</w:t>
            </w:r>
            <w:r>
              <w:rPr>
                <w:rFonts w:ascii="MS PGothic" w:cs="MS PGothic" w:eastAsia="MS PGothic" w:hAnsi="MS PGothic"/>
                <w:sz w:val="18"/>
                <w:szCs w:val="18"/>
                <w:color w:val="auto"/>
              </w:rPr>
              <w:t>‑</w:t>
            </w:r>
            <w:r>
              <w:rPr>
                <w:rFonts w:ascii="Arial" w:cs="Arial" w:eastAsia="Arial" w:hAnsi="Arial"/>
                <w:sz w:val="18"/>
                <w:szCs w:val="18"/>
                <w:color w:val="auto"/>
              </w:rPr>
              <w:t>grade level.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-1741170</wp:posOffset>
            </wp:positionV>
            <wp:extent cx="2914650" cy="1637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14650" cy="1637030"/>
                    </a:xfrm>
                    <a:prstGeom prst="rect">
                      <a:avLst/>
                    </a:prstGeom>
                    <a:noFill/>
                  </pic:spPr>
                </pic:pic>
              </a:graphicData>
            </a:graphic>
          </wp:anchor>
        </w:drawing>
      </w:r>
    </w:p>
    <w:p>
      <w:pPr>
        <w:spacing w:after="0" w:line="130"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Regarding external accounts, the current account surplus closed 3Q25 at 2.2% of GDP, similar to the 2.2% of GDP surplus recorded at end</w:t>
      </w:r>
      <w:r>
        <w:rPr>
          <w:rFonts w:ascii="MS PGothic" w:cs="MS PGothic" w:eastAsia="MS PGothic" w:hAnsi="MS PGothic"/>
          <w:sz w:val="18"/>
          <w:szCs w:val="18"/>
          <w:color w:val="auto"/>
        </w:rPr>
        <w:t>‑</w:t>
      </w:r>
      <w:r>
        <w:rPr>
          <w:rFonts w:ascii="Arial" w:cs="Arial" w:eastAsia="Arial" w:hAnsi="Arial"/>
          <w:sz w:val="18"/>
          <w:szCs w:val="18"/>
          <w:color w:val="auto"/>
        </w:rPr>
        <w:t>2024. This marks three consecutive years of current account surpluses, representing the strongest performance among peers, including Mexico, Brazil, Chile, and Colombia.</w:t>
      </w:r>
    </w:p>
    <w:p>
      <w:pPr>
        <w:spacing w:after="0" w:line="168" w:lineRule="exact"/>
        <w:rPr>
          <w:sz w:val="20"/>
          <w:szCs w:val="20"/>
          <w:color w:val="auto"/>
        </w:rPr>
      </w:pPr>
    </w:p>
    <w:p>
      <w:pPr>
        <w:jc w:val="both"/>
        <w:spacing w:after="0" w:line="215" w:lineRule="exact"/>
        <w:rPr>
          <w:sz w:val="20"/>
          <w:szCs w:val="20"/>
          <w:color w:val="auto"/>
        </w:rPr>
      </w:pPr>
      <w:r>
        <w:rPr>
          <w:rFonts w:ascii="Arial" w:cs="Arial" w:eastAsia="Arial" w:hAnsi="Arial"/>
          <w:sz w:val="18"/>
          <w:szCs w:val="18"/>
          <w:color w:val="auto"/>
        </w:rPr>
        <w:t>The 12</w:t>
      </w:r>
      <w:r>
        <w:rPr>
          <w:rFonts w:ascii="MS PGothic" w:cs="MS PGothic" w:eastAsia="MS PGothic" w:hAnsi="MS PGothic"/>
          <w:sz w:val="18"/>
          <w:szCs w:val="18"/>
          <w:color w:val="auto"/>
        </w:rPr>
        <w:t>‑</w:t>
      </w:r>
      <w:r>
        <w:rPr>
          <w:rFonts w:ascii="Arial" w:cs="Arial" w:eastAsia="Arial" w:hAnsi="Arial"/>
          <w:sz w:val="18"/>
          <w:szCs w:val="18"/>
          <w:color w:val="auto"/>
        </w:rPr>
        <w:t>month accumulated trade balance surplus as of November 2025 reached US$32.1 billion, a historical record and above the US$29.2 billion registered in September. Exports increased 18.4% YoY, reaching a record high of US$89.8 billion, driven by higher prices for key export metals (copper: +44%; gold: +65%). Meanwhile, imports grew 11.7% YoY, reflecting increases in consumer goods imports (+18.3% YoY), capital goods (+14.8% YoY), and imports of production inputs (+5.9% YoY), in line with the strong expansion of domestic demand and private investment.</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Terms of trade, averaging January–November 2025, rose 17% YoY, supported by a 14.5% YoY increase in export prices (mainly higher copper, gold, and silver prices) and a 2.2% decline in import prices, driven by lower input costs such as oil. In November 2025, terms of trade</w:t>
      </w:r>
    </w:p>
    <w:p>
      <w:pPr>
        <w:spacing w:after="0" w:line="207" w:lineRule="exact"/>
        <w:rPr>
          <w:sz w:val="20"/>
          <w:szCs w:val="20"/>
          <w:color w:val="auto"/>
        </w:rPr>
      </w:pPr>
      <w:r>
        <w:rPr>
          <w:rFonts w:ascii="Arial" w:cs="Arial" w:eastAsia="Arial" w:hAnsi="Arial"/>
          <w:sz w:val="18"/>
          <w:szCs w:val="18"/>
          <w:color w:val="auto"/>
        </w:rPr>
        <w:t>reached an all</w:t>
      </w:r>
      <w:r>
        <w:rPr>
          <w:rFonts w:ascii="MS PGothic" w:cs="MS PGothic" w:eastAsia="MS PGothic" w:hAnsi="MS PGothic"/>
          <w:sz w:val="18"/>
          <w:szCs w:val="18"/>
          <w:color w:val="auto"/>
        </w:rPr>
        <w:t>‑</w:t>
      </w:r>
      <w:r>
        <w:rPr>
          <w:rFonts w:ascii="Arial" w:cs="Arial" w:eastAsia="Arial" w:hAnsi="Arial"/>
          <w:sz w:val="18"/>
          <w:szCs w:val="18"/>
          <w:color w:val="auto"/>
        </w:rPr>
        <w:t>time high.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Exchange Rate</w:t>
            </w:r>
          </w:p>
        </w:tc>
        <w:tc>
          <w:tcPr>
            <w:tcW w:w="6660" w:type="dxa"/>
            <w:vAlign w:val="bottom"/>
          </w:tcPr>
          <w:p>
            <w:pPr>
              <w:ind w:left="1260"/>
              <w:spacing w:after="0"/>
              <w:rPr>
                <w:sz w:val="20"/>
                <w:szCs w:val="20"/>
                <w:color w:val="auto"/>
              </w:rPr>
            </w:pPr>
            <w:r>
              <w:rPr>
                <w:rFonts w:ascii="Arial" w:cs="Arial" w:eastAsia="Arial" w:hAnsi="Arial"/>
                <w:sz w:val="18"/>
                <w:szCs w:val="18"/>
                <w:color w:val="auto"/>
              </w:rPr>
              <w:t>According  to  the  BCRP,  the  exchange  rate  closed  4Q25  at</w:t>
            </w:r>
          </w:p>
        </w:tc>
      </w:tr>
      <w:tr>
        <w:trPr>
          <w:trHeight w:val="203"/>
        </w:trPr>
        <w:tc>
          <w:tcPr>
            <w:tcW w:w="4600" w:type="dxa"/>
            <w:vAlign w:val="bottom"/>
          </w:tcPr>
          <w:p>
            <w:pPr>
              <w:jc w:val="center"/>
              <w:ind w:left="710"/>
              <w:spacing w:after="0" w:line="202" w:lineRule="exact"/>
              <w:rPr>
                <w:sz w:val="20"/>
                <w:szCs w:val="20"/>
                <w:color w:val="auto"/>
              </w:rPr>
            </w:pPr>
            <w:r>
              <w:rPr>
                <w:rFonts w:ascii="Arial" w:cs="Arial" w:eastAsia="Arial" w:hAnsi="Arial"/>
                <w:sz w:val="18"/>
                <w:szCs w:val="18"/>
                <w:color w:val="auto"/>
              </w:rPr>
              <w:t>(PEN per USD)</w:t>
            </w:r>
          </w:p>
        </w:tc>
        <w:tc>
          <w:tcPr>
            <w:tcW w:w="6660" w:type="dxa"/>
            <w:vAlign w:val="bottom"/>
          </w:tcPr>
          <w:p>
            <w:pPr>
              <w:ind w:left="1260"/>
              <w:spacing w:after="0" w:line="202" w:lineRule="exact"/>
              <w:rPr>
                <w:sz w:val="20"/>
                <w:szCs w:val="20"/>
                <w:color w:val="auto"/>
              </w:rPr>
            </w:pPr>
            <w:r>
              <w:rPr>
                <w:rFonts w:ascii="Arial" w:cs="Arial" w:eastAsia="Arial" w:hAnsi="Arial"/>
                <w:sz w:val="18"/>
                <w:szCs w:val="18"/>
                <w:color w:val="auto"/>
              </w:rPr>
              <w:t>USDPEN 3.361, an appreciation of 3.2% compared to the end of</w:t>
            </w:r>
          </w:p>
        </w:tc>
      </w:tr>
      <w:tr>
        <w:trPr>
          <w:trHeight w:val="203"/>
        </w:trPr>
        <w:tc>
          <w:tcPr>
            <w:tcW w:w="4600" w:type="dxa"/>
            <w:vAlign w:val="bottom"/>
          </w:tcPr>
          <w:p>
            <w:pPr>
              <w:spacing w:after="0"/>
              <w:rPr>
                <w:sz w:val="17"/>
                <w:szCs w:val="17"/>
                <w:color w:val="auto"/>
              </w:rPr>
            </w:pPr>
          </w:p>
        </w:tc>
        <w:tc>
          <w:tcPr>
            <w:tcW w:w="6660" w:type="dxa"/>
            <w:vAlign w:val="bottom"/>
          </w:tcPr>
          <w:p>
            <w:pPr>
              <w:ind w:left="1260"/>
              <w:spacing w:after="0" w:line="202" w:lineRule="exact"/>
              <w:rPr>
                <w:sz w:val="20"/>
                <w:szCs w:val="20"/>
                <w:color w:val="auto"/>
              </w:rPr>
            </w:pPr>
            <w:r>
              <w:rPr>
                <w:rFonts w:ascii="Arial" w:cs="Arial" w:eastAsia="Arial" w:hAnsi="Arial"/>
                <w:sz w:val="18"/>
                <w:szCs w:val="18"/>
                <w:color w:val="auto"/>
              </w:rPr>
              <w:t>3Q25  (USDPEN  3.471).  This  appreciation  occurred  despite  a</w:t>
            </w:r>
          </w:p>
        </w:tc>
      </w:tr>
      <w:tr>
        <w:trPr>
          <w:trHeight w:val="222"/>
        </w:trPr>
        <w:tc>
          <w:tcPr>
            <w:tcW w:w="4600" w:type="dxa"/>
            <w:vAlign w:val="bottom"/>
          </w:tcPr>
          <w:p>
            <w:pPr>
              <w:spacing w:after="0"/>
              <w:rPr>
                <w:sz w:val="19"/>
                <w:szCs w:val="19"/>
                <w:color w:val="auto"/>
              </w:rPr>
            </w:pPr>
          </w:p>
        </w:tc>
        <w:tc>
          <w:tcPr>
            <w:tcW w:w="6660" w:type="dxa"/>
            <w:vAlign w:val="bottom"/>
          </w:tcPr>
          <w:p>
            <w:pPr>
              <w:ind w:left="1260"/>
              <w:spacing w:after="0"/>
              <w:rPr>
                <w:sz w:val="20"/>
                <w:szCs w:val="20"/>
                <w:color w:val="auto"/>
              </w:rPr>
            </w:pPr>
            <w:r>
              <w:rPr>
                <w:rFonts w:ascii="Arial" w:cs="Arial" w:eastAsia="Arial" w:hAnsi="Arial"/>
                <w:sz w:val="18"/>
                <w:szCs w:val="18"/>
                <w:color w:val="auto"/>
              </w:rPr>
              <w:t>significant  level  of  BCRP  intervention,  which  helped  mitigate</w:t>
            </w:r>
          </w:p>
        </w:tc>
      </w:tr>
      <w:tr>
        <w:trPr>
          <w:trHeight w:val="224"/>
        </w:trPr>
        <w:tc>
          <w:tcPr>
            <w:tcW w:w="4600" w:type="dxa"/>
            <w:vAlign w:val="bottom"/>
          </w:tcPr>
          <w:p>
            <w:pPr>
              <w:spacing w:after="0"/>
              <w:rPr>
                <w:sz w:val="19"/>
                <w:szCs w:val="19"/>
                <w:color w:val="auto"/>
              </w:rPr>
            </w:pPr>
          </w:p>
        </w:tc>
        <w:tc>
          <w:tcPr>
            <w:tcW w:w="6660" w:type="dxa"/>
            <w:vAlign w:val="bottom"/>
          </w:tcPr>
          <w:p>
            <w:pPr>
              <w:ind w:left="1260"/>
              <w:spacing w:after="0" w:line="207" w:lineRule="exact"/>
              <w:rPr>
                <w:sz w:val="20"/>
                <w:szCs w:val="20"/>
                <w:color w:val="auto"/>
              </w:rPr>
            </w:pPr>
            <w:r>
              <w:rPr>
                <w:rFonts w:ascii="Arial" w:cs="Arial" w:eastAsia="Arial" w:hAnsi="Arial"/>
                <w:sz w:val="18"/>
                <w:szCs w:val="18"/>
                <w:color w:val="auto"/>
              </w:rPr>
              <w:t>exchange</w:t>
            </w:r>
            <w:r>
              <w:rPr>
                <w:rFonts w:ascii="MS PGothic" w:cs="MS PGothic" w:eastAsia="MS PGothic" w:hAnsi="MS PGothic"/>
                <w:sz w:val="18"/>
                <w:szCs w:val="18"/>
                <w:color w:val="auto"/>
              </w:rPr>
              <w:t>‑</w:t>
            </w:r>
            <w:r>
              <w:rPr>
                <w:rFonts w:ascii="Arial" w:cs="Arial" w:eastAsia="Arial" w:hAnsi="Arial"/>
                <w:sz w:val="18"/>
                <w:szCs w:val="18"/>
                <w:color w:val="auto"/>
              </w:rPr>
              <w:t>rate volatility. From November 2025 through year</w:t>
            </w:r>
            <w:r>
              <w:rPr>
                <w:rFonts w:ascii="MS PGothic" w:cs="MS PGothic" w:eastAsia="MS PGothic" w:hAnsi="MS PGothic"/>
                <w:sz w:val="18"/>
                <w:szCs w:val="18"/>
                <w:color w:val="auto"/>
              </w:rPr>
              <w:t>‑</w:t>
            </w:r>
            <w:r>
              <w:rPr>
                <w:rFonts w:ascii="Arial" w:cs="Arial" w:eastAsia="Arial" w:hAnsi="Arial"/>
                <w:sz w:val="18"/>
                <w:szCs w:val="18"/>
                <w:color w:val="auto"/>
              </w:rPr>
              <w:t>end,</w:t>
            </w:r>
          </w:p>
        </w:tc>
      </w:tr>
      <w:tr>
        <w:trPr>
          <w:trHeight w:val="203"/>
        </w:trPr>
        <w:tc>
          <w:tcPr>
            <w:tcW w:w="4600" w:type="dxa"/>
            <w:vAlign w:val="bottom"/>
          </w:tcPr>
          <w:p>
            <w:pPr>
              <w:spacing w:after="0"/>
              <w:rPr>
                <w:sz w:val="17"/>
                <w:szCs w:val="17"/>
                <w:color w:val="auto"/>
              </w:rPr>
            </w:pPr>
          </w:p>
        </w:tc>
        <w:tc>
          <w:tcPr>
            <w:tcW w:w="6660" w:type="dxa"/>
            <w:vAlign w:val="bottom"/>
          </w:tcPr>
          <w:p>
            <w:pPr>
              <w:ind w:left="1260"/>
              <w:spacing w:after="0" w:line="202" w:lineRule="exact"/>
              <w:rPr>
                <w:sz w:val="20"/>
                <w:szCs w:val="20"/>
                <w:color w:val="auto"/>
              </w:rPr>
            </w:pPr>
            <w:r>
              <w:rPr>
                <w:rFonts w:ascii="Arial" w:cs="Arial" w:eastAsia="Arial" w:hAnsi="Arial"/>
                <w:sz w:val="18"/>
                <w:szCs w:val="18"/>
                <w:color w:val="auto"/>
                <w:w w:val="99"/>
              </w:rPr>
              <w:t>the BCRP conducted spot purchases totaling US$2.75 billion (2024:</w:t>
            </w:r>
          </w:p>
        </w:tc>
      </w:tr>
      <w:tr>
        <w:trPr>
          <w:trHeight w:val="203"/>
        </w:trPr>
        <w:tc>
          <w:tcPr>
            <w:tcW w:w="4600" w:type="dxa"/>
            <w:vAlign w:val="bottom"/>
          </w:tcPr>
          <w:p>
            <w:pPr>
              <w:spacing w:after="0"/>
              <w:rPr>
                <w:sz w:val="17"/>
                <w:szCs w:val="17"/>
                <w:color w:val="auto"/>
              </w:rPr>
            </w:pPr>
          </w:p>
        </w:tc>
        <w:tc>
          <w:tcPr>
            <w:tcW w:w="6660" w:type="dxa"/>
            <w:vAlign w:val="bottom"/>
          </w:tcPr>
          <w:p>
            <w:pPr>
              <w:ind w:left="1260"/>
              <w:spacing w:after="0" w:line="202" w:lineRule="exact"/>
              <w:rPr>
                <w:sz w:val="20"/>
                <w:szCs w:val="20"/>
                <w:color w:val="auto"/>
              </w:rPr>
            </w:pPr>
            <w:r>
              <w:rPr>
                <w:rFonts w:ascii="Arial" w:cs="Arial" w:eastAsia="Arial" w:hAnsi="Arial"/>
                <w:sz w:val="18"/>
                <w:szCs w:val="18"/>
                <w:color w:val="auto"/>
              </w:rPr>
              <w:t>US$318 million; 2022: US$1.2 billion). In addition, the central bank</w:t>
            </w:r>
          </w:p>
        </w:tc>
      </w:tr>
      <w:tr>
        <w:trPr>
          <w:trHeight w:val="222"/>
        </w:trPr>
        <w:tc>
          <w:tcPr>
            <w:tcW w:w="4600" w:type="dxa"/>
            <w:vAlign w:val="bottom"/>
          </w:tcPr>
          <w:p>
            <w:pPr>
              <w:spacing w:after="0"/>
              <w:rPr>
                <w:sz w:val="19"/>
                <w:szCs w:val="19"/>
                <w:color w:val="auto"/>
              </w:rPr>
            </w:pPr>
          </w:p>
        </w:tc>
        <w:tc>
          <w:tcPr>
            <w:tcW w:w="6660" w:type="dxa"/>
            <w:vAlign w:val="bottom"/>
          </w:tcPr>
          <w:p>
            <w:pPr>
              <w:ind w:left="1260"/>
              <w:spacing w:after="0"/>
              <w:rPr>
                <w:sz w:val="20"/>
                <w:szCs w:val="20"/>
                <w:color w:val="auto"/>
              </w:rPr>
            </w:pPr>
            <w:r>
              <w:rPr>
                <w:rFonts w:ascii="Arial" w:cs="Arial" w:eastAsia="Arial" w:hAnsi="Arial"/>
                <w:sz w:val="18"/>
                <w:szCs w:val="18"/>
                <w:color w:val="auto"/>
              </w:rPr>
              <w:t>allowed FX swap sale to mature, reducing the outstanding balance</w:t>
            </w:r>
          </w:p>
        </w:tc>
      </w:tr>
      <w:tr>
        <w:trPr>
          <w:trHeight w:val="243"/>
        </w:trPr>
        <w:tc>
          <w:tcPr>
            <w:tcW w:w="4600" w:type="dxa"/>
            <w:vAlign w:val="bottom"/>
          </w:tcPr>
          <w:p>
            <w:pPr>
              <w:spacing w:after="0"/>
              <w:rPr>
                <w:sz w:val="21"/>
                <w:szCs w:val="21"/>
                <w:color w:val="auto"/>
              </w:rPr>
            </w:pPr>
          </w:p>
        </w:tc>
        <w:tc>
          <w:tcPr>
            <w:tcW w:w="6660" w:type="dxa"/>
            <w:vAlign w:val="bottom"/>
          </w:tcPr>
          <w:p>
            <w:pPr>
              <w:ind w:left="1260"/>
              <w:spacing w:after="0" w:line="207" w:lineRule="exact"/>
              <w:rPr>
                <w:sz w:val="20"/>
                <w:szCs w:val="20"/>
                <w:color w:val="auto"/>
              </w:rPr>
            </w:pPr>
            <w:r>
              <w:rPr>
                <w:rFonts w:ascii="Arial" w:cs="Arial" w:eastAsia="Arial" w:hAnsi="Arial"/>
                <w:sz w:val="18"/>
                <w:szCs w:val="18"/>
                <w:color w:val="auto"/>
              </w:rPr>
              <w:t>of this instrument from PEN 48 billion at end</w:t>
            </w:r>
            <w:r>
              <w:rPr>
                <w:rFonts w:ascii="MS PGothic" w:cs="MS PGothic" w:eastAsia="MS PGothic" w:hAnsi="MS PGothic"/>
                <w:sz w:val="18"/>
                <w:szCs w:val="18"/>
                <w:color w:val="auto"/>
              </w:rPr>
              <w:t>‑</w:t>
            </w:r>
            <w:r>
              <w:rPr>
                <w:rFonts w:ascii="Arial" w:cs="Arial" w:eastAsia="Arial" w:hAnsi="Arial"/>
                <w:sz w:val="18"/>
                <w:szCs w:val="18"/>
                <w:color w:val="auto"/>
              </w:rPr>
              <w:t>2024 to PEN 20 billion</w:t>
            </w:r>
          </w:p>
        </w:tc>
      </w:tr>
      <w:tr>
        <w:trPr>
          <w:trHeight w:val="262"/>
        </w:trPr>
        <w:tc>
          <w:tcPr>
            <w:tcW w:w="4600" w:type="dxa"/>
            <w:vAlign w:val="bottom"/>
          </w:tcPr>
          <w:p>
            <w:pPr>
              <w:spacing w:after="0"/>
              <w:rPr>
                <w:sz w:val="22"/>
                <w:szCs w:val="22"/>
                <w:color w:val="auto"/>
              </w:rPr>
            </w:pPr>
          </w:p>
        </w:tc>
        <w:tc>
          <w:tcPr>
            <w:tcW w:w="6660" w:type="dxa"/>
            <w:vAlign w:val="bottom"/>
          </w:tcPr>
          <w:p>
            <w:pPr>
              <w:ind w:left="1260"/>
              <w:spacing w:after="0" w:line="207" w:lineRule="exact"/>
              <w:rPr>
                <w:sz w:val="20"/>
                <w:szCs w:val="20"/>
                <w:color w:val="auto"/>
              </w:rPr>
            </w:pPr>
            <w:r>
              <w:rPr>
                <w:rFonts w:ascii="Arial" w:cs="Arial" w:eastAsia="Arial" w:hAnsi="Arial"/>
                <w:sz w:val="18"/>
                <w:szCs w:val="18"/>
                <w:color w:val="auto"/>
              </w:rPr>
              <w:t>at end</w:t>
            </w:r>
            <w:r>
              <w:rPr>
                <w:rFonts w:ascii="MS PGothic" w:cs="MS PGothic" w:eastAsia="MS PGothic" w:hAnsi="MS PGothic"/>
                <w:sz w:val="18"/>
                <w:szCs w:val="18"/>
                <w:color w:val="auto"/>
              </w:rPr>
              <w:t>‑</w:t>
            </w:r>
            <w:r>
              <w:rPr>
                <w:rFonts w:ascii="Arial" w:cs="Arial" w:eastAsia="Arial" w:hAnsi="Arial"/>
                <w:sz w:val="18"/>
                <w:szCs w:val="18"/>
                <w:color w:val="auto"/>
              </w:rPr>
              <w:t>2025.</w:t>
            </w:r>
          </w:p>
        </w:tc>
      </w:tr>
      <w:tr>
        <w:trPr>
          <w:trHeight w:val="366"/>
        </w:trPr>
        <w:tc>
          <w:tcPr>
            <w:tcW w:w="4600" w:type="dxa"/>
            <w:vAlign w:val="bottom"/>
          </w:tcPr>
          <w:p>
            <w:pPr>
              <w:spacing w:after="0"/>
              <w:rPr>
                <w:sz w:val="24"/>
                <w:szCs w:val="24"/>
                <w:color w:val="auto"/>
              </w:rPr>
            </w:pPr>
          </w:p>
        </w:tc>
        <w:tc>
          <w:tcPr>
            <w:tcW w:w="6660" w:type="dxa"/>
            <w:vAlign w:val="bottom"/>
          </w:tcPr>
          <w:p>
            <w:pPr>
              <w:ind w:left="1260"/>
              <w:spacing w:after="0"/>
              <w:rPr>
                <w:sz w:val="20"/>
                <w:szCs w:val="20"/>
                <w:color w:val="auto"/>
              </w:rPr>
            </w:pPr>
            <w:r>
              <w:rPr>
                <w:rFonts w:ascii="Arial" w:cs="Arial" w:eastAsia="Arial" w:hAnsi="Arial"/>
                <w:sz w:val="18"/>
                <w:szCs w:val="18"/>
                <w:color w:val="auto"/>
              </w:rPr>
              <w:t>Over the year, the Peruvian sol appreciated 10.5%. In the region,</w:t>
            </w:r>
          </w:p>
        </w:tc>
      </w:tr>
      <w:tr>
        <w:trPr>
          <w:trHeight w:val="203"/>
        </w:trPr>
        <w:tc>
          <w:tcPr>
            <w:tcW w:w="4600" w:type="dxa"/>
            <w:vAlign w:val="bottom"/>
          </w:tcPr>
          <w:p>
            <w:pPr>
              <w:spacing w:after="0"/>
              <w:rPr>
                <w:sz w:val="17"/>
                <w:szCs w:val="17"/>
                <w:color w:val="auto"/>
              </w:rPr>
            </w:pPr>
          </w:p>
        </w:tc>
        <w:tc>
          <w:tcPr>
            <w:tcW w:w="6660" w:type="dxa"/>
            <w:vAlign w:val="bottom"/>
          </w:tcPr>
          <w:p>
            <w:pPr>
              <w:ind w:left="1260"/>
              <w:spacing w:after="0" w:line="202" w:lineRule="exact"/>
              <w:rPr>
                <w:sz w:val="20"/>
                <w:szCs w:val="20"/>
                <w:color w:val="auto"/>
              </w:rPr>
            </w:pPr>
            <w:r>
              <w:rPr>
                <w:rFonts w:ascii="Arial" w:cs="Arial" w:eastAsia="Arial" w:hAnsi="Arial"/>
                <w:sz w:val="18"/>
                <w:szCs w:val="18"/>
                <w:color w:val="auto"/>
              </w:rPr>
              <w:t>the Colombian peso, Mexican peso, Brazilian real, and Chilean</w:t>
            </w:r>
          </w:p>
        </w:tc>
      </w:tr>
      <w:tr>
        <w:trPr>
          <w:trHeight w:val="203"/>
        </w:trPr>
        <w:tc>
          <w:tcPr>
            <w:tcW w:w="4600" w:type="dxa"/>
            <w:vAlign w:val="bottom"/>
          </w:tcPr>
          <w:p>
            <w:pPr>
              <w:spacing w:after="0"/>
              <w:rPr>
                <w:sz w:val="17"/>
                <w:szCs w:val="17"/>
                <w:color w:val="auto"/>
              </w:rPr>
            </w:pPr>
          </w:p>
        </w:tc>
        <w:tc>
          <w:tcPr>
            <w:tcW w:w="6660" w:type="dxa"/>
            <w:vAlign w:val="bottom"/>
          </w:tcPr>
          <w:p>
            <w:pPr>
              <w:ind w:left="1260"/>
              <w:spacing w:after="0" w:line="202" w:lineRule="exact"/>
              <w:rPr>
                <w:sz w:val="20"/>
                <w:szCs w:val="20"/>
                <w:color w:val="auto"/>
              </w:rPr>
            </w:pPr>
            <w:r>
              <w:rPr>
                <w:rFonts w:ascii="Arial" w:cs="Arial" w:eastAsia="Arial" w:hAnsi="Arial"/>
                <w:sz w:val="18"/>
                <w:szCs w:val="18"/>
                <w:color w:val="auto"/>
                <w:w w:val="99"/>
              </w:rPr>
              <w:t>peso appreciated 14.3%, 13.5%, 11.0%, and 9.6%, respectively. On</w:t>
            </w:r>
          </w:p>
        </w:tc>
      </w:tr>
      <w:tr>
        <w:trPr>
          <w:trHeight w:val="203"/>
        </w:trPr>
        <w:tc>
          <w:tcPr>
            <w:tcW w:w="4600" w:type="dxa"/>
            <w:vAlign w:val="bottom"/>
          </w:tcPr>
          <w:p>
            <w:pPr>
              <w:spacing w:after="0"/>
              <w:rPr>
                <w:sz w:val="17"/>
                <w:szCs w:val="17"/>
                <w:color w:val="auto"/>
              </w:rPr>
            </w:pPr>
          </w:p>
        </w:tc>
        <w:tc>
          <w:tcPr>
            <w:tcW w:w="6660" w:type="dxa"/>
            <w:vAlign w:val="bottom"/>
          </w:tcPr>
          <w:p>
            <w:pPr>
              <w:ind w:left="1260"/>
              <w:spacing w:after="0" w:line="202" w:lineRule="exact"/>
              <w:rPr>
                <w:sz w:val="20"/>
                <w:szCs w:val="20"/>
                <w:color w:val="auto"/>
              </w:rPr>
            </w:pPr>
            <w:r>
              <w:rPr>
                <w:rFonts w:ascii="Arial" w:cs="Arial" w:eastAsia="Arial" w:hAnsi="Arial"/>
                <w:sz w:val="18"/>
                <w:szCs w:val="18"/>
                <w:color w:val="auto"/>
              </w:rPr>
              <w:t>an annual average basis, the exchange rate stood at USDPEN</w:t>
            </w:r>
          </w:p>
        </w:tc>
      </w:tr>
      <w:tr>
        <w:trPr>
          <w:trHeight w:val="243"/>
        </w:trPr>
        <w:tc>
          <w:tcPr>
            <w:tcW w:w="4600" w:type="dxa"/>
            <w:vAlign w:val="bottom"/>
          </w:tcPr>
          <w:p>
            <w:pPr>
              <w:spacing w:after="0"/>
              <w:rPr>
                <w:sz w:val="21"/>
                <w:szCs w:val="21"/>
                <w:color w:val="auto"/>
              </w:rPr>
            </w:pPr>
          </w:p>
        </w:tc>
        <w:tc>
          <w:tcPr>
            <w:tcW w:w="6660" w:type="dxa"/>
            <w:vAlign w:val="bottom"/>
          </w:tcPr>
          <w:p>
            <w:pPr>
              <w:ind w:left="1260"/>
              <w:spacing w:after="0"/>
              <w:rPr>
                <w:sz w:val="20"/>
                <w:szCs w:val="20"/>
                <w:color w:val="auto"/>
              </w:rPr>
            </w:pPr>
            <w:r>
              <w:rPr>
                <w:rFonts w:ascii="Arial" w:cs="Arial" w:eastAsia="Arial" w:hAnsi="Arial"/>
                <w:sz w:val="18"/>
                <w:szCs w:val="18"/>
                <w:color w:val="auto"/>
              </w:rPr>
              <w:t>3.567, implying a 5.0% appreciation, the largest since 2010.</w:t>
            </w:r>
          </w:p>
        </w:tc>
      </w:tr>
      <w:tr>
        <w:trPr>
          <w:trHeight w:val="1218"/>
        </w:trPr>
        <w:tc>
          <w:tcPr>
            <w:tcW w:w="46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-2673985</wp:posOffset>
            </wp:positionV>
            <wp:extent cx="3060065" cy="17487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60065" cy="174879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-556260</wp:posOffset>
            </wp:positionV>
            <wp:extent cx="6789420" cy="436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89420" cy="436880"/>
                    </a:xfrm>
                    <a:prstGeom prst="rect">
                      <a:avLst/>
                    </a:prstGeom>
                    <a:noFill/>
                  </pic:spPr>
                </pic:pic>
              </a:graphicData>
            </a:graphic>
          </wp:anchor>
        </w:drawing>
      </w:r>
    </w:p>
    <w:p>
      <w:pPr>
        <w:sectPr>
          <w:pgSz w:w="11920" w:h="16838" w:orient="portrait"/>
          <w:cols w:equalWidth="0" w:num="1">
            <w:col w:w="11260"/>
          </w:cols>
          <w:pgMar w:left="340" w:top="373" w:right="318" w:bottom="1440" w:gutter="0" w:footer="0" w:header="0"/>
        </w:sectPr>
      </w:pPr>
    </w:p>
    <w:bookmarkStart w:id="49" w:name="page50"/>
    <w:bookmarkEnd w:id="49"/>
    <w:p>
      <w:pPr>
        <w:jc w:val="both"/>
        <w:ind w:left="2680"/>
        <w:spacing w:after="0"/>
        <w:tabs>
          <w:tab w:leader="none" w:pos="2900" w:val="left"/>
          <w:tab w:leader="none" w:pos="95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102870</wp:posOffset>
            </wp:positionV>
            <wp:extent cx="7157720" cy="4457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57720" cy="2228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11. Economic Outlook</w:t>
      </w:r>
    </w:p>
    <w:p>
      <w:pPr>
        <w:spacing w:after="0" w:line="280" w:lineRule="exact"/>
        <w:rPr>
          <w:sz w:val="20"/>
          <w:szCs w:val="20"/>
          <w:color w:val="auto"/>
        </w:rPr>
      </w:pPr>
    </w:p>
    <w:p>
      <w:pPr>
        <w:jc w:val="both"/>
        <w:spacing w:after="0" w:line="250" w:lineRule="exact"/>
        <w:rPr>
          <w:sz w:val="20"/>
          <w:szCs w:val="20"/>
          <w:color w:val="auto"/>
        </w:rPr>
      </w:pPr>
      <w:r>
        <w:rPr>
          <w:rFonts w:ascii="Arial" w:cs="Arial" w:eastAsia="Arial" w:hAnsi="Arial"/>
          <w:sz w:val="18"/>
          <w:szCs w:val="18"/>
          <w:color w:val="auto"/>
        </w:rPr>
        <w:t>Net International Reserves (NIR) closed 4Q25 at US$90.2 billion, up from US$85.1 billion at end</w:t>
      </w:r>
      <w:r>
        <w:rPr>
          <w:rFonts w:ascii="MS PGothic" w:cs="MS PGothic" w:eastAsia="MS PGothic" w:hAnsi="MS PGothic"/>
          <w:sz w:val="18"/>
          <w:szCs w:val="18"/>
          <w:color w:val="auto"/>
        </w:rPr>
        <w:t>‑</w:t>
      </w:r>
      <w:r>
        <w:rPr>
          <w:rFonts w:ascii="Arial" w:cs="Arial" w:eastAsia="Arial" w:hAnsi="Arial"/>
          <w:sz w:val="18"/>
          <w:szCs w:val="18"/>
          <w:color w:val="auto"/>
        </w:rPr>
        <w:t>3Q25 and US$79.0 billion at end</w:t>
      </w:r>
      <w:r>
        <w:rPr>
          <w:rFonts w:ascii="MS PGothic" w:cs="MS PGothic" w:eastAsia="MS PGothic" w:hAnsi="MS PGothic"/>
          <w:sz w:val="18"/>
          <w:szCs w:val="18"/>
          <w:color w:val="auto"/>
        </w:rPr>
        <w:t>‑</w:t>
      </w:r>
      <w:r>
        <w:rPr>
          <w:rFonts w:ascii="Arial" w:cs="Arial" w:eastAsia="Arial" w:hAnsi="Arial"/>
          <w:sz w:val="18"/>
          <w:szCs w:val="18"/>
          <w:color w:val="auto"/>
        </w:rPr>
        <w:t>2024. Meanwhile, the BCRP’s foreign exchange position closed 2025 at US$61.5 billion, an increase of US$4.3 billion compared to end</w:t>
      </w:r>
      <w:r>
        <w:rPr>
          <w:rFonts w:ascii="MS PGothic" w:cs="MS PGothic" w:eastAsia="MS PGothic" w:hAnsi="MS PGothic"/>
          <w:sz w:val="18"/>
          <w:szCs w:val="18"/>
          <w:color w:val="auto"/>
        </w:rPr>
        <w:t>‑</w:t>
      </w:r>
      <w:r>
        <w:rPr>
          <w:rFonts w:ascii="Arial" w:cs="Arial" w:eastAsia="Arial" w:hAnsi="Arial"/>
          <w:sz w:val="18"/>
          <w:szCs w:val="18"/>
          <w:color w:val="auto"/>
        </w:rPr>
        <w:t>3Q25 and US$7.9 billion relative to end</w:t>
      </w:r>
      <w:r>
        <w:rPr>
          <w:rFonts w:ascii="MS PGothic" w:cs="MS PGothic" w:eastAsia="MS PGothic" w:hAnsi="MS PGothic"/>
          <w:sz w:val="18"/>
          <w:szCs w:val="18"/>
          <w:color w:val="auto"/>
        </w:rPr>
        <w:t>‑</w:t>
      </w: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753110</wp:posOffset>
            </wp:positionV>
            <wp:extent cx="71577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118745</wp:posOffset>
            </wp:positionV>
            <wp:extent cx="6772275" cy="5314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2275" cy="531495"/>
                    </a:xfrm>
                    <a:prstGeom prst="rect">
                      <a:avLst/>
                    </a:prstGeom>
                    <a:noFill/>
                  </pic:spPr>
                </pic:pic>
              </a:graphicData>
            </a:graphic>
          </wp:anchor>
        </w:drawing>
      </w:r>
    </w:p>
    <w:p>
      <w:pPr>
        <w:sectPr>
          <w:pgSz w:w="11920" w:h="16838" w:orient="portrait"/>
          <w:cols w:equalWidth="0" w:num="1">
            <w:col w:w="11260"/>
          </w:cols>
          <w:pgMar w:left="340" w:top="400" w:right="318" w:bottom="1440" w:gutter="0" w:footer="0" w:header="0"/>
        </w:sectPr>
      </w:pPr>
    </w:p>
    <w:bookmarkStart w:id="50" w:name="page51"/>
    <w:bookmarkEnd w:id="50"/>
    <w:p>
      <w:pPr>
        <w:ind w:left="2687"/>
        <w:spacing w:after="0"/>
        <w:tabs>
          <w:tab w:leader="none" w:pos="2907" w:val="left"/>
          <w:tab w:leader="none" w:pos="9507"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57720"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ind w:left="67"/>
        <w:spacing w:after="0"/>
        <w:rPr>
          <w:sz w:val="20"/>
          <w:szCs w:val="20"/>
          <w:color w:val="auto"/>
        </w:rPr>
      </w:pPr>
      <w:r>
        <w:rPr>
          <w:rFonts w:ascii="Arial" w:cs="Arial" w:eastAsia="Arial" w:hAnsi="Arial"/>
          <w:sz w:val="22"/>
          <w:szCs w:val="22"/>
          <w:b w:val="1"/>
          <w:bCs w:val="1"/>
          <w:color w:val="FFFFFF"/>
        </w:rPr>
        <w:t>11. Economic Outlook</w:t>
      </w:r>
    </w:p>
    <w:p>
      <w:pPr>
        <w:spacing w:after="0" w:line="85" w:lineRule="exact"/>
        <w:rPr>
          <w:sz w:val="20"/>
          <w:szCs w:val="20"/>
          <w:color w:val="auto"/>
        </w:rPr>
      </w:pPr>
    </w:p>
    <w:p>
      <w:pPr>
        <w:jc w:val="both"/>
        <w:ind w:left="7"/>
        <w:spacing w:after="0"/>
        <w:rPr>
          <w:sz w:val="20"/>
          <w:szCs w:val="20"/>
          <w:color w:val="auto"/>
        </w:rPr>
      </w:pPr>
      <w:r>
        <w:rPr>
          <w:rFonts w:ascii="Arial" w:cs="Arial" w:eastAsia="Arial" w:hAnsi="Arial"/>
          <w:sz w:val="18"/>
          <w:szCs w:val="18"/>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7" w:lineRule="exact"/>
        <w:rPr>
          <w:sz w:val="20"/>
          <w:szCs w:val="20"/>
          <w:color w:val="auto"/>
        </w:rPr>
      </w:pPr>
    </w:p>
    <w:p>
      <w:pPr>
        <w:jc w:val="both"/>
        <w:ind w:left="7"/>
        <w:spacing w:after="0" w:line="255" w:lineRule="auto"/>
        <w:rPr>
          <w:sz w:val="20"/>
          <w:szCs w:val="20"/>
          <w:color w:val="auto"/>
        </w:rPr>
      </w:pPr>
      <w:r>
        <w:rPr>
          <w:rFonts w:ascii="Arial" w:cs="Arial" w:eastAsia="Arial" w:hAnsi="Arial"/>
          <w:sz w:val="18"/>
          <w:szCs w:val="18"/>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50" w:lineRule="exact"/>
        <w:rPr>
          <w:sz w:val="20"/>
          <w:szCs w:val="20"/>
          <w:color w:val="auto"/>
        </w:rPr>
      </w:pPr>
    </w:p>
    <w:p>
      <w:pPr>
        <w:ind w:left="127" w:hanging="127"/>
        <w:spacing w:after="0"/>
        <w:tabs>
          <w:tab w:leader="none" w:pos="12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occurrence of natural disasters or political or social instability in Peru;</w:t>
      </w:r>
    </w:p>
    <w:p>
      <w:pPr>
        <w:spacing w:after="0" w:line="17" w:lineRule="exact"/>
        <w:rPr>
          <w:rFonts w:ascii="Arial" w:cs="Arial" w:eastAsia="Arial" w:hAnsi="Arial"/>
          <w:sz w:val="18"/>
          <w:szCs w:val="18"/>
          <w:color w:val="auto"/>
        </w:rPr>
      </w:pPr>
    </w:p>
    <w:p>
      <w:pPr>
        <w:ind w:left="167" w:right="60"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adequacy of the dividends that our subsidiaries are able to pay to us, which may affect our ability to pay dividends to shareholders and corporate expenses;</w:t>
      </w:r>
    </w:p>
    <w:p>
      <w:pPr>
        <w:spacing w:after="0" w:line="1" w:lineRule="exact"/>
        <w:rPr>
          <w:rFonts w:ascii="Arial" w:cs="Arial" w:eastAsia="Arial" w:hAnsi="Arial"/>
          <w:sz w:val="18"/>
          <w:szCs w:val="18"/>
          <w:color w:val="auto"/>
        </w:rPr>
      </w:pP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Performance of, and volatility in, financial markets, including Latin-American and other markets;</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frequency, severity and types of insured loss events;</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interest rate levels;</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Foreign currency exchange rates, including the Sol/US Dollar exchange rate;</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Deterioration in the quality of our loan portfolio;</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markets in which we operate;</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and changes in laws and regulations affecting the financial sector and adoption of new international guidelines;</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Effectiveness of our risk management policies and of our operational and security systems;</w:t>
      </w:r>
    </w:p>
    <w:p>
      <w:pPr>
        <w:ind w:left="167"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Losses associated with counterparty exposures;</w:t>
      </w:r>
    </w:p>
    <w:p>
      <w:pPr>
        <w:ind w:left="167" w:right="560" w:hanging="167"/>
        <w:spacing w:after="0" w:line="234" w:lineRule="auto"/>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of the coronavirus (“COVID-19”) outbreak, actions taken to contain the COVID-19 and related economic effects from such actions and our ability to maintain adequate staffing; and</w:t>
      </w:r>
    </w:p>
    <w:p>
      <w:pPr>
        <w:spacing w:after="0" w:line="1" w:lineRule="exact"/>
        <w:rPr>
          <w:rFonts w:ascii="Arial" w:cs="Arial" w:eastAsia="Arial" w:hAnsi="Arial"/>
          <w:sz w:val="18"/>
          <w:szCs w:val="18"/>
          <w:color w:val="auto"/>
        </w:rPr>
      </w:pPr>
    </w:p>
    <w:p>
      <w:pPr>
        <w:ind w:left="167" w:hanging="167"/>
        <w:spacing w:after="0"/>
        <w:tabs>
          <w:tab w:leader="none" w:pos="1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Bermuda laws and regulations applicable to so-called non-resident entities.</w:t>
      </w:r>
    </w:p>
    <w:p>
      <w:pPr>
        <w:spacing w:after="0" w:line="203" w:lineRule="exact"/>
        <w:rPr>
          <w:sz w:val="20"/>
          <w:szCs w:val="20"/>
          <w:color w:val="auto"/>
        </w:rPr>
      </w:pPr>
    </w:p>
    <w:p>
      <w:pPr>
        <w:jc w:val="both"/>
        <w:ind w:left="7"/>
        <w:spacing w:after="0" w:line="241" w:lineRule="auto"/>
        <w:rPr>
          <w:sz w:val="20"/>
          <w:szCs w:val="20"/>
          <w:color w:val="auto"/>
        </w:rPr>
      </w:pPr>
      <w:r>
        <w:rPr>
          <w:rFonts w:ascii="Arial" w:cs="Arial" w:eastAsia="Arial" w:hAnsi="Arial"/>
          <w:sz w:val="18"/>
          <w:szCs w:val="18"/>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spacing w:after="0" w:line="1" w:lineRule="exact"/>
        <w:rPr>
          <w:sz w:val="20"/>
          <w:szCs w:val="20"/>
          <w:color w:val="auto"/>
        </w:rPr>
      </w:pPr>
    </w:p>
    <w:p>
      <w:pPr>
        <w:jc w:val="both"/>
        <w:ind w:left="7"/>
        <w:spacing w:after="0" w:line="242" w:lineRule="auto"/>
        <w:rPr>
          <w:sz w:val="20"/>
          <w:szCs w:val="20"/>
          <w:color w:val="auto"/>
        </w:rPr>
      </w:pPr>
      <w:r>
        <w:rPr>
          <w:rFonts w:ascii="Arial" w:cs="Arial" w:eastAsia="Arial" w:hAnsi="Arial"/>
          <w:sz w:val="18"/>
          <w:szCs w:val="18"/>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648970</wp:posOffset>
            </wp:positionV>
            <wp:extent cx="71577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117475</wp:posOffset>
            </wp:positionV>
            <wp:extent cx="6789420" cy="4286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89420" cy="428625"/>
                    </a:xfrm>
                    <a:prstGeom prst="rect">
                      <a:avLst/>
                    </a:prstGeom>
                    <a:noFill/>
                  </pic:spPr>
                </pic:pic>
              </a:graphicData>
            </a:graphic>
          </wp:anchor>
        </w:drawing>
      </w:r>
    </w:p>
    <w:p>
      <w:pPr>
        <w:sectPr>
          <w:pgSz w:w="11920" w:h="16838" w:orient="portrait"/>
          <w:cols w:equalWidth="0" w:num="1">
            <w:col w:w="11267"/>
          </w:cols>
          <w:pgMar w:left="333" w:top="373" w:right="318" w:bottom="1440" w:gutter="0" w:footer="0" w:header="0"/>
        </w:sectPr>
      </w:pPr>
    </w:p>
    <w:bookmarkStart w:id="51" w:name="page52"/>
    <w:bookmarkEnd w:id="51"/>
    <w:p>
      <w:pPr>
        <w:ind w:left="2680"/>
        <w:spacing w:after="0"/>
        <w:tabs>
          <w:tab w:leader="none" w:pos="29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p>
    <w:p>
      <w:pPr>
        <w:spacing w:after="0" w:line="395" w:lineRule="exact"/>
        <w:rPr>
          <w:sz w:val="20"/>
          <w:szCs w:val="20"/>
          <w:color w:val="auto"/>
        </w:rPr>
      </w:pPr>
    </w:p>
    <w:p>
      <w:pPr>
        <w:spacing w:after="0"/>
        <w:rPr>
          <w:sz w:val="20"/>
          <w:szCs w:val="20"/>
          <w:color w:val="auto"/>
        </w:rPr>
      </w:pPr>
      <w:r>
        <w:rPr>
          <w:rFonts w:ascii="Arial" w:cs="Arial" w:eastAsia="Arial" w:hAnsi="Arial"/>
          <w:sz w:val="52"/>
          <w:szCs w:val="52"/>
          <w:b w:val="1"/>
          <w:bCs w:val="1"/>
          <w:color w:val="E93BAC"/>
        </w:rPr>
        <w:t xml:space="preserve">12 </w:t>
      </w:r>
      <w:r>
        <w:rPr>
          <w:rFonts w:ascii="Arial" w:cs="Arial" w:eastAsia="Arial" w:hAnsi="Arial"/>
          <w:sz w:val="32"/>
          <w:szCs w:val="32"/>
          <w:color w:val="E93BAC"/>
        </w:rPr>
        <w:t>Appendix</w:t>
      </w:r>
    </w:p>
    <w:p>
      <w:pPr>
        <w:spacing w:after="0" w:line="33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12.1. Evolution of Loans in Average Daily Balances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12.2. Loan Portfolio Quality</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12.3. Net Interest Income (NII)</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12.4. Net Interest Margin (NIM) and Risk Adjusted NIM</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12.5. Physical Point of Contact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12.6. Regulatory Capital</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12.7. Financial Statements and Ratios by Business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12.7.1. Credicorp Consolidated</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12.7.2. Credicorp Stand-alone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12.7.3. BCP Consolidated</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12.7.4. BCP Stand-alone</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12.7.5. BCP Bolivia</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12.7.6. Mibanco</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12.7.7. Prima AFP</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12.7.8. Grupo Pacifico</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12.7.9. Investment Management and Advisory</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12.8. Table of Calculations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12.9.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705485</wp:posOffset>
            </wp:positionV>
            <wp:extent cx="71577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131445</wp:posOffset>
            </wp:positionV>
            <wp:extent cx="6772275" cy="4718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227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FF00FF"/>
        </w:rPr>
        <w:t>4Q25 Consolidated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51</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51</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55</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55</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56</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56</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60</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60</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62</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63</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65</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67</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68</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69</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70</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71</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72</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73</w:t>
      </w:r>
    </w:p>
    <w:p>
      <w:pPr>
        <w:sectPr>
          <w:pgSz w:w="11920" w:h="16838" w:orient="portrait"/>
          <w:cols w:equalWidth="0" w:num="2">
            <w:col w:w="8800" w:space="720"/>
            <w:col w:w="1740"/>
          </w:cols>
          <w:pgMar w:left="340" w:top="373" w:right="318" w:bottom="1440" w:gutter="0" w:footer="0" w:header="0"/>
        </w:sectPr>
      </w:pPr>
    </w:p>
    <w:bookmarkStart w:id="52" w:name="page53"/>
    <w:bookmarkEnd w:id="52"/>
    <w:p>
      <w:pPr>
        <w:ind w:left="2680"/>
        <w:spacing w:after="0"/>
        <w:tabs>
          <w:tab w:leader="none" w:pos="2900" w:val="left"/>
          <w:tab w:leader="none" w:pos="95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57720" cy="2228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12. Appendix</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12.1. Evolution of Loans in Average Daily Balances</w:t>
      </w:r>
    </w:p>
    <w:p>
      <w:pPr>
        <w:spacing w:after="0" w:line="10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 xml:space="preserve">Total Loans (in Average Daily Balances) </w:t>
      </w:r>
      <w:r>
        <w:rPr>
          <w:rFonts w:ascii="Arial" w:cs="Arial" w:eastAsia="Arial" w:hAnsi="Arial"/>
          <w:sz w:val="29"/>
          <w:szCs w:val="29"/>
          <w:b w:val="1"/>
          <w:bCs w:val="1"/>
          <w:color w:val="auto"/>
          <w:vertAlign w:val="superscript"/>
        </w:rPr>
        <w:t>(1)(2)</w:t>
      </w:r>
    </w:p>
    <w:tbl>
      <w:tblPr>
        <w:tblLayout w:type="fixed"/>
        <w:tblInd w:w="10" w:type="dxa"/>
        <w:tblCellMar>
          <w:top w:w="0" w:type="dxa"/>
          <w:left w:w="0" w:type="dxa"/>
          <w:bottom w:w="0" w:type="dxa"/>
          <w:right w:w="0" w:type="dxa"/>
        </w:tblCellMar>
      </w:tblPr>
      <w:tr>
        <w:trPr>
          <w:trHeight w:val="237"/>
        </w:trPr>
        <w:tc>
          <w:tcPr>
            <w:tcW w:w="176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Total Loans</w:t>
            </w:r>
          </w:p>
        </w:tc>
        <w:tc>
          <w:tcPr>
            <w:tcW w:w="980" w:type="dxa"/>
            <w:vAlign w:val="bottom"/>
            <w:tcBorders>
              <w:top w:val="single" w:sz="8" w:color="auto"/>
            </w:tcBorders>
            <w:shd w:val="clear" w:color="auto" w:fill="33CCCC"/>
          </w:tcPr>
          <w:p>
            <w:pPr>
              <w:spacing w:after="0"/>
              <w:rPr>
                <w:sz w:val="20"/>
                <w:szCs w:val="20"/>
                <w:color w:val="auto"/>
              </w:rPr>
            </w:pPr>
          </w:p>
        </w:tc>
        <w:tc>
          <w:tcPr>
            <w:tcW w:w="10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8"/>
              </w:rPr>
              <w:t>As of</w:t>
            </w:r>
          </w:p>
        </w:tc>
        <w:tc>
          <w:tcPr>
            <w:tcW w:w="960" w:type="dxa"/>
            <w:vAlign w:val="bottom"/>
            <w:tcBorders>
              <w:top w:val="single" w:sz="8" w:color="auto"/>
              <w:right w:val="single" w:sz="8" w:color="auto"/>
            </w:tcBorders>
            <w:shd w:val="clear" w:color="auto" w:fill="33CCCC"/>
          </w:tcPr>
          <w:p>
            <w:pPr>
              <w:spacing w:after="0"/>
              <w:rPr>
                <w:sz w:val="20"/>
                <w:szCs w:val="20"/>
                <w:color w:val="auto"/>
              </w:rPr>
            </w:pPr>
          </w:p>
        </w:tc>
        <w:tc>
          <w:tcPr>
            <w:tcW w:w="1860" w:type="dxa"/>
            <w:vAlign w:val="bottom"/>
            <w:tcBorders>
              <w:top w:val="single" w:sz="8" w:color="auto"/>
              <w:right w:val="single" w:sz="8" w:color="auto"/>
            </w:tcBorders>
            <w:gridSpan w:val="2"/>
            <w:shd w:val="clear" w:color="auto" w:fill="33CCCC"/>
          </w:tcPr>
          <w:p>
            <w:pPr>
              <w:ind w:left="480"/>
              <w:spacing w:after="0"/>
              <w:rPr>
                <w:sz w:val="20"/>
                <w:szCs w:val="20"/>
                <w:color w:val="auto"/>
              </w:rPr>
            </w:pPr>
            <w:r>
              <w:rPr>
                <w:rFonts w:ascii="Arial" w:cs="Arial" w:eastAsia="Arial" w:hAnsi="Arial"/>
                <w:sz w:val="13"/>
                <w:szCs w:val="13"/>
                <w:b w:val="1"/>
                <w:bCs w:val="1"/>
                <w:color w:val="FFFFFF"/>
              </w:rPr>
              <w:t>Volume change</w:t>
            </w:r>
          </w:p>
        </w:tc>
        <w:tc>
          <w:tcPr>
            <w:tcW w:w="700" w:type="dxa"/>
            <w:vAlign w:val="bottom"/>
            <w:tcBorders>
              <w:top w:val="single" w:sz="8" w:color="auto"/>
            </w:tcBorders>
            <w:shd w:val="clear" w:color="auto" w:fill="33CCCC"/>
          </w:tcPr>
          <w:p>
            <w:pPr>
              <w:spacing w:after="0"/>
              <w:rPr>
                <w:sz w:val="20"/>
                <w:szCs w:val="20"/>
                <w:color w:val="auto"/>
              </w:rPr>
            </w:pPr>
          </w:p>
        </w:tc>
        <w:tc>
          <w:tcPr>
            <w:tcW w:w="134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 change</w:t>
            </w:r>
          </w:p>
        </w:tc>
        <w:tc>
          <w:tcPr>
            <w:tcW w:w="660" w:type="dxa"/>
            <w:vAlign w:val="bottom"/>
            <w:tcBorders>
              <w:top w:val="single" w:sz="8" w:color="auto"/>
            </w:tcBorders>
            <w:shd w:val="clear" w:color="auto" w:fill="33CCCC"/>
          </w:tcPr>
          <w:p>
            <w:pPr>
              <w:spacing w:after="0"/>
              <w:rPr>
                <w:sz w:val="20"/>
                <w:szCs w:val="20"/>
                <w:color w:val="auto"/>
              </w:rPr>
            </w:pPr>
          </w:p>
        </w:tc>
        <w:tc>
          <w:tcPr>
            <w:tcW w:w="1320" w:type="dxa"/>
            <w:vAlign w:val="bottom"/>
            <w:tcBorders>
              <w:top w:val="single" w:sz="8" w:color="auto"/>
            </w:tcBorders>
            <w:shd w:val="clear" w:color="auto" w:fill="33CCCC"/>
          </w:tcPr>
          <w:p>
            <w:pPr>
              <w:ind w:left="20"/>
              <w:spacing w:after="0"/>
              <w:rPr>
                <w:sz w:val="20"/>
                <w:szCs w:val="20"/>
                <w:color w:val="auto"/>
              </w:rPr>
            </w:pPr>
            <w:r>
              <w:rPr>
                <w:rFonts w:ascii="Arial" w:cs="Arial" w:eastAsia="Arial" w:hAnsi="Arial"/>
                <w:sz w:val="13"/>
                <w:szCs w:val="13"/>
                <w:b w:val="1"/>
                <w:bCs w:val="1"/>
                <w:color w:val="FFFFFF"/>
              </w:rPr>
              <w:t>% Part. in total loans</w:t>
            </w:r>
          </w:p>
        </w:tc>
        <w:tc>
          <w:tcPr>
            <w:tcW w:w="680" w:type="dxa"/>
            <w:vAlign w:val="bottom"/>
            <w:tcBorders>
              <w:top w:val="single" w:sz="8" w:color="auto"/>
              <w:right w:val="single" w:sz="8" w:color="auto"/>
            </w:tcBorders>
            <w:shd w:val="clear" w:color="auto" w:fill="33CCC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760" w:type="dxa"/>
            <w:vAlign w:val="bottom"/>
            <w:tcBorders>
              <w:left w:val="single" w:sz="8" w:color="auto"/>
              <w:bottom w:val="single" w:sz="8" w:color="33CCCC"/>
              <w:right w:val="single" w:sz="8" w:color="auto"/>
            </w:tcBorders>
            <w:shd w:val="clear" w:color="auto" w:fill="33CCCC"/>
          </w:tcPr>
          <w:p>
            <w:pPr>
              <w:spacing w:after="0"/>
              <w:rPr>
                <w:sz w:val="20"/>
                <w:szCs w:val="20"/>
                <w:color w:val="auto"/>
              </w:rPr>
            </w:pPr>
            <w:r>
              <w:rPr>
                <w:rFonts w:ascii="Arial" w:cs="Arial" w:eastAsia="Arial" w:hAnsi="Arial"/>
                <w:sz w:val="13"/>
                <w:szCs w:val="13"/>
                <w:b w:val="1"/>
                <w:bCs w:val="1"/>
                <w:color w:val="FFFFFF"/>
              </w:rPr>
              <w:t>(S/ millions)</w:t>
            </w:r>
          </w:p>
        </w:tc>
        <w:tc>
          <w:tcPr>
            <w:tcW w:w="980" w:type="dxa"/>
            <w:vAlign w:val="bottom"/>
            <w:tcBorders>
              <w:bottom w:val="single" w:sz="8" w:color="33CCCC"/>
            </w:tcBorders>
            <w:shd w:val="clear" w:color="auto" w:fill="33CCCC"/>
          </w:tcPr>
          <w:p>
            <w:pPr>
              <w:ind w:left="300"/>
              <w:spacing w:after="0"/>
              <w:rPr>
                <w:sz w:val="20"/>
                <w:szCs w:val="20"/>
                <w:color w:val="auto"/>
              </w:rPr>
            </w:pPr>
            <w:r>
              <w:rPr>
                <w:rFonts w:ascii="Arial" w:cs="Arial" w:eastAsia="Arial" w:hAnsi="Arial"/>
                <w:sz w:val="13"/>
                <w:szCs w:val="13"/>
                <w:b w:val="1"/>
                <w:bCs w:val="1"/>
                <w:color w:val="FFFFFF"/>
              </w:rPr>
              <w:t>Dec 24</w:t>
            </w:r>
          </w:p>
        </w:tc>
        <w:tc>
          <w:tcPr>
            <w:tcW w:w="102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5"/>
              </w:rPr>
              <w:t>Sep 25</w:t>
            </w:r>
          </w:p>
        </w:tc>
        <w:tc>
          <w:tcPr>
            <w:tcW w:w="960" w:type="dxa"/>
            <w:vAlign w:val="bottom"/>
            <w:tcBorders>
              <w:bottom w:val="single" w:sz="8" w:color="33CCCC"/>
              <w:right w:val="single" w:sz="8" w:color="auto"/>
            </w:tcBorders>
            <w:shd w:val="clear" w:color="auto" w:fill="33CCCC"/>
          </w:tcPr>
          <w:p>
            <w:pPr>
              <w:ind w:left="280"/>
              <w:spacing w:after="0"/>
              <w:rPr>
                <w:sz w:val="20"/>
                <w:szCs w:val="20"/>
                <w:color w:val="auto"/>
              </w:rPr>
            </w:pPr>
            <w:r>
              <w:rPr>
                <w:rFonts w:ascii="Arial" w:cs="Arial" w:eastAsia="Arial" w:hAnsi="Arial"/>
                <w:sz w:val="13"/>
                <w:szCs w:val="13"/>
                <w:b w:val="1"/>
                <w:bCs w:val="1"/>
                <w:color w:val="FFFFFF"/>
              </w:rPr>
              <w:t>Dec 25</w:t>
            </w:r>
          </w:p>
        </w:tc>
        <w:tc>
          <w:tcPr>
            <w:tcW w:w="900" w:type="dxa"/>
            <w:vAlign w:val="bottom"/>
            <w:tcBorders>
              <w:bottom w:val="single" w:sz="8" w:color="33CCCC"/>
            </w:tcBorders>
            <w:shd w:val="clear" w:color="auto" w:fill="33CCCC"/>
          </w:tcPr>
          <w:p>
            <w:pPr>
              <w:ind w:left="320"/>
              <w:spacing w:after="0"/>
              <w:rPr>
                <w:sz w:val="20"/>
                <w:szCs w:val="20"/>
                <w:color w:val="auto"/>
              </w:rPr>
            </w:pPr>
            <w:r>
              <w:rPr>
                <w:rFonts w:ascii="Arial" w:cs="Arial" w:eastAsia="Arial" w:hAnsi="Arial"/>
                <w:sz w:val="13"/>
                <w:szCs w:val="13"/>
                <w:b w:val="1"/>
                <w:bCs w:val="1"/>
                <w:color w:val="FFFFFF"/>
              </w:rPr>
              <w:t>QoQ</w:t>
            </w:r>
          </w:p>
        </w:tc>
        <w:tc>
          <w:tcPr>
            <w:tcW w:w="960" w:type="dxa"/>
            <w:vAlign w:val="bottom"/>
            <w:tcBorders>
              <w:bottom w:val="single" w:sz="8" w:color="33CCCC"/>
              <w:right w:val="single" w:sz="8" w:color="auto"/>
            </w:tcBorders>
            <w:shd w:val="clear" w:color="auto" w:fill="33CCCC"/>
          </w:tcPr>
          <w:p>
            <w:pPr>
              <w:ind w:left="360"/>
              <w:spacing w:after="0"/>
              <w:rPr>
                <w:sz w:val="20"/>
                <w:szCs w:val="20"/>
                <w:color w:val="auto"/>
              </w:rPr>
            </w:pPr>
            <w:r>
              <w:rPr>
                <w:rFonts w:ascii="Arial" w:cs="Arial" w:eastAsia="Arial" w:hAnsi="Arial"/>
                <w:sz w:val="13"/>
                <w:szCs w:val="13"/>
                <w:b w:val="1"/>
                <w:bCs w:val="1"/>
                <w:color w:val="FFFFFF"/>
              </w:rPr>
              <w:t>YoY</w:t>
            </w:r>
          </w:p>
        </w:tc>
        <w:tc>
          <w:tcPr>
            <w:tcW w:w="700" w:type="dxa"/>
            <w:vAlign w:val="bottom"/>
            <w:tcBorders>
              <w:bottom w:val="single" w:sz="8" w:color="33CCCC"/>
            </w:tcBorders>
            <w:shd w:val="clear" w:color="auto" w:fill="33CCCC"/>
          </w:tcPr>
          <w:p>
            <w:pPr>
              <w:ind w:left="360"/>
              <w:spacing w:after="0"/>
              <w:rPr>
                <w:sz w:val="20"/>
                <w:szCs w:val="20"/>
                <w:color w:val="auto"/>
              </w:rPr>
            </w:pPr>
            <w:r>
              <w:rPr>
                <w:rFonts w:ascii="Arial" w:cs="Arial" w:eastAsia="Arial" w:hAnsi="Arial"/>
                <w:sz w:val="13"/>
                <w:szCs w:val="13"/>
                <w:b w:val="1"/>
                <w:bCs w:val="1"/>
                <w:color w:val="FFFFFF"/>
              </w:rPr>
              <w:t>QoQ</w:t>
            </w:r>
          </w:p>
        </w:tc>
        <w:tc>
          <w:tcPr>
            <w:tcW w:w="1340" w:type="dxa"/>
            <w:vAlign w:val="bottom"/>
            <w:tcBorders>
              <w:bottom w:val="single" w:sz="8" w:color="33CCCC"/>
              <w:right w:val="single" w:sz="8" w:color="auto"/>
            </w:tcBorders>
            <w:shd w:val="clear" w:color="auto" w:fill="33CCCC"/>
          </w:tcPr>
          <w:p>
            <w:pPr>
              <w:ind w:left="680"/>
              <w:spacing w:after="0"/>
              <w:rPr>
                <w:sz w:val="20"/>
                <w:szCs w:val="20"/>
                <w:color w:val="auto"/>
              </w:rPr>
            </w:pPr>
            <w:r>
              <w:rPr>
                <w:rFonts w:ascii="Arial" w:cs="Arial" w:eastAsia="Arial" w:hAnsi="Arial"/>
                <w:sz w:val="13"/>
                <w:szCs w:val="13"/>
                <w:b w:val="1"/>
                <w:bCs w:val="1"/>
                <w:color w:val="FFFFFF"/>
              </w:rPr>
              <w:t>YoY</w:t>
            </w:r>
          </w:p>
        </w:tc>
        <w:tc>
          <w:tcPr>
            <w:tcW w:w="660" w:type="dxa"/>
            <w:vAlign w:val="bottom"/>
            <w:tcBorders>
              <w:bottom w:val="single" w:sz="8" w:color="33CCCC"/>
            </w:tcBorders>
            <w:shd w:val="clear" w:color="auto" w:fill="33CCCC"/>
          </w:tcPr>
          <w:p>
            <w:pPr>
              <w:ind w:left="220"/>
              <w:spacing w:after="0"/>
              <w:rPr>
                <w:sz w:val="20"/>
                <w:szCs w:val="20"/>
                <w:color w:val="auto"/>
              </w:rPr>
            </w:pPr>
            <w:r>
              <w:rPr>
                <w:rFonts w:ascii="Arial" w:cs="Arial" w:eastAsia="Arial" w:hAnsi="Arial"/>
                <w:sz w:val="13"/>
                <w:szCs w:val="13"/>
                <w:b w:val="1"/>
                <w:bCs w:val="1"/>
                <w:color w:val="FFFFFF"/>
              </w:rPr>
              <w:t>Dec 24</w:t>
            </w:r>
          </w:p>
        </w:tc>
        <w:tc>
          <w:tcPr>
            <w:tcW w:w="1320" w:type="dxa"/>
            <w:vAlign w:val="bottom"/>
            <w:tcBorders>
              <w:bottom w:val="single" w:sz="8" w:color="33CCCC"/>
            </w:tcBorders>
            <w:shd w:val="clear" w:color="auto" w:fill="33CCCC"/>
          </w:tcPr>
          <w:p>
            <w:pPr>
              <w:ind w:left="480"/>
              <w:spacing w:after="0"/>
              <w:rPr>
                <w:sz w:val="20"/>
                <w:szCs w:val="20"/>
                <w:color w:val="auto"/>
              </w:rPr>
            </w:pPr>
            <w:r>
              <w:rPr>
                <w:rFonts w:ascii="Arial" w:cs="Arial" w:eastAsia="Arial" w:hAnsi="Arial"/>
                <w:sz w:val="13"/>
                <w:szCs w:val="13"/>
                <w:b w:val="1"/>
                <w:bCs w:val="1"/>
                <w:color w:val="FFFFFF"/>
              </w:rPr>
              <w:t>Sep 25</w:t>
            </w:r>
          </w:p>
        </w:tc>
        <w:tc>
          <w:tcPr>
            <w:tcW w:w="680" w:type="dxa"/>
            <w:vAlign w:val="bottom"/>
            <w:tcBorders>
              <w:bottom w:val="single" w:sz="8" w:color="33CCCC"/>
              <w:right w:val="single" w:sz="8" w:color="auto"/>
            </w:tcBorders>
            <w:shd w:val="clear" w:color="auto" w:fill="33CCCC"/>
          </w:tcPr>
          <w:p>
            <w:pPr>
              <w:ind w:left="40"/>
              <w:spacing w:after="0"/>
              <w:rPr>
                <w:sz w:val="20"/>
                <w:szCs w:val="20"/>
                <w:color w:val="auto"/>
              </w:rPr>
            </w:pPr>
            <w:r>
              <w:rPr>
                <w:rFonts w:ascii="Arial" w:cs="Arial" w:eastAsia="Arial" w:hAnsi="Arial"/>
                <w:sz w:val="13"/>
                <w:szCs w:val="13"/>
                <w:b w:val="1"/>
                <w:bCs w:val="1"/>
                <w:color w:val="FFFFFF"/>
              </w:rPr>
              <w:t>Dec 25</w:t>
            </w:r>
          </w:p>
        </w:tc>
        <w:tc>
          <w:tcPr>
            <w:tcW w:w="0" w:type="dxa"/>
            <w:vAlign w:val="bottom"/>
          </w:tcPr>
          <w:p>
            <w:pPr>
              <w:spacing w:after="0"/>
              <w:rPr>
                <w:sz w:val="1"/>
                <w:szCs w:val="1"/>
                <w:color w:val="auto"/>
              </w:rPr>
            </w:pPr>
          </w:p>
        </w:tc>
      </w:tr>
      <w:tr>
        <w:trPr>
          <w:trHeight w:val="105"/>
        </w:trPr>
        <w:tc>
          <w:tcPr>
            <w:tcW w:w="1760" w:type="dxa"/>
            <w:vAlign w:val="bottom"/>
            <w:tcBorders>
              <w:top w:val="single" w:sz="8" w:color="auto"/>
              <w:left w:val="single" w:sz="8" w:color="auto"/>
              <w:right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BCP Stand-alone</w:t>
            </w:r>
          </w:p>
        </w:tc>
        <w:tc>
          <w:tcPr>
            <w:tcW w:w="98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117,601</w:t>
            </w:r>
          </w:p>
        </w:tc>
        <w:tc>
          <w:tcPr>
            <w:tcW w:w="102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121,189</w:t>
            </w:r>
          </w:p>
        </w:tc>
        <w:tc>
          <w:tcPr>
            <w:tcW w:w="960" w:type="dxa"/>
            <w:vAlign w:val="bottom"/>
            <w:tcBorders>
              <w:top w:val="single" w:sz="8" w:color="auto"/>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121,585</w:t>
            </w:r>
          </w:p>
        </w:tc>
        <w:tc>
          <w:tcPr>
            <w:tcW w:w="9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396</w:t>
            </w:r>
          </w:p>
        </w:tc>
        <w:tc>
          <w:tcPr>
            <w:tcW w:w="960" w:type="dxa"/>
            <w:vAlign w:val="bottom"/>
            <w:tcBorders>
              <w:top w:val="single" w:sz="8" w:color="auto"/>
              <w:right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w w:val="99"/>
              </w:rPr>
              <w:t>3,984</w:t>
            </w:r>
          </w:p>
        </w:tc>
        <w:tc>
          <w:tcPr>
            <w:tcW w:w="700" w:type="dxa"/>
            <w:vAlign w:val="bottom"/>
            <w:tcBorders>
              <w:top w:val="single" w:sz="8" w:color="auto"/>
            </w:tcBorders>
          </w:tcPr>
          <w:p>
            <w:pPr>
              <w:jc w:val="center"/>
              <w:ind w:left="239"/>
              <w:spacing w:after="0" w:line="105" w:lineRule="exact"/>
              <w:rPr>
                <w:sz w:val="20"/>
                <w:szCs w:val="20"/>
                <w:color w:val="auto"/>
              </w:rPr>
            </w:pPr>
            <w:r>
              <w:rPr>
                <w:rFonts w:ascii="Arial" w:cs="Arial" w:eastAsia="Arial" w:hAnsi="Arial"/>
                <w:sz w:val="12"/>
                <w:szCs w:val="12"/>
                <w:b w:val="1"/>
                <w:bCs w:val="1"/>
                <w:color w:val="auto"/>
              </w:rPr>
              <w:t>0.3%</w:t>
            </w:r>
          </w:p>
        </w:tc>
        <w:tc>
          <w:tcPr>
            <w:tcW w:w="1340" w:type="dxa"/>
            <w:vAlign w:val="bottom"/>
            <w:tcBorders>
              <w:top w:val="single" w:sz="8" w:color="auto"/>
              <w:right w:val="single" w:sz="8" w:color="auto"/>
            </w:tcBorders>
          </w:tcPr>
          <w:p>
            <w:pPr>
              <w:jc w:val="center"/>
              <w:ind w:left="199"/>
              <w:spacing w:after="0" w:line="105" w:lineRule="exact"/>
              <w:rPr>
                <w:sz w:val="20"/>
                <w:szCs w:val="20"/>
                <w:color w:val="auto"/>
              </w:rPr>
            </w:pPr>
            <w:r>
              <w:rPr>
                <w:rFonts w:ascii="Arial" w:cs="Arial" w:eastAsia="Arial" w:hAnsi="Arial"/>
                <w:sz w:val="12"/>
                <w:szCs w:val="12"/>
                <w:b w:val="1"/>
                <w:bCs w:val="1"/>
                <w:color w:val="auto"/>
              </w:rPr>
              <w:t>3.4%</w:t>
            </w:r>
          </w:p>
        </w:tc>
        <w:tc>
          <w:tcPr>
            <w:tcW w:w="660" w:type="dxa"/>
            <w:vAlign w:val="bottom"/>
            <w:tcBorders>
              <w:top w:val="single" w:sz="8" w:color="auto"/>
            </w:tcBorders>
          </w:tcPr>
          <w:p>
            <w:pPr>
              <w:jc w:val="center"/>
              <w:ind w:left="139"/>
              <w:spacing w:after="0" w:line="105" w:lineRule="exact"/>
              <w:rPr>
                <w:sz w:val="20"/>
                <w:szCs w:val="20"/>
                <w:color w:val="auto"/>
              </w:rPr>
            </w:pPr>
            <w:r>
              <w:rPr>
                <w:rFonts w:ascii="Arial" w:cs="Arial" w:eastAsia="Arial" w:hAnsi="Arial"/>
                <w:sz w:val="12"/>
                <w:szCs w:val="12"/>
                <w:b w:val="1"/>
                <w:bCs w:val="1"/>
                <w:color w:val="auto"/>
                <w:w w:val="99"/>
              </w:rPr>
              <w:t>82.4%</w:t>
            </w:r>
          </w:p>
        </w:tc>
        <w:tc>
          <w:tcPr>
            <w:tcW w:w="1320" w:type="dxa"/>
            <w:vAlign w:val="bottom"/>
            <w:tcBorders>
              <w:top w:val="single" w:sz="8" w:color="auto"/>
            </w:tcBorders>
          </w:tcPr>
          <w:p>
            <w:pPr>
              <w:jc w:val="center"/>
              <w:ind w:left="19"/>
              <w:spacing w:after="0" w:line="105" w:lineRule="exact"/>
              <w:rPr>
                <w:sz w:val="20"/>
                <w:szCs w:val="20"/>
                <w:color w:val="auto"/>
              </w:rPr>
            </w:pPr>
            <w:r>
              <w:rPr>
                <w:rFonts w:ascii="Arial" w:cs="Arial" w:eastAsia="Arial" w:hAnsi="Arial"/>
                <w:sz w:val="12"/>
                <w:szCs w:val="12"/>
                <w:b w:val="1"/>
                <w:bCs w:val="1"/>
                <w:color w:val="auto"/>
              </w:rPr>
              <w:t>82.6%</w:t>
            </w:r>
          </w:p>
        </w:tc>
        <w:tc>
          <w:tcPr>
            <w:tcW w:w="680" w:type="dxa"/>
            <w:vAlign w:val="bottom"/>
            <w:tcBorders>
              <w:top w:val="single" w:sz="8" w:color="auto"/>
              <w:right w:val="single" w:sz="8" w:color="auto"/>
            </w:tcBorders>
          </w:tcPr>
          <w:p>
            <w:pPr>
              <w:jc w:val="center"/>
              <w:ind w:right="119"/>
              <w:spacing w:after="0" w:line="105" w:lineRule="exact"/>
              <w:rPr>
                <w:sz w:val="20"/>
                <w:szCs w:val="20"/>
                <w:color w:val="auto"/>
              </w:rPr>
            </w:pPr>
            <w:r>
              <w:rPr>
                <w:rFonts w:ascii="Arial" w:cs="Arial" w:eastAsia="Arial" w:hAnsi="Arial"/>
                <w:sz w:val="12"/>
                <w:szCs w:val="12"/>
                <w:b w:val="1"/>
                <w:bCs w:val="1"/>
                <w:color w:val="auto"/>
                <w:w w:val="99"/>
              </w:rPr>
              <w:t>82.6%</w:t>
            </w:r>
          </w:p>
        </w:tc>
        <w:tc>
          <w:tcPr>
            <w:tcW w:w="0" w:type="dxa"/>
            <w:vAlign w:val="bottom"/>
          </w:tcPr>
          <w:p>
            <w:pPr>
              <w:spacing w:after="0"/>
              <w:rPr>
                <w:sz w:val="1"/>
                <w:szCs w:val="1"/>
                <w:color w:val="auto"/>
              </w:rPr>
            </w:pPr>
          </w:p>
        </w:tc>
      </w:tr>
      <w:tr>
        <w:trPr>
          <w:trHeight w:val="24"/>
        </w:trPr>
        <w:tc>
          <w:tcPr>
            <w:tcW w:w="1760" w:type="dxa"/>
            <w:vAlign w:val="bottom"/>
            <w:tcBorders>
              <w:left w:val="single" w:sz="8" w:color="auto"/>
              <w:right w:val="single" w:sz="8" w:color="auto"/>
            </w:tcBorders>
            <w:vMerge w:val="restart"/>
          </w:tcPr>
          <w:p>
            <w:pPr>
              <w:ind w:left="160"/>
              <w:spacing w:after="0" w:line="135" w:lineRule="exact"/>
              <w:rPr>
                <w:sz w:val="20"/>
                <w:szCs w:val="20"/>
                <w:color w:val="auto"/>
              </w:rPr>
            </w:pPr>
            <w:r>
              <w:rPr>
                <w:rFonts w:ascii="Arial" w:cs="Arial" w:eastAsia="Arial" w:hAnsi="Arial"/>
                <w:sz w:val="13"/>
                <w:szCs w:val="13"/>
                <w:b w:val="1"/>
                <w:bCs w:val="1"/>
                <w:color w:val="auto"/>
              </w:rPr>
              <w:t>Wholesale Banking</w:t>
            </w: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53,068</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54,645</w:t>
            </w:r>
          </w:p>
        </w:tc>
        <w:tc>
          <w:tcPr>
            <w:tcW w:w="9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53,227</w:t>
            </w:r>
          </w:p>
        </w:tc>
        <w:tc>
          <w:tcPr>
            <w:tcW w:w="900" w:type="dxa"/>
            <w:vAlign w:val="bottom"/>
          </w:tcPr>
          <w:p>
            <w:pPr>
              <w:spacing w:after="0"/>
              <w:rPr>
                <w:sz w:val="2"/>
                <w:szCs w:val="2"/>
                <w:color w:val="auto"/>
              </w:rPr>
            </w:pPr>
          </w:p>
        </w:tc>
        <w:tc>
          <w:tcPr>
            <w:tcW w:w="9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rPr>
              <w:t>159</w:t>
            </w:r>
          </w:p>
        </w:tc>
        <w:tc>
          <w:tcPr>
            <w:tcW w:w="700" w:type="dxa"/>
            <w:vAlign w:val="bottom"/>
            <w:vMerge w:val="restart"/>
          </w:tcPr>
          <w:p>
            <w:pPr>
              <w:jc w:val="center"/>
              <w:ind w:left="239"/>
              <w:spacing w:after="0" w:line="135" w:lineRule="exact"/>
              <w:rPr>
                <w:sz w:val="20"/>
                <w:szCs w:val="20"/>
                <w:color w:val="auto"/>
              </w:rPr>
            </w:pPr>
            <w:r>
              <w:rPr>
                <w:rFonts w:ascii="Arial" w:cs="Arial" w:eastAsia="Arial" w:hAnsi="Arial"/>
                <w:sz w:val="13"/>
                <w:szCs w:val="13"/>
                <w:b w:val="1"/>
                <w:bCs w:val="1"/>
                <w:color w:val="auto"/>
                <w:w w:val="94"/>
              </w:rPr>
              <w:t>-2.6%</w:t>
            </w:r>
          </w:p>
        </w:tc>
        <w:tc>
          <w:tcPr>
            <w:tcW w:w="1340" w:type="dxa"/>
            <w:vAlign w:val="bottom"/>
            <w:tcBorders>
              <w:right w:val="single" w:sz="8" w:color="auto"/>
            </w:tcBorders>
            <w:vMerge w:val="restart"/>
          </w:tcPr>
          <w:p>
            <w:pPr>
              <w:jc w:val="center"/>
              <w:ind w:left="199"/>
              <w:spacing w:after="0" w:line="135" w:lineRule="exact"/>
              <w:rPr>
                <w:sz w:val="20"/>
                <w:szCs w:val="20"/>
                <w:color w:val="auto"/>
              </w:rPr>
            </w:pPr>
            <w:r>
              <w:rPr>
                <w:rFonts w:ascii="Arial" w:cs="Arial" w:eastAsia="Arial" w:hAnsi="Arial"/>
                <w:sz w:val="13"/>
                <w:szCs w:val="13"/>
                <w:b w:val="1"/>
                <w:bCs w:val="1"/>
                <w:color w:val="auto"/>
                <w:w w:val="94"/>
              </w:rPr>
              <w:t>0.3%</w:t>
            </w:r>
          </w:p>
        </w:tc>
        <w:tc>
          <w:tcPr>
            <w:tcW w:w="660" w:type="dxa"/>
            <w:vAlign w:val="bottom"/>
            <w:vMerge w:val="restart"/>
          </w:tcPr>
          <w:p>
            <w:pPr>
              <w:jc w:val="center"/>
              <w:ind w:left="139"/>
              <w:spacing w:after="0" w:line="135" w:lineRule="exact"/>
              <w:rPr>
                <w:sz w:val="20"/>
                <w:szCs w:val="20"/>
                <w:color w:val="auto"/>
              </w:rPr>
            </w:pPr>
            <w:r>
              <w:rPr>
                <w:rFonts w:ascii="Arial" w:cs="Arial" w:eastAsia="Arial" w:hAnsi="Arial"/>
                <w:sz w:val="13"/>
                <w:szCs w:val="13"/>
                <w:b w:val="1"/>
                <w:bCs w:val="1"/>
                <w:color w:val="auto"/>
                <w:w w:val="92"/>
              </w:rPr>
              <w:t>37.2%</w:t>
            </w:r>
          </w:p>
        </w:tc>
        <w:tc>
          <w:tcPr>
            <w:tcW w:w="1320" w:type="dxa"/>
            <w:vAlign w:val="bottom"/>
            <w:vMerge w:val="restart"/>
          </w:tcPr>
          <w:p>
            <w:pPr>
              <w:jc w:val="center"/>
              <w:ind w:left="19"/>
              <w:spacing w:after="0" w:line="135" w:lineRule="exact"/>
              <w:rPr>
                <w:sz w:val="20"/>
                <w:szCs w:val="20"/>
                <w:color w:val="auto"/>
              </w:rPr>
            </w:pPr>
            <w:r>
              <w:rPr>
                <w:rFonts w:ascii="Arial" w:cs="Arial" w:eastAsia="Arial" w:hAnsi="Arial"/>
                <w:sz w:val="13"/>
                <w:szCs w:val="13"/>
                <w:b w:val="1"/>
                <w:bCs w:val="1"/>
                <w:color w:val="auto"/>
                <w:w w:val="97"/>
              </w:rPr>
              <w:t>37.2%</w:t>
            </w:r>
          </w:p>
        </w:tc>
        <w:tc>
          <w:tcPr>
            <w:tcW w:w="680" w:type="dxa"/>
            <w:vAlign w:val="bottom"/>
            <w:tcBorders>
              <w:right w:val="single" w:sz="8" w:color="auto"/>
            </w:tcBorders>
            <w:vMerge w:val="restart"/>
          </w:tcPr>
          <w:p>
            <w:pPr>
              <w:jc w:val="center"/>
              <w:ind w:right="119"/>
              <w:spacing w:after="0" w:line="135" w:lineRule="exact"/>
              <w:rPr>
                <w:sz w:val="20"/>
                <w:szCs w:val="20"/>
                <w:color w:val="auto"/>
              </w:rPr>
            </w:pPr>
            <w:r>
              <w:rPr>
                <w:rFonts w:ascii="Arial" w:cs="Arial" w:eastAsia="Arial" w:hAnsi="Arial"/>
                <w:sz w:val="13"/>
                <w:szCs w:val="13"/>
                <w:b w:val="1"/>
                <w:bCs w:val="1"/>
                <w:color w:val="auto"/>
                <w:w w:val="92"/>
              </w:rPr>
              <w:t>36.2%</w:t>
            </w:r>
          </w:p>
        </w:tc>
        <w:tc>
          <w:tcPr>
            <w:tcW w:w="0" w:type="dxa"/>
            <w:vAlign w:val="bottom"/>
          </w:tcPr>
          <w:p>
            <w:pPr>
              <w:spacing w:after="0" w:line="20" w:lineRule="exact"/>
              <w:rPr>
                <w:sz w:val="1"/>
                <w:szCs w:val="1"/>
                <w:color w:val="auto"/>
              </w:rPr>
            </w:pPr>
          </w:p>
        </w:tc>
      </w:tr>
      <w:tr>
        <w:trPr>
          <w:trHeight w:val="111"/>
        </w:trPr>
        <w:tc>
          <w:tcPr>
            <w:tcW w:w="1760" w:type="dxa"/>
            <w:vAlign w:val="bottom"/>
            <w:tcBorders>
              <w:left w:val="single" w:sz="8" w:color="auto"/>
              <w:right w:val="single" w:sz="8" w:color="auto"/>
            </w:tcBorders>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00" w:type="dxa"/>
            <w:vAlign w:val="bottom"/>
            <w:shd w:val="clear" w:color="auto" w:fill="E93BAC"/>
          </w:tcPr>
          <w:p>
            <w:pPr>
              <w:jc w:val="center"/>
              <w:spacing w:after="0" w:line="111" w:lineRule="exact"/>
              <w:rPr>
                <w:sz w:val="20"/>
                <w:szCs w:val="20"/>
                <w:color w:val="auto"/>
              </w:rPr>
            </w:pPr>
            <w:r>
              <w:rPr>
                <w:rFonts w:ascii="Arial" w:cs="Arial" w:eastAsia="Arial" w:hAnsi="Arial"/>
                <w:sz w:val="12"/>
                <w:szCs w:val="12"/>
                <w:b w:val="1"/>
                <w:bCs w:val="1"/>
                <w:color w:val="auto"/>
                <w:w w:val="99"/>
              </w:rPr>
              <w:t>-1,418</w:t>
            </w:r>
          </w:p>
        </w:tc>
        <w:tc>
          <w:tcPr>
            <w:tcW w:w="960" w:type="dxa"/>
            <w:vAlign w:val="bottom"/>
            <w:tcBorders>
              <w:right w:val="single" w:sz="8" w:color="auto"/>
            </w:tcBorders>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760" w:type="dxa"/>
            <w:vAlign w:val="bottom"/>
            <w:tcBorders>
              <w:left w:val="single" w:sz="8" w:color="auto"/>
              <w:right w:val="single" w:sz="8" w:color="auto"/>
            </w:tcBorders>
            <w:vMerge w:val="restart"/>
          </w:tcPr>
          <w:p>
            <w:pPr>
              <w:ind w:left="340"/>
              <w:spacing w:after="0" w:line="135" w:lineRule="exact"/>
              <w:rPr>
                <w:sz w:val="20"/>
                <w:szCs w:val="20"/>
                <w:color w:val="auto"/>
              </w:rPr>
            </w:pPr>
            <w:r>
              <w:rPr>
                <w:rFonts w:ascii="Arial" w:cs="Arial" w:eastAsia="Arial" w:hAnsi="Arial"/>
                <w:sz w:val="13"/>
                <w:szCs w:val="13"/>
                <w:color w:val="auto"/>
              </w:rPr>
              <w:t>Corporate</w:t>
            </w: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32,318</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32,544</w:t>
            </w:r>
          </w:p>
        </w:tc>
        <w:tc>
          <w:tcPr>
            <w:tcW w:w="9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31,609</w:t>
            </w:r>
          </w:p>
        </w:tc>
        <w:tc>
          <w:tcPr>
            <w:tcW w:w="900" w:type="dxa"/>
            <w:vAlign w:val="bottom"/>
            <w:vMerge w:val="restart"/>
            <w:shd w:val="clear" w:color="auto" w:fill="E93BAC"/>
          </w:tcPr>
          <w:p>
            <w:pPr>
              <w:jc w:val="center"/>
              <w:spacing w:after="0" w:line="135" w:lineRule="exact"/>
              <w:rPr>
                <w:sz w:val="20"/>
                <w:szCs w:val="20"/>
                <w:color w:val="auto"/>
              </w:rPr>
            </w:pPr>
            <w:r>
              <w:rPr>
                <w:rFonts w:ascii="Arial" w:cs="Arial" w:eastAsia="Arial" w:hAnsi="Arial"/>
                <w:sz w:val="13"/>
                <w:szCs w:val="13"/>
                <w:b w:val="1"/>
                <w:bCs w:val="1"/>
                <w:color w:val="auto"/>
                <w:w w:val="99"/>
              </w:rPr>
              <w:t>-935</w:t>
            </w:r>
          </w:p>
        </w:tc>
        <w:tc>
          <w:tcPr>
            <w:tcW w:w="960" w:type="dxa"/>
            <w:vAlign w:val="bottom"/>
            <w:tcBorders>
              <w:right w:val="single" w:sz="8" w:color="auto"/>
            </w:tcBorders>
          </w:tcPr>
          <w:p>
            <w:pPr>
              <w:spacing w:after="0"/>
              <w:rPr>
                <w:sz w:val="2"/>
                <w:szCs w:val="2"/>
                <w:color w:val="auto"/>
              </w:rPr>
            </w:pPr>
          </w:p>
        </w:tc>
        <w:tc>
          <w:tcPr>
            <w:tcW w:w="700" w:type="dxa"/>
            <w:vAlign w:val="bottom"/>
            <w:vMerge w:val="restart"/>
          </w:tcPr>
          <w:p>
            <w:pPr>
              <w:jc w:val="center"/>
              <w:ind w:left="239"/>
              <w:spacing w:after="0" w:line="135" w:lineRule="exact"/>
              <w:rPr>
                <w:sz w:val="20"/>
                <w:szCs w:val="20"/>
                <w:color w:val="auto"/>
              </w:rPr>
            </w:pPr>
            <w:r>
              <w:rPr>
                <w:rFonts w:ascii="Arial" w:cs="Arial" w:eastAsia="Arial" w:hAnsi="Arial"/>
                <w:sz w:val="13"/>
                <w:szCs w:val="13"/>
                <w:b w:val="1"/>
                <w:bCs w:val="1"/>
                <w:color w:val="auto"/>
                <w:w w:val="94"/>
              </w:rPr>
              <w:t>-2.9%</w:t>
            </w:r>
          </w:p>
        </w:tc>
        <w:tc>
          <w:tcPr>
            <w:tcW w:w="1340" w:type="dxa"/>
            <w:vAlign w:val="bottom"/>
            <w:tcBorders>
              <w:right w:val="single" w:sz="8" w:color="auto"/>
            </w:tcBorders>
            <w:vMerge w:val="restart"/>
          </w:tcPr>
          <w:p>
            <w:pPr>
              <w:jc w:val="center"/>
              <w:ind w:left="199"/>
              <w:spacing w:after="0" w:line="135" w:lineRule="exact"/>
              <w:rPr>
                <w:sz w:val="20"/>
                <w:szCs w:val="20"/>
                <w:color w:val="auto"/>
              </w:rPr>
            </w:pPr>
            <w:r>
              <w:rPr>
                <w:rFonts w:ascii="Arial" w:cs="Arial" w:eastAsia="Arial" w:hAnsi="Arial"/>
                <w:sz w:val="13"/>
                <w:szCs w:val="13"/>
                <w:b w:val="1"/>
                <w:bCs w:val="1"/>
                <w:color w:val="auto"/>
                <w:w w:val="94"/>
              </w:rPr>
              <w:t>-2.2%</w:t>
            </w:r>
          </w:p>
        </w:tc>
        <w:tc>
          <w:tcPr>
            <w:tcW w:w="660" w:type="dxa"/>
            <w:vAlign w:val="bottom"/>
            <w:vMerge w:val="restart"/>
          </w:tcPr>
          <w:p>
            <w:pPr>
              <w:jc w:val="center"/>
              <w:ind w:left="139"/>
              <w:spacing w:after="0" w:line="135" w:lineRule="exact"/>
              <w:rPr>
                <w:sz w:val="20"/>
                <w:szCs w:val="20"/>
                <w:color w:val="auto"/>
              </w:rPr>
            </w:pPr>
            <w:r>
              <w:rPr>
                <w:rFonts w:ascii="Arial" w:cs="Arial" w:eastAsia="Arial" w:hAnsi="Arial"/>
                <w:sz w:val="13"/>
                <w:szCs w:val="13"/>
                <w:b w:val="1"/>
                <w:bCs w:val="1"/>
                <w:color w:val="auto"/>
                <w:w w:val="92"/>
              </w:rPr>
              <w:t>22.6%</w:t>
            </w:r>
          </w:p>
        </w:tc>
        <w:tc>
          <w:tcPr>
            <w:tcW w:w="1320" w:type="dxa"/>
            <w:vAlign w:val="bottom"/>
            <w:vMerge w:val="restart"/>
          </w:tcPr>
          <w:p>
            <w:pPr>
              <w:jc w:val="center"/>
              <w:ind w:left="19"/>
              <w:spacing w:after="0" w:line="135" w:lineRule="exact"/>
              <w:rPr>
                <w:sz w:val="20"/>
                <w:szCs w:val="20"/>
                <w:color w:val="auto"/>
              </w:rPr>
            </w:pPr>
            <w:r>
              <w:rPr>
                <w:rFonts w:ascii="Arial" w:cs="Arial" w:eastAsia="Arial" w:hAnsi="Arial"/>
                <w:sz w:val="13"/>
                <w:szCs w:val="13"/>
                <w:b w:val="1"/>
                <w:bCs w:val="1"/>
                <w:color w:val="auto"/>
                <w:w w:val="97"/>
              </w:rPr>
              <w:t>22.2%</w:t>
            </w:r>
          </w:p>
        </w:tc>
        <w:tc>
          <w:tcPr>
            <w:tcW w:w="680" w:type="dxa"/>
            <w:vAlign w:val="bottom"/>
            <w:tcBorders>
              <w:right w:val="single" w:sz="8" w:color="auto"/>
            </w:tcBorders>
            <w:vMerge w:val="restart"/>
          </w:tcPr>
          <w:p>
            <w:pPr>
              <w:jc w:val="center"/>
              <w:ind w:right="119"/>
              <w:spacing w:after="0" w:line="135" w:lineRule="exact"/>
              <w:rPr>
                <w:sz w:val="20"/>
                <w:szCs w:val="20"/>
                <w:color w:val="auto"/>
              </w:rPr>
            </w:pPr>
            <w:r>
              <w:rPr>
                <w:rFonts w:ascii="Arial" w:cs="Arial" w:eastAsia="Arial" w:hAnsi="Arial"/>
                <w:sz w:val="13"/>
                <w:szCs w:val="13"/>
                <w:b w:val="1"/>
                <w:bCs w:val="1"/>
                <w:color w:val="auto"/>
                <w:w w:val="92"/>
              </w:rPr>
              <w:t>21.5%</w:t>
            </w:r>
          </w:p>
        </w:tc>
        <w:tc>
          <w:tcPr>
            <w:tcW w:w="0" w:type="dxa"/>
            <w:vAlign w:val="bottom"/>
          </w:tcPr>
          <w:p>
            <w:pPr>
              <w:spacing w:after="0" w:line="20" w:lineRule="exact"/>
              <w:rPr>
                <w:sz w:val="1"/>
                <w:szCs w:val="1"/>
                <w:color w:val="auto"/>
              </w:rPr>
            </w:pPr>
          </w:p>
        </w:tc>
      </w:tr>
      <w:tr>
        <w:trPr>
          <w:trHeight w:val="115"/>
        </w:trPr>
        <w:tc>
          <w:tcPr>
            <w:tcW w:w="1760" w:type="dxa"/>
            <w:vAlign w:val="bottom"/>
            <w:tcBorders>
              <w:left w:val="single" w:sz="8" w:color="auto"/>
              <w:right w:val="single" w:sz="8" w:color="auto"/>
            </w:tcBorders>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00" w:type="dxa"/>
            <w:vAlign w:val="bottom"/>
            <w:tcBorders>
              <w:bottom w:val="single" w:sz="8" w:color="E93BAC"/>
            </w:tcBorders>
            <w:vMerge w:val="continue"/>
            <w:shd w:val="clear" w:color="auto" w:fill="E93BAC"/>
          </w:tcPr>
          <w:p>
            <w:pPr>
              <w:spacing w:after="0"/>
              <w:rPr>
                <w:sz w:val="10"/>
                <w:szCs w:val="10"/>
                <w:color w:val="auto"/>
              </w:rPr>
            </w:pPr>
          </w:p>
        </w:tc>
        <w:tc>
          <w:tcPr>
            <w:tcW w:w="960" w:type="dxa"/>
            <w:vAlign w:val="bottom"/>
            <w:tcBorders>
              <w:bottom w:val="single" w:sz="8" w:color="E93BAC"/>
              <w:right w:val="single" w:sz="8" w:color="auto"/>
            </w:tcBorders>
            <w:shd w:val="clear" w:color="auto" w:fill="E93BAC"/>
          </w:tcPr>
          <w:p>
            <w:pPr>
              <w:jc w:val="center"/>
              <w:spacing w:after="0" w:line="111" w:lineRule="exact"/>
              <w:rPr>
                <w:sz w:val="20"/>
                <w:szCs w:val="20"/>
                <w:color w:val="auto"/>
              </w:rPr>
            </w:pPr>
            <w:r>
              <w:rPr>
                <w:rFonts w:ascii="Arial" w:cs="Arial" w:eastAsia="Arial" w:hAnsi="Arial"/>
                <w:sz w:val="12"/>
                <w:szCs w:val="12"/>
                <w:b w:val="1"/>
                <w:bCs w:val="1"/>
                <w:color w:val="auto"/>
              </w:rPr>
              <w:t>-709</w:t>
            </w:r>
          </w:p>
        </w:tc>
        <w:tc>
          <w:tcPr>
            <w:tcW w:w="700" w:type="dxa"/>
            <w:vAlign w:val="bottom"/>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tcBorders>
              <w:left w:val="single" w:sz="8" w:color="auto"/>
              <w:right w:val="single" w:sz="8" w:color="auto"/>
            </w:tcBorders>
          </w:tcPr>
          <w:p>
            <w:pPr>
              <w:ind w:left="340"/>
              <w:spacing w:after="0" w:line="111" w:lineRule="exact"/>
              <w:rPr>
                <w:sz w:val="20"/>
                <w:szCs w:val="20"/>
                <w:color w:val="auto"/>
              </w:rPr>
            </w:pPr>
            <w:r>
              <w:rPr>
                <w:rFonts w:ascii="Arial" w:cs="Arial" w:eastAsia="Arial" w:hAnsi="Arial"/>
                <w:sz w:val="12"/>
                <w:szCs w:val="12"/>
                <w:color w:val="auto"/>
              </w:rPr>
              <w:t>Middle - Market</w:t>
            </w:r>
          </w:p>
        </w:tc>
        <w:tc>
          <w:tcPr>
            <w:tcW w:w="9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20,750</w:t>
            </w:r>
          </w:p>
        </w:tc>
        <w:tc>
          <w:tcPr>
            <w:tcW w:w="10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22,101</w:t>
            </w:r>
          </w:p>
        </w:tc>
        <w:tc>
          <w:tcPr>
            <w:tcW w:w="9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21,618</w:t>
            </w:r>
          </w:p>
        </w:tc>
        <w:tc>
          <w:tcPr>
            <w:tcW w:w="9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-483</w:t>
            </w:r>
          </w:p>
        </w:tc>
        <w:tc>
          <w:tcPr>
            <w:tcW w:w="960" w:type="dxa"/>
            <w:vAlign w:val="bottom"/>
            <w:tcBorders>
              <w:bottom w:val="single" w:sz="8" w:color="00B050"/>
              <w:right w:val="single" w:sz="8" w:color="auto"/>
            </w:tcBorders>
            <w:shd w:val="clear" w:color="auto" w:fill="00B050"/>
          </w:tcPr>
          <w:p>
            <w:pPr>
              <w:jc w:val="center"/>
              <w:spacing w:after="0" w:line="111" w:lineRule="exact"/>
              <w:rPr>
                <w:sz w:val="20"/>
                <w:szCs w:val="20"/>
                <w:color w:val="auto"/>
              </w:rPr>
            </w:pPr>
            <w:r>
              <w:rPr>
                <w:rFonts w:ascii="Arial" w:cs="Arial" w:eastAsia="Arial" w:hAnsi="Arial"/>
                <w:sz w:val="12"/>
                <w:szCs w:val="12"/>
                <w:color w:val="auto"/>
              </w:rPr>
              <w:t>868</w:t>
            </w:r>
          </w:p>
        </w:tc>
        <w:tc>
          <w:tcPr>
            <w:tcW w:w="700" w:type="dxa"/>
            <w:vAlign w:val="bottom"/>
          </w:tcPr>
          <w:p>
            <w:pPr>
              <w:jc w:val="center"/>
              <w:ind w:left="239"/>
              <w:spacing w:after="0" w:line="111" w:lineRule="exact"/>
              <w:rPr>
                <w:sz w:val="20"/>
                <w:szCs w:val="20"/>
                <w:color w:val="auto"/>
              </w:rPr>
            </w:pPr>
            <w:r>
              <w:rPr>
                <w:rFonts w:ascii="Arial" w:cs="Arial" w:eastAsia="Arial" w:hAnsi="Arial"/>
                <w:sz w:val="12"/>
                <w:szCs w:val="12"/>
                <w:b w:val="1"/>
                <w:bCs w:val="1"/>
                <w:color w:val="auto"/>
              </w:rPr>
              <w:t>-2.2%</w:t>
            </w:r>
          </w:p>
        </w:tc>
        <w:tc>
          <w:tcPr>
            <w:tcW w:w="1340" w:type="dxa"/>
            <w:vAlign w:val="bottom"/>
            <w:tcBorders>
              <w:right w:val="single" w:sz="8" w:color="auto"/>
            </w:tcBorders>
          </w:tcPr>
          <w:p>
            <w:pPr>
              <w:jc w:val="center"/>
              <w:ind w:left="199"/>
              <w:spacing w:after="0" w:line="111" w:lineRule="exact"/>
              <w:rPr>
                <w:sz w:val="20"/>
                <w:szCs w:val="20"/>
                <w:color w:val="auto"/>
              </w:rPr>
            </w:pPr>
            <w:r>
              <w:rPr>
                <w:rFonts w:ascii="Arial" w:cs="Arial" w:eastAsia="Arial" w:hAnsi="Arial"/>
                <w:sz w:val="12"/>
                <w:szCs w:val="12"/>
                <w:b w:val="1"/>
                <w:bCs w:val="1"/>
                <w:color w:val="auto"/>
              </w:rPr>
              <w:t>4.2%</w:t>
            </w:r>
          </w:p>
        </w:tc>
        <w:tc>
          <w:tcPr>
            <w:tcW w:w="660" w:type="dxa"/>
            <w:vAlign w:val="bottom"/>
          </w:tcPr>
          <w:p>
            <w:pPr>
              <w:jc w:val="center"/>
              <w:ind w:left="139"/>
              <w:spacing w:after="0" w:line="111" w:lineRule="exact"/>
              <w:rPr>
                <w:sz w:val="20"/>
                <w:szCs w:val="20"/>
                <w:color w:val="auto"/>
              </w:rPr>
            </w:pPr>
            <w:r>
              <w:rPr>
                <w:rFonts w:ascii="Arial" w:cs="Arial" w:eastAsia="Arial" w:hAnsi="Arial"/>
                <w:sz w:val="12"/>
                <w:szCs w:val="12"/>
                <w:b w:val="1"/>
                <w:bCs w:val="1"/>
                <w:color w:val="auto"/>
                <w:w w:val="99"/>
              </w:rPr>
              <w:t>14.5%</w:t>
            </w:r>
          </w:p>
        </w:tc>
        <w:tc>
          <w:tcPr>
            <w:tcW w:w="1320" w:type="dxa"/>
            <w:vAlign w:val="bottom"/>
          </w:tcPr>
          <w:p>
            <w:pPr>
              <w:jc w:val="center"/>
              <w:ind w:left="19"/>
              <w:spacing w:after="0" w:line="111" w:lineRule="exact"/>
              <w:rPr>
                <w:sz w:val="20"/>
                <w:szCs w:val="20"/>
                <w:color w:val="auto"/>
              </w:rPr>
            </w:pPr>
            <w:r>
              <w:rPr>
                <w:rFonts w:ascii="Arial" w:cs="Arial" w:eastAsia="Arial" w:hAnsi="Arial"/>
                <w:sz w:val="12"/>
                <w:szCs w:val="12"/>
                <w:b w:val="1"/>
                <w:bCs w:val="1"/>
                <w:color w:val="auto"/>
              </w:rPr>
              <w:t>15.1%</w:t>
            </w:r>
          </w:p>
        </w:tc>
        <w:tc>
          <w:tcPr>
            <w:tcW w:w="680" w:type="dxa"/>
            <w:vAlign w:val="bottom"/>
            <w:tcBorders>
              <w:right w:val="single" w:sz="8" w:color="auto"/>
            </w:tcBorders>
          </w:tcPr>
          <w:p>
            <w:pPr>
              <w:jc w:val="center"/>
              <w:ind w:right="119"/>
              <w:spacing w:after="0" w:line="111" w:lineRule="exact"/>
              <w:rPr>
                <w:sz w:val="20"/>
                <w:szCs w:val="20"/>
                <w:color w:val="auto"/>
              </w:rPr>
            </w:pPr>
            <w:r>
              <w:rPr>
                <w:rFonts w:ascii="Arial" w:cs="Arial" w:eastAsia="Arial" w:hAnsi="Arial"/>
                <w:sz w:val="12"/>
                <w:szCs w:val="12"/>
                <w:b w:val="1"/>
                <w:bCs w:val="1"/>
                <w:color w:val="auto"/>
                <w:w w:val="99"/>
              </w:rPr>
              <w:t>14.7%</w:t>
            </w:r>
          </w:p>
        </w:tc>
        <w:tc>
          <w:tcPr>
            <w:tcW w:w="0" w:type="dxa"/>
            <w:vAlign w:val="bottom"/>
          </w:tcPr>
          <w:p>
            <w:pPr>
              <w:spacing w:after="0"/>
              <w:rPr>
                <w:sz w:val="1"/>
                <w:szCs w:val="1"/>
                <w:color w:val="auto"/>
              </w:rPr>
            </w:pPr>
          </w:p>
        </w:tc>
      </w:tr>
      <w:tr>
        <w:trPr>
          <w:trHeight w:val="111"/>
        </w:trPr>
        <w:tc>
          <w:tcPr>
            <w:tcW w:w="176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2"/>
                <w:szCs w:val="12"/>
                <w:b w:val="1"/>
                <w:bCs w:val="1"/>
                <w:color w:val="auto"/>
              </w:rPr>
              <w:t>Retail Banking</w:t>
            </w:r>
          </w:p>
        </w:tc>
        <w:tc>
          <w:tcPr>
            <w:tcW w:w="9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64,533</w:t>
            </w:r>
          </w:p>
        </w:tc>
        <w:tc>
          <w:tcPr>
            <w:tcW w:w="10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66,544</w:t>
            </w:r>
          </w:p>
        </w:tc>
        <w:tc>
          <w:tcPr>
            <w:tcW w:w="9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68,358</w:t>
            </w:r>
          </w:p>
        </w:tc>
        <w:tc>
          <w:tcPr>
            <w:tcW w:w="9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w w:val="99"/>
              </w:rPr>
              <w:t>1,815</w:t>
            </w:r>
          </w:p>
        </w:tc>
        <w:tc>
          <w:tcPr>
            <w:tcW w:w="9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w w:val="99"/>
              </w:rPr>
              <w:t>3,825</w:t>
            </w:r>
          </w:p>
        </w:tc>
        <w:tc>
          <w:tcPr>
            <w:tcW w:w="700" w:type="dxa"/>
            <w:vAlign w:val="bottom"/>
          </w:tcPr>
          <w:p>
            <w:pPr>
              <w:jc w:val="center"/>
              <w:ind w:left="239"/>
              <w:spacing w:after="0" w:line="111" w:lineRule="exact"/>
              <w:rPr>
                <w:sz w:val="20"/>
                <w:szCs w:val="20"/>
                <w:color w:val="auto"/>
              </w:rPr>
            </w:pPr>
            <w:r>
              <w:rPr>
                <w:rFonts w:ascii="Arial" w:cs="Arial" w:eastAsia="Arial" w:hAnsi="Arial"/>
                <w:sz w:val="12"/>
                <w:szCs w:val="12"/>
                <w:b w:val="1"/>
                <w:bCs w:val="1"/>
                <w:color w:val="auto"/>
              </w:rPr>
              <w:t>2.7%</w:t>
            </w:r>
          </w:p>
        </w:tc>
        <w:tc>
          <w:tcPr>
            <w:tcW w:w="1340" w:type="dxa"/>
            <w:vAlign w:val="bottom"/>
            <w:tcBorders>
              <w:right w:val="single" w:sz="8" w:color="auto"/>
            </w:tcBorders>
          </w:tcPr>
          <w:p>
            <w:pPr>
              <w:jc w:val="center"/>
              <w:ind w:left="199"/>
              <w:spacing w:after="0" w:line="111" w:lineRule="exact"/>
              <w:rPr>
                <w:sz w:val="20"/>
                <w:szCs w:val="20"/>
                <w:color w:val="auto"/>
              </w:rPr>
            </w:pPr>
            <w:r>
              <w:rPr>
                <w:rFonts w:ascii="Arial" w:cs="Arial" w:eastAsia="Arial" w:hAnsi="Arial"/>
                <w:sz w:val="12"/>
                <w:szCs w:val="12"/>
                <w:b w:val="1"/>
                <w:bCs w:val="1"/>
                <w:color w:val="auto"/>
              </w:rPr>
              <w:t>5.9%</w:t>
            </w:r>
          </w:p>
        </w:tc>
        <w:tc>
          <w:tcPr>
            <w:tcW w:w="660" w:type="dxa"/>
            <w:vAlign w:val="bottom"/>
          </w:tcPr>
          <w:p>
            <w:pPr>
              <w:jc w:val="center"/>
              <w:ind w:left="139"/>
              <w:spacing w:after="0" w:line="111" w:lineRule="exact"/>
              <w:rPr>
                <w:sz w:val="20"/>
                <w:szCs w:val="20"/>
                <w:color w:val="auto"/>
              </w:rPr>
            </w:pPr>
            <w:r>
              <w:rPr>
                <w:rFonts w:ascii="Arial" w:cs="Arial" w:eastAsia="Arial" w:hAnsi="Arial"/>
                <w:sz w:val="12"/>
                <w:szCs w:val="12"/>
                <w:b w:val="1"/>
                <w:bCs w:val="1"/>
                <w:color w:val="auto"/>
                <w:w w:val="99"/>
              </w:rPr>
              <w:t>45.2%</w:t>
            </w:r>
          </w:p>
        </w:tc>
        <w:tc>
          <w:tcPr>
            <w:tcW w:w="1320" w:type="dxa"/>
            <w:vAlign w:val="bottom"/>
          </w:tcPr>
          <w:p>
            <w:pPr>
              <w:jc w:val="center"/>
              <w:ind w:left="19"/>
              <w:spacing w:after="0" w:line="111" w:lineRule="exact"/>
              <w:rPr>
                <w:sz w:val="20"/>
                <w:szCs w:val="20"/>
                <w:color w:val="auto"/>
              </w:rPr>
            </w:pPr>
            <w:r>
              <w:rPr>
                <w:rFonts w:ascii="Arial" w:cs="Arial" w:eastAsia="Arial" w:hAnsi="Arial"/>
                <w:sz w:val="12"/>
                <w:szCs w:val="12"/>
                <w:b w:val="1"/>
                <w:bCs w:val="1"/>
                <w:color w:val="auto"/>
              </w:rPr>
              <w:t>45.4%</w:t>
            </w:r>
          </w:p>
        </w:tc>
        <w:tc>
          <w:tcPr>
            <w:tcW w:w="680" w:type="dxa"/>
            <w:vAlign w:val="bottom"/>
            <w:tcBorders>
              <w:right w:val="single" w:sz="8" w:color="auto"/>
            </w:tcBorders>
          </w:tcPr>
          <w:p>
            <w:pPr>
              <w:jc w:val="center"/>
              <w:ind w:right="119"/>
              <w:spacing w:after="0" w:line="111" w:lineRule="exact"/>
              <w:rPr>
                <w:sz w:val="20"/>
                <w:szCs w:val="20"/>
                <w:color w:val="auto"/>
              </w:rPr>
            </w:pPr>
            <w:r>
              <w:rPr>
                <w:rFonts w:ascii="Arial" w:cs="Arial" w:eastAsia="Arial" w:hAnsi="Arial"/>
                <w:sz w:val="12"/>
                <w:szCs w:val="12"/>
                <w:b w:val="1"/>
                <w:bCs w:val="1"/>
                <w:color w:val="auto"/>
                <w:w w:val="99"/>
              </w:rPr>
              <w:t>46.4%</w:t>
            </w:r>
          </w:p>
        </w:tc>
        <w:tc>
          <w:tcPr>
            <w:tcW w:w="0" w:type="dxa"/>
            <w:vAlign w:val="bottom"/>
          </w:tcPr>
          <w:p>
            <w:pPr>
              <w:spacing w:after="0"/>
              <w:rPr>
                <w:sz w:val="1"/>
                <w:szCs w:val="1"/>
                <w:color w:val="auto"/>
              </w:rPr>
            </w:pPr>
          </w:p>
        </w:tc>
      </w:tr>
      <w:tr>
        <w:trPr>
          <w:trHeight w:val="24"/>
        </w:trPr>
        <w:tc>
          <w:tcPr>
            <w:tcW w:w="1760" w:type="dxa"/>
            <w:vAlign w:val="bottom"/>
            <w:tcBorders>
              <w:left w:val="single" w:sz="8" w:color="auto"/>
              <w:right w:val="single" w:sz="8" w:color="auto"/>
            </w:tcBorders>
            <w:vMerge w:val="restart"/>
          </w:tcPr>
          <w:p>
            <w:pPr>
              <w:ind w:left="340"/>
              <w:spacing w:after="0" w:line="135" w:lineRule="exact"/>
              <w:rPr>
                <w:sz w:val="20"/>
                <w:szCs w:val="20"/>
                <w:color w:val="auto"/>
              </w:rPr>
            </w:pPr>
            <w:r>
              <w:rPr>
                <w:rFonts w:ascii="Arial" w:cs="Arial" w:eastAsia="Arial" w:hAnsi="Arial"/>
                <w:sz w:val="13"/>
                <w:szCs w:val="13"/>
                <w:color w:val="auto"/>
              </w:rPr>
              <w:t>SME - Business</w:t>
            </w: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7,956</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7,751</w:t>
            </w:r>
          </w:p>
        </w:tc>
        <w:tc>
          <w:tcPr>
            <w:tcW w:w="9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8,078</w:t>
            </w:r>
          </w:p>
        </w:tc>
        <w:tc>
          <w:tcPr>
            <w:tcW w:w="9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700" w:type="dxa"/>
            <w:vAlign w:val="bottom"/>
            <w:vMerge w:val="restart"/>
          </w:tcPr>
          <w:p>
            <w:pPr>
              <w:jc w:val="center"/>
              <w:ind w:left="239"/>
              <w:spacing w:after="0" w:line="135" w:lineRule="exact"/>
              <w:rPr>
                <w:sz w:val="20"/>
                <w:szCs w:val="20"/>
                <w:color w:val="auto"/>
              </w:rPr>
            </w:pPr>
            <w:r>
              <w:rPr>
                <w:rFonts w:ascii="Arial" w:cs="Arial" w:eastAsia="Arial" w:hAnsi="Arial"/>
                <w:sz w:val="13"/>
                <w:szCs w:val="13"/>
                <w:b w:val="1"/>
                <w:bCs w:val="1"/>
                <w:color w:val="auto"/>
                <w:w w:val="94"/>
              </w:rPr>
              <w:t>4.2%</w:t>
            </w:r>
          </w:p>
        </w:tc>
        <w:tc>
          <w:tcPr>
            <w:tcW w:w="1340" w:type="dxa"/>
            <w:vAlign w:val="bottom"/>
            <w:tcBorders>
              <w:right w:val="single" w:sz="8" w:color="auto"/>
            </w:tcBorders>
            <w:vMerge w:val="restart"/>
          </w:tcPr>
          <w:p>
            <w:pPr>
              <w:jc w:val="center"/>
              <w:ind w:left="199"/>
              <w:spacing w:after="0" w:line="135" w:lineRule="exact"/>
              <w:rPr>
                <w:sz w:val="20"/>
                <w:szCs w:val="20"/>
                <w:color w:val="auto"/>
              </w:rPr>
            </w:pPr>
            <w:r>
              <w:rPr>
                <w:rFonts w:ascii="Arial" w:cs="Arial" w:eastAsia="Arial" w:hAnsi="Arial"/>
                <w:sz w:val="13"/>
                <w:szCs w:val="13"/>
                <w:b w:val="1"/>
                <w:bCs w:val="1"/>
                <w:color w:val="auto"/>
                <w:w w:val="94"/>
              </w:rPr>
              <w:t>1.5%</w:t>
            </w:r>
          </w:p>
        </w:tc>
        <w:tc>
          <w:tcPr>
            <w:tcW w:w="660" w:type="dxa"/>
            <w:vAlign w:val="bottom"/>
            <w:vMerge w:val="restart"/>
          </w:tcPr>
          <w:p>
            <w:pPr>
              <w:jc w:val="center"/>
              <w:ind w:left="139"/>
              <w:spacing w:after="0" w:line="135" w:lineRule="exact"/>
              <w:rPr>
                <w:sz w:val="20"/>
                <w:szCs w:val="20"/>
                <w:color w:val="auto"/>
              </w:rPr>
            </w:pPr>
            <w:r>
              <w:rPr>
                <w:rFonts w:ascii="Arial" w:cs="Arial" w:eastAsia="Arial" w:hAnsi="Arial"/>
                <w:sz w:val="13"/>
                <w:szCs w:val="13"/>
                <w:b w:val="1"/>
                <w:bCs w:val="1"/>
                <w:color w:val="auto"/>
              </w:rPr>
              <w:t>5.6%</w:t>
            </w:r>
          </w:p>
        </w:tc>
        <w:tc>
          <w:tcPr>
            <w:tcW w:w="13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rPr>
              <w:t>5.3%</w:t>
            </w:r>
          </w:p>
        </w:tc>
        <w:tc>
          <w:tcPr>
            <w:tcW w:w="680" w:type="dxa"/>
            <w:vAlign w:val="bottom"/>
            <w:tcBorders>
              <w:right w:val="single" w:sz="8" w:color="auto"/>
            </w:tcBorders>
            <w:vMerge w:val="restart"/>
          </w:tcPr>
          <w:p>
            <w:pPr>
              <w:jc w:val="center"/>
              <w:ind w:right="119"/>
              <w:spacing w:after="0" w:line="135" w:lineRule="exact"/>
              <w:rPr>
                <w:sz w:val="20"/>
                <w:szCs w:val="20"/>
                <w:color w:val="auto"/>
              </w:rPr>
            </w:pPr>
            <w:r>
              <w:rPr>
                <w:rFonts w:ascii="Arial" w:cs="Arial" w:eastAsia="Arial" w:hAnsi="Arial"/>
                <w:sz w:val="13"/>
                <w:szCs w:val="13"/>
                <w:b w:val="1"/>
                <w:bCs w:val="1"/>
                <w:color w:val="auto"/>
              </w:rPr>
              <w:t>5.5%</w:t>
            </w:r>
          </w:p>
        </w:tc>
        <w:tc>
          <w:tcPr>
            <w:tcW w:w="0" w:type="dxa"/>
            <w:vAlign w:val="bottom"/>
          </w:tcPr>
          <w:p>
            <w:pPr>
              <w:spacing w:after="0" w:line="20" w:lineRule="exact"/>
              <w:rPr>
                <w:sz w:val="1"/>
                <w:szCs w:val="1"/>
                <w:color w:val="auto"/>
              </w:rPr>
            </w:pPr>
          </w:p>
        </w:tc>
      </w:tr>
      <w:tr>
        <w:trPr>
          <w:trHeight w:val="111"/>
        </w:trPr>
        <w:tc>
          <w:tcPr>
            <w:tcW w:w="1760" w:type="dxa"/>
            <w:vAlign w:val="bottom"/>
            <w:tcBorders>
              <w:left w:val="single" w:sz="8" w:color="auto"/>
              <w:right w:val="single" w:sz="8" w:color="auto"/>
            </w:tcBorders>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00" w:type="dxa"/>
            <w:vAlign w:val="bottom"/>
            <w:shd w:val="clear" w:color="auto" w:fill="00B050"/>
          </w:tcPr>
          <w:p>
            <w:pPr>
              <w:jc w:val="center"/>
              <w:spacing w:after="0" w:line="111" w:lineRule="exact"/>
              <w:rPr>
                <w:sz w:val="20"/>
                <w:szCs w:val="20"/>
                <w:color w:val="auto"/>
              </w:rPr>
            </w:pPr>
            <w:r>
              <w:rPr>
                <w:rFonts w:ascii="Arial" w:cs="Arial" w:eastAsia="Arial" w:hAnsi="Arial"/>
                <w:sz w:val="12"/>
                <w:szCs w:val="12"/>
                <w:b w:val="1"/>
                <w:bCs w:val="1"/>
                <w:color w:val="auto"/>
              </w:rPr>
              <w:t>327</w:t>
            </w:r>
          </w:p>
        </w:tc>
        <w:tc>
          <w:tcPr>
            <w:tcW w:w="960" w:type="dxa"/>
            <w:vAlign w:val="bottom"/>
            <w:tcBorders>
              <w:right w:val="single" w:sz="8" w:color="auto"/>
            </w:tcBorders>
            <w:shd w:val="clear" w:color="auto" w:fill="00B050"/>
          </w:tcPr>
          <w:p>
            <w:pPr>
              <w:jc w:val="center"/>
              <w:spacing w:after="0" w:line="111" w:lineRule="exact"/>
              <w:rPr>
                <w:sz w:val="20"/>
                <w:szCs w:val="20"/>
                <w:color w:val="auto"/>
              </w:rPr>
            </w:pPr>
            <w:r>
              <w:rPr>
                <w:rFonts w:ascii="Arial" w:cs="Arial" w:eastAsia="Arial" w:hAnsi="Arial"/>
                <w:sz w:val="12"/>
                <w:szCs w:val="12"/>
                <w:b w:val="1"/>
                <w:bCs w:val="1"/>
                <w:color w:val="auto"/>
              </w:rPr>
              <w:t>122</w:t>
            </w:r>
          </w:p>
        </w:tc>
        <w:tc>
          <w:tcPr>
            <w:tcW w:w="700" w:type="dxa"/>
            <w:vAlign w:val="bottom"/>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SME - Pyme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16,251</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16,193</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16,574</w:t>
            </w:r>
          </w:p>
        </w:tc>
        <w:tc>
          <w:tcPr>
            <w:tcW w:w="900" w:type="dxa"/>
            <w:vAlign w:val="bottom"/>
            <w:shd w:val="clear" w:color="auto" w:fill="00B050"/>
          </w:tcPr>
          <w:p>
            <w:pPr>
              <w:jc w:val="center"/>
              <w:spacing w:after="0" w:line="135" w:lineRule="exact"/>
              <w:rPr>
                <w:sz w:val="20"/>
                <w:szCs w:val="20"/>
                <w:color w:val="auto"/>
              </w:rPr>
            </w:pPr>
            <w:r>
              <w:rPr>
                <w:rFonts w:ascii="Arial" w:cs="Arial" w:eastAsia="Arial" w:hAnsi="Arial"/>
                <w:sz w:val="13"/>
                <w:szCs w:val="13"/>
                <w:b w:val="1"/>
                <w:bCs w:val="1"/>
                <w:color w:val="auto"/>
              </w:rPr>
              <w:t>381</w:t>
            </w:r>
          </w:p>
        </w:tc>
        <w:tc>
          <w:tcPr>
            <w:tcW w:w="960" w:type="dxa"/>
            <w:vAlign w:val="bottom"/>
            <w:tcBorders>
              <w:right w:val="single" w:sz="8" w:color="auto"/>
            </w:tcBorders>
            <w:shd w:val="clear" w:color="auto" w:fill="00B050"/>
          </w:tcPr>
          <w:p>
            <w:pPr>
              <w:jc w:val="center"/>
              <w:spacing w:after="0" w:line="135" w:lineRule="exact"/>
              <w:rPr>
                <w:sz w:val="20"/>
                <w:szCs w:val="20"/>
                <w:color w:val="auto"/>
              </w:rPr>
            </w:pPr>
            <w:r>
              <w:rPr>
                <w:rFonts w:ascii="Arial" w:cs="Arial" w:eastAsia="Arial" w:hAnsi="Arial"/>
                <w:sz w:val="13"/>
                <w:szCs w:val="13"/>
                <w:b w:val="1"/>
                <w:bCs w:val="1"/>
                <w:color w:val="auto"/>
              </w:rPr>
              <w:t>323</w:t>
            </w:r>
          </w:p>
        </w:tc>
        <w:tc>
          <w:tcPr>
            <w:tcW w:w="700" w:type="dxa"/>
            <w:vAlign w:val="bottom"/>
          </w:tcPr>
          <w:p>
            <w:pPr>
              <w:jc w:val="center"/>
              <w:ind w:left="239"/>
              <w:spacing w:after="0" w:line="135" w:lineRule="exact"/>
              <w:rPr>
                <w:sz w:val="20"/>
                <w:szCs w:val="20"/>
                <w:color w:val="auto"/>
              </w:rPr>
            </w:pPr>
            <w:r>
              <w:rPr>
                <w:rFonts w:ascii="Arial" w:cs="Arial" w:eastAsia="Arial" w:hAnsi="Arial"/>
                <w:sz w:val="13"/>
                <w:szCs w:val="13"/>
                <w:b w:val="1"/>
                <w:bCs w:val="1"/>
                <w:color w:val="auto"/>
                <w:w w:val="94"/>
              </w:rPr>
              <w:t>2.4%</w:t>
            </w:r>
          </w:p>
        </w:tc>
        <w:tc>
          <w:tcPr>
            <w:tcW w:w="1340" w:type="dxa"/>
            <w:vAlign w:val="bottom"/>
            <w:tcBorders>
              <w:right w:val="single" w:sz="8" w:color="auto"/>
            </w:tcBorders>
          </w:tcPr>
          <w:p>
            <w:pPr>
              <w:jc w:val="center"/>
              <w:ind w:left="199"/>
              <w:spacing w:after="0" w:line="135" w:lineRule="exact"/>
              <w:rPr>
                <w:sz w:val="20"/>
                <w:szCs w:val="20"/>
                <w:color w:val="auto"/>
              </w:rPr>
            </w:pPr>
            <w:r>
              <w:rPr>
                <w:rFonts w:ascii="Arial" w:cs="Arial" w:eastAsia="Arial" w:hAnsi="Arial"/>
                <w:sz w:val="13"/>
                <w:szCs w:val="13"/>
                <w:b w:val="1"/>
                <w:bCs w:val="1"/>
                <w:color w:val="auto"/>
                <w:w w:val="94"/>
              </w:rPr>
              <w:t>2.0%</w:t>
            </w:r>
          </w:p>
        </w:tc>
        <w:tc>
          <w:tcPr>
            <w:tcW w:w="660" w:type="dxa"/>
            <w:vAlign w:val="bottom"/>
          </w:tcPr>
          <w:p>
            <w:pPr>
              <w:jc w:val="center"/>
              <w:ind w:left="139"/>
              <w:spacing w:after="0" w:line="135" w:lineRule="exact"/>
              <w:rPr>
                <w:sz w:val="20"/>
                <w:szCs w:val="20"/>
                <w:color w:val="auto"/>
              </w:rPr>
            </w:pPr>
            <w:r>
              <w:rPr>
                <w:rFonts w:ascii="Arial" w:cs="Arial" w:eastAsia="Arial" w:hAnsi="Arial"/>
                <w:sz w:val="13"/>
                <w:szCs w:val="13"/>
                <w:b w:val="1"/>
                <w:bCs w:val="1"/>
                <w:color w:val="auto"/>
                <w:w w:val="92"/>
              </w:rPr>
              <w:t>11.4%</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11.0%</w:t>
            </w:r>
          </w:p>
        </w:tc>
        <w:tc>
          <w:tcPr>
            <w:tcW w:w="680" w:type="dxa"/>
            <w:vAlign w:val="bottom"/>
            <w:tcBorders>
              <w:right w:val="single" w:sz="8" w:color="auto"/>
            </w:tcBorders>
          </w:tcPr>
          <w:p>
            <w:pPr>
              <w:jc w:val="center"/>
              <w:ind w:right="119"/>
              <w:spacing w:after="0" w:line="135" w:lineRule="exact"/>
              <w:rPr>
                <w:sz w:val="20"/>
                <w:szCs w:val="20"/>
                <w:color w:val="auto"/>
              </w:rPr>
            </w:pPr>
            <w:r>
              <w:rPr>
                <w:rFonts w:ascii="Arial" w:cs="Arial" w:eastAsia="Arial" w:hAnsi="Arial"/>
                <w:sz w:val="13"/>
                <w:szCs w:val="13"/>
                <w:b w:val="1"/>
                <w:bCs w:val="1"/>
                <w:color w:val="auto"/>
                <w:w w:val="92"/>
              </w:rPr>
              <w:t>11.3%</w:t>
            </w: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Mortgage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21,709</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22,986</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23,525</w:t>
            </w:r>
          </w:p>
        </w:tc>
        <w:tc>
          <w:tcPr>
            <w:tcW w:w="900" w:type="dxa"/>
            <w:vAlign w:val="bottom"/>
            <w:shd w:val="clear" w:color="auto" w:fill="00B050"/>
          </w:tcPr>
          <w:p>
            <w:pPr>
              <w:jc w:val="center"/>
              <w:spacing w:after="0" w:line="135" w:lineRule="exact"/>
              <w:rPr>
                <w:sz w:val="20"/>
                <w:szCs w:val="20"/>
                <w:color w:val="auto"/>
              </w:rPr>
            </w:pPr>
            <w:r>
              <w:rPr>
                <w:rFonts w:ascii="Arial" w:cs="Arial" w:eastAsia="Arial" w:hAnsi="Arial"/>
                <w:sz w:val="13"/>
                <w:szCs w:val="13"/>
                <w:b w:val="1"/>
                <w:bCs w:val="1"/>
                <w:color w:val="auto"/>
              </w:rPr>
              <w:t>539</w:t>
            </w:r>
          </w:p>
        </w:tc>
        <w:tc>
          <w:tcPr>
            <w:tcW w:w="960" w:type="dxa"/>
            <w:vAlign w:val="bottom"/>
            <w:tcBorders>
              <w:right w:val="single" w:sz="8" w:color="auto"/>
            </w:tcBorders>
            <w:shd w:val="clear" w:color="auto" w:fill="00B050"/>
          </w:tcPr>
          <w:p>
            <w:pPr>
              <w:jc w:val="center"/>
              <w:spacing w:after="0" w:line="135" w:lineRule="exact"/>
              <w:rPr>
                <w:sz w:val="20"/>
                <w:szCs w:val="20"/>
                <w:color w:val="auto"/>
              </w:rPr>
            </w:pPr>
            <w:r>
              <w:rPr>
                <w:rFonts w:ascii="Arial" w:cs="Arial" w:eastAsia="Arial" w:hAnsi="Arial"/>
                <w:sz w:val="13"/>
                <w:szCs w:val="13"/>
                <w:b w:val="1"/>
                <w:bCs w:val="1"/>
                <w:color w:val="auto"/>
                <w:w w:val="92"/>
              </w:rPr>
              <w:t>1,816</w:t>
            </w:r>
          </w:p>
        </w:tc>
        <w:tc>
          <w:tcPr>
            <w:tcW w:w="700" w:type="dxa"/>
            <w:vAlign w:val="bottom"/>
          </w:tcPr>
          <w:p>
            <w:pPr>
              <w:jc w:val="center"/>
              <w:ind w:left="239"/>
              <w:spacing w:after="0" w:line="135" w:lineRule="exact"/>
              <w:rPr>
                <w:sz w:val="20"/>
                <w:szCs w:val="20"/>
                <w:color w:val="auto"/>
              </w:rPr>
            </w:pPr>
            <w:r>
              <w:rPr>
                <w:rFonts w:ascii="Arial" w:cs="Arial" w:eastAsia="Arial" w:hAnsi="Arial"/>
                <w:sz w:val="13"/>
                <w:szCs w:val="13"/>
                <w:b w:val="1"/>
                <w:bCs w:val="1"/>
                <w:color w:val="auto"/>
                <w:w w:val="94"/>
              </w:rPr>
              <w:t>2.3%</w:t>
            </w:r>
          </w:p>
        </w:tc>
        <w:tc>
          <w:tcPr>
            <w:tcW w:w="1340" w:type="dxa"/>
            <w:vAlign w:val="bottom"/>
            <w:tcBorders>
              <w:right w:val="single" w:sz="8" w:color="auto"/>
            </w:tcBorders>
          </w:tcPr>
          <w:p>
            <w:pPr>
              <w:jc w:val="center"/>
              <w:ind w:left="199"/>
              <w:spacing w:after="0" w:line="135" w:lineRule="exact"/>
              <w:rPr>
                <w:sz w:val="20"/>
                <w:szCs w:val="20"/>
                <w:color w:val="auto"/>
              </w:rPr>
            </w:pPr>
            <w:r>
              <w:rPr>
                <w:rFonts w:ascii="Arial" w:cs="Arial" w:eastAsia="Arial" w:hAnsi="Arial"/>
                <w:sz w:val="13"/>
                <w:szCs w:val="13"/>
                <w:b w:val="1"/>
                <w:bCs w:val="1"/>
                <w:color w:val="auto"/>
                <w:w w:val="94"/>
              </w:rPr>
              <w:t>8.4%</w:t>
            </w:r>
          </w:p>
        </w:tc>
        <w:tc>
          <w:tcPr>
            <w:tcW w:w="660" w:type="dxa"/>
            <w:vAlign w:val="bottom"/>
          </w:tcPr>
          <w:p>
            <w:pPr>
              <w:jc w:val="center"/>
              <w:ind w:left="139"/>
              <w:spacing w:after="0" w:line="135" w:lineRule="exact"/>
              <w:rPr>
                <w:sz w:val="20"/>
                <w:szCs w:val="20"/>
                <w:color w:val="auto"/>
              </w:rPr>
            </w:pPr>
            <w:r>
              <w:rPr>
                <w:rFonts w:ascii="Arial" w:cs="Arial" w:eastAsia="Arial" w:hAnsi="Arial"/>
                <w:sz w:val="13"/>
                <w:szCs w:val="13"/>
                <w:b w:val="1"/>
                <w:bCs w:val="1"/>
                <w:color w:val="auto"/>
                <w:w w:val="92"/>
              </w:rPr>
              <w:t>15.2%</w:t>
            </w:r>
          </w:p>
        </w:tc>
        <w:tc>
          <w:tcPr>
            <w:tcW w:w="1320" w:type="dxa"/>
            <w:vAlign w:val="bottom"/>
          </w:tcPr>
          <w:p>
            <w:pPr>
              <w:jc w:val="center"/>
              <w:ind w:left="19"/>
              <w:spacing w:after="0" w:line="135" w:lineRule="exact"/>
              <w:rPr>
                <w:sz w:val="20"/>
                <w:szCs w:val="20"/>
                <w:color w:val="auto"/>
              </w:rPr>
            </w:pPr>
            <w:r>
              <w:rPr>
                <w:rFonts w:ascii="Arial" w:cs="Arial" w:eastAsia="Arial" w:hAnsi="Arial"/>
                <w:sz w:val="13"/>
                <w:szCs w:val="13"/>
                <w:b w:val="1"/>
                <w:bCs w:val="1"/>
                <w:color w:val="auto"/>
                <w:w w:val="97"/>
              </w:rPr>
              <w:t>15.7%</w:t>
            </w:r>
          </w:p>
        </w:tc>
        <w:tc>
          <w:tcPr>
            <w:tcW w:w="680" w:type="dxa"/>
            <w:vAlign w:val="bottom"/>
            <w:tcBorders>
              <w:right w:val="single" w:sz="8" w:color="auto"/>
            </w:tcBorders>
          </w:tcPr>
          <w:p>
            <w:pPr>
              <w:jc w:val="center"/>
              <w:ind w:right="119"/>
              <w:spacing w:after="0" w:line="135" w:lineRule="exact"/>
              <w:rPr>
                <w:sz w:val="20"/>
                <w:szCs w:val="20"/>
                <w:color w:val="auto"/>
              </w:rPr>
            </w:pPr>
            <w:r>
              <w:rPr>
                <w:rFonts w:ascii="Arial" w:cs="Arial" w:eastAsia="Arial" w:hAnsi="Arial"/>
                <w:sz w:val="13"/>
                <w:szCs w:val="13"/>
                <w:b w:val="1"/>
                <w:bCs w:val="1"/>
                <w:color w:val="auto"/>
                <w:w w:val="92"/>
              </w:rPr>
              <w:t>16.0%</w:t>
            </w:r>
          </w:p>
        </w:tc>
        <w:tc>
          <w:tcPr>
            <w:tcW w:w="0" w:type="dxa"/>
            <w:vAlign w:val="bottom"/>
          </w:tcPr>
          <w:p>
            <w:pPr>
              <w:spacing w:after="0"/>
              <w:rPr>
                <w:sz w:val="1"/>
                <w:szCs w:val="1"/>
                <w:color w:val="auto"/>
              </w:rPr>
            </w:pPr>
          </w:p>
        </w:tc>
      </w:tr>
      <w:tr>
        <w:trPr>
          <w:trHeight w:val="139"/>
        </w:trPr>
        <w:tc>
          <w:tcPr>
            <w:tcW w:w="17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Consumer</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12,755</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13,511</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13,862</w:t>
            </w:r>
          </w:p>
        </w:tc>
        <w:tc>
          <w:tcPr>
            <w:tcW w:w="900" w:type="dxa"/>
            <w:vAlign w:val="bottom"/>
            <w:tcBorders>
              <w:bottom w:val="single" w:sz="8" w:color="00B050"/>
            </w:tcBorders>
            <w:shd w:val="clear" w:color="auto" w:fill="00B050"/>
          </w:tcPr>
          <w:p>
            <w:pPr>
              <w:jc w:val="center"/>
              <w:spacing w:after="0" w:line="135" w:lineRule="exact"/>
              <w:rPr>
                <w:sz w:val="20"/>
                <w:szCs w:val="20"/>
                <w:color w:val="auto"/>
              </w:rPr>
            </w:pPr>
            <w:r>
              <w:rPr>
                <w:rFonts w:ascii="Arial" w:cs="Arial" w:eastAsia="Arial" w:hAnsi="Arial"/>
                <w:sz w:val="13"/>
                <w:szCs w:val="13"/>
                <w:b w:val="1"/>
                <w:bCs w:val="1"/>
                <w:color w:val="auto"/>
              </w:rPr>
              <w:t>351</w:t>
            </w:r>
          </w:p>
        </w:tc>
        <w:tc>
          <w:tcPr>
            <w:tcW w:w="960" w:type="dxa"/>
            <w:vAlign w:val="bottom"/>
            <w:tcBorders>
              <w:bottom w:val="single" w:sz="8" w:color="00B050"/>
              <w:right w:val="single" w:sz="8" w:color="auto"/>
            </w:tcBorders>
            <w:shd w:val="clear" w:color="auto" w:fill="00B050"/>
          </w:tcPr>
          <w:p>
            <w:pPr>
              <w:jc w:val="center"/>
              <w:spacing w:after="0" w:line="135" w:lineRule="exact"/>
              <w:rPr>
                <w:sz w:val="20"/>
                <w:szCs w:val="20"/>
                <w:color w:val="auto"/>
              </w:rPr>
            </w:pPr>
            <w:r>
              <w:rPr>
                <w:rFonts w:ascii="Arial" w:cs="Arial" w:eastAsia="Arial" w:hAnsi="Arial"/>
                <w:sz w:val="13"/>
                <w:szCs w:val="13"/>
                <w:b w:val="1"/>
                <w:bCs w:val="1"/>
                <w:color w:val="auto"/>
                <w:w w:val="92"/>
              </w:rPr>
              <w:t>1,107</w:t>
            </w:r>
          </w:p>
        </w:tc>
        <w:tc>
          <w:tcPr>
            <w:tcW w:w="700" w:type="dxa"/>
            <w:vAlign w:val="bottom"/>
          </w:tcPr>
          <w:p>
            <w:pPr>
              <w:jc w:val="center"/>
              <w:ind w:left="239"/>
              <w:spacing w:after="0" w:line="135" w:lineRule="exact"/>
              <w:rPr>
                <w:sz w:val="20"/>
                <w:szCs w:val="20"/>
                <w:color w:val="auto"/>
              </w:rPr>
            </w:pPr>
            <w:r>
              <w:rPr>
                <w:rFonts w:ascii="Arial" w:cs="Arial" w:eastAsia="Arial" w:hAnsi="Arial"/>
                <w:sz w:val="13"/>
                <w:szCs w:val="13"/>
                <w:b w:val="1"/>
                <w:bCs w:val="1"/>
                <w:color w:val="auto"/>
                <w:w w:val="94"/>
              </w:rPr>
              <w:t>2.6%</w:t>
            </w:r>
          </w:p>
        </w:tc>
        <w:tc>
          <w:tcPr>
            <w:tcW w:w="1340" w:type="dxa"/>
            <w:vAlign w:val="bottom"/>
            <w:tcBorders>
              <w:right w:val="single" w:sz="8" w:color="auto"/>
            </w:tcBorders>
          </w:tcPr>
          <w:p>
            <w:pPr>
              <w:jc w:val="center"/>
              <w:ind w:left="199"/>
              <w:spacing w:after="0" w:line="135" w:lineRule="exact"/>
              <w:rPr>
                <w:sz w:val="20"/>
                <w:szCs w:val="20"/>
                <w:color w:val="auto"/>
              </w:rPr>
            </w:pPr>
            <w:r>
              <w:rPr>
                <w:rFonts w:ascii="Arial" w:cs="Arial" w:eastAsia="Arial" w:hAnsi="Arial"/>
                <w:sz w:val="13"/>
                <w:szCs w:val="13"/>
                <w:b w:val="1"/>
                <w:bCs w:val="1"/>
                <w:color w:val="auto"/>
                <w:w w:val="94"/>
              </w:rPr>
              <w:t>8.7%</w:t>
            </w:r>
          </w:p>
        </w:tc>
        <w:tc>
          <w:tcPr>
            <w:tcW w:w="660" w:type="dxa"/>
            <w:vAlign w:val="bottom"/>
          </w:tcPr>
          <w:p>
            <w:pPr>
              <w:jc w:val="center"/>
              <w:ind w:left="139"/>
              <w:spacing w:after="0" w:line="135" w:lineRule="exact"/>
              <w:rPr>
                <w:sz w:val="20"/>
                <w:szCs w:val="20"/>
                <w:color w:val="auto"/>
              </w:rPr>
            </w:pPr>
            <w:r>
              <w:rPr>
                <w:rFonts w:ascii="Arial" w:cs="Arial" w:eastAsia="Arial" w:hAnsi="Arial"/>
                <w:sz w:val="13"/>
                <w:szCs w:val="13"/>
                <w:b w:val="1"/>
                <w:bCs w:val="1"/>
                <w:color w:val="auto"/>
              </w:rPr>
              <w:t>8.9%</w:t>
            </w: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9.2%</w:t>
            </w:r>
          </w:p>
        </w:tc>
        <w:tc>
          <w:tcPr>
            <w:tcW w:w="680" w:type="dxa"/>
            <w:vAlign w:val="bottom"/>
            <w:tcBorders>
              <w:right w:val="single" w:sz="8" w:color="auto"/>
            </w:tcBorders>
          </w:tcPr>
          <w:p>
            <w:pPr>
              <w:jc w:val="center"/>
              <w:ind w:right="119"/>
              <w:spacing w:after="0" w:line="135" w:lineRule="exact"/>
              <w:rPr>
                <w:sz w:val="20"/>
                <w:szCs w:val="20"/>
                <w:color w:val="auto"/>
              </w:rPr>
            </w:pPr>
            <w:r>
              <w:rPr>
                <w:rFonts w:ascii="Arial" w:cs="Arial" w:eastAsia="Arial" w:hAnsi="Arial"/>
                <w:sz w:val="13"/>
                <w:szCs w:val="13"/>
                <w:b w:val="1"/>
                <w:bCs w:val="1"/>
                <w:color w:val="auto"/>
              </w:rPr>
              <w:t>9.4%</w:t>
            </w:r>
          </w:p>
        </w:tc>
        <w:tc>
          <w:tcPr>
            <w:tcW w:w="0" w:type="dxa"/>
            <w:vAlign w:val="bottom"/>
          </w:tcPr>
          <w:p>
            <w:pPr>
              <w:spacing w:after="0"/>
              <w:rPr>
                <w:sz w:val="1"/>
                <w:szCs w:val="1"/>
                <w:color w:val="auto"/>
              </w:rPr>
            </w:pPr>
          </w:p>
        </w:tc>
      </w:tr>
      <w:tr>
        <w:trPr>
          <w:trHeight w:val="111"/>
        </w:trPr>
        <w:tc>
          <w:tcPr>
            <w:tcW w:w="1760" w:type="dxa"/>
            <w:vAlign w:val="bottom"/>
            <w:tcBorders>
              <w:left w:val="single" w:sz="8" w:color="auto"/>
              <w:right w:val="single" w:sz="8" w:color="auto"/>
            </w:tcBorders>
          </w:tcPr>
          <w:p>
            <w:pPr>
              <w:ind w:left="340"/>
              <w:spacing w:after="0" w:line="111" w:lineRule="exact"/>
              <w:rPr>
                <w:sz w:val="20"/>
                <w:szCs w:val="20"/>
                <w:color w:val="auto"/>
              </w:rPr>
            </w:pPr>
            <w:r>
              <w:rPr>
                <w:rFonts w:ascii="Arial" w:cs="Arial" w:eastAsia="Arial" w:hAnsi="Arial"/>
                <w:sz w:val="12"/>
                <w:szCs w:val="12"/>
                <w:color w:val="auto"/>
              </w:rPr>
              <w:t>Credit Card</w:t>
            </w:r>
          </w:p>
        </w:tc>
        <w:tc>
          <w:tcPr>
            <w:tcW w:w="9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5,862</w:t>
            </w:r>
          </w:p>
        </w:tc>
        <w:tc>
          <w:tcPr>
            <w:tcW w:w="10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6,102</w:t>
            </w:r>
          </w:p>
        </w:tc>
        <w:tc>
          <w:tcPr>
            <w:tcW w:w="9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6,319</w:t>
            </w:r>
          </w:p>
        </w:tc>
        <w:tc>
          <w:tcPr>
            <w:tcW w:w="9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217</w:t>
            </w:r>
          </w:p>
        </w:tc>
        <w:tc>
          <w:tcPr>
            <w:tcW w:w="960" w:type="dxa"/>
            <w:vAlign w:val="bottom"/>
            <w:tcBorders>
              <w:right w:val="single" w:sz="8" w:color="auto"/>
            </w:tcBorders>
            <w:shd w:val="clear" w:color="auto" w:fill="00B050"/>
          </w:tcPr>
          <w:p>
            <w:pPr>
              <w:jc w:val="center"/>
              <w:spacing w:after="0" w:line="111" w:lineRule="exact"/>
              <w:rPr>
                <w:sz w:val="20"/>
                <w:szCs w:val="20"/>
                <w:color w:val="auto"/>
              </w:rPr>
            </w:pPr>
            <w:r>
              <w:rPr>
                <w:rFonts w:ascii="Arial" w:cs="Arial" w:eastAsia="Arial" w:hAnsi="Arial"/>
                <w:sz w:val="12"/>
                <w:szCs w:val="12"/>
                <w:b w:val="1"/>
                <w:bCs w:val="1"/>
                <w:color w:val="auto"/>
              </w:rPr>
              <w:t>457</w:t>
            </w:r>
          </w:p>
        </w:tc>
        <w:tc>
          <w:tcPr>
            <w:tcW w:w="700" w:type="dxa"/>
            <w:vAlign w:val="bottom"/>
          </w:tcPr>
          <w:p>
            <w:pPr>
              <w:jc w:val="center"/>
              <w:ind w:left="239"/>
              <w:spacing w:after="0" w:line="111" w:lineRule="exact"/>
              <w:rPr>
                <w:sz w:val="20"/>
                <w:szCs w:val="20"/>
                <w:color w:val="auto"/>
              </w:rPr>
            </w:pPr>
            <w:r>
              <w:rPr>
                <w:rFonts w:ascii="Arial" w:cs="Arial" w:eastAsia="Arial" w:hAnsi="Arial"/>
                <w:sz w:val="12"/>
                <w:szCs w:val="12"/>
                <w:b w:val="1"/>
                <w:bCs w:val="1"/>
                <w:color w:val="auto"/>
              </w:rPr>
              <w:t>3.6%</w:t>
            </w:r>
          </w:p>
        </w:tc>
        <w:tc>
          <w:tcPr>
            <w:tcW w:w="1340" w:type="dxa"/>
            <w:vAlign w:val="bottom"/>
            <w:tcBorders>
              <w:right w:val="single" w:sz="8" w:color="auto"/>
            </w:tcBorders>
          </w:tcPr>
          <w:p>
            <w:pPr>
              <w:jc w:val="center"/>
              <w:ind w:left="199"/>
              <w:spacing w:after="0" w:line="111" w:lineRule="exact"/>
              <w:rPr>
                <w:sz w:val="20"/>
                <w:szCs w:val="20"/>
                <w:color w:val="auto"/>
              </w:rPr>
            </w:pPr>
            <w:r>
              <w:rPr>
                <w:rFonts w:ascii="Arial" w:cs="Arial" w:eastAsia="Arial" w:hAnsi="Arial"/>
                <w:sz w:val="12"/>
                <w:szCs w:val="12"/>
                <w:b w:val="1"/>
                <w:bCs w:val="1"/>
                <w:color w:val="auto"/>
              </w:rPr>
              <w:t>7.8%</w:t>
            </w:r>
          </w:p>
        </w:tc>
        <w:tc>
          <w:tcPr>
            <w:tcW w:w="660" w:type="dxa"/>
            <w:vAlign w:val="bottom"/>
          </w:tcPr>
          <w:p>
            <w:pPr>
              <w:jc w:val="center"/>
              <w:ind w:left="139"/>
              <w:spacing w:after="0" w:line="111" w:lineRule="exact"/>
              <w:rPr>
                <w:sz w:val="20"/>
                <w:szCs w:val="20"/>
                <w:color w:val="auto"/>
              </w:rPr>
            </w:pPr>
            <w:r>
              <w:rPr>
                <w:rFonts w:ascii="Arial" w:cs="Arial" w:eastAsia="Arial" w:hAnsi="Arial"/>
                <w:sz w:val="12"/>
                <w:szCs w:val="12"/>
                <w:b w:val="1"/>
                <w:bCs w:val="1"/>
                <w:color w:val="auto"/>
              </w:rPr>
              <w:t>4.1%</w:t>
            </w:r>
          </w:p>
        </w:tc>
        <w:tc>
          <w:tcPr>
            <w:tcW w:w="13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4.2%</w:t>
            </w:r>
          </w:p>
        </w:tc>
        <w:tc>
          <w:tcPr>
            <w:tcW w:w="680" w:type="dxa"/>
            <w:vAlign w:val="bottom"/>
            <w:tcBorders>
              <w:right w:val="single" w:sz="8" w:color="auto"/>
            </w:tcBorders>
          </w:tcPr>
          <w:p>
            <w:pPr>
              <w:jc w:val="center"/>
              <w:ind w:right="119"/>
              <w:spacing w:after="0" w:line="111" w:lineRule="exact"/>
              <w:rPr>
                <w:sz w:val="20"/>
                <w:szCs w:val="20"/>
                <w:color w:val="auto"/>
              </w:rPr>
            </w:pPr>
            <w:r>
              <w:rPr>
                <w:rFonts w:ascii="Arial" w:cs="Arial" w:eastAsia="Arial" w:hAnsi="Arial"/>
                <w:sz w:val="12"/>
                <w:szCs w:val="12"/>
                <w:b w:val="1"/>
                <w:bCs w:val="1"/>
                <w:color w:val="auto"/>
              </w:rPr>
              <w:t>4.3%</w:t>
            </w:r>
          </w:p>
        </w:tc>
        <w:tc>
          <w:tcPr>
            <w:tcW w:w="0" w:type="dxa"/>
            <w:vAlign w:val="bottom"/>
          </w:tcPr>
          <w:p>
            <w:pPr>
              <w:spacing w:after="0"/>
              <w:rPr>
                <w:sz w:val="1"/>
                <w:szCs w:val="1"/>
                <w:color w:val="auto"/>
              </w:rPr>
            </w:pPr>
          </w:p>
        </w:tc>
      </w:tr>
      <w:tr>
        <w:trPr>
          <w:trHeight w:val="24"/>
        </w:trPr>
        <w:tc>
          <w:tcPr>
            <w:tcW w:w="1760" w:type="dxa"/>
            <w:vAlign w:val="bottom"/>
            <w:tcBorders>
              <w:left w:val="single" w:sz="8" w:color="auto"/>
              <w:right w:val="single" w:sz="8" w:color="auto"/>
            </w:tcBorders>
            <w:vMerge w:val="restart"/>
          </w:tcPr>
          <w:p>
            <w:pPr>
              <w:spacing w:after="0" w:line="135" w:lineRule="exact"/>
              <w:rPr>
                <w:sz w:val="20"/>
                <w:szCs w:val="20"/>
                <w:color w:val="auto"/>
              </w:rPr>
            </w:pPr>
            <w:r>
              <w:rPr>
                <w:rFonts w:ascii="Arial" w:cs="Arial" w:eastAsia="Arial" w:hAnsi="Arial"/>
                <w:sz w:val="13"/>
                <w:szCs w:val="13"/>
                <w:b w:val="1"/>
                <w:bCs w:val="1"/>
                <w:color w:val="auto"/>
              </w:rPr>
              <w:t>Mibanco</w:t>
            </w: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12,057</w:t>
            </w: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12,734</w:t>
            </w:r>
          </w:p>
        </w:tc>
        <w:tc>
          <w:tcPr>
            <w:tcW w:w="9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13,171</w:t>
            </w:r>
          </w:p>
        </w:tc>
        <w:tc>
          <w:tcPr>
            <w:tcW w:w="900" w:type="dxa"/>
            <w:vAlign w:val="bottom"/>
          </w:tcPr>
          <w:p>
            <w:pPr>
              <w:spacing w:after="0"/>
              <w:rPr>
                <w:sz w:val="2"/>
                <w:szCs w:val="2"/>
                <w:color w:val="auto"/>
              </w:rPr>
            </w:pPr>
          </w:p>
        </w:tc>
        <w:tc>
          <w:tcPr>
            <w:tcW w:w="960" w:type="dxa"/>
            <w:vAlign w:val="bottom"/>
            <w:tcBorders>
              <w:right w:val="single" w:sz="8" w:color="auto"/>
            </w:tcBorders>
            <w:vMerge w:val="restart"/>
            <w:shd w:val="clear" w:color="auto" w:fill="00B050"/>
          </w:tcPr>
          <w:p>
            <w:pPr>
              <w:jc w:val="center"/>
              <w:spacing w:after="0" w:line="135" w:lineRule="exact"/>
              <w:rPr>
                <w:sz w:val="20"/>
                <w:szCs w:val="20"/>
                <w:color w:val="auto"/>
              </w:rPr>
            </w:pPr>
            <w:r>
              <w:rPr>
                <w:rFonts w:ascii="Arial" w:cs="Arial" w:eastAsia="Arial" w:hAnsi="Arial"/>
                <w:sz w:val="13"/>
                <w:szCs w:val="13"/>
                <w:b w:val="1"/>
                <w:bCs w:val="1"/>
                <w:color w:val="auto"/>
                <w:w w:val="92"/>
              </w:rPr>
              <w:t>1,114</w:t>
            </w:r>
          </w:p>
        </w:tc>
        <w:tc>
          <w:tcPr>
            <w:tcW w:w="700" w:type="dxa"/>
            <w:vAlign w:val="bottom"/>
            <w:vMerge w:val="restart"/>
          </w:tcPr>
          <w:p>
            <w:pPr>
              <w:jc w:val="center"/>
              <w:ind w:left="239"/>
              <w:spacing w:after="0" w:line="135" w:lineRule="exact"/>
              <w:rPr>
                <w:sz w:val="20"/>
                <w:szCs w:val="20"/>
                <w:color w:val="auto"/>
              </w:rPr>
            </w:pPr>
            <w:r>
              <w:rPr>
                <w:rFonts w:ascii="Arial" w:cs="Arial" w:eastAsia="Arial" w:hAnsi="Arial"/>
                <w:sz w:val="13"/>
                <w:szCs w:val="13"/>
                <w:b w:val="1"/>
                <w:bCs w:val="1"/>
                <w:color w:val="auto"/>
                <w:w w:val="94"/>
              </w:rPr>
              <w:t>3.4%</w:t>
            </w:r>
          </w:p>
        </w:tc>
        <w:tc>
          <w:tcPr>
            <w:tcW w:w="1340" w:type="dxa"/>
            <w:vAlign w:val="bottom"/>
            <w:tcBorders>
              <w:right w:val="single" w:sz="8" w:color="auto"/>
            </w:tcBorders>
            <w:vMerge w:val="restart"/>
          </w:tcPr>
          <w:p>
            <w:pPr>
              <w:jc w:val="center"/>
              <w:ind w:left="199"/>
              <w:spacing w:after="0" w:line="135" w:lineRule="exact"/>
              <w:rPr>
                <w:sz w:val="20"/>
                <w:szCs w:val="20"/>
                <w:color w:val="auto"/>
              </w:rPr>
            </w:pPr>
            <w:r>
              <w:rPr>
                <w:rFonts w:ascii="Arial" w:cs="Arial" w:eastAsia="Arial" w:hAnsi="Arial"/>
                <w:sz w:val="13"/>
                <w:szCs w:val="13"/>
                <w:b w:val="1"/>
                <w:bCs w:val="1"/>
                <w:color w:val="auto"/>
                <w:w w:val="94"/>
              </w:rPr>
              <w:t>9.2%</w:t>
            </w:r>
          </w:p>
        </w:tc>
        <w:tc>
          <w:tcPr>
            <w:tcW w:w="660" w:type="dxa"/>
            <w:vAlign w:val="bottom"/>
            <w:vMerge w:val="restart"/>
          </w:tcPr>
          <w:p>
            <w:pPr>
              <w:jc w:val="center"/>
              <w:ind w:left="139"/>
              <w:spacing w:after="0" w:line="135" w:lineRule="exact"/>
              <w:rPr>
                <w:sz w:val="20"/>
                <w:szCs w:val="20"/>
                <w:color w:val="auto"/>
              </w:rPr>
            </w:pPr>
            <w:r>
              <w:rPr>
                <w:rFonts w:ascii="Arial" w:cs="Arial" w:eastAsia="Arial" w:hAnsi="Arial"/>
                <w:sz w:val="13"/>
                <w:szCs w:val="13"/>
                <w:b w:val="1"/>
                <w:bCs w:val="1"/>
                <w:color w:val="auto"/>
              </w:rPr>
              <w:t>8.4%</w:t>
            </w:r>
          </w:p>
        </w:tc>
        <w:tc>
          <w:tcPr>
            <w:tcW w:w="13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rPr>
              <w:t>8.7%</w:t>
            </w:r>
          </w:p>
        </w:tc>
        <w:tc>
          <w:tcPr>
            <w:tcW w:w="680" w:type="dxa"/>
            <w:vAlign w:val="bottom"/>
            <w:tcBorders>
              <w:right w:val="single" w:sz="8" w:color="auto"/>
            </w:tcBorders>
            <w:vMerge w:val="restart"/>
          </w:tcPr>
          <w:p>
            <w:pPr>
              <w:jc w:val="center"/>
              <w:ind w:right="119"/>
              <w:spacing w:after="0" w:line="135" w:lineRule="exact"/>
              <w:rPr>
                <w:sz w:val="20"/>
                <w:szCs w:val="20"/>
                <w:color w:val="auto"/>
              </w:rPr>
            </w:pPr>
            <w:r>
              <w:rPr>
                <w:rFonts w:ascii="Arial" w:cs="Arial" w:eastAsia="Arial" w:hAnsi="Arial"/>
                <w:sz w:val="13"/>
                <w:szCs w:val="13"/>
                <w:b w:val="1"/>
                <w:bCs w:val="1"/>
                <w:color w:val="auto"/>
              </w:rPr>
              <w:t>8.9%</w:t>
            </w:r>
          </w:p>
        </w:tc>
        <w:tc>
          <w:tcPr>
            <w:tcW w:w="0" w:type="dxa"/>
            <w:vAlign w:val="bottom"/>
          </w:tcPr>
          <w:p>
            <w:pPr>
              <w:spacing w:after="0" w:line="20" w:lineRule="exact"/>
              <w:rPr>
                <w:sz w:val="1"/>
                <w:szCs w:val="1"/>
                <w:color w:val="auto"/>
              </w:rPr>
            </w:pPr>
          </w:p>
        </w:tc>
      </w:tr>
      <w:tr>
        <w:trPr>
          <w:trHeight w:val="115"/>
        </w:trPr>
        <w:tc>
          <w:tcPr>
            <w:tcW w:w="1760" w:type="dxa"/>
            <w:vAlign w:val="bottom"/>
            <w:tcBorders>
              <w:left w:val="single" w:sz="8" w:color="auto"/>
              <w:right w:val="single" w:sz="8" w:color="auto"/>
            </w:tcBorders>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00" w:type="dxa"/>
            <w:vAlign w:val="bottom"/>
            <w:tcBorders>
              <w:bottom w:val="single" w:sz="8" w:color="00B050"/>
            </w:tcBorders>
            <w:shd w:val="clear" w:color="auto" w:fill="00B050"/>
          </w:tcPr>
          <w:p>
            <w:pPr>
              <w:jc w:val="center"/>
              <w:spacing w:after="0" w:line="111" w:lineRule="exact"/>
              <w:rPr>
                <w:sz w:val="20"/>
                <w:szCs w:val="20"/>
                <w:color w:val="auto"/>
              </w:rPr>
            </w:pPr>
            <w:r>
              <w:rPr>
                <w:rFonts w:ascii="Arial" w:cs="Arial" w:eastAsia="Arial" w:hAnsi="Arial"/>
                <w:sz w:val="12"/>
                <w:szCs w:val="12"/>
                <w:b w:val="1"/>
                <w:bCs w:val="1"/>
                <w:color w:val="auto"/>
              </w:rPr>
              <w:t>437</w:t>
            </w:r>
          </w:p>
        </w:tc>
        <w:tc>
          <w:tcPr>
            <w:tcW w:w="960" w:type="dxa"/>
            <w:vAlign w:val="bottom"/>
            <w:tcBorders>
              <w:bottom w:val="single" w:sz="8" w:color="00B050"/>
              <w:right w:val="single" w:sz="8" w:color="auto"/>
            </w:tcBorders>
            <w:vMerge w:val="continue"/>
            <w:shd w:val="clear" w:color="auto" w:fill="00B050"/>
          </w:tcPr>
          <w:p>
            <w:pPr>
              <w:spacing w:after="0"/>
              <w:rPr>
                <w:sz w:val="10"/>
                <w:szCs w:val="10"/>
                <w:color w:val="auto"/>
              </w:rPr>
            </w:pPr>
          </w:p>
        </w:tc>
        <w:tc>
          <w:tcPr>
            <w:tcW w:w="700" w:type="dxa"/>
            <w:vAlign w:val="bottom"/>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60" w:type="dxa"/>
            <w:vAlign w:val="bottom"/>
            <w:tcBorders>
              <w:left w:val="single" w:sz="8" w:color="auto"/>
              <w:right w:val="single" w:sz="8" w:color="auto"/>
            </w:tcBorders>
          </w:tcPr>
          <w:p>
            <w:pPr>
              <w:spacing w:after="0" w:line="111" w:lineRule="exact"/>
              <w:rPr>
                <w:sz w:val="20"/>
                <w:szCs w:val="20"/>
                <w:color w:val="auto"/>
              </w:rPr>
            </w:pPr>
            <w:r>
              <w:rPr>
                <w:rFonts w:ascii="Arial" w:cs="Arial" w:eastAsia="Arial" w:hAnsi="Arial"/>
                <w:sz w:val="12"/>
                <w:szCs w:val="12"/>
                <w:b w:val="1"/>
                <w:bCs w:val="1"/>
                <w:color w:val="auto"/>
              </w:rPr>
              <w:t>Mibanco Colombia</w:t>
            </w:r>
          </w:p>
        </w:tc>
        <w:tc>
          <w:tcPr>
            <w:tcW w:w="9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1,715</w:t>
            </w:r>
          </w:p>
        </w:tc>
        <w:tc>
          <w:tcPr>
            <w:tcW w:w="10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2,004</w:t>
            </w:r>
          </w:p>
        </w:tc>
        <w:tc>
          <w:tcPr>
            <w:tcW w:w="9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2,140</w:t>
            </w:r>
          </w:p>
        </w:tc>
        <w:tc>
          <w:tcPr>
            <w:tcW w:w="9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136</w:t>
            </w:r>
          </w:p>
        </w:tc>
        <w:tc>
          <w:tcPr>
            <w:tcW w:w="960" w:type="dxa"/>
            <w:vAlign w:val="bottom"/>
            <w:tcBorders>
              <w:bottom w:val="single" w:sz="8" w:color="00B050"/>
              <w:right w:val="single" w:sz="8" w:color="auto"/>
            </w:tcBorders>
            <w:shd w:val="clear" w:color="auto" w:fill="00B050"/>
          </w:tcPr>
          <w:p>
            <w:pPr>
              <w:jc w:val="center"/>
              <w:spacing w:after="0" w:line="111" w:lineRule="exact"/>
              <w:rPr>
                <w:sz w:val="20"/>
                <w:szCs w:val="20"/>
                <w:color w:val="auto"/>
              </w:rPr>
            </w:pPr>
            <w:r>
              <w:rPr>
                <w:rFonts w:ascii="Arial" w:cs="Arial" w:eastAsia="Arial" w:hAnsi="Arial"/>
                <w:sz w:val="12"/>
                <w:szCs w:val="12"/>
                <w:b w:val="1"/>
                <w:bCs w:val="1"/>
                <w:color w:val="auto"/>
              </w:rPr>
              <w:t>425</w:t>
            </w:r>
          </w:p>
        </w:tc>
        <w:tc>
          <w:tcPr>
            <w:tcW w:w="700" w:type="dxa"/>
            <w:vAlign w:val="bottom"/>
          </w:tcPr>
          <w:p>
            <w:pPr>
              <w:jc w:val="center"/>
              <w:ind w:left="239"/>
              <w:spacing w:after="0" w:line="111" w:lineRule="exact"/>
              <w:rPr>
                <w:sz w:val="20"/>
                <w:szCs w:val="20"/>
                <w:color w:val="auto"/>
              </w:rPr>
            </w:pPr>
            <w:r>
              <w:rPr>
                <w:rFonts w:ascii="Arial" w:cs="Arial" w:eastAsia="Arial" w:hAnsi="Arial"/>
                <w:sz w:val="12"/>
                <w:szCs w:val="12"/>
                <w:b w:val="1"/>
                <w:bCs w:val="1"/>
                <w:color w:val="auto"/>
              </w:rPr>
              <w:t>6.8%</w:t>
            </w:r>
          </w:p>
        </w:tc>
        <w:tc>
          <w:tcPr>
            <w:tcW w:w="1340" w:type="dxa"/>
            <w:vAlign w:val="bottom"/>
            <w:tcBorders>
              <w:right w:val="single" w:sz="8" w:color="auto"/>
            </w:tcBorders>
          </w:tcPr>
          <w:p>
            <w:pPr>
              <w:jc w:val="center"/>
              <w:ind w:left="199"/>
              <w:spacing w:after="0" w:line="111" w:lineRule="exact"/>
              <w:rPr>
                <w:sz w:val="20"/>
                <w:szCs w:val="20"/>
                <w:color w:val="auto"/>
              </w:rPr>
            </w:pPr>
            <w:r>
              <w:rPr>
                <w:rFonts w:ascii="Arial" w:cs="Arial" w:eastAsia="Arial" w:hAnsi="Arial"/>
                <w:sz w:val="12"/>
                <w:szCs w:val="12"/>
                <w:b w:val="1"/>
                <w:bCs w:val="1"/>
                <w:color w:val="auto"/>
              </w:rPr>
              <w:t>24.8%</w:t>
            </w:r>
          </w:p>
        </w:tc>
        <w:tc>
          <w:tcPr>
            <w:tcW w:w="660" w:type="dxa"/>
            <w:vAlign w:val="bottom"/>
          </w:tcPr>
          <w:p>
            <w:pPr>
              <w:jc w:val="center"/>
              <w:ind w:left="139"/>
              <w:spacing w:after="0" w:line="111" w:lineRule="exact"/>
              <w:rPr>
                <w:sz w:val="20"/>
                <w:szCs w:val="20"/>
                <w:color w:val="auto"/>
              </w:rPr>
            </w:pPr>
            <w:r>
              <w:rPr>
                <w:rFonts w:ascii="Arial" w:cs="Arial" w:eastAsia="Arial" w:hAnsi="Arial"/>
                <w:sz w:val="12"/>
                <w:szCs w:val="12"/>
                <w:b w:val="1"/>
                <w:bCs w:val="1"/>
                <w:color w:val="auto"/>
              </w:rPr>
              <w:t>1.2%</w:t>
            </w:r>
          </w:p>
        </w:tc>
        <w:tc>
          <w:tcPr>
            <w:tcW w:w="13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1.4%</w:t>
            </w:r>
          </w:p>
        </w:tc>
        <w:tc>
          <w:tcPr>
            <w:tcW w:w="680" w:type="dxa"/>
            <w:vAlign w:val="bottom"/>
            <w:tcBorders>
              <w:right w:val="single" w:sz="8" w:color="auto"/>
            </w:tcBorders>
          </w:tcPr>
          <w:p>
            <w:pPr>
              <w:jc w:val="center"/>
              <w:ind w:right="119"/>
              <w:spacing w:after="0" w:line="111" w:lineRule="exact"/>
              <w:rPr>
                <w:sz w:val="20"/>
                <w:szCs w:val="20"/>
                <w:color w:val="auto"/>
              </w:rPr>
            </w:pP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111"/>
        </w:trPr>
        <w:tc>
          <w:tcPr>
            <w:tcW w:w="1760" w:type="dxa"/>
            <w:vAlign w:val="bottom"/>
            <w:tcBorders>
              <w:left w:val="single" w:sz="8" w:color="auto"/>
              <w:right w:val="single" w:sz="8" w:color="auto"/>
            </w:tcBorders>
          </w:tcPr>
          <w:p>
            <w:pPr>
              <w:spacing w:after="0" w:line="111" w:lineRule="exact"/>
              <w:rPr>
                <w:sz w:val="20"/>
                <w:szCs w:val="20"/>
                <w:color w:val="auto"/>
              </w:rPr>
            </w:pPr>
            <w:r>
              <w:rPr>
                <w:rFonts w:ascii="Arial" w:cs="Arial" w:eastAsia="Arial" w:hAnsi="Arial"/>
                <w:sz w:val="12"/>
                <w:szCs w:val="12"/>
                <w:b w:val="1"/>
                <w:bCs w:val="1"/>
                <w:color w:val="auto"/>
              </w:rPr>
              <w:t>Bolivia</w:t>
            </w:r>
          </w:p>
        </w:tc>
        <w:tc>
          <w:tcPr>
            <w:tcW w:w="9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9,628</w:t>
            </w:r>
          </w:p>
        </w:tc>
        <w:tc>
          <w:tcPr>
            <w:tcW w:w="10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9,363</w:t>
            </w:r>
          </w:p>
        </w:tc>
        <w:tc>
          <w:tcPr>
            <w:tcW w:w="9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8,976</w:t>
            </w:r>
          </w:p>
        </w:tc>
        <w:tc>
          <w:tcPr>
            <w:tcW w:w="9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-387</w:t>
            </w:r>
          </w:p>
        </w:tc>
        <w:tc>
          <w:tcPr>
            <w:tcW w:w="96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2"/>
                <w:szCs w:val="12"/>
                <w:b w:val="1"/>
                <w:bCs w:val="1"/>
                <w:color w:val="auto"/>
              </w:rPr>
              <w:t>-652</w:t>
            </w:r>
          </w:p>
        </w:tc>
        <w:tc>
          <w:tcPr>
            <w:tcW w:w="700" w:type="dxa"/>
            <w:vAlign w:val="bottom"/>
          </w:tcPr>
          <w:p>
            <w:pPr>
              <w:jc w:val="center"/>
              <w:ind w:left="239"/>
              <w:spacing w:after="0" w:line="111" w:lineRule="exact"/>
              <w:rPr>
                <w:sz w:val="20"/>
                <w:szCs w:val="20"/>
                <w:color w:val="auto"/>
              </w:rPr>
            </w:pPr>
            <w:r>
              <w:rPr>
                <w:rFonts w:ascii="Arial" w:cs="Arial" w:eastAsia="Arial" w:hAnsi="Arial"/>
                <w:sz w:val="12"/>
                <w:szCs w:val="12"/>
                <w:b w:val="1"/>
                <w:bCs w:val="1"/>
                <w:color w:val="auto"/>
              </w:rPr>
              <w:t>-4.1%</w:t>
            </w:r>
          </w:p>
        </w:tc>
        <w:tc>
          <w:tcPr>
            <w:tcW w:w="1340" w:type="dxa"/>
            <w:vAlign w:val="bottom"/>
            <w:tcBorders>
              <w:right w:val="single" w:sz="8" w:color="auto"/>
            </w:tcBorders>
          </w:tcPr>
          <w:p>
            <w:pPr>
              <w:jc w:val="center"/>
              <w:ind w:left="199"/>
              <w:spacing w:after="0" w:line="111" w:lineRule="exact"/>
              <w:rPr>
                <w:sz w:val="20"/>
                <w:szCs w:val="20"/>
                <w:color w:val="auto"/>
              </w:rPr>
            </w:pPr>
            <w:r>
              <w:rPr>
                <w:rFonts w:ascii="Arial" w:cs="Arial" w:eastAsia="Arial" w:hAnsi="Arial"/>
                <w:sz w:val="12"/>
                <w:szCs w:val="12"/>
                <w:b w:val="1"/>
                <w:bCs w:val="1"/>
                <w:color w:val="auto"/>
              </w:rPr>
              <w:t>-6.8%</w:t>
            </w:r>
          </w:p>
        </w:tc>
        <w:tc>
          <w:tcPr>
            <w:tcW w:w="660" w:type="dxa"/>
            <w:vAlign w:val="bottom"/>
          </w:tcPr>
          <w:p>
            <w:pPr>
              <w:jc w:val="center"/>
              <w:ind w:left="139"/>
              <w:spacing w:after="0" w:line="111" w:lineRule="exact"/>
              <w:rPr>
                <w:sz w:val="20"/>
                <w:szCs w:val="20"/>
                <w:color w:val="auto"/>
              </w:rPr>
            </w:pPr>
            <w:r>
              <w:rPr>
                <w:rFonts w:ascii="Arial" w:cs="Arial" w:eastAsia="Arial" w:hAnsi="Arial"/>
                <w:sz w:val="12"/>
                <w:szCs w:val="12"/>
                <w:b w:val="1"/>
                <w:bCs w:val="1"/>
                <w:color w:val="auto"/>
              </w:rPr>
              <w:t>6.7%</w:t>
            </w:r>
          </w:p>
        </w:tc>
        <w:tc>
          <w:tcPr>
            <w:tcW w:w="13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6.4%</w:t>
            </w:r>
          </w:p>
        </w:tc>
        <w:tc>
          <w:tcPr>
            <w:tcW w:w="680" w:type="dxa"/>
            <w:vAlign w:val="bottom"/>
            <w:tcBorders>
              <w:right w:val="single" w:sz="8" w:color="auto"/>
            </w:tcBorders>
          </w:tcPr>
          <w:p>
            <w:pPr>
              <w:jc w:val="center"/>
              <w:ind w:right="119"/>
              <w:spacing w:after="0" w:line="111" w:lineRule="exact"/>
              <w:rPr>
                <w:sz w:val="20"/>
                <w:szCs w:val="20"/>
                <w:color w:val="auto"/>
              </w:rPr>
            </w:pPr>
            <w:r>
              <w:rPr>
                <w:rFonts w:ascii="Arial" w:cs="Arial" w:eastAsia="Arial" w:hAnsi="Arial"/>
                <w:sz w:val="12"/>
                <w:szCs w:val="12"/>
                <w:b w:val="1"/>
                <w:bCs w:val="1"/>
                <w:color w:val="auto"/>
              </w:rPr>
              <w:t>6.1%</w:t>
            </w:r>
          </w:p>
        </w:tc>
        <w:tc>
          <w:tcPr>
            <w:tcW w:w="0" w:type="dxa"/>
            <w:vAlign w:val="bottom"/>
          </w:tcPr>
          <w:p>
            <w:pPr>
              <w:spacing w:after="0"/>
              <w:rPr>
                <w:sz w:val="1"/>
                <w:szCs w:val="1"/>
                <w:color w:val="auto"/>
              </w:rPr>
            </w:pPr>
          </w:p>
        </w:tc>
      </w:tr>
      <w:tr>
        <w:trPr>
          <w:trHeight w:val="159"/>
        </w:trPr>
        <w:tc>
          <w:tcPr>
            <w:tcW w:w="1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ASB Bank Corp.</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1,779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1,431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1,299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-131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-480</w:t>
            </w:r>
          </w:p>
        </w:tc>
        <w:tc>
          <w:tcPr>
            <w:tcW w:w="700" w:type="dxa"/>
            <w:vAlign w:val="bottom"/>
            <w:tcBorders>
              <w:bottom w:val="single" w:sz="8" w:color="auto"/>
            </w:tcBorders>
          </w:tcPr>
          <w:p>
            <w:pPr>
              <w:jc w:val="center"/>
              <w:ind w:left="239"/>
              <w:spacing w:after="0"/>
              <w:rPr>
                <w:sz w:val="20"/>
                <w:szCs w:val="20"/>
                <w:color w:val="auto"/>
              </w:rPr>
            </w:pPr>
            <w:r>
              <w:rPr>
                <w:rFonts w:ascii="Arial" w:cs="Arial" w:eastAsia="Arial" w:hAnsi="Arial"/>
                <w:sz w:val="13"/>
                <w:szCs w:val="13"/>
                <w:b w:val="1"/>
                <w:bCs w:val="1"/>
                <w:color w:val="auto"/>
                <w:w w:val="94"/>
              </w:rPr>
              <w:t>-9.2%</w:t>
            </w:r>
          </w:p>
        </w:tc>
        <w:tc>
          <w:tcPr>
            <w:tcW w:w="134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13"/>
                <w:szCs w:val="13"/>
                <w:b w:val="1"/>
                <w:bCs w:val="1"/>
                <w:color w:val="auto"/>
                <w:w w:val="97"/>
              </w:rPr>
              <w:t>-27.0%</w:t>
            </w:r>
          </w:p>
        </w:tc>
        <w:tc>
          <w:tcPr>
            <w:tcW w:w="660" w:type="dxa"/>
            <w:vAlign w:val="bottom"/>
            <w:tcBorders>
              <w:bottom w:val="single" w:sz="8" w:color="auto"/>
            </w:tcBorders>
          </w:tcPr>
          <w:p>
            <w:pPr>
              <w:jc w:val="center"/>
              <w:ind w:left="139"/>
              <w:spacing w:after="0"/>
              <w:rPr>
                <w:sz w:val="20"/>
                <w:szCs w:val="20"/>
                <w:color w:val="auto"/>
              </w:rPr>
            </w:pPr>
            <w:r>
              <w:rPr>
                <w:rFonts w:ascii="Arial" w:cs="Arial" w:eastAsia="Arial" w:hAnsi="Arial"/>
                <w:sz w:val="13"/>
                <w:szCs w:val="13"/>
                <w:b w:val="1"/>
                <w:bCs w:val="1"/>
                <w:color w:val="auto"/>
              </w:rPr>
              <w:t>1.2%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1.0%</w:t>
            </w:r>
          </w:p>
        </w:tc>
        <w:tc>
          <w:tcPr>
            <w:tcW w:w="68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3"/>
                <w:szCs w:val="13"/>
                <w:b w:val="1"/>
                <w:bCs w:val="1"/>
                <w:color w:val="auto"/>
              </w:rPr>
              <w:t>0.9%</w:t>
            </w:r>
          </w:p>
        </w:tc>
        <w:tc>
          <w:tcPr>
            <w:tcW w:w="0" w:type="dxa"/>
            <w:vAlign w:val="bottom"/>
          </w:tcPr>
          <w:p>
            <w:pPr>
              <w:spacing w:after="0"/>
              <w:rPr>
                <w:sz w:val="1"/>
                <w:szCs w:val="1"/>
                <w:color w:val="auto"/>
              </w:rPr>
            </w:pPr>
          </w:p>
        </w:tc>
      </w:tr>
      <w:tr>
        <w:trPr>
          <w:trHeight w:val="128"/>
        </w:trPr>
        <w:tc>
          <w:tcPr>
            <w:tcW w:w="17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BAP’s total loans</w:t>
            </w:r>
          </w:p>
        </w:tc>
        <w:tc>
          <w:tcPr>
            <w:tcW w:w="9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142,780</w:t>
            </w: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146,720</w:t>
            </w:r>
          </w:p>
        </w:tc>
        <w:tc>
          <w:tcPr>
            <w:tcW w:w="9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147,172</w:t>
            </w: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452</w:t>
            </w:r>
          </w:p>
        </w:tc>
        <w:tc>
          <w:tcPr>
            <w:tcW w:w="9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4,392</w:t>
            </w:r>
          </w:p>
        </w:tc>
        <w:tc>
          <w:tcPr>
            <w:tcW w:w="700" w:type="dxa"/>
            <w:vAlign w:val="bottom"/>
            <w:tcBorders>
              <w:bottom w:val="single" w:sz="8" w:color="auto"/>
            </w:tcBorders>
          </w:tcPr>
          <w:p>
            <w:pPr>
              <w:jc w:val="center"/>
              <w:ind w:left="239"/>
              <w:spacing w:after="0" w:line="129" w:lineRule="exact"/>
              <w:rPr>
                <w:sz w:val="20"/>
                <w:szCs w:val="20"/>
                <w:color w:val="auto"/>
              </w:rPr>
            </w:pPr>
            <w:r>
              <w:rPr>
                <w:rFonts w:ascii="Arial" w:cs="Arial" w:eastAsia="Arial" w:hAnsi="Arial"/>
                <w:sz w:val="13"/>
                <w:szCs w:val="13"/>
                <w:b w:val="1"/>
                <w:bCs w:val="1"/>
                <w:color w:val="auto"/>
                <w:w w:val="94"/>
              </w:rPr>
              <w:t>0.3%</w:t>
            </w:r>
          </w:p>
        </w:tc>
        <w:tc>
          <w:tcPr>
            <w:tcW w:w="1340" w:type="dxa"/>
            <w:vAlign w:val="bottom"/>
            <w:tcBorders>
              <w:bottom w:val="single" w:sz="8" w:color="auto"/>
              <w:right w:val="single" w:sz="8" w:color="auto"/>
            </w:tcBorders>
          </w:tcPr>
          <w:p>
            <w:pPr>
              <w:jc w:val="center"/>
              <w:ind w:left="199"/>
              <w:spacing w:after="0" w:line="129" w:lineRule="exact"/>
              <w:rPr>
                <w:sz w:val="20"/>
                <w:szCs w:val="20"/>
                <w:color w:val="auto"/>
              </w:rPr>
            </w:pPr>
            <w:r>
              <w:rPr>
                <w:rFonts w:ascii="Arial" w:cs="Arial" w:eastAsia="Arial" w:hAnsi="Arial"/>
                <w:sz w:val="13"/>
                <w:szCs w:val="13"/>
                <w:b w:val="1"/>
                <w:bCs w:val="1"/>
                <w:color w:val="auto"/>
                <w:w w:val="94"/>
              </w:rPr>
              <w:t>3.1%</w:t>
            </w:r>
          </w:p>
        </w:tc>
        <w:tc>
          <w:tcPr>
            <w:tcW w:w="660" w:type="dxa"/>
            <w:vAlign w:val="bottom"/>
            <w:tcBorders>
              <w:bottom w:val="single" w:sz="8" w:color="auto"/>
            </w:tcBorders>
          </w:tcPr>
          <w:p>
            <w:pPr>
              <w:jc w:val="center"/>
              <w:ind w:left="139"/>
              <w:spacing w:after="0" w:line="129" w:lineRule="exact"/>
              <w:rPr>
                <w:sz w:val="20"/>
                <w:szCs w:val="20"/>
                <w:color w:val="auto"/>
              </w:rPr>
            </w:pPr>
            <w:r>
              <w:rPr>
                <w:rFonts w:ascii="Arial" w:cs="Arial" w:eastAsia="Arial" w:hAnsi="Arial"/>
                <w:sz w:val="13"/>
                <w:szCs w:val="13"/>
                <w:b w:val="1"/>
                <w:bCs w:val="1"/>
                <w:color w:val="auto"/>
                <w:w w:val="95"/>
              </w:rPr>
              <w:t>100.0%</w:t>
            </w:r>
          </w:p>
        </w:tc>
        <w:tc>
          <w:tcPr>
            <w:tcW w:w="13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100.0%</w:t>
            </w:r>
          </w:p>
        </w:tc>
        <w:tc>
          <w:tcPr>
            <w:tcW w:w="680" w:type="dxa"/>
            <w:vAlign w:val="bottom"/>
            <w:tcBorders>
              <w:bottom w:val="single" w:sz="8" w:color="auto"/>
              <w:right w:val="single" w:sz="8" w:color="auto"/>
            </w:tcBorders>
          </w:tcPr>
          <w:p>
            <w:pPr>
              <w:jc w:val="center"/>
              <w:ind w:right="119"/>
              <w:spacing w:after="0" w:line="129" w:lineRule="exact"/>
              <w:rPr>
                <w:sz w:val="20"/>
                <w:szCs w:val="20"/>
                <w:color w:val="auto"/>
              </w:rPr>
            </w:pPr>
            <w:r>
              <w:rPr>
                <w:rFonts w:ascii="Arial" w:cs="Arial" w:eastAsia="Arial" w:hAnsi="Arial"/>
                <w:sz w:val="13"/>
                <w:szCs w:val="13"/>
                <w:b w:val="1"/>
                <w:bCs w:val="1"/>
                <w:color w:val="auto"/>
                <w:w w:val="95"/>
              </w:rPr>
              <w:t>100.0%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gridSpan w:val="2"/>
          </w:tcPr>
          <w:p>
            <w:pPr>
              <w:spacing w:after="0" w:line="140" w:lineRule="exact"/>
              <w:rPr>
                <w:sz w:val="20"/>
                <w:szCs w:val="20"/>
                <w:color w:val="auto"/>
              </w:rPr>
            </w:pPr>
            <w:r>
              <w:rPr>
                <w:rFonts w:ascii="Arial" w:cs="Arial" w:eastAsia="Arial" w:hAnsi="Arial"/>
                <w:sz w:val="13"/>
                <w:szCs w:val="13"/>
                <w:color w:val="auto"/>
              </w:rPr>
              <w:t>For consolidation purposes, loans generated in FC are converted to LC.</w:t>
            </w:r>
          </w:p>
        </w:tc>
        <w:tc>
          <w:tcPr>
            <w:tcW w:w="4280" w:type="dxa"/>
            <w:vAlign w:val="bottom"/>
          </w:tcPr>
          <w:p>
            <w:pPr>
              <w:spacing w:after="0"/>
              <w:rPr>
                <w:sz w:val="12"/>
                <w:szCs w:val="12"/>
                <w:color w:val="auto"/>
              </w:rPr>
            </w:pPr>
          </w:p>
        </w:tc>
      </w:tr>
      <w:tr>
        <w:trPr>
          <w:trHeight w:val="184"/>
        </w:trPr>
        <w:tc>
          <w:tcPr>
            <w:tcW w:w="160" w:type="dxa"/>
            <w:vAlign w:val="bottom"/>
          </w:tcPr>
          <w:p>
            <w:pPr>
              <w:spacing w:after="0"/>
              <w:rPr>
                <w:sz w:val="20"/>
                <w:szCs w:val="20"/>
                <w:color w:val="auto"/>
              </w:rPr>
            </w:pPr>
            <w:r>
              <w:rPr>
                <w:rFonts w:ascii="Arial" w:cs="Arial" w:eastAsia="Arial" w:hAnsi="Arial"/>
                <w:sz w:val="13"/>
                <w:szCs w:val="13"/>
                <w:color w:val="auto"/>
                <w:w w:val="87"/>
              </w:rPr>
              <w:t>(1)</w:t>
            </w:r>
          </w:p>
        </w:tc>
        <w:tc>
          <w:tcPr>
            <w:tcW w:w="6440" w:type="dxa"/>
            <w:vAlign w:val="bottom"/>
          </w:tcPr>
          <w:p>
            <w:pPr>
              <w:ind w:left="20"/>
              <w:spacing w:after="0"/>
              <w:rPr>
                <w:sz w:val="20"/>
                <w:szCs w:val="20"/>
                <w:color w:val="auto"/>
              </w:rPr>
            </w:pPr>
            <w:r>
              <w:rPr>
                <w:rFonts w:ascii="Arial" w:cs="Arial" w:eastAsia="Arial" w:hAnsi="Arial"/>
                <w:sz w:val="13"/>
                <w:szCs w:val="13"/>
                <w:color w:val="auto"/>
              </w:rPr>
              <w:t>Includes Special accounts, and other banking.</w:t>
            </w:r>
          </w:p>
        </w:tc>
        <w:tc>
          <w:tcPr>
            <w:tcW w:w="4280" w:type="dxa"/>
            <w:vAlign w:val="bottom"/>
          </w:tcPr>
          <w:p>
            <w:pPr>
              <w:ind w:left="2600"/>
              <w:spacing w:after="0"/>
              <w:rPr>
                <w:sz w:val="20"/>
                <w:szCs w:val="20"/>
                <w:color w:val="auto"/>
              </w:rPr>
            </w:pPr>
            <w:r>
              <w:rPr>
                <w:rFonts w:ascii="Arial" w:cs="Arial" w:eastAsia="Arial" w:hAnsi="Arial"/>
                <w:sz w:val="14"/>
                <w:szCs w:val="14"/>
                <w:color w:val="auto"/>
                <w:w w:val="93"/>
              </w:rPr>
              <w:t>Larger contraction in volume</w:t>
            </w:r>
          </w:p>
        </w:tc>
      </w:tr>
      <w:tr>
        <w:trPr>
          <w:trHeight w:val="89"/>
        </w:trPr>
        <w:tc>
          <w:tcPr>
            <w:tcW w:w="160" w:type="dxa"/>
            <w:vAlign w:val="bottom"/>
          </w:tcPr>
          <w:p>
            <w:pPr>
              <w:spacing w:after="0" w:line="89" w:lineRule="exact"/>
              <w:rPr>
                <w:sz w:val="20"/>
                <w:szCs w:val="20"/>
                <w:color w:val="auto"/>
              </w:rPr>
            </w:pPr>
            <w:r>
              <w:rPr>
                <w:rFonts w:ascii="Arial" w:cs="Arial" w:eastAsia="Arial" w:hAnsi="Arial"/>
                <w:sz w:val="10"/>
                <w:szCs w:val="10"/>
                <w:color w:val="auto"/>
              </w:rPr>
              <w:t>(2)</w:t>
            </w:r>
          </w:p>
        </w:tc>
        <w:tc>
          <w:tcPr>
            <w:tcW w:w="6440" w:type="dxa"/>
            <w:vAlign w:val="bottom"/>
          </w:tcPr>
          <w:p>
            <w:pPr>
              <w:ind w:left="20"/>
              <w:spacing w:after="0" w:line="89" w:lineRule="exact"/>
              <w:rPr>
                <w:sz w:val="20"/>
                <w:szCs w:val="20"/>
                <w:color w:val="auto"/>
              </w:rPr>
            </w:pPr>
            <w:r>
              <w:rPr>
                <w:rFonts w:ascii="Arial" w:cs="Arial" w:eastAsia="Arial" w:hAnsi="Arial"/>
                <w:sz w:val="10"/>
                <w:szCs w:val="10"/>
                <w:color w:val="auto"/>
              </w:rPr>
              <w:t>Portfolio Management Figures. Non-audited figures.</w:t>
            </w:r>
          </w:p>
        </w:tc>
        <w:tc>
          <w:tcPr>
            <w:tcW w:w="42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5293360</wp:posOffset>
            </wp:positionH>
            <wp:positionV relativeFrom="paragraph">
              <wp:posOffset>-140970</wp:posOffset>
            </wp:positionV>
            <wp:extent cx="488950" cy="2482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8950" cy="248285"/>
                    </a:xfrm>
                    <a:prstGeom prst="rect">
                      <a:avLst/>
                    </a:prstGeom>
                    <a:noFill/>
                  </pic:spPr>
                </pic:pic>
              </a:graphicData>
            </a:graphic>
          </wp:anchor>
        </w:drawing>
      </w:r>
    </w:p>
    <w:p>
      <w:pPr>
        <w:ind w:left="9200"/>
        <w:spacing w:after="0"/>
        <w:rPr>
          <w:sz w:val="20"/>
          <w:szCs w:val="20"/>
          <w:color w:val="auto"/>
        </w:rPr>
      </w:pPr>
      <w:r>
        <w:rPr>
          <w:rFonts w:ascii="Arial" w:cs="Arial" w:eastAsia="Arial" w:hAnsi="Arial"/>
          <w:sz w:val="13"/>
          <w:szCs w:val="13"/>
          <w:color w:val="auto"/>
        </w:rPr>
        <w:t>Larger expansion in volume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Loan Portfolio Quality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Portfolio Quality Ratios by Segment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2539365</wp:posOffset>
            </wp:positionV>
            <wp:extent cx="71577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121920</wp:posOffset>
            </wp:positionV>
            <wp:extent cx="6772275" cy="23145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2275" cy="2314575"/>
                    </a:xfrm>
                    <a:prstGeom prst="rect">
                      <a:avLst/>
                    </a:prstGeom>
                    <a:noFill/>
                  </pic:spPr>
                </pic:pic>
              </a:graphicData>
            </a:graphic>
          </wp:anchor>
        </w:drawing>
      </w:r>
    </w:p>
    <w:p>
      <w:pPr>
        <w:sectPr>
          <w:pgSz w:w="11920" w:h="16838" w:orient="portrait"/>
          <w:cols w:equalWidth="0" w:num="1">
            <w:col w:w="11260"/>
          </w:cols>
          <w:pgMar w:left="340" w:top="373" w:right="318" w:bottom="1440" w:gutter="0" w:footer="0" w:header="0"/>
        </w:sectPr>
      </w:pPr>
    </w:p>
    <w:bookmarkStart w:id="53" w:name="page54"/>
    <w:bookmarkEnd w:id="53"/>
    <w:p>
      <w:pPr>
        <w:jc w:val="both"/>
        <w:ind w:left="2640"/>
        <w:spacing w:after="0"/>
        <w:tabs>
          <w:tab w:leader="none" w:pos="2860" w:val="left"/>
          <w:tab w:leader="none" w:pos="946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7157720" cy="2228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12. Appendix</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135890</wp:posOffset>
            </wp:positionV>
            <wp:extent cx="5546090" cy="1929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4609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2570480</wp:posOffset>
            </wp:positionV>
            <wp:extent cx="71577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135890</wp:posOffset>
            </wp:positionV>
            <wp:extent cx="6764020" cy="23317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64020" cy="2331720"/>
                    </a:xfrm>
                    <a:prstGeom prst="rect">
                      <a:avLst/>
                    </a:prstGeom>
                    <a:noFill/>
                  </pic:spPr>
                </pic:pic>
              </a:graphicData>
            </a:graphic>
          </wp:anchor>
        </w:drawing>
      </w:r>
    </w:p>
    <w:p>
      <w:pPr>
        <w:sectPr>
          <w:pgSz w:w="11920" w:h="16838" w:orient="portrait"/>
          <w:cols w:equalWidth="0" w:num="1">
            <w:col w:w="11220"/>
          </w:cols>
          <w:pgMar w:left="380" w:top="373" w:right="318" w:bottom="1440" w:gutter="0" w:footer="0" w:header="0"/>
        </w:sectPr>
      </w:pPr>
    </w:p>
    <w:bookmarkStart w:id="54" w:name="page55"/>
    <w:bookmarkEnd w:id="54"/>
    <w:p>
      <w:pPr>
        <w:jc w:val="both"/>
        <w:ind w:left="2640"/>
        <w:spacing w:after="0"/>
        <w:tabs>
          <w:tab w:leader="none" w:pos="2860" w:val="left"/>
          <w:tab w:leader="none" w:pos="946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7157720" cy="222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12. Appendix</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135890</wp:posOffset>
            </wp:positionV>
            <wp:extent cx="5537835" cy="1937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3783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2587625</wp:posOffset>
            </wp:positionV>
            <wp:extent cx="71577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135890</wp:posOffset>
            </wp:positionV>
            <wp:extent cx="6764020" cy="2348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64020" cy="2348865"/>
                    </a:xfrm>
                    <a:prstGeom prst="rect">
                      <a:avLst/>
                    </a:prstGeom>
                    <a:noFill/>
                  </pic:spPr>
                </pic:pic>
              </a:graphicData>
            </a:graphic>
          </wp:anchor>
        </w:drawing>
      </w:r>
    </w:p>
    <w:p>
      <w:pPr>
        <w:sectPr>
          <w:pgSz w:w="11920" w:h="16838" w:orient="portrait"/>
          <w:cols w:equalWidth="0" w:num="1">
            <w:col w:w="11220"/>
          </w:cols>
          <w:pgMar w:left="380" w:top="373" w:right="318" w:bottom="1440" w:gutter="0" w:footer="0" w:header="0"/>
        </w:sectPr>
      </w:pPr>
    </w:p>
    <w:bookmarkStart w:id="55" w:name="page56"/>
    <w:bookmarkEnd w:id="55"/>
    <w:p>
      <w:pPr>
        <w:jc w:val="both"/>
        <w:ind w:left="2640"/>
        <w:spacing w:after="0"/>
        <w:tabs>
          <w:tab w:leader="none" w:pos="2860" w:val="left"/>
          <w:tab w:leader="none" w:pos="946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7157720" cy="2228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12. Appendix</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Credit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135890</wp:posOffset>
            </wp:positionV>
            <wp:extent cx="5358130" cy="18599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5813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135890</wp:posOffset>
            </wp:positionV>
            <wp:extent cx="5383530" cy="1800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8353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2639060</wp:posOffset>
            </wp:positionV>
            <wp:extent cx="71577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135890</wp:posOffset>
            </wp:positionV>
            <wp:extent cx="6764020" cy="24003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64020" cy="2400300"/>
                    </a:xfrm>
                    <a:prstGeom prst="rect">
                      <a:avLst/>
                    </a:prstGeom>
                    <a:noFill/>
                  </pic:spPr>
                </pic:pic>
              </a:graphicData>
            </a:graphic>
          </wp:anchor>
        </w:drawing>
      </w:r>
    </w:p>
    <w:p>
      <w:pPr>
        <w:sectPr>
          <w:pgSz w:w="11920" w:h="16838" w:orient="portrait"/>
          <w:cols w:equalWidth="0" w:num="1">
            <w:col w:w="11220"/>
          </w:cols>
          <w:pgMar w:left="380" w:top="373" w:right="318" w:bottom="1440" w:gutter="0" w:footer="0" w:header="0"/>
        </w:sectPr>
      </w:pPr>
    </w:p>
    <w:bookmarkStart w:id="56" w:name="page57"/>
    <w:bookmarkEnd w:id="56"/>
    <w:p>
      <w:pPr>
        <w:ind w:left="2680"/>
        <w:spacing w:after="0"/>
        <w:tabs>
          <w:tab w:leader="none" w:pos="2900" w:val="left"/>
          <w:tab w:leader="none" w:pos="9500" w:val="left"/>
        </w:tabs>
        <w:rPr>
          <w:sz w:val="20"/>
          <w:szCs w:val="20"/>
          <w:color w:val="auto"/>
        </w:rPr>
      </w:pPr>
      <w:r>
        <w:rPr>
          <w:rFonts w:ascii="Arial" w:cs="Arial" w:eastAsia="Arial" w:hAnsi="Arial"/>
          <w:sz w:val="16"/>
          <w:szCs w:val="16"/>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4457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4577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FF00FF"/>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57720" cy="2228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12. Appendix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Net Interest Income (NII)</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NII Summary</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52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Arial" w:cs="Arial" w:eastAsia="Arial" w:hAnsi="Arial"/>
                <w:sz w:val="12"/>
                <w:szCs w:val="12"/>
                <w:b w:val="1"/>
                <w:bCs w:val="1"/>
                <w:color w:val="FFFFFF"/>
              </w:rPr>
              <w:t>Net interest income</w:t>
            </w:r>
          </w:p>
        </w:tc>
        <w:tc>
          <w:tcPr>
            <w:tcW w:w="800" w:type="dxa"/>
            <w:vAlign w:val="bottom"/>
            <w:tcBorders>
              <w:top w:val="single" w:sz="8" w:color="auto"/>
            </w:tcBorders>
            <w:shd w:val="clear" w:color="auto" w:fill="33CCCC"/>
          </w:tcPr>
          <w:p>
            <w:pPr>
              <w:spacing w:after="0"/>
              <w:rPr>
                <w:sz w:val="14"/>
                <w:szCs w:val="14"/>
                <w:color w:val="auto"/>
              </w:rPr>
            </w:pPr>
          </w:p>
        </w:tc>
        <w:tc>
          <w:tcPr>
            <w:tcW w:w="86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2"/>
                <w:szCs w:val="12"/>
                <w:b w:val="1"/>
                <w:bCs w:val="1"/>
                <w:color w:val="FFFFFF"/>
              </w:rPr>
              <w:t>Quarter</w:t>
            </w:r>
          </w:p>
        </w:tc>
        <w:tc>
          <w:tcPr>
            <w:tcW w:w="820" w:type="dxa"/>
            <w:vAlign w:val="bottom"/>
            <w:tcBorders>
              <w:top w:val="single" w:sz="8" w:color="auto"/>
              <w:right w:val="single" w:sz="8" w:color="auto"/>
            </w:tcBorders>
            <w:shd w:val="clear" w:color="auto" w:fill="33CCCC"/>
          </w:tcPr>
          <w:p>
            <w:pPr>
              <w:spacing w:after="0"/>
              <w:rPr>
                <w:sz w:val="14"/>
                <w:szCs w:val="14"/>
                <w:color w:val="auto"/>
              </w:rPr>
            </w:pPr>
          </w:p>
        </w:tc>
        <w:tc>
          <w:tcPr>
            <w:tcW w:w="1700" w:type="dxa"/>
            <w:vAlign w:val="bottom"/>
            <w:tcBorders>
              <w:top w:val="single" w:sz="8" w:color="auto"/>
              <w:right w:val="single" w:sz="8" w:color="auto"/>
            </w:tcBorders>
            <w:gridSpan w:val="2"/>
            <w:shd w:val="clear" w:color="auto" w:fill="33CCCC"/>
          </w:tcPr>
          <w:p>
            <w:pPr>
              <w:ind w:left="560"/>
              <w:spacing w:after="0"/>
              <w:rPr>
                <w:sz w:val="20"/>
                <w:szCs w:val="20"/>
                <w:color w:val="auto"/>
              </w:rPr>
            </w:pPr>
            <w:r>
              <w:rPr>
                <w:rFonts w:ascii="Arial" w:cs="Arial" w:eastAsia="Arial" w:hAnsi="Arial"/>
                <w:sz w:val="12"/>
                <w:szCs w:val="12"/>
                <w:b w:val="1"/>
                <w:bCs w:val="1"/>
                <w:color w:val="FFFFFF"/>
              </w:rPr>
              <w:t>% change</w:t>
            </w:r>
          </w:p>
        </w:tc>
        <w:tc>
          <w:tcPr>
            <w:tcW w:w="1700" w:type="dxa"/>
            <w:vAlign w:val="bottom"/>
            <w:tcBorders>
              <w:top w:val="single" w:sz="8" w:color="auto"/>
              <w:right w:val="single" w:sz="8" w:color="auto"/>
            </w:tcBorders>
            <w:gridSpan w:val="2"/>
            <w:shd w:val="clear" w:color="auto" w:fill="33CCCC"/>
          </w:tcPr>
          <w:p>
            <w:pPr>
              <w:ind w:left="680"/>
              <w:spacing w:after="0"/>
              <w:rPr>
                <w:sz w:val="20"/>
                <w:szCs w:val="20"/>
                <w:color w:val="auto"/>
              </w:rPr>
            </w:pPr>
            <w:r>
              <w:rPr>
                <w:rFonts w:ascii="Arial" w:cs="Arial" w:eastAsia="Arial" w:hAnsi="Arial"/>
                <w:sz w:val="12"/>
                <w:szCs w:val="12"/>
                <w:b w:val="1"/>
                <w:bCs w:val="1"/>
                <w:color w:val="FFFFFF"/>
              </w:rPr>
              <w:t>Up to</w:t>
            </w:r>
          </w:p>
        </w:tc>
        <w:tc>
          <w:tcPr>
            <w:tcW w:w="8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6"/>
              </w:rPr>
              <w:t>% Change</w:t>
            </w:r>
          </w:p>
        </w:tc>
      </w:tr>
      <w:tr>
        <w:trPr>
          <w:trHeight w:val="149"/>
        </w:trPr>
        <w:tc>
          <w:tcPr>
            <w:tcW w:w="452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Arial" w:cs="Arial" w:eastAsia="Arial" w:hAnsi="Arial"/>
                <w:sz w:val="12"/>
                <w:szCs w:val="12"/>
                <w:b w:val="1"/>
                <w:bCs w:val="1"/>
                <w:color w:val="FFFFFF"/>
              </w:rPr>
              <w:t>S/000</w:t>
            </w:r>
          </w:p>
        </w:tc>
        <w:tc>
          <w:tcPr>
            <w:tcW w:w="8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4Q24</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3Q25</w:t>
            </w:r>
          </w:p>
        </w:tc>
        <w:tc>
          <w:tcPr>
            <w:tcW w:w="8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5"/>
              </w:rPr>
              <w:t>4Q25</w:t>
            </w:r>
          </w:p>
        </w:tc>
        <w:tc>
          <w:tcPr>
            <w:tcW w:w="840" w:type="dxa"/>
            <w:vAlign w:val="bottom"/>
            <w:tcBorders>
              <w:bottom w:val="single" w:sz="8" w:color="auto"/>
            </w:tcBorders>
            <w:shd w:val="clear" w:color="auto" w:fill="33CCCC"/>
          </w:tcPr>
          <w:p>
            <w:pPr>
              <w:jc w:val="center"/>
              <w:ind w:left="2"/>
              <w:spacing w:after="0"/>
              <w:rPr>
                <w:sz w:val="20"/>
                <w:szCs w:val="20"/>
                <w:color w:val="auto"/>
              </w:rPr>
            </w:pPr>
            <w:r>
              <w:rPr>
                <w:rFonts w:ascii="Arial" w:cs="Arial" w:eastAsia="Arial" w:hAnsi="Arial"/>
                <w:sz w:val="12"/>
                <w:szCs w:val="12"/>
                <w:b w:val="1"/>
                <w:bCs w:val="1"/>
                <w:color w:val="FFFFFF"/>
                <w:w w:val="99"/>
              </w:rPr>
              <w:t>QoQ</w:t>
            </w:r>
          </w:p>
        </w:tc>
        <w:tc>
          <w:tcPr>
            <w:tcW w:w="8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4"/>
              </w:rPr>
              <w:t>YoY</w:t>
            </w:r>
          </w:p>
        </w:tc>
        <w:tc>
          <w:tcPr>
            <w:tcW w:w="86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2"/>
                <w:szCs w:val="12"/>
                <w:b w:val="1"/>
                <w:bCs w:val="1"/>
                <w:color w:val="FFFFFF"/>
              </w:rPr>
              <w:t>Dec 24</w:t>
            </w:r>
          </w:p>
        </w:tc>
        <w:tc>
          <w:tcPr>
            <w:tcW w:w="840" w:type="dxa"/>
            <w:vAlign w:val="bottom"/>
            <w:tcBorders>
              <w:bottom w:val="single" w:sz="8" w:color="auto"/>
              <w:right w:val="single" w:sz="8" w:color="auto"/>
            </w:tcBorders>
            <w:shd w:val="clear" w:color="auto" w:fill="33CCCC"/>
          </w:tcPr>
          <w:p>
            <w:pPr>
              <w:ind w:left="220"/>
              <w:spacing w:after="0"/>
              <w:rPr>
                <w:sz w:val="20"/>
                <w:szCs w:val="20"/>
                <w:color w:val="auto"/>
              </w:rPr>
            </w:pPr>
            <w:r>
              <w:rPr>
                <w:rFonts w:ascii="Arial" w:cs="Arial" w:eastAsia="Arial" w:hAnsi="Arial"/>
                <w:sz w:val="12"/>
                <w:szCs w:val="12"/>
                <w:b w:val="1"/>
                <w:bCs w:val="1"/>
                <w:color w:val="FFFFFF"/>
              </w:rPr>
              <w:t>Dec 25</w:t>
            </w:r>
          </w:p>
        </w:tc>
        <w:tc>
          <w:tcPr>
            <w:tcW w:w="8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6"/>
              </w:rPr>
              <w:t>Dec 25 / Dec 24</w:t>
            </w:r>
          </w:p>
        </w:tc>
      </w:tr>
      <w:tr>
        <w:trPr>
          <w:trHeight w:val="144"/>
        </w:trPr>
        <w:tc>
          <w:tcPr>
            <w:tcW w:w="4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Interest income</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5,012,121</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7"/>
              </w:rPr>
              <w:t>4,987,693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5,125,394</w:t>
            </w:r>
          </w:p>
        </w:tc>
        <w:tc>
          <w:tcPr>
            <w:tcW w:w="840" w:type="dxa"/>
            <w:vAlign w:val="bottom"/>
          </w:tcPr>
          <w:p>
            <w:pPr>
              <w:jc w:val="center"/>
              <w:ind w:left="2"/>
              <w:spacing w:after="0"/>
              <w:rPr>
                <w:sz w:val="20"/>
                <w:szCs w:val="20"/>
                <w:color w:val="auto"/>
              </w:rPr>
            </w:pPr>
            <w:r>
              <w:rPr>
                <w:rFonts w:ascii="Arial" w:cs="Arial" w:eastAsia="Arial" w:hAnsi="Arial"/>
                <w:sz w:val="12"/>
                <w:szCs w:val="12"/>
                <w:b w:val="1"/>
                <w:bCs w:val="1"/>
                <w:color w:val="auto"/>
                <w:w w:val="94"/>
              </w:rPr>
              <w:t>2.8%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2.3%</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9"/>
              </w:rPr>
              <w:t>19,869,256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19,930,169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0.3%</w:t>
            </w:r>
          </w:p>
        </w:tc>
      </w:tr>
      <w:tr>
        <w:trPr>
          <w:trHeight w:val="149"/>
        </w:trPr>
        <w:tc>
          <w:tcPr>
            <w:tcW w:w="4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on loans</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3,940,002</w:t>
            </w:r>
          </w:p>
        </w:tc>
        <w:tc>
          <w:tcPr>
            <w:tcW w:w="860" w:type="dxa"/>
            <w:vAlign w:val="bottom"/>
          </w:tcPr>
          <w:p>
            <w:pPr>
              <w:jc w:val="center"/>
              <w:spacing w:after="0"/>
              <w:rPr>
                <w:sz w:val="20"/>
                <w:szCs w:val="20"/>
                <w:color w:val="auto"/>
              </w:rPr>
            </w:pPr>
            <w:r>
              <w:rPr>
                <w:rFonts w:ascii="Arial" w:cs="Arial" w:eastAsia="Arial" w:hAnsi="Arial"/>
                <w:sz w:val="12"/>
                <w:szCs w:val="12"/>
                <w:color w:val="auto"/>
                <w:w w:val="97"/>
              </w:rPr>
              <w:t>3,960,980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4,094,165</w:t>
            </w:r>
          </w:p>
        </w:tc>
        <w:tc>
          <w:tcPr>
            <w:tcW w:w="840" w:type="dxa"/>
            <w:vAlign w:val="bottom"/>
          </w:tcPr>
          <w:p>
            <w:pPr>
              <w:jc w:val="center"/>
              <w:ind w:left="2"/>
              <w:spacing w:after="0"/>
              <w:rPr>
                <w:sz w:val="20"/>
                <w:szCs w:val="20"/>
                <w:color w:val="auto"/>
              </w:rPr>
            </w:pPr>
            <w:r>
              <w:rPr>
                <w:rFonts w:ascii="Arial" w:cs="Arial" w:eastAsia="Arial" w:hAnsi="Arial"/>
                <w:sz w:val="12"/>
                <w:szCs w:val="12"/>
                <w:color w:val="auto"/>
                <w:w w:val="94"/>
              </w:rPr>
              <w:t>3.4%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3.9%</w:t>
            </w:r>
          </w:p>
        </w:tc>
        <w:tc>
          <w:tcPr>
            <w:tcW w:w="860" w:type="dxa"/>
            <w:vAlign w:val="bottom"/>
          </w:tcPr>
          <w:p>
            <w:pPr>
              <w:jc w:val="center"/>
              <w:spacing w:after="0"/>
              <w:rPr>
                <w:sz w:val="20"/>
                <w:szCs w:val="20"/>
                <w:color w:val="auto"/>
              </w:rPr>
            </w:pPr>
            <w:r>
              <w:rPr>
                <w:rFonts w:ascii="Arial" w:cs="Arial" w:eastAsia="Arial" w:hAnsi="Arial"/>
                <w:sz w:val="12"/>
                <w:szCs w:val="12"/>
                <w:color w:val="auto"/>
                <w:w w:val="99"/>
              </w:rPr>
              <w:t>15,654,390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15,743,509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0.6%</w:t>
            </w:r>
          </w:p>
        </w:tc>
      </w:tr>
      <w:tr>
        <w:trPr>
          <w:trHeight w:val="148"/>
        </w:trPr>
        <w:tc>
          <w:tcPr>
            <w:tcW w:w="4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Dividends on investments</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15,285</w:t>
            </w:r>
          </w:p>
        </w:tc>
        <w:tc>
          <w:tcPr>
            <w:tcW w:w="860" w:type="dxa"/>
            <w:vAlign w:val="bottom"/>
          </w:tcPr>
          <w:p>
            <w:pPr>
              <w:jc w:val="center"/>
              <w:spacing w:after="0"/>
              <w:rPr>
                <w:sz w:val="20"/>
                <w:szCs w:val="20"/>
                <w:color w:val="auto"/>
              </w:rPr>
            </w:pPr>
            <w:r>
              <w:rPr>
                <w:rFonts w:ascii="Arial" w:cs="Arial" w:eastAsia="Arial" w:hAnsi="Arial"/>
                <w:sz w:val="12"/>
                <w:szCs w:val="12"/>
                <w:color w:val="auto"/>
                <w:w w:val="92"/>
              </w:rPr>
              <w:t>19,179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20,064</w:t>
            </w:r>
          </w:p>
        </w:tc>
        <w:tc>
          <w:tcPr>
            <w:tcW w:w="840" w:type="dxa"/>
            <w:vAlign w:val="bottom"/>
          </w:tcPr>
          <w:p>
            <w:pPr>
              <w:jc w:val="center"/>
              <w:ind w:left="2"/>
              <w:spacing w:after="0"/>
              <w:rPr>
                <w:sz w:val="20"/>
                <w:szCs w:val="20"/>
                <w:color w:val="auto"/>
              </w:rPr>
            </w:pPr>
            <w:r>
              <w:rPr>
                <w:rFonts w:ascii="Arial" w:cs="Arial" w:eastAsia="Arial" w:hAnsi="Arial"/>
                <w:sz w:val="12"/>
                <w:szCs w:val="12"/>
                <w:color w:val="auto"/>
                <w:w w:val="94"/>
              </w:rPr>
              <w:t>4.6%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31.3%</w:t>
            </w:r>
          </w:p>
        </w:tc>
        <w:tc>
          <w:tcPr>
            <w:tcW w:w="860" w:type="dxa"/>
            <w:vAlign w:val="bottom"/>
          </w:tcPr>
          <w:p>
            <w:pPr>
              <w:jc w:val="center"/>
              <w:spacing w:after="0"/>
              <w:rPr>
                <w:sz w:val="20"/>
                <w:szCs w:val="20"/>
                <w:color w:val="auto"/>
              </w:rPr>
            </w:pPr>
            <w:r>
              <w:rPr>
                <w:rFonts w:ascii="Arial" w:cs="Arial" w:eastAsia="Arial" w:hAnsi="Arial"/>
                <w:sz w:val="12"/>
                <w:szCs w:val="12"/>
                <w:color w:val="auto"/>
                <w:w w:val="97"/>
              </w:rPr>
              <w:t>49,469</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87,275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76.4%</w:t>
            </w:r>
          </w:p>
        </w:tc>
      </w:tr>
      <w:tr>
        <w:trPr>
          <w:trHeight w:val="135"/>
        </w:trPr>
        <w:tc>
          <w:tcPr>
            <w:tcW w:w="452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Interest on deposits with banks</w:t>
            </w:r>
          </w:p>
        </w:tc>
        <w:tc>
          <w:tcPr>
            <w:tcW w:w="800" w:type="dxa"/>
            <w:vAlign w:val="bottom"/>
          </w:tcPr>
          <w:p>
            <w:pPr>
              <w:jc w:val="center"/>
              <w:spacing w:after="0" w:line="135" w:lineRule="exact"/>
              <w:rPr>
                <w:sz w:val="20"/>
                <w:szCs w:val="20"/>
                <w:color w:val="auto"/>
              </w:rPr>
            </w:pPr>
            <w:r>
              <w:rPr>
                <w:rFonts w:ascii="Arial" w:cs="Arial" w:eastAsia="Arial" w:hAnsi="Arial"/>
                <w:sz w:val="12"/>
                <w:szCs w:val="12"/>
                <w:color w:val="auto"/>
              </w:rPr>
              <w:t>386,205</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6"/>
              </w:rPr>
              <w:t>316,420</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rPr>
              <w:t>366,208</w:t>
            </w:r>
          </w:p>
        </w:tc>
        <w:tc>
          <w:tcPr>
            <w:tcW w:w="840" w:type="dxa"/>
            <w:vAlign w:val="bottom"/>
          </w:tcPr>
          <w:p>
            <w:pPr>
              <w:jc w:val="center"/>
              <w:ind w:left="2"/>
              <w:spacing w:after="0" w:line="135" w:lineRule="exact"/>
              <w:rPr>
                <w:sz w:val="20"/>
                <w:szCs w:val="20"/>
                <w:color w:val="auto"/>
              </w:rPr>
            </w:pPr>
            <w:r>
              <w:rPr>
                <w:rFonts w:ascii="Arial" w:cs="Arial" w:eastAsia="Arial" w:hAnsi="Arial"/>
                <w:sz w:val="12"/>
                <w:szCs w:val="12"/>
                <w:color w:val="auto"/>
                <w:w w:val="99"/>
              </w:rPr>
              <w:t>15.7%</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-5.2%</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7"/>
              </w:rPr>
              <w:t>1,405,854</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1,369,573</w:t>
            </w:r>
          </w:p>
        </w:tc>
        <w:tc>
          <w:tcPr>
            <w:tcW w:w="880" w:type="dxa"/>
            <w:vAlign w:val="bottom"/>
            <w:tcBorders>
              <w:right w:val="single" w:sz="8" w:color="auto"/>
            </w:tcBorders>
          </w:tcPr>
          <w:p>
            <w:pPr>
              <w:jc w:val="center"/>
              <w:ind w:right="2"/>
              <w:spacing w:after="0" w:line="135" w:lineRule="exact"/>
              <w:rPr>
                <w:sz w:val="20"/>
                <w:szCs w:val="20"/>
                <w:color w:val="auto"/>
              </w:rPr>
            </w:pPr>
            <w:r>
              <w:rPr>
                <w:rFonts w:ascii="Arial" w:cs="Arial" w:eastAsia="Arial" w:hAnsi="Arial"/>
                <w:sz w:val="12"/>
                <w:szCs w:val="12"/>
                <w:color w:val="auto"/>
                <w:w w:val="95"/>
              </w:rPr>
              <w:t>-2.6%</w:t>
            </w:r>
          </w:p>
        </w:tc>
      </w:tr>
      <w:tr>
        <w:trPr>
          <w:trHeight w:val="148"/>
        </w:trPr>
        <w:tc>
          <w:tcPr>
            <w:tcW w:w="4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Interest on securities</w:t>
            </w:r>
          </w:p>
        </w:tc>
        <w:tc>
          <w:tcPr>
            <w:tcW w:w="800" w:type="dxa"/>
            <w:vAlign w:val="bottom"/>
          </w:tcPr>
          <w:p>
            <w:pPr>
              <w:jc w:val="center"/>
              <w:spacing w:after="0"/>
              <w:rPr>
                <w:sz w:val="20"/>
                <w:szCs w:val="20"/>
                <w:color w:val="auto"/>
              </w:rPr>
            </w:pPr>
            <w:r>
              <w:rPr>
                <w:rFonts w:ascii="Arial" w:cs="Arial" w:eastAsia="Arial" w:hAnsi="Arial"/>
                <w:sz w:val="12"/>
                <w:szCs w:val="12"/>
                <w:color w:val="auto"/>
              </w:rPr>
              <w:t>652,155</w:t>
            </w:r>
          </w:p>
        </w:tc>
        <w:tc>
          <w:tcPr>
            <w:tcW w:w="860" w:type="dxa"/>
            <w:vAlign w:val="bottom"/>
          </w:tcPr>
          <w:p>
            <w:pPr>
              <w:jc w:val="center"/>
              <w:spacing w:after="0"/>
              <w:rPr>
                <w:sz w:val="20"/>
                <w:szCs w:val="20"/>
                <w:color w:val="auto"/>
              </w:rPr>
            </w:pPr>
            <w:r>
              <w:rPr>
                <w:rFonts w:ascii="Arial" w:cs="Arial" w:eastAsia="Arial" w:hAnsi="Arial"/>
                <w:sz w:val="12"/>
                <w:szCs w:val="12"/>
                <w:color w:val="auto"/>
                <w:w w:val="96"/>
              </w:rPr>
              <w:t>623,216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618,810</w:t>
            </w:r>
          </w:p>
        </w:tc>
        <w:tc>
          <w:tcPr>
            <w:tcW w:w="840" w:type="dxa"/>
            <w:vAlign w:val="bottom"/>
          </w:tcPr>
          <w:p>
            <w:pPr>
              <w:jc w:val="center"/>
              <w:ind w:left="2"/>
              <w:spacing w:after="0"/>
              <w:rPr>
                <w:sz w:val="20"/>
                <w:szCs w:val="20"/>
                <w:color w:val="auto"/>
              </w:rPr>
            </w:pPr>
            <w:r>
              <w:rPr>
                <w:rFonts w:ascii="Arial" w:cs="Arial" w:eastAsia="Arial" w:hAnsi="Arial"/>
                <w:sz w:val="12"/>
                <w:szCs w:val="12"/>
                <w:color w:val="auto"/>
                <w:w w:val="95"/>
              </w:rPr>
              <w:t>-0.7%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-5.1%</w:t>
            </w:r>
          </w:p>
        </w:tc>
        <w:tc>
          <w:tcPr>
            <w:tcW w:w="860" w:type="dxa"/>
            <w:vAlign w:val="bottom"/>
          </w:tcPr>
          <w:p>
            <w:pPr>
              <w:jc w:val="center"/>
              <w:spacing w:after="0"/>
              <w:rPr>
                <w:sz w:val="20"/>
                <w:szCs w:val="20"/>
                <w:color w:val="auto"/>
              </w:rPr>
            </w:pPr>
            <w:r>
              <w:rPr>
                <w:rFonts w:ascii="Arial" w:cs="Arial" w:eastAsia="Arial" w:hAnsi="Arial"/>
                <w:sz w:val="12"/>
                <w:szCs w:val="12"/>
                <w:color w:val="auto"/>
                <w:w w:val="97"/>
              </w:rPr>
              <w:t>2,660,322</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2,547,084</w:t>
            </w:r>
          </w:p>
        </w:tc>
        <w:tc>
          <w:tcPr>
            <w:tcW w:w="88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5"/>
              </w:rPr>
              <w:t>-4.3%</w:t>
            </w:r>
          </w:p>
        </w:tc>
      </w:tr>
      <w:tr>
        <w:trPr>
          <w:trHeight w:val="147"/>
        </w:trPr>
        <w:tc>
          <w:tcPr>
            <w:tcW w:w="4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Other interest income</w:t>
            </w:r>
          </w:p>
        </w:tc>
        <w:tc>
          <w:tcPr>
            <w:tcW w:w="800" w:type="dxa"/>
            <w:vAlign w:val="bottom"/>
          </w:tcPr>
          <w:p>
            <w:pPr>
              <w:jc w:val="center"/>
              <w:spacing w:after="0"/>
              <w:rPr>
                <w:sz w:val="20"/>
                <w:szCs w:val="20"/>
                <w:color w:val="auto"/>
              </w:rPr>
            </w:pPr>
            <w:r>
              <w:rPr>
                <w:rFonts w:ascii="Arial" w:cs="Arial" w:eastAsia="Arial" w:hAnsi="Arial"/>
                <w:sz w:val="12"/>
                <w:szCs w:val="12"/>
                <w:color w:val="auto"/>
                <w:w w:val="97"/>
              </w:rPr>
              <w:t>18,474</w:t>
            </w:r>
          </w:p>
        </w:tc>
        <w:tc>
          <w:tcPr>
            <w:tcW w:w="860" w:type="dxa"/>
            <w:vAlign w:val="bottom"/>
          </w:tcPr>
          <w:p>
            <w:pPr>
              <w:jc w:val="center"/>
              <w:spacing w:after="0"/>
              <w:rPr>
                <w:sz w:val="20"/>
                <w:szCs w:val="20"/>
                <w:color w:val="auto"/>
              </w:rPr>
            </w:pPr>
            <w:r>
              <w:rPr>
                <w:rFonts w:ascii="Arial" w:cs="Arial" w:eastAsia="Arial" w:hAnsi="Arial"/>
                <w:sz w:val="12"/>
                <w:szCs w:val="12"/>
                <w:color w:val="auto"/>
                <w:w w:val="92"/>
              </w:rPr>
              <w:t>67,898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26,147</w:t>
            </w:r>
          </w:p>
        </w:tc>
        <w:tc>
          <w:tcPr>
            <w:tcW w:w="840" w:type="dxa"/>
            <w:vAlign w:val="bottom"/>
          </w:tcPr>
          <w:p>
            <w:pPr>
              <w:jc w:val="center"/>
              <w:ind w:left="2"/>
              <w:spacing w:after="0"/>
              <w:rPr>
                <w:sz w:val="20"/>
                <w:szCs w:val="20"/>
                <w:color w:val="auto"/>
              </w:rPr>
            </w:pPr>
            <w:r>
              <w:rPr>
                <w:rFonts w:ascii="Arial" w:cs="Arial" w:eastAsia="Arial" w:hAnsi="Arial"/>
                <w:sz w:val="12"/>
                <w:szCs w:val="12"/>
                <w:color w:val="auto"/>
                <w:w w:val="99"/>
              </w:rPr>
              <w:t>-61.5%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41.5%</w:t>
            </w:r>
          </w:p>
        </w:tc>
        <w:tc>
          <w:tcPr>
            <w:tcW w:w="860" w:type="dxa"/>
            <w:vAlign w:val="bottom"/>
          </w:tcPr>
          <w:p>
            <w:pPr>
              <w:jc w:val="center"/>
              <w:spacing w:after="0"/>
              <w:rPr>
                <w:sz w:val="20"/>
                <w:szCs w:val="20"/>
                <w:color w:val="auto"/>
              </w:rPr>
            </w:pPr>
            <w:r>
              <w:rPr>
                <w:rFonts w:ascii="Arial" w:cs="Arial" w:eastAsia="Arial" w:hAnsi="Arial"/>
                <w:sz w:val="12"/>
                <w:szCs w:val="12"/>
                <w:color w:val="auto"/>
                <w:w w:val="97"/>
              </w:rPr>
              <w:t>99,221</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182,728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84.2%</w:t>
            </w:r>
          </w:p>
        </w:tc>
      </w:tr>
      <w:tr>
        <w:trPr>
          <w:trHeight w:val="148"/>
        </w:trPr>
        <w:tc>
          <w:tcPr>
            <w:tcW w:w="4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Interest expense</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1,382,327</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7"/>
              </w:rPr>
              <w:t>1,299,864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1,284,127</w:t>
            </w:r>
          </w:p>
        </w:tc>
        <w:tc>
          <w:tcPr>
            <w:tcW w:w="840" w:type="dxa"/>
            <w:vAlign w:val="bottom"/>
          </w:tcPr>
          <w:p>
            <w:pPr>
              <w:jc w:val="center"/>
              <w:ind w:left="2"/>
              <w:spacing w:after="0"/>
              <w:rPr>
                <w:sz w:val="20"/>
                <w:szCs w:val="20"/>
                <w:color w:val="auto"/>
              </w:rPr>
            </w:pPr>
            <w:r>
              <w:rPr>
                <w:rFonts w:ascii="Arial" w:cs="Arial" w:eastAsia="Arial" w:hAnsi="Arial"/>
                <w:sz w:val="12"/>
                <w:szCs w:val="12"/>
                <w:b w:val="1"/>
                <w:bCs w:val="1"/>
                <w:color w:val="auto"/>
                <w:w w:val="95"/>
              </w:rPr>
              <w:t>-1.2%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-7.1%</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7"/>
              </w:rPr>
              <w:t>5,754,125</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5,213,690</w:t>
            </w:r>
          </w:p>
        </w:tc>
        <w:tc>
          <w:tcPr>
            <w:tcW w:w="88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b w:val="1"/>
                <w:bCs w:val="1"/>
                <w:color w:val="auto"/>
                <w:w w:val="95"/>
              </w:rPr>
              <w:t>-9.4%</w:t>
            </w:r>
          </w:p>
        </w:tc>
      </w:tr>
      <w:tr>
        <w:trPr>
          <w:trHeight w:val="151"/>
        </w:trPr>
        <w:tc>
          <w:tcPr>
            <w:tcW w:w="45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Interest expense (excluding Net Insurance Financial Expenses)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1,250,239</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7"/>
              </w:rPr>
              <w:t>1,158,421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1,140,166</w:t>
            </w:r>
          </w:p>
        </w:tc>
        <w:tc>
          <w:tcPr>
            <w:tcW w:w="840" w:type="dxa"/>
            <w:vAlign w:val="bottom"/>
          </w:tcPr>
          <w:p>
            <w:pPr>
              <w:jc w:val="center"/>
              <w:ind w:left="2"/>
              <w:spacing w:after="0"/>
              <w:rPr>
                <w:sz w:val="20"/>
                <w:szCs w:val="20"/>
                <w:color w:val="auto"/>
              </w:rPr>
            </w:pPr>
            <w:r>
              <w:rPr>
                <w:rFonts w:ascii="Arial" w:cs="Arial" w:eastAsia="Arial" w:hAnsi="Arial"/>
                <w:sz w:val="12"/>
                <w:szCs w:val="12"/>
                <w:b w:val="1"/>
                <w:bCs w:val="1"/>
                <w:color w:val="auto"/>
                <w:w w:val="95"/>
              </w:rPr>
              <w:t>-1.6%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-8.8%</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7"/>
              </w:rPr>
              <w:t>5,246,769</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4,653,609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-11.3%</w:t>
            </w:r>
          </w:p>
        </w:tc>
      </w:tr>
      <w:tr>
        <w:trPr>
          <w:trHeight w:val="148"/>
        </w:trPr>
        <w:tc>
          <w:tcPr>
            <w:tcW w:w="4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Interest on deposits</w:t>
            </w:r>
          </w:p>
        </w:tc>
        <w:tc>
          <w:tcPr>
            <w:tcW w:w="800" w:type="dxa"/>
            <w:vAlign w:val="bottom"/>
          </w:tcPr>
          <w:p>
            <w:pPr>
              <w:jc w:val="center"/>
              <w:spacing w:after="0"/>
              <w:rPr>
                <w:sz w:val="20"/>
                <w:szCs w:val="20"/>
                <w:color w:val="auto"/>
              </w:rPr>
            </w:pPr>
            <w:r>
              <w:rPr>
                <w:rFonts w:ascii="Arial" w:cs="Arial" w:eastAsia="Arial" w:hAnsi="Arial"/>
                <w:sz w:val="12"/>
                <w:szCs w:val="12"/>
                <w:color w:val="auto"/>
              </w:rPr>
              <w:t>655,429</w:t>
            </w:r>
          </w:p>
        </w:tc>
        <w:tc>
          <w:tcPr>
            <w:tcW w:w="860" w:type="dxa"/>
            <w:vAlign w:val="bottom"/>
          </w:tcPr>
          <w:p>
            <w:pPr>
              <w:jc w:val="center"/>
              <w:spacing w:after="0"/>
              <w:rPr>
                <w:sz w:val="20"/>
                <w:szCs w:val="20"/>
                <w:color w:val="auto"/>
              </w:rPr>
            </w:pPr>
            <w:r>
              <w:rPr>
                <w:rFonts w:ascii="Arial" w:cs="Arial" w:eastAsia="Arial" w:hAnsi="Arial"/>
                <w:sz w:val="12"/>
                <w:szCs w:val="12"/>
                <w:color w:val="auto"/>
                <w:w w:val="96"/>
              </w:rPr>
              <w:t>565,344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577,645</w:t>
            </w:r>
          </w:p>
        </w:tc>
        <w:tc>
          <w:tcPr>
            <w:tcW w:w="840" w:type="dxa"/>
            <w:vAlign w:val="bottom"/>
          </w:tcPr>
          <w:p>
            <w:pPr>
              <w:jc w:val="center"/>
              <w:ind w:left="2"/>
              <w:spacing w:after="0"/>
              <w:rPr>
                <w:sz w:val="20"/>
                <w:szCs w:val="20"/>
                <w:color w:val="auto"/>
              </w:rPr>
            </w:pPr>
            <w:r>
              <w:rPr>
                <w:rFonts w:ascii="Arial" w:cs="Arial" w:eastAsia="Arial" w:hAnsi="Arial"/>
                <w:sz w:val="12"/>
                <w:szCs w:val="12"/>
                <w:color w:val="auto"/>
                <w:w w:val="94"/>
              </w:rPr>
              <w:t>2.2%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-11.9%</w:t>
            </w:r>
          </w:p>
        </w:tc>
        <w:tc>
          <w:tcPr>
            <w:tcW w:w="860" w:type="dxa"/>
            <w:vAlign w:val="bottom"/>
          </w:tcPr>
          <w:p>
            <w:pPr>
              <w:jc w:val="center"/>
              <w:spacing w:after="0"/>
              <w:rPr>
                <w:sz w:val="20"/>
                <w:szCs w:val="20"/>
                <w:color w:val="auto"/>
              </w:rPr>
            </w:pPr>
            <w:r>
              <w:rPr>
                <w:rFonts w:ascii="Arial" w:cs="Arial" w:eastAsia="Arial" w:hAnsi="Arial"/>
                <w:sz w:val="12"/>
                <w:szCs w:val="12"/>
                <w:color w:val="auto"/>
                <w:w w:val="97"/>
              </w:rPr>
              <w:t>2,850,474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2,303,616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-19.2%</w:t>
            </w:r>
          </w:p>
        </w:tc>
      </w:tr>
      <w:tr>
        <w:trPr>
          <w:trHeight w:val="148"/>
        </w:trPr>
        <w:tc>
          <w:tcPr>
            <w:tcW w:w="4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Interest on borrowed funds</w:t>
            </w:r>
          </w:p>
        </w:tc>
        <w:tc>
          <w:tcPr>
            <w:tcW w:w="800" w:type="dxa"/>
            <w:vAlign w:val="bottom"/>
          </w:tcPr>
          <w:p>
            <w:pPr>
              <w:jc w:val="center"/>
              <w:spacing w:after="0"/>
              <w:rPr>
                <w:sz w:val="20"/>
                <w:szCs w:val="20"/>
                <w:color w:val="auto"/>
              </w:rPr>
            </w:pPr>
            <w:r>
              <w:rPr>
                <w:rFonts w:ascii="Arial" w:cs="Arial" w:eastAsia="Arial" w:hAnsi="Arial"/>
                <w:sz w:val="12"/>
                <w:szCs w:val="12"/>
                <w:color w:val="auto"/>
              </w:rPr>
              <w:t>286,638</w:t>
            </w:r>
          </w:p>
        </w:tc>
        <w:tc>
          <w:tcPr>
            <w:tcW w:w="860" w:type="dxa"/>
            <w:vAlign w:val="bottom"/>
          </w:tcPr>
          <w:p>
            <w:pPr>
              <w:jc w:val="center"/>
              <w:spacing w:after="0"/>
              <w:rPr>
                <w:sz w:val="20"/>
                <w:szCs w:val="20"/>
                <w:color w:val="auto"/>
              </w:rPr>
            </w:pPr>
            <w:r>
              <w:rPr>
                <w:rFonts w:ascii="Arial" w:cs="Arial" w:eastAsia="Arial" w:hAnsi="Arial"/>
                <w:sz w:val="12"/>
                <w:szCs w:val="12"/>
                <w:color w:val="auto"/>
                <w:w w:val="96"/>
              </w:rPr>
              <w:t>252,490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245,191</w:t>
            </w:r>
          </w:p>
        </w:tc>
        <w:tc>
          <w:tcPr>
            <w:tcW w:w="840" w:type="dxa"/>
            <w:vAlign w:val="bottom"/>
          </w:tcPr>
          <w:p>
            <w:pPr>
              <w:jc w:val="center"/>
              <w:ind w:left="2"/>
              <w:spacing w:after="0"/>
              <w:rPr>
                <w:sz w:val="20"/>
                <w:szCs w:val="20"/>
                <w:color w:val="auto"/>
              </w:rPr>
            </w:pPr>
            <w:r>
              <w:rPr>
                <w:rFonts w:ascii="Arial" w:cs="Arial" w:eastAsia="Arial" w:hAnsi="Arial"/>
                <w:sz w:val="12"/>
                <w:szCs w:val="12"/>
                <w:color w:val="auto"/>
                <w:w w:val="95"/>
              </w:rPr>
              <w:t>-2.9%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-14.5%</w:t>
            </w:r>
          </w:p>
        </w:tc>
        <w:tc>
          <w:tcPr>
            <w:tcW w:w="860" w:type="dxa"/>
            <w:vAlign w:val="bottom"/>
          </w:tcPr>
          <w:p>
            <w:pPr>
              <w:jc w:val="center"/>
              <w:spacing w:after="0"/>
              <w:rPr>
                <w:sz w:val="20"/>
                <w:szCs w:val="20"/>
                <w:color w:val="auto"/>
              </w:rPr>
            </w:pPr>
            <w:r>
              <w:rPr>
                <w:rFonts w:ascii="Arial" w:cs="Arial" w:eastAsia="Arial" w:hAnsi="Arial"/>
                <w:sz w:val="12"/>
                <w:szCs w:val="12"/>
                <w:color w:val="auto"/>
                <w:w w:val="97"/>
              </w:rPr>
              <w:t>1,081,126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1,029,593</w:t>
            </w:r>
          </w:p>
        </w:tc>
        <w:tc>
          <w:tcPr>
            <w:tcW w:w="880" w:type="dxa"/>
            <w:vAlign w:val="bottom"/>
            <w:tcBorders>
              <w:right w:val="single" w:sz="8" w:color="auto"/>
            </w:tcBorders>
          </w:tcPr>
          <w:p>
            <w:pPr>
              <w:jc w:val="center"/>
              <w:ind w:right="2"/>
              <w:spacing w:after="0"/>
              <w:rPr>
                <w:sz w:val="20"/>
                <w:szCs w:val="20"/>
                <w:color w:val="auto"/>
              </w:rPr>
            </w:pPr>
            <w:r>
              <w:rPr>
                <w:rFonts w:ascii="Arial" w:cs="Arial" w:eastAsia="Arial" w:hAnsi="Arial"/>
                <w:sz w:val="12"/>
                <w:szCs w:val="12"/>
                <w:color w:val="auto"/>
                <w:w w:val="95"/>
              </w:rPr>
              <w:t>-4.8%</w:t>
            </w:r>
          </w:p>
        </w:tc>
      </w:tr>
      <w:tr>
        <w:trPr>
          <w:trHeight w:val="135"/>
        </w:trPr>
        <w:tc>
          <w:tcPr>
            <w:tcW w:w="452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Interest on bonds and subordinated notes</w:t>
            </w:r>
          </w:p>
        </w:tc>
        <w:tc>
          <w:tcPr>
            <w:tcW w:w="800" w:type="dxa"/>
            <w:vAlign w:val="bottom"/>
          </w:tcPr>
          <w:p>
            <w:pPr>
              <w:jc w:val="center"/>
              <w:spacing w:after="0" w:line="135" w:lineRule="exact"/>
              <w:rPr>
                <w:sz w:val="20"/>
                <w:szCs w:val="20"/>
                <w:color w:val="auto"/>
              </w:rPr>
            </w:pPr>
            <w:r>
              <w:rPr>
                <w:rFonts w:ascii="Arial" w:cs="Arial" w:eastAsia="Arial" w:hAnsi="Arial"/>
                <w:sz w:val="12"/>
                <w:szCs w:val="12"/>
                <w:color w:val="auto"/>
              </w:rPr>
              <w:t>201,053</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96"/>
              </w:rPr>
              <w:t>164,653</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rPr>
              <w:t>184,588</w:t>
            </w:r>
          </w:p>
        </w:tc>
        <w:tc>
          <w:tcPr>
            <w:tcW w:w="840" w:type="dxa"/>
            <w:vAlign w:val="bottom"/>
          </w:tcPr>
          <w:p>
            <w:pPr>
              <w:jc w:val="center"/>
              <w:ind w:left="2"/>
              <w:spacing w:after="0" w:line="135" w:lineRule="exact"/>
              <w:rPr>
                <w:sz w:val="20"/>
                <w:szCs w:val="20"/>
                <w:color w:val="auto"/>
              </w:rPr>
            </w:pPr>
            <w:r>
              <w:rPr>
                <w:rFonts w:ascii="Arial" w:cs="Arial" w:eastAsia="Arial" w:hAnsi="Arial"/>
                <w:sz w:val="12"/>
                <w:szCs w:val="12"/>
                <w:color w:val="auto"/>
                <w:w w:val="99"/>
              </w:rPr>
              <w:t>12.1%</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-8.2%</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rPr>
              <w:t>799,223</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710,390</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-11.1%</w:t>
            </w:r>
          </w:p>
        </w:tc>
      </w:tr>
      <w:tr>
        <w:trPr>
          <w:trHeight w:val="147"/>
        </w:trPr>
        <w:tc>
          <w:tcPr>
            <w:tcW w:w="4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Other interest expense</w:t>
            </w:r>
          </w:p>
        </w:tc>
        <w:tc>
          <w:tcPr>
            <w:tcW w:w="800" w:type="dxa"/>
            <w:vAlign w:val="bottom"/>
          </w:tcPr>
          <w:p>
            <w:pPr>
              <w:jc w:val="center"/>
              <w:spacing w:after="0"/>
              <w:rPr>
                <w:sz w:val="20"/>
                <w:szCs w:val="20"/>
                <w:color w:val="auto"/>
              </w:rPr>
            </w:pPr>
            <w:r>
              <w:rPr>
                <w:rFonts w:ascii="Arial" w:cs="Arial" w:eastAsia="Arial" w:hAnsi="Arial"/>
                <w:sz w:val="12"/>
                <w:szCs w:val="12"/>
                <w:color w:val="auto"/>
                <w:w w:val="92"/>
              </w:rPr>
              <w:t>107,119</w:t>
            </w:r>
          </w:p>
        </w:tc>
        <w:tc>
          <w:tcPr>
            <w:tcW w:w="860" w:type="dxa"/>
            <w:vAlign w:val="bottom"/>
          </w:tcPr>
          <w:p>
            <w:pPr>
              <w:jc w:val="center"/>
              <w:spacing w:after="0"/>
              <w:rPr>
                <w:sz w:val="20"/>
                <w:szCs w:val="20"/>
                <w:color w:val="auto"/>
              </w:rPr>
            </w:pPr>
            <w:r>
              <w:rPr>
                <w:rFonts w:ascii="Arial" w:cs="Arial" w:eastAsia="Arial" w:hAnsi="Arial"/>
                <w:sz w:val="12"/>
                <w:szCs w:val="12"/>
                <w:color w:val="auto"/>
                <w:w w:val="96"/>
              </w:rPr>
              <w:t>175,934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132,742</w:t>
            </w:r>
          </w:p>
        </w:tc>
        <w:tc>
          <w:tcPr>
            <w:tcW w:w="840" w:type="dxa"/>
            <w:vAlign w:val="bottom"/>
          </w:tcPr>
          <w:p>
            <w:pPr>
              <w:jc w:val="center"/>
              <w:ind w:left="2"/>
              <w:spacing w:after="0"/>
              <w:rPr>
                <w:sz w:val="20"/>
                <w:szCs w:val="20"/>
                <w:color w:val="auto"/>
              </w:rPr>
            </w:pPr>
            <w:r>
              <w:rPr>
                <w:rFonts w:ascii="Arial" w:cs="Arial" w:eastAsia="Arial" w:hAnsi="Arial"/>
                <w:sz w:val="12"/>
                <w:szCs w:val="12"/>
                <w:color w:val="auto"/>
                <w:w w:val="99"/>
              </w:rPr>
              <w:t>-24.6%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23.9%</w:t>
            </w:r>
          </w:p>
        </w:tc>
        <w:tc>
          <w:tcPr>
            <w:tcW w:w="860" w:type="dxa"/>
            <w:vAlign w:val="bottom"/>
          </w:tcPr>
          <w:p>
            <w:pPr>
              <w:jc w:val="center"/>
              <w:spacing w:after="0"/>
              <w:rPr>
                <w:sz w:val="20"/>
                <w:szCs w:val="20"/>
                <w:color w:val="auto"/>
              </w:rPr>
            </w:pPr>
            <w:r>
              <w:rPr>
                <w:rFonts w:ascii="Arial" w:cs="Arial" w:eastAsia="Arial" w:hAnsi="Arial"/>
                <w:sz w:val="12"/>
                <w:szCs w:val="12"/>
                <w:color w:val="auto"/>
              </w:rPr>
              <w:t>515,946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610,010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18.2%</w:t>
            </w:r>
          </w:p>
        </w:tc>
      </w:tr>
      <w:tr>
        <w:trPr>
          <w:trHeight w:val="149"/>
        </w:trPr>
        <w:tc>
          <w:tcPr>
            <w:tcW w:w="4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Net Insurance Financial Expenses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132,088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141,443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143,961</w:t>
            </w:r>
          </w:p>
        </w:tc>
        <w:tc>
          <w:tcPr>
            <w:tcW w:w="84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4"/>
              </w:rPr>
              <w:t>1.8%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9.0%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507,356</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560,081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10.4%</w:t>
            </w:r>
          </w:p>
        </w:tc>
      </w:tr>
      <w:tr>
        <w:trPr>
          <w:trHeight w:val="142"/>
        </w:trPr>
        <w:tc>
          <w:tcPr>
            <w:tcW w:w="45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interest, similar income and expenses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3,629,794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3,687,829</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3,841,267</w:t>
            </w:r>
          </w:p>
        </w:tc>
        <w:tc>
          <w:tcPr>
            <w:tcW w:w="84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4"/>
              </w:rPr>
              <w:t>4.2%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5.8%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14,115,131</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14,716,479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4.3%</w:t>
            </w:r>
          </w:p>
        </w:tc>
      </w:tr>
      <w:tr>
        <w:trPr>
          <w:trHeight w:val="142"/>
        </w:trPr>
        <w:tc>
          <w:tcPr>
            <w:tcW w:w="45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Provision for credit losses on loan portfolio, net of recoveries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743,296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602,918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646,286</w:t>
            </w:r>
          </w:p>
        </w:tc>
        <w:tc>
          <w:tcPr>
            <w:tcW w:w="84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4"/>
              </w:rPr>
              <w:t>7.2%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3,519,447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2,406,256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-31.6%</w:t>
            </w:r>
          </w:p>
        </w:tc>
      </w:tr>
      <w:tr>
        <w:trPr>
          <w:trHeight w:val="128"/>
        </w:trPr>
        <w:tc>
          <w:tcPr>
            <w:tcW w:w="4520" w:type="dxa"/>
            <w:vAlign w:val="bottom"/>
            <w:tcBorders>
              <w:left w:val="single" w:sz="8" w:color="auto"/>
              <w:right w:val="single" w:sz="8" w:color="auto"/>
            </w:tcBorders>
          </w:tcPr>
          <w:p>
            <w:pPr>
              <w:spacing w:after="0" w:line="128" w:lineRule="exact"/>
              <w:rPr>
                <w:sz w:val="20"/>
                <w:szCs w:val="20"/>
                <w:color w:val="auto"/>
              </w:rPr>
            </w:pPr>
            <w:r>
              <w:rPr>
                <w:rFonts w:ascii="Arial" w:cs="Arial" w:eastAsia="Arial" w:hAnsi="Arial"/>
                <w:sz w:val="12"/>
                <w:szCs w:val="12"/>
                <w:b w:val="1"/>
                <w:bCs w:val="1"/>
                <w:color w:val="auto"/>
              </w:rPr>
              <w:t>Net interest, similar income and expenses, after provision for credit losses on</w:t>
            </w:r>
          </w:p>
        </w:tc>
        <w:tc>
          <w:tcPr>
            <w:tcW w:w="8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2,886,498</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3,084,911</w:t>
            </w:r>
          </w:p>
        </w:tc>
        <w:tc>
          <w:tcPr>
            <w:tcW w:w="82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7"/>
              </w:rPr>
              <w:t>3,194,981</w:t>
            </w:r>
          </w:p>
        </w:tc>
        <w:tc>
          <w:tcPr>
            <w:tcW w:w="840" w:type="dxa"/>
            <w:vAlign w:val="bottom"/>
          </w:tcPr>
          <w:p>
            <w:pPr>
              <w:jc w:val="center"/>
              <w:ind w:left="2"/>
              <w:spacing w:after="0" w:line="128" w:lineRule="exact"/>
              <w:rPr>
                <w:sz w:val="20"/>
                <w:szCs w:val="20"/>
                <w:color w:val="auto"/>
              </w:rPr>
            </w:pPr>
            <w:r>
              <w:rPr>
                <w:rFonts w:ascii="Arial" w:cs="Arial" w:eastAsia="Arial" w:hAnsi="Arial"/>
                <w:sz w:val="12"/>
                <w:szCs w:val="12"/>
                <w:b w:val="1"/>
                <w:bCs w:val="1"/>
                <w:color w:val="auto"/>
                <w:w w:val="94"/>
              </w:rPr>
              <w:t>3.6%</w:t>
            </w:r>
          </w:p>
        </w:tc>
        <w:tc>
          <w:tcPr>
            <w:tcW w:w="8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9"/>
              </w:rPr>
              <w:t>10.7%</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10,595,684</w:t>
            </w:r>
          </w:p>
        </w:tc>
        <w:tc>
          <w:tcPr>
            <w:tcW w:w="84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9"/>
              </w:rPr>
              <w:t>12,310,223</w:t>
            </w:r>
          </w:p>
        </w:tc>
        <w:tc>
          <w:tcPr>
            <w:tcW w:w="88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3"/>
              </w:rPr>
              <w:t>16.2%</w:t>
            </w:r>
          </w:p>
        </w:tc>
      </w:tr>
      <w:tr>
        <w:trPr>
          <w:trHeight w:val="149"/>
        </w:trPr>
        <w:tc>
          <w:tcPr>
            <w:tcW w:w="45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 portfolio</w:t>
            </w:r>
          </w:p>
        </w:tc>
        <w:tc>
          <w:tcPr>
            <w:tcW w:w="8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r>
      <w:tr>
        <w:trPr>
          <w:trHeight w:val="142"/>
        </w:trPr>
        <w:tc>
          <w:tcPr>
            <w:tcW w:w="45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Average interest earning assets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237,518,087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233,285,291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240,783,785</w:t>
            </w:r>
          </w:p>
        </w:tc>
        <w:tc>
          <w:tcPr>
            <w:tcW w:w="84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color w:val="auto"/>
                <w:w w:val="94"/>
              </w:rPr>
              <w:t>3.2%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1.4%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232,646,024</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243,536,579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4.7%</w:t>
            </w:r>
          </w:p>
        </w:tc>
      </w:tr>
      <w:tr>
        <w:trPr>
          <w:trHeight w:val="136"/>
        </w:trPr>
        <w:tc>
          <w:tcPr>
            <w:tcW w:w="4520" w:type="dxa"/>
            <w:vAlign w:val="bottom"/>
            <w:tcBorders>
              <w:left w:val="single" w:sz="8" w:color="auto"/>
              <w:right w:val="single" w:sz="8" w:color="auto"/>
            </w:tcBorders>
          </w:tcPr>
          <w:p>
            <w:pPr>
              <w:spacing w:after="0" w:line="136" w:lineRule="exact"/>
              <w:rPr>
                <w:sz w:val="20"/>
                <w:szCs w:val="20"/>
                <w:color w:val="auto"/>
              </w:rPr>
            </w:pPr>
            <w:r>
              <w:rPr>
                <w:rFonts w:ascii="Arial" w:cs="Arial" w:eastAsia="Arial" w:hAnsi="Arial"/>
                <w:sz w:val="10"/>
                <w:szCs w:val="10"/>
                <w:b w:val="1"/>
                <w:bCs w:val="1"/>
                <w:color w:val="auto"/>
              </w:rPr>
              <w:t xml:space="preserve">Net interest margin </w:t>
            </w:r>
            <w:r>
              <w:rPr>
                <w:rFonts w:ascii="Arial" w:cs="Arial" w:eastAsia="Arial" w:hAnsi="Arial"/>
                <w:sz w:val="15"/>
                <w:szCs w:val="15"/>
                <w:b w:val="1"/>
                <w:bCs w:val="1"/>
                <w:color w:val="auto"/>
                <w:vertAlign w:val="superscript"/>
              </w:rPr>
              <w:t>(1)</w:t>
            </w:r>
          </w:p>
        </w:tc>
        <w:tc>
          <w:tcPr>
            <w:tcW w:w="80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3"/>
              </w:rPr>
              <w:t>6.34%</w:t>
            </w:r>
          </w:p>
        </w:tc>
        <w:tc>
          <w:tcPr>
            <w:tcW w:w="8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9"/>
              </w:rPr>
              <w:t>6.57%</w:t>
            </w:r>
          </w:p>
        </w:tc>
        <w:tc>
          <w:tcPr>
            <w:tcW w:w="8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w w:val="93"/>
              </w:rPr>
              <w:t>6.62%</w:t>
            </w:r>
          </w:p>
        </w:tc>
        <w:tc>
          <w:tcPr>
            <w:tcW w:w="840" w:type="dxa"/>
            <w:vAlign w:val="bottom"/>
          </w:tcPr>
          <w:p>
            <w:pPr>
              <w:jc w:val="center"/>
              <w:ind w:left="2"/>
              <w:spacing w:after="0" w:line="137" w:lineRule="exact"/>
              <w:rPr>
                <w:sz w:val="20"/>
                <w:szCs w:val="20"/>
                <w:color w:val="auto"/>
              </w:rPr>
            </w:pPr>
            <w:r>
              <w:rPr>
                <w:rFonts w:ascii="Arial" w:cs="Arial" w:eastAsia="Arial" w:hAnsi="Arial"/>
                <w:sz w:val="12"/>
                <w:szCs w:val="12"/>
                <w:b w:val="1"/>
                <w:bCs w:val="1"/>
                <w:color w:val="auto"/>
                <w:w w:val="95"/>
              </w:rPr>
              <w:t>5 bps</w:t>
            </w:r>
          </w:p>
        </w:tc>
        <w:tc>
          <w:tcPr>
            <w:tcW w:w="8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w w:val="99"/>
              </w:rPr>
              <w:t>28 bps</w:t>
            </w:r>
          </w:p>
        </w:tc>
        <w:tc>
          <w:tcPr>
            <w:tcW w:w="8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3"/>
              </w:rPr>
              <w:t>6.29%</w:t>
            </w:r>
          </w:p>
        </w:tc>
        <w:tc>
          <w:tcPr>
            <w:tcW w:w="84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w w:val="93"/>
              </w:rPr>
              <w:t>6.27%</w:t>
            </w:r>
          </w:p>
        </w:tc>
        <w:tc>
          <w:tcPr>
            <w:tcW w:w="880" w:type="dxa"/>
            <w:vAlign w:val="bottom"/>
            <w:tcBorders>
              <w:right w:val="single" w:sz="8" w:color="auto"/>
            </w:tcBorders>
          </w:tcPr>
          <w:p>
            <w:pPr>
              <w:jc w:val="center"/>
              <w:ind w:right="2"/>
              <w:spacing w:after="0" w:line="137" w:lineRule="exact"/>
              <w:rPr>
                <w:sz w:val="20"/>
                <w:szCs w:val="20"/>
                <w:color w:val="auto"/>
              </w:rPr>
            </w:pPr>
            <w:r>
              <w:rPr>
                <w:rFonts w:ascii="Arial" w:cs="Arial" w:eastAsia="Arial" w:hAnsi="Arial"/>
                <w:sz w:val="12"/>
                <w:szCs w:val="12"/>
                <w:b w:val="1"/>
                <w:bCs w:val="1"/>
                <w:color w:val="auto"/>
                <w:w w:val="96"/>
              </w:rPr>
              <w:t>-2 bps</w:t>
            </w:r>
          </w:p>
        </w:tc>
      </w:tr>
      <w:tr>
        <w:trPr>
          <w:trHeight w:val="135"/>
        </w:trPr>
        <w:tc>
          <w:tcPr>
            <w:tcW w:w="452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0"/>
                <w:szCs w:val="10"/>
                <w:b w:val="1"/>
                <w:bCs w:val="1"/>
                <w:color w:val="auto"/>
              </w:rPr>
              <w:t xml:space="preserve">Risk-adjusted Net interest margin </w:t>
            </w:r>
            <w:r>
              <w:rPr>
                <w:rFonts w:ascii="Arial" w:cs="Arial" w:eastAsia="Arial" w:hAnsi="Arial"/>
                <w:sz w:val="15"/>
                <w:szCs w:val="15"/>
                <w:b w:val="1"/>
                <w:bCs w:val="1"/>
                <w:color w:val="auto"/>
                <w:vertAlign w:val="superscript"/>
              </w:rPr>
              <w:t>(1)</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5.08%</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5.53%</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3"/>
              </w:rPr>
              <w:t>5.55%</w:t>
            </w:r>
          </w:p>
        </w:tc>
        <w:tc>
          <w:tcPr>
            <w:tcW w:w="84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auto"/>
                <w:w w:val="95"/>
              </w:rPr>
              <w:t>2 bps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9"/>
              </w:rPr>
              <w:t>47 bps</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4.77%</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3"/>
              </w:rPr>
              <w:t>5.28%</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4"/>
              </w:rPr>
              <w:t>51 bps</w:t>
            </w:r>
          </w:p>
        </w:tc>
      </w:tr>
      <w:tr>
        <w:trPr>
          <w:trHeight w:val="154"/>
        </w:trPr>
        <w:tc>
          <w:tcPr>
            <w:tcW w:w="4520" w:type="dxa"/>
            <w:vAlign w:val="bottom"/>
            <w:tcBorders>
              <w:left w:val="single" w:sz="8" w:color="auto"/>
              <w:bottom w:val="single" w:sz="8" w:color="auto"/>
              <w:right w:val="single" w:sz="8" w:color="auto"/>
            </w:tcBorders>
          </w:tcPr>
          <w:p>
            <w:pPr>
              <w:spacing w:after="0" w:line="154" w:lineRule="exact"/>
              <w:rPr>
                <w:sz w:val="20"/>
                <w:szCs w:val="20"/>
                <w:color w:val="auto"/>
              </w:rPr>
            </w:pPr>
            <w:r>
              <w:rPr>
                <w:rFonts w:ascii="Arial" w:cs="Arial" w:eastAsia="Arial" w:hAnsi="Arial"/>
                <w:sz w:val="11"/>
                <w:szCs w:val="11"/>
                <w:b w:val="1"/>
                <w:bCs w:val="1"/>
                <w:color w:val="auto"/>
              </w:rPr>
              <w:t xml:space="preserve">Net provisions for loan losses / Net interest income </w:t>
            </w:r>
            <w:r>
              <w:rPr>
                <w:rFonts w:ascii="Arial" w:cs="Arial" w:eastAsia="Arial" w:hAnsi="Arial"/>
                <w:sz w:val="17"/>
                <w:szCs w:val="17"/>
                <w:b w:val="1"/>
                <w:bCs w:val="1"/>
                <w:color w:val="auto"/>
                <w:vertAlign w:val="superscript"/>
              </w:rPr>
              <w:t>(1)</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20.48%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16.35%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16.82%</w:t>
            </w:r>
          </w:p>
        </w:tc>
        <w:tc>
          <w:tcPr>
            <w:tcW w:w="84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9"/>
              </w:rPr>
              <w:t>47 bps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-366 bps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24.9%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16.4%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-858 bps</w:t>
            </w:r>
          </w:p>
        </w:tc>
      </w:tr>
    </w:tbl>
    <w:p>
      <w:pPr>
        <w:spacing w:after="0" w:line="16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 Annualized. For further detail on the NIM calculation due to IFRS17, please refer to Annex 12.8.</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Net Interest Margin (NIM) and Risk-Adjusted NIM by Subsidiary</w:t>
      </w:r>
    </w:p>
    <w:p>
      <w:pPr>
        <w:spacing w:after="0" w:line="149" w:lineRule="exact"/>
        <w:rPr>
          <w:sz w:val="20"/>
          <w:szCs w:val="20"/>
          <w:color w:val="auto"/>
        </w:rPr>
      </w:pPr>
    </w:p>
    <w:tbl>
      <w:tblPr>
        <w:tblLayout w:type="fixed"/>
        <w:tblInd w:w="2250" w:type="dxa"/>
        <w:tblCellMar>
          <w:top w:w="0" w:type="dxa"/>
          <w:left w:w="0" w:type="dxa"/>
          <w:bottom w:w="0" w:type="dxa"/>
          <w:right w:w="0" w:type="dxa"/>
        </w:tblCellMar>
      </w:tblPr>
      <w:tr>
        <w:trPr>
          <w:trHeight w:val="216"/>
        </w:trPr>
        <w:tc>
          <w:tcPr>
            <w:tcW w:w="2380" w:type="dxa"/>
            <w:vAlign w:val="bottom"/>
            <w:tcBorders>
              <w:top w:val="single" w:sz="8" w:color="auto"/>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8"/>
                <w:szCs w:val="18"/>
                <w:b w:val="1"/>
                <w:bCs w:val="1"/>
                <w:color w:val="FFFFFF"/>
              </w:rPr>
              <w:t>NIM Breakdown</w:t>
            </w:r>
          </w:p>
        </w:tc>
        <w:tc>
          <w:tcPr>
            <w:tcW w:w="14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4Q24</w:t>
            </w:r>
          </w:p>
        </w:tc>
        <w:tc>
          <w:tcPr>
            <w:tcW w:w="14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3Q25</w:t>
            </w:r>
          </w:p>
        </w:tc>
        <w:tc>
          <w:tcPr>
            <w:tcW w:w="14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4Q25</w:t>
            </w:r>
          </w:p>
        </w:tc>
      </w:tr>
      <w:tr>
        <w:trPr>
          <w:trHeight w:val="171"/>
        </w:trPr>
        <w:tc>
          <w:tcPr>
            <w:tcW w:w="2380" w:type="dxa"/>
            <w:vAlign w:val="bottom"/>
            <w:tcBorders>
              <w:left w:val="single" w:sz="8" w:color="auto"/>
              <w:right w:val="single" w:sz="8" w:color="auto"/>
            </w:tcBorders>
          </w:tcPr>
          <w:p>
            <w:pPr>
              <w:ind w:left="20"/>
              <w:spacing w:after="0" w:line="171" w:lineRule="exact"/>
              <w:rPr>
                <w:sz w:val="20"/>
                <w:szCs w:val="20"/>
                <w:color w:val="auto"/>
              </w:rPr>
            </w:pPr>
            <w:r>
              <w:rPr>
                <w:rFonts w:ascii="Arial" w:cs="Arial" w:eastAsia="Arial" w:hAnsi="Arial"/>
                <w:sz w:val="18"/>
                <w:szCs w:val="18"/>
                <w:b w:val="1"/>
                <w:bCs w:val="1"/>
                <w:color w:val="auto"/>
              </w:rPr>
              <w:t>BCP</w:t>
            </w:r>
          </w:p>
        </w:tc>
        <w:tc>
          <w:tcPr>
            <w:tcW w:w="14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97"/>
              </w:rPr>
              <w:t>6.01%</w:t>
            </w:r>
          </w:p>
        </w:tc>
        <w:tc>
          <w:tcPr>
            <w:tcW w:w="14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97"/>
              </w:rPr>
              <w:t>6.11%</w:t>
            </w:r>
          </w:p>
        </w:tc>
        <w:tc>
          <w:tcPr>
            <w:tcW w:w="14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97"/>
              </w:rPr>
              <w:t>6.11%</w:t>
            </w:r>
          </w:p>
        </w:tc>
      </w:tr>
      <w:tr>
        <w:trPr>
          <w:trHeight w:val="203"/>
        </w:trPr>
        <w:tc>
          <w:tcPr>
            <w:tcW w:w="238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Mibanco</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14.16%</w:t>
            </w:r>
          </w:p>
        </w:tc>
        <w:tc>
          <w:tcPr>
            <w:tcW w:w="1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15.02%</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15.22%</w:t>
            </w:r>
          </w:p>
        </w:tc>
      </w:tr>
      <w:tr>
        <w:trPr>
          <w:trHeight w:val="227"/>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BCP Bolivia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2.96%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3.21%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2.74%</w:t>
            </w:r>
          </w:p>
        </w:tc>
      </w:tr>
      <w:tr>
        <w:trPr>
          <w:trHeight w:val="196"/>
        </w:trPr>
        <w:tc>
          <w:tcPr>
            <w:tcW w:w="23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Credicorp</w:t>
            </w:r>
          </w:p>
        </w:tc>
        <w:tc>
          <w:tcPr>
            <w:tcW w:w="14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6.34%</w:t>
            </w:r>
          </w:p>
        </w:tc>
        <w:tc>
          <w:tcPr>
            <w:tcW w:w="14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6.57%</w:t>
            </w:r>
          </w:p>
        </w:tc>
        <w:tc>
          <w:tcPr>
            <w:tcW w:w="14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6.62%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NIM: Annualized Net interest income (excluding Net Insurance Financial Expenses) / Average period end and period beginning interest-earning assets.</w:t>
      </w:r>
    </w:p>
    <w:p>
      <w:pPr>
        <w:spacing w:after="0" w:line="190" w:lineRule="exact"/>
        <w:rPr>
          <w:sz w:val="20"/>
          <w:szCs w:val="20"/>
          <w:color w:val="auto"/>
        </w:rPr>
      </w:pPr>
    </w:p>
    <w:tbl>
      <w:tblPr>
        <w:tblLayout w:type="fixed"/>
        <w:tblInd w:w="2250" w:type="dxa"/>
        <w:tblCellMar>
          <w:top w:w="0" w:type="dxa"/>
          <w:left w:w="0" w:type="dxa"/>
          <w:bottom w:w="0" w:type="dxa"/>
          <w:right w:w="0" w:type="dxa"/>
        </w:tblCellMar>
      </w:tblPr>
      <w:tr>
        <w:trPr>
          <w:trHeight w:val="191"/>
        </w:trPr>
        <w:tc>
          <w:tcPr>
            <w:tcW w:w="2380" w:type="dxa"/>
            <w:vAlign w:val="bottom"/>
            <w:tcBorders>
              <w:top w:val="single" w:sz="8" w:color="auto"/>
              <w:left w:val="single" w:sz="8" w:color="auto"/>
              <w:right w:val="single" w:sz="8" w:color="auto"/>
            </w:tcBorders>
            <w:shd w:val="clear" w:color="auto" w:fill="33CCCC"/>
          </w:tcPr>
          <w:p>
            <w:pPr>
              <w:ind w:left="20"/>
              <w:spacing w:after="0" w:line="191" w:lineRule="exact"/>
              <w:rPr>
                <w:sz w:val="20"/>
                <w:szCs w:val="20"/>
                <w:color w:val="auto"/>
              </w:rPr>
            </w:pPr>
            <w:r>
              <w:rPr>
                <w:rFonts w:ascii="Arial" w:cs="Arial" w:eastAsia="Arial" w:hAnsi="Arial"/>
                <w:sz w:val="18"/>
                <w:szCs w:val="18"/>
                <w:b w:val="1"/>
                <w:bCs w:val="1"/>
                <w:color w:val="FFFFFF"/>
              </w:rPr>
              <w:t>Risk Adjusted NIM</w:t>
            </w:r>
          </w:p>
        </w:tc>
        <w:tc>
          <w:tcPr>
            <w:tcW w:w="1460" w:type="dxa"/>
            <w:vAlign w:val="bottom"/>
            <w:tcBorders>
              <w:top w:val="single" w:sz="8" w:color="auto"/>
              <w:right w:val="single" w:sz="8" w:color="auto"/>
            </w:tcBorders>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4Q24</w:t>
            </w:r>
          </w:p>
        </w:tc>
        <w:tc>
          <w:tcPr>
            <w:tcW w:w="1480" w:type="dxa"/>
            <w:vAlign w:val="bottom"/>
            <w:tcBorders>
              <w:top w:val="single" w:sz="8" w:color="auto"/>
              <w:right w:val="single" w:sz="8" w:color="auto"/>
            </w:tcBorders>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3Q25</w:t>
            </w:r>
          </w:p>
        </w:tc>
        <w:tc>
          <w:tcPr>
            <w:tcW w:w="1460" w:type="dxa"/>
            <w:vAlign w:val="bottom"/>
            <w:tcBorders>
              <w:top w:val="single" w:sz="8" w:color="auto"/>
              <w:right w:val="single" w:sz="8" w:color="auto"/>
            </w:tcBorders>
            <w:vMerge w:val="restart"/>
            <w:shd w:val="clear" w:color="auto" w:fill="33CCCC"/>
          </w:tcPr>
          <w:p>
            <w:pPr>
              <w:jc w:val="center"/>
              <w:spacing w:after="0"/>
              <w:rPr>
                <w:sz w:val="20"/>
                <w:szCs w:val="20"/>
                <w:color w:val="auto"/>
              </w:rPr>
            </w:pPr>
            <w:r>
              <w:rPr>
                <w:rFonts w:ascii="Arial" w:cs="Arial" w:eastAsia="Arial" w:hAnsi="Arial"/>
                <w:sz w:val="18"/>
                <w:szCs w:val="18"/>
                <w:b w:val="1"/>
                <w:bCs w:val="1"/>
                <w:color w:val="FFFFFF"/>
                <w:w w:val="99"/>
              </w:rPr>
              <w:t>4Q25</w:t>
            </w:r>
          </w:p>
        </w:tc>
        <w:tc>
          <w:tcPr>
            <w:tcW w:w="0" w:type="dxa"/>
            <w:vAlign w:val="bottom"/>
          </w:tcPr>
          <w:p>
            <w:pPr>
              <w:spacing w:after="0"/>
              <w:rPr>
                <w:sz w:val="1"/>
                <w:szCs w:val="1"/>
                <w:color w:val="auto"/>
              </w:rPr>
            </w:pPr>
          </w:p>
        </w:tc>
      </w:tr>
      <w:tr>
        <w:trPr>
          <w:trHeight w:val="158"/>
        </w:trPr>
        <w:tc>
          <w:tcPr>
            <w:tcW w:w="238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8"/>
                <w:szCs w:val="18"/>
                <w:b w:val="1"/>
                <w:bCs w:val="1"/>
                <w:color w:val="FFFFFF"/>
              </w:rPr>
              <w:t>Breakdown</w:t>
            </w:r>
          </w:p>
        </w:tc>
        <w:tc>
          <w:tcPr>
            <w:tcW w:w="1460" w:type="dxa"/>
            <w:vAlign w:val="bottom"/>
            <w:tcBorders>
              <w:right w:val="single" w:sz="8" w:color="auto"/>
            </w:tcBorders>
            <w:vMerge w:val="continue"/>
            <w:shd w:val="clear" w:color="auto" w:fill="33CCCC"/>
          </w:tcPr>
          <w:p>
            <w:pPr>
              <w:spacing w:after="0"/>
              <w:rPr>
                <w:sz w:val="13"/>
                <w:szCs w:val="13"/>
                <w:color w:val="auto"/>
              </w:rPr>
            </w:pPr>
          </w:p>
        </w:tc>
        <w:tc>
          <w:tcPr>
            <w:tcW w:w="1480" w:type="dxa"/>
            <w:vAlign w:val="bottom"/>
            <w:tcBorders>
              <w:right w:val="single" w:sz="8" w:color="auto"/>
            </w:tcBorders>
            <w:vMerge w:val="continue"/>
            <w:shd w:val="clear" w:color="auto" w:fill="33CCCC"/>
          </w:tcPr>
          <w:p>
            <w:pPr>
              <w:spacing w:after="0"/>
              <w:rPr>
                <w:sz w:val="13"/>
                <w:szCs w:val="13"/>
                <w:color w:val="auto"/>
              </w:rPr>
            </w:pPr>
          </w:p>
        </w:tc>
        <w:tc>
          <w:tcPr>
            <w:tcW w:w="1460" w:type="dxa"/>
            <w:vAlign w:val="bottom"/>
            <w:tcBorders>
              <w:right w:val="single" w:sz="8" w:color="auto"/>
            </w:tcBorders>
            <w:vMerge w:val="continue"/>
            <w:shd w:val="clear" w:color="auto" w:fill="33CCCC"/>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2380" w:type="dxa"/>
            <w:vAlign w:val="bottom"/>
            <w:tcBorders>
              <w:left w:val="single" w:sz="8" w:color="auto"/>
              <w:bottom w:val="single" w:sz="8" w:color="auto"/>
              <w:right w:val="single" w:sz="8" w:color="auto"/>
            </w:tcBorders>
            <w:vMerge w:val="continue"/>
            <w:shd w:val="clear" w:color="auto" w:fill="33CCCC"/>
          </w:tcPr>
          <w:p>
            <w:pPr>
              <w:spacing w:after="0"/>
              <w:rPr>
                <w:sz w:val="6"/>
                <w:szCs w:val="6"/>
                <w:color w:val="auto"/>
              </w:rPr>
            </w:pPr>
          </w:p>
        </w:tc>
        <w:tc>
          <w:tcPr>
            <w:tcW w:w="1460" w:type="dxa"/>
            <w:vAlign w:val="bottom"/>
            <w:tcBorders>
              <w:bottom w:val="single" w:sz="8" w:color="auto"/>
              <w:right w:val="single" w:sz="8" w:color="auto"/>
            </w:tcBorders>
            <w:shd w:val="clear" w:color="auto" w:fill="33CCCC"/>
          </w:tcPr>
          <w:p>
            <w:pPr>
              <w:spacing w:after="0"/>
              <w:rPr>
                <w:sz w:val="6"/>
                <w:szCs w:val="6"/>
                <w:color w:val="auto"/>
              </w:rPr>
            </w:pPr>
          </w:p>
        </w:tc>
        <w:tc>
          <w:tcPr>
            <w:tcW w:w="1480" w:type="dxa"/>
            <w:vAlign w:val="bottom"/>
            <w:tcBorders>
              <w:bottom w:val="single" w:sz="8" w:color="auto"/>
              <w:right w:val="single" w:sz="8" w:color="auto"/>
            </w:tcBorders>
            <w:shd w:val="clear" w:color="auto" w:fill="33CCCC"/>
          </w:tcPr>
          <w:p>
            <w:pPr>
              <w:spacing w:after="0"/>
              <w:rPr>
                <w:sz w:val="6"/>
                <w:szCs w:val="6"/>
                <w:color w:val="auto"/>
              </w:rPr>
            </w:pPr>
          </w:p>
        </w:tc>
        <w:tc>
          <w:tcPr>
            <w:tcW w:w="1460" w:type="dxa"/>
            <w:vAlign w:val="bottom"/>
            <w:tcBorders>
              <w:bottom w:val="single" w:sz="8" w:color="auto"/>
              <w:right w:val="single" w:sz="8" w:color="auto"/>
            </w:tcBorders>
            <w:shd w:val="clear" w:color="auto" w:fill="33CCCC"/>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80" w:type="dxa"/>
            <w:vAlign w:val="bottom"/>
            <w:tcBorders>
              <w:left w:val="single" w:sz="8" w:color="auto"/>
              <w:right w:val="single" w:sz="8" w:color="auto"/>
            </w:tcBorders>
          </w:tcPr>
          <w:p>
            <w:pPr>
              <w:ind w:left="20"/>
              <w:spacing w:after="0" w:line="171" w:lineRule="exact"/>
              <w:rPr>
                <w:sz w:val="20"/>
                <w:szCs w:val="20"/>
                <w:color w:val="auto"/>
              </w:rPr>
            </w:pPr>
            <w:r>
              <w:rPr>
                <w:rFonts w:ascii="Arial" w:cs="Arial" w:eastAsia="Arial" w:hAnsi="Arial"/>
                <w:sz w:val="18"/>
                <w:szCs w:val="18"/>
                <w:b w:val="1"/>
                <w:bCs w:val="1"/>
                <w:color w:val="auto"/>
              </w:rPr>
              <w:t>BCP</w:t>
            </w:r>
          </w:p>
        </w:tc>
        <w:tc>
          <w:tcPr>
            <w:tcW w:w="14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97"/>
              </w:rPr>
              <w:t>4.85%</w:t>
            </w:r>
          </w:p>
        </w:tc>
        <w:tc>
          <w:tcPr>
            <w:tcW w:w="14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97"/>
              </w:rPr>
              <w:t>5.25%</w:t>
            </w:r>
          </w:p>
        </w:tc>
        <w:tc>
          <w:tcPr>
            <w:tcW w:w="14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97"/>
              </w:rPr>
              <w:t>5.19%</w:t>
            </w:r>
          </w:p>
        </w:tc>
        <w:tc>
          <w:tcPr>
            <w:tcW w:w="0" w:type="dxa"/>
            <w:vAlign w:val="bottom"/>
          </w:tcPr>
          <w:p>
            <w:pPr>
              <w:spacing w:after="0"/>
              <w:rPr>
                <w:sz w:val="1"/>
                <w:szCs w:val="1"/>
                <w:color w:val="auto"/>
              </w:rPr>
            </w:pPr>
          </w:p>
        </w:tc>
      </w:tr>
      <w:tr>
        <w:trPr>
          <w:trHeight w:val="203"/>
        </w:trPr>
        <w:tc>
          <w:tcPr>
            <w:tcW w:w="238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Mibanco</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10.66%</w:t>
            </w:r>
          </w:p>
        </w:tc>
        <w:tc>
          <w:tcPr>
            <w:tcW w:w="14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11.03%</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11.57%</w:t>
            </w:r>
          </w:p>
        </w:tc>
        <w:tc>
          <w:tcPr>
            <w:tcW w:w="0" w:type="dxa"/>
            <w:vAlign w:val="bottom"/>
          </w:tcPr>
          <w:p>
            <w:pPr>
              <w:spacing w:after="0"/>
              <w:rPr>
                <w:sz w:val="1"/>
                <w:szCs w:val="1"/>
                <w:color w:val="auto"/>
              </w:rPr>
            </w:pPr>
          </w:p>
        </w:tc>
      </w:tr>
      <w:tr>
        <w:trPr>
          <w:trHeight w:val="227"/>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BCP Bolivia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2.12%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3.45%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2.60%</w:t>
            </w:r>
          </w:p>
        </w:tc>
        <w:tc>
          <w:tcPr>
            <w:tcW w:w="0" w:type="dxa"/>
            <w:vAlign w:val="bottom"/>
          </w:tcPr>
          <w:p>
            <w:pPr>
              <w:spacing w:after="0"/>
              <w:rPr>
                <w:sz w:val="1"/>
                <w:szCs w:val="1"/>
                <w:color w:val="auto"/>
              </w:rPr>
            </w:pPr>
          </w:p>
        </w:tc>
      </w:tr>
      <w:tr>
        <w:trPr>
          <w:trHeight w:val="196"/>
        </w:trPr>
        <w:tc>
          <w:tcPr>
            <w:tcW w:w="23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Credicorp</w:t>
            </w:r>
          </w:p>
        </w:tc>
        <w:tc>
          <w:tcPr>
            <w:tcW w:w="14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5.08%</w:t>
            </w:r>
          </w:p>
        </w:tc>
        <w:tc>
          <w:tcPr>
            <w:tcW w:w="14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5.53%</w:t>
            </w:r>
          </w:p>
        </w:tc>
        <w:tc>
          <w:tcPr>
            <w:tcW w:w="14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7"/>
              </w:rPr>
              <w:t>5.55%</w:t>
            </w: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Risk-Adjusted NIM: (Annualized Net interest income (excluding Net Insurance Financial Expenses) - annualized provisions) / Average period end and period beginning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767715</wp:posOffset>
            </wp:positionV>
            <wp:extent cx="71577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133350</wp:posOffset>
            </wp:positionV>
            <wp:extent cx="6755130" cy="531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55130" cy="531495"/>
                    </a:xfrm>
                    <a:prstGeom prst="rect">
                      <a:avLst/>
                    </a:prstGeom>
                    <a:noFill/>
                  </pic:spPr>
                </pic:pic>
              </a:graphicData>
            </a:graphic>
          </wp:anchor>
        </w:drawing>
      </w:r>
    </w:p>
    <w:p>
      <w:pPr>
        <w:sectPr>
          <w:pgSz w:w="11920" w:h="16838" w:orient="portrait"/>
          <w:cols w:equalWidth="0" w:num="1">
            <w:col w:w="11260"/>
          </w:cols>
          <w:pgMar w:left="340" w:top="373" w:right="318" w:bottom="1440" w:gutter="0" w:footer="0" w:header="0"/>
        </w:sectPr>
      </w:pPr>
    </w:p>
    <w:bookmarkStart w:id="57" w:name="page58"/>
    <w:bookmarkEnd w:id="57"/>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925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925830"/>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12. Appendix</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Physical Point of contact</w:t>
      </w:r>
    </w:p>
    <w:p>
      <w:pPr>
        <w:spacing w:after="0" w:line="186" w:lineRule="exact"/>
        <w:rPr>
          <w:sz w:val="20"/>
          <w:szCs w:val="20"/>
          <w:color w:val="auto"/>
        </w:rPr>
      </w:pPr>
    </w:p>
    <w:tbl>
      <w:tblPr>
        <w:tblLayout w:type="fixed"/>
        <w:tblInd w:w="1130" w:type="dxa"/>
        <w:tblCellMar>
          <w:top w:w="0" w:type="dxa"/>
          <w:left w:w="0" w:type="dxa"/>
          <w:bottom w:w="0" w:type="dxa"/>
          <w:right w:w="0" w:type="dxa"/>
        </w:tblCellMar>
      </w:tblPr>
      <w:tr>
        <w:trPr>
          <w:trHeight w:val="192"/>
        </w:trPr>
        <w:tc>
          <w:tcPr>
            <w:tcW w:w="4640" w:type="dxa"/>
            <w:vAlign w:val="bottom"/>
            <w:tcBorders>
              <w:top w:val="single" w:sz="8" w:color="auto"/>
              <w:left w:val="single" w:sz="8" w:color="auto"/>
              <w:right w:val="single" w:sz="8" w:color="auto"/>
            </w:tcBorders>
            <w:shd w:val="clear" w:color="auto" w:fill="2AD2C9"/>
          </w:tcPr>
          <w:p>
            <w:pPr>
              <w:ind w:left="20"/>
              <w:spacing w:after="0" w:line="192" w:lineRule="exact"/>
              <w:rPr>
                <w:sz w:val="20"/>
                <w:szCs w:val="20"/>
                <w:color w:val="auto"/>
              </w:rPr>
            </w:pPr>
            <w:r>
              <w:rPr>
                <w:rFonts w:ascii="Arial" w:cs="Arial" w:eastAsia="Arial" w:hAnsi="Arial"/>
                <w:sz w:val="14"/>
                <w:szCs w:val="14"/>
                <w:b w:val="1"/>
                <w:bCs w:val="1"/>
                <w:color w:val="FFFFFF"/>
              </w:rPr>
              <w:t xml:space="preserve">Physical Point of Contact </w:t>
            </w:r>
            <w:r>
              <w:rPr>
                <w:rFonts w:ascii="Arial" w:cs="Arial" w:eastAsia="Arial" w:hAnsi="Arial"/>
                <w:sz w:val="22"/>
                <w:szCs w:val="22"/>
                <w:b w:val="1"/>
                <w:bCs w:val="1"/>
                <w:color w:val="FFFFFF"/>
                <w:vertAlign w:val="superscript"/>
              </w:rPr>
              <w:t>(1)</w:t>
            </w:r>
          </w:p>
        </w:tc>
        <w:tc>
          <w:tcPr>
            <w:tcW w:w="880" w:type="dxa"/>
            <w:vAlign w:val="bottom"/>
            <w:tcBorders>
              <w:top w:val="single" w:sz="8" w:color="auto"/>
            </w:tcBorders>
            <w:shd w:val="clear" w:color="auto" w:fill="2AD2C9"/>
          </w:tcPr>
          <w:p>
            <w:pPr>
              <w:spacing w:after="0"/>
              <w:rPr>
                <w:sz w:val="16"/>
                <w:szCs w:val="16"/>
                <w:color w:val="auto"/>
              </w:rPr>
            </w:pPr>
          </w:p>
        </w:tc>
        <w:tc>
          <w:tcPr>
            <w:tcW w:w="900" w:type="dxa"/>
            <w:vAlign w:val="bottom"/>
            <w:tcBorders>
              <w:top w:val="single" w:sz="8" w:color="auto"/>
            </w:tcBorders>
            <w:shd w:val="clear" w:color="auto" w:fill="2AD2C9"/>
          </w:tcPr>
          <w:p>
            <w:pPr>
              <w:jc w:val="center"/>
              <w:spacing w:after="0" w:line="192" w:lineRule="exact"/>
              <w:rPr>
                <w:sz w:val="20"/>
                <w:szCs w:val="20"/>
                <w:color w:val="auto"/>
              </w:rPr>
            </w:pPr>
            <w:r>
              <w:rPr>
                <w:rFonts w:ascii="Arial" w:cs="Arial" w:eastAsia="Arial" w:hAnsi="Arial"/>
                <w:sz w:val="18"/>
                <w:szCs w:val="18"/>
                <w:b w:val="1"/>
                <w:bCs w:val="1"/>
                <w:color w:val="FFFFFF"/>
              </w:rPr>
              <w:t>As of</w:t>
            </w:r>
          </w:p>
        </w:tc>
        <w:tc>
          <w:tcPr>
            <w:tcW w:w="920" w:type="dxa"/>
            <w:vAlign w:val="bottom"/>
            <w:tcBorders>
              <w:top w:val="single" w:sz="8" w:color="auto"/>
              <w:right w:val="single" w:sz="8" w:color="auto"/>
            </w:tcBorders>
            <w:shd w:val="clear" w:color="auto" w:fill="2AD2C9"/>
          </w:tcPr>
          <w:p>
            <w:pPr>
              <w:spacing w:after="0"/>
              <w:rPr>
                <w:sz w:val="16"/>
                <w:szCs w:val="16"/>
                <w:color w:val="auto"/>
              </w:rPr>
            </w:pPr>
          </w:p>
        </w:tc>
        <w:tc>
          <w:tcPr>
            <w:tcW w:w="1700" w:type="dxa"/>
            <w:vAlign w:val="bottom"/>
            <w:tcBorders>
              <w:top w:val="single" w:sz="8" w:color="auto"/>
              <w:right w:val="single" w:sz="8" w:color="auto"/>
            </w:tcBorders>
            <w:gridSpan w:val="2"/>
            <w:shd w:val="clear" w:color="auto" w:fill="2AD2C9"/>
          </w:tcPr>
          <w:p>
            <w:pPr>
              <w:ind w:left="200"/>
              <w:spacing w:after="0" w:line="192" w:lineRule="exact"/>
              <w:rPr>
                <w:sz w:val="20"/>
                <w:szCs w:val="20"/>
                <w:color w:val="auto"/>
              </w:rPr>
            </w:pPr>
            <w:r>
              <w:rPr>
                <w:rFonts w:ascii="Arial" w:cs="Arial" w:eastAsia="Arial" w:hAnsi="Arial"/>
                <w:sz w:val="18"/>
                <w:szCs w:val="18"/>
                <w:b w:val="1"/>
                <w:bCs w:val="1"/>
                <w:color w:val="FFFFFF"/>
              </w:rPr>
              <w:t>Change (units)</w:t>
            </w:r>
          </w:p>
        </w:tc>
      </w:tr>
      <w:tr>
        <w:trPr>
          <w:trHeight w:val="227"/>
        </w:trPr>
        <w:tc>
          <w:tcPr>
            <w:tcW w:w="464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8"/>
                <w:szCs w:val="18"/>
                <w:b w:val="1"/>
                <w:bCs w:val="1"/>
                <w:color w:val="FFFFFF"/>
              </w:rPr>
              <w:t>(Units)</w:t>
            </w:r>
          </w:p>
        </w:tc>
        <w:tc>
          <w:tcPr>
            <w:tcW w:w="88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18"/>
                <w:szCs w:val="18"/>
                <w:b w:val="1"/>
                <w:bCs w:val="1"/>
                <w:color w:val="FFFFFF"/>
              </w:rPr>
              <w:t>Dec 24</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25</w:t>
            </w:r>
          </w:p>
        </w:tc>
        <w:tc>
          <w:tcPr>
            <w:tcW w:w="92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8"/>
                <w:szCs w:val="18"/>
                <w:b w:val="1"/>
                <w:bCs w:val="1"/>
                <w:color w:val="FFFFFF"/>
              </w:rPr>
              <w:t>Dec 25</w:t>
            </w:r>
          </w:p>
        </w:tc>
        <w:tc>
          <w:tcPr>
            <w:tcW w:w="78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8"/>
                <w:szCs w:val="18"/>
                <w:b w:val="1"/>
                <w:bCs w:val="1"/>
                <w:color w:val="FFFFFF"/>
              </w:rPr>
              <w:t>QoQ</w:t>
            </w:r>
          </w:p>
        </w:tc>
        <w:tc>
          <w:tcPr>
            <w:tcW w:w="92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YoY</w:t>
            </w:r>
          </w:p>
        </w:tc>
      </w:tr>
      <w:tr>
        <w:trPr>
          <w:trHeight w:val="173"/>
        </w:trPr>
        <w:tc>
          <w:tcPr>
            <w:tcW w:w="464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0"/>
                <w:szCs w:val="20"/>
                <w:color w:val="auto"/>
                <w:vertAlign w:val="superscript"/>
              </w:rPr>
              <w:t>(2)</w:t>
            </w:r>
          </w:p>
        </w:tc>
        <w:tc>
          <w:tcPr>
            <w:tcW w:w="880" w:type="dxa"/>
            <w:vAlign w:val="bottom"/>
          </w:tcPr>
          <w:p>
            <w:pPr>
              <w:jc w:val="center"/>
              <w:spacing w:after="0" w:line="173" w:lineRule="exact"/>
              <w:rPr>
                <w:sz w:val="20"/>
                <w:szCs w:val="20"/>
                <w:color w:val="auto"/>
              </w:rPr>
            </w:pPr>
            <w:r>
              <w:rPr>
                <w:rFonts w:ascii="Arial" w:cs="Arial" w:eastAsia="Arial" w:hAnsi="Arial"/>
                <w:sz w:val="18"/>
                <w:szCs w:val="18"/>
                <w:color w:val="auto"/>
                <w:w w:val="99"/>
              </w:rPr>
              <w:t>648</w:t>
            </w:r>
          </w:p>
        </w:tc>
        <w:tc>
          <w:tcPr>
            <w:tcW w:w="900" w:type="dxa"/>
            <w:vAlign w:val="bottom"/>
          </w:tcPr>
          <w:p>
            <w:pPr>
              <w:jc w:val="center"/>
              <w:spacing w:after="0" w:line="173" w:lineRule="exact"/>
              <w:rPr>
                <w:sz w:val="20"/>
                <w:szCs w:val="20"/>
                <w:color w:val="auto"/>
              </w:rPr>
            </w:pPr>
            <w:r>
              <w:rPr>
                <w:rFonts w:ascii="Arial" w:cs="Arial" w:eastAsia="Arial" w:hAnsi="Arial"/>
                <w:sz w:val="18"/>
                <w:szCs w:val="18"/>
                <w:color w:val="auto"/>
                <w:w w:val="99"/>
              </w:rPr>
              <w:t>646</w:t>
            </w:r>
          </w:p>
        </w:tc>
        <w:tc>
          <w:tcPr>
            <w:tcW w:w="9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644</w:t>
            </w:r>
          </w:p>
        </w:tc>
        <w:tc>
          <w:tcPr>
            <w:tcW w:w="780" w:type="dxa"/>
            <w:vAlign w:val="bottom"/>
          </w:tcPr>
          <w:p>
            <w:pPr>
              <w:jc w:val="center"/>
              <w:spacing w:after="0" w:line="173" w:lineRule="exact"/>
              <w:rPr>
                <w:sz w:val="20"/>
                <w:szCs w:val="20"/>
                <w:color w:val="auto"/>
              </w:rPr>
            </w:pPr>
            <w:r>
              <w:rPr>
                <w:rFonts w:ascii="Arial" w:cs="Arial" w:eastAsia="Arial" w:hAnsi="Arial"/>
                <w:sz w:val="18"/>
                <w:szCs w:val="18"/>
                <w:color w:val="auto"/>
                <w:w w:val="99"/>
              </w:rPr>
              <w:t>(2)</w:t>
            </w:r>
          </w:p>
        </w:tc>
        <w:tc>
          <w:tcPr>
            <w:tcW w:w="9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(4)</w:t>
            </w:r>
          </w:p>
        </w:tc>
      </w:tr>
      <w:tr>
        <w:trPr>
          <w:trHeight w:val="203"/>
        </w:trPr>
        <w:tc>
          <w:tcPr>
            <w:tcW w:w="4640" w:type="dxa"/>
            <w:vAlign w:val="bottom"/>
            <w:tcBorders>
              <w:left w:val="single" w:sz="8" w:color="auto"/>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ATMs</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2,787</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4,637</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4,903</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266</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596</w:t>
            </w:r>
          </w:p>
        </w:tc>
      </w:tr>
      <w:tr>
        <w:trPr>
          <w:trHeight w:val="225"/>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Agents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12,434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10,730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10,698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(216)</w:t>
            </w:r>
          </w:p>
        </w:tc>
      </w:tr>
      <w:tr>
        <w:trPr>
          <w:trHeight w:val="196"/>
        </w:trPr>
        <w:tc>
          <w:tcPr>
            <w:tcW w:w="46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15,869</w:t>
            </w:r>
          </w:p>
        </w:tc>
        <w:tc>
          <w:tcPr>
            <w:tcW w:w="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16,013</w:t>
            </w:r>
          </w:p>
        </w:tc>
        <w:tc>
          <w:tcPr>
            <w:tcW w:w="9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16,245</w:t>
            </w:r>
          </w:p>
        </w:tc>
        <w:tc>
          <w:tcPr>
            <w:tcW w:w="7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232</w:t>
            </w:r>
          </w:p>
        </w:tc>
        <w:tc>
          <w:tcPr>
            <w:tcW w:w="92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376</w:t>
            </w:r>
          </w:p>
        </w:tc>
      </w:tr>
    </w:tbl>
    <w:p>
      <w:pPr>
        <w:spacing w:after="0" w:line="177" w:lineRule="exact"/>
        <w:rPr>
          <w:sz w:val="20"/>
          <w:szCs w:val="20"/>
          <w:color w:val="auto"/>
        </w:rPr>
      </w:pPr>
    </w:p>
    <w:p>
      <w:pPr>
        <w:ind w:left="2260" w:hanging="323"/>
        <w:spacing w:after="0"/>
        <w:tabs>
          <w:tab w:leader="none" w:pos="22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Physical Point of Contact of BCP Stand-Alone, Mibanco and BCP Bolivia</w:t>
      </w:r>
    </w:p>
    <w:p>
      <w:pPr>
        <w:spacing w:after="0" w:line="51" w:lineRule="exact"/>
        <w:rPr>
          <w:rFonts w:ascii="Arial" w:cs="Arial" w:eastAsia="Arial" w:hAnsi="Arial"/>
          <w:sz w:val="12"/>
          <w:szCs w:val="12"/>
          <w:color w:val="auto"/>
        </w:rPr>
      </w:pPr>
    </w:p>
    <w:p>
      <w:pPr>
        <w:ind w:left="2260" w:hanging="323"/>
        <w:spacing w:after="0"/>
        <w:tabs>
          <w:tab w:leader="none" w:pos="22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Banco de la Nacion branches, which in December 24 were 36, in September were 36 and in December 25 were 36</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 Regulatory Capital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 Capital and Capital Adequacy Ratios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(IFRS)</w:t>
      </w:r>
    </w:p>
    <w:tbl>
      <w:tblPr>
        <w:tblLayout w:type="fixed"/>
        <w:tblInd w:w="10" w:type="dxa"/>
        <w:tblCellMar>
          <w:top w:w="0" w:type="dxa"/>
          <w:left w:w="0" w:type="dxa"/>
          <w:bottom w:w="0" w:type="dxa"/>
          <w:right w:w="0" w:type="dxa"/>
        </w:tblCellMar>
      </w:tblPr>
      <w:tr>
        <w:trPr>
          <w:trHeight w:val="132"/>
        </w:trPr>
        <w:tc>
          <w:tcPr>
            <w:tcW w:w="5200" w:type="dxa"/>
            <w:vAlign w:val="bottom"/>
            <w:tcBorders>
              <w:top w:val="single" w:sz="8" w:color="auto"/>
              <w:left w:val="single" w:sz="8" w:color="auto"/>
              <w:right w:val="single" w:sz="8" w:color="auto"/>
            </w:tcBorders>
            <w:shd w:val="clear" w:color="auto" w:fill="2AD2C9"/>
          </w:tcPr>
          <w:p>
            <w:pPr>
              <w:spacing w:after="0" w:line="132" w:lineRule="exact"/>
              <w:rPr>
                <w:sz w:val="20"/>
                <w:szCs w:val="20"/>
                <w:color w:val="auto"/>
              </w:rPr>
            </w:pPr>
            <w:r>
              <w:rPr>
                <w:rFonts w:ascii="Arial" w:cs="Arial" w:eastAsia="Arial" w:hAnsi="Arial"/>
                <w:sz w:val="15"/>
                <w:szCs w:val="15"/>
                <w:b w:val="1"/>
                <w:bCs w:val="1"/>
                <w:color w:val="FFFFFF"/>
              </w:rPr>
              <w:t>Regulatory Capital and Capital Adequacy Ratios</w:t>
            </w:r>
          </w:p>
        </w:tc>
        <w:tc>
          <w:tcPr>
            <w:tcW w:w="1340" w:type="dxa"/>
            <w:vAlign w:val="bottom"/>
            <w:tcBorders>
              <w:top w:val="single" w:sz="8" w:color="auto"/>
            </w:tcBorders>
            <w:shd w:val="clear" w:color="auto" w:fill="2AD2C9"/>
          </w:tcPr>
          <w:p>
            <w:pPr>
              <w:spacing w:after="0"/>
              <w:rPr>
                <w:sz w:val="11"/>
                <w:szCs w:val="11"/>
                <w:color w:val="auto"/>
              </w:rPr>
            </w:pPr>
          </w:p>
        </w:tc>
        <w:tc>
          <w:tcPr>
            <w:tcW w:w="1340" w:type="dxa"/>
            <w:vAlign w:val="bottom"/>
            <w:tcBorders>
              <w:top w:val="single" w:sz="8" w:color="auto"/>
            </w:tcBorders>
            <w:shd w:val="clear" w:color="auto" w:fill="2AD2C9"/>
          </w:tcPr>
          <w:p>
            <w:pPr>
              <w:jc w:val="center"/>
              <w:spacing w:after="0" w:line="132" w:lineRule="exact"/>
              <w:rPr>
                <w:sz w:val="20"/>
                <w:szCs w:val="20"/>
                <w:color w:val="auto"/>
              </w:rPr>
            </w:pPr>
            <w:r>
              <w:rPr>
                <w:rFonts w:ascii="Arial" w:cs="Arial" w:eastAsia="Arial" w:hAnsi="Arial"/>
                <w:sz w:val="15"/>
                <w:szCs w:val="15"/>
                <w:b w:val="1"/>
                <w:bCs w:val="1"/>
                <w:color w:val="FFFFFF"/>
              </w:rPr>
              <w:t>As of</w:t>
            </w:r>
          </w:p>
        </w:tc>
        <w:tc>
          <w:tcPr>
            <w:tcW w:w="1380" w:type="dxa"/>
            <w:vAlign w:val="bottom"/>
            <w:tcBorders>
              <w:top w:val="single" w:sz="8" w:color="auto"/>
              <w:right w:val="single" w:sz="8" w:color="auto"/>
            </w:tcBorders>
            <w:shd w:val="clear" w:color="auto" w:fill="2AD2C9"/>
          </w:tcPr>
          <w:p>
            <w:pPr>
              <w:spacing w:after="0"/>
              <w:rPr>
                <w:sz w:val="11"/>
                <w:szCs w:val="11"/>
                <w:color w:val="auto"/>
              </w:rPr>
            </w:pPr>
          </w:p>
        </w:tc>
        <w:tc>
          <w:tcPr>
            <w:tcW w:w="2020" w:type="dxa"/>
            <w:vAlign w:val="bottom"/>
            <w:tcBorders>
              <w:top w:val="single" w:sz="8" w:color="auto"/>
              <w:right w:val="single" w:sz="8" w:color="auto"/>
            </w:tcBorders>
            <w:gridSpan w:val="2"/>
            <w:shd w:val="clear" w:color="auto" w:fill="2AD2C9"/>
          </w:tcPr>
          <w:p>
            <w:pPr>
              <w:ind w:left="620"/>
              <w:spacing w:after="0" w:line="132" w:lineRule="exact"/>
              <w:rPr>
                <w:sz w:val="20"/>
                <w:szCs w:val="20"/>
                <w:color w:val="auto"/>
              </w:rPr>
            </w:pPr>
            <w:r>
              <w:rPr>
                <w:rFonts w:ascii="Arial" w:cs="Arial" w:eastAsia="Arial" w:hAnsi="Arial"/>
                <w:sz w:val="15"/>
                <w:szCs w:val="15"/>
                <w:b w:val="1"/>
                <w:bCs w:val="1"/>
                <w:color w:val="FFFFFF"/>
              </w:rPr>
              <w:t>Change %</w:t>
            </w:r>
          </w:p>
        </w:tc>
      </w:tr>
      <w:tr>
        <w:trPr>
          <w:trHeight w:val="185"/>
        </w:trPr>
        <w:tc>
          <w:tcPr>
            <w:tcW w:w="5200" w:type="dxa"/>
            <w:vAlign w:val="bottom"/>
            <w:tcBorders>
              <w:left w:val="single" w:sz="8" w:color="auto"/>
              <w:bottom w:val="single" w:sz="8" w:color="auto"/>
              <w:right w:val="single" w:sz="8" w:color="auto"/>
            </w:tcBorders>
            <w:shd w:val="clear" w:color="auto" w:fill="2AD2C9"/>
          </w:tcPr>
          <w:p>
            <w:pPr>
              <w:spacing w:after="0"/>
              <w:rPr>
                <w:sz w:val="20"/>
                <w:szCs w:val="20"/>
                <w:color w:val="auto"/>
              </w:rPr>
            </w:pPr>
            <w:r>
              <w:rPr>
                <w:rFonts w:ascii="Arial" w:cs="Arial" w:eastAsia="Arial" w:hAnsi="Arial"/>
                <w:sz w:val="15"/>
                <w:szCs w:val="15"/>
                <w:b w:val="1"/>
                <w:bCs w:val="1"/>
                <w:color w:val="FFFFFF"/>
              </w:rPr>
              <w:t>S/000</w:t>
            </w:r>
          </w:p>
        </w:tc>
        <w:tc>
          <w:tcPr>
            <w:tcW w:w="1340" w:type="dxa"/>
            <w:vAlign w:val="bottom"/>
            <w:tcBorders>
              <w:bottom w:val="single" w:sz="8" w:color="auto"/>
            </w:tcBorders>
            <w:shd w:val="clear" w:color="auto" w:fill="2AD2C9"/>
          </w:tcPr>
          <w:p>
            <w:pPr>
              <w:ind w:left="420"/>
              <w:spacing w:after="0"/>
              <w:rPr>
                <w:sz w:val="20"/>
                <w:szCs w:val="20"/>
                <w:color w:val="auto"/>
              </w:rPr>
            </w:pPr>
            <w:r>
              <w:rPr>
                <w:rFonts w:ascii="Arial" w:cs="Arial" w:eastAsia="Arial" w:hAnsi="Arial"/>
                <w:sz w:val="15"/>
                <w:szCs w:val="15"/>
                <w:b w:val="1"/>
                <w:bCs w:val="1"/>
                <w:color w:val="FFFFFF"/>
              </w:rPr>
              <w:t>Dec 24</w:t>
            </w:r>
          </w:p>
        </w:tc>
        <w:tc>
          <w:tcPr>
            <w:tcW w:w="13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5"/>
                <w:szCs w:val="15"/>
                <w:b w:val="1"/>
                <w:bCs w:val="1"/>
                <w:color w:val="FFFFFF"/>
              </w:rPr>
              <w:t>Sep 25</w:t>
            </w:r>
          </w:p>
        </w:tc>
        <w:tc>
          <w:tcPr>
            <w:tcW w:w="138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Arial" w:cs="Arial" w:eastAsia="Arial" w:hAnsi="Arial"/>
                <w:sz w:val="15"/>
                <w:szCs w:val="15"/>
                <w:b w:val="1"/>
                <w:bCs w:val="1"/>
                <w:color w:val="FFFFFF"/>
              </w:rPr>
              <w:t>Dec 25</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5"/>
                <w:szCs w:val="15"/>
                <w:b w:val="1"/>
                <w:bCs w:val="1"/>
                <w:color w:val="FFFFFF"/>
              </w:rPr>
              <w:t>QoQ</w:t>
            </w:r>
          </w:p>
        </w:tc>
        <w:tc>
          <w:tcPr>
            <w:tcW w:w="10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5"/>
                <w:szCs w:val="15"/>
                <w:b w:val="1"/>
                <w:bCs w:val="1"/>
                <w:color w:val="FFFFFF"/>
                <w:w w:val="95"/>
              </w:rPr>
              <w:t>YoY</w:t>
            </w:r>
          </w:p>
        </w:tc>
      </w:tr>
      <w:tr>
        <w:trPr>
          <w:trHeight w:val="132"/>
        </w:trPr>
        <w:tc>
          <w:tcPr>
            <w:tcW w:w="5200" w:type="dxa"/>
            <w:vAlign w:val="bottom"/>
            <w:tcBorders>
              <w:left w:val="single" w:sz="8" w:color="auto"/>
              <w:right w:val="single" w:sz="8" w:color="auto"/>
            </w:tcBorders>
          </w:tcPr>
          <w:p>
            <w:pPr>
              <w:ind w:left="160"/>
              <w:spacing w:after="0" w:line="132" w:lineRule="exact"/>
              <w:rPr>
                <w:sz w:val="20"/>
                <w:szCs w:val="20"/>
                <w:color w:val="auto"/>
              </w:rPr>
            </w:pPr>
            <w:r>
              <w:rPr>
                <w:rFonts w:ascii="Arial" w:cs="Arial" w:eastAsia="Arial" w:hAnsi="Arial"/>
                <w:sz w:val="15"/>
                <w:szCs w:val="15"/>
                <w:color w:val="auto"/>
              </w:rPr>
              <w:t>Capital Stock</w:t>
            </w:r>
          </w:p>
        </w:tc>
        <w:tc>
          <w:tcPr>
            <w:tcW w:w="1340" w:type="dxa"/>
            <w:vAlign w:val="bottom"/>
          </w:tcPr>
          <w:p>
            <w:pPr>
              <w:jc w:val="center"/>
              <w:spacing w:after="0" w:line="132" w:lineRule="exact"/>
              <w:rPr>
                <w:sz w:val="20"/>
                <w:szCs w:val="20"/>
                <w:color w:val="auto"/>
              </w:rPr>
            </w:pPr>
            <w:r>
              <w:rPr>
                <w:rFonts w:ascii="Arial" w:cs="Arial" w:eastAsia="Arial" w:hAnsi="Arial"/>
                <w:sz w:val="15"/>
                <w:szCs w:val="15"/>
                <w:color w:val="auto"/>
              </w:rPr>
              <w:t>1,318,993</w:t>
            </w:r>
          </w:p>
        </w:tc>
        <w:tc>
          <w:tcPr>
            <w:tcW w:w="1340" w:type="dxa"/>
            <w:vAlign w:val="bottom"/>
          </w:tcPr>
          <w:p>
            <w:pPr>
              <w:jc w:val="center"/>
              <w:spacing w:after="0" w:line="132" w:lineRule="exact"/>
              <w:rPr>
                <w:sz w:val="20"/>
                <w:szCs w:val="20"/>
                <w:color w:val="auto"/>
              </w:rPr>
            </w:pPr>
            <w:r>
              <w:rPr>
                <w:rFonts w:ascii="Arial" w:cs="Arial" w:eastAsia="Arial" w:hAnsi="Arial"/>
                <w:sz w:val="15"/>
                <w:szCs w:val="15"/>
                <w:color w:val="auto"/>
              </w:rPr>
              <w:t>1,318,993</w:t>
            </w:r>
          </w:p>
        </w:tc>
        <w:tc>
          <w:tcPr>
            <w:tcW w:w="138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5"/>
                <w:szCs w:val="15"/>
                <w:color w:val="auto"/>
              </w:rPr>
              <w:t>1,318,993</w:t>
            </w:r>
          </w:p>
        </w:tc>
        <w:tc>
          <w:tcPr>
            <w:tcW w:w="960" w:type="dxa"/>
            <w:vAlign w:val="bottom"/>
          </w:tcPr>
          <w:p>
            <w:pPr>
              <w:jc w:val="center"/>
              <w:spacing w:after="0" w:line="13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5"/>
                <w:szCs w:val="15"/>
                <w:color w:val="auto"/>
              </w:rPr>
              <w:t>-</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Treasury Stocks</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(208,879)</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(209,845)</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(209,845)</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99"/>
              </w:rPr>
              <w:t>0.0%</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0.5%</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Capital Surplus</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176,307</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139,528</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148,729</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99"/>
              </w:rPr>
              <w:t>6.6%</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-15.6%</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Legal and Other Capital reserves</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27,202,665</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29,628,427</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29,648,582</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99"/>
              </w:rPr>
              <w:t>0.1%</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9.0%</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Minority interest</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467,916</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475,729</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475,351</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rPr>
              <w:t>-0.1%</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1.6%</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Current and Accumulated Earnings </w:t>
            </w:r>
            <w:r>
              <w:rPr>
                <w:rFonts w:ascii="Arial" w:cs="Arial" w:eastAsia="Arial" w:hAnsi="Arial"/>
                <w:sz w:val="18"/>
                <w:szCs w:val="18"/>
                <w:color w:val="auto"/>
                <w:vertAlign w:val="superscript"/>
              </w:rPr>
              <w:t>(1)</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6,592,462</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6,737,239</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8,330,246</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rPr>
              <w:t>23.6%</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26.4%</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Unrealized Gains or Losses </w:t>
            </w:r>
            <w:r>
              <w:rPr>
                <w:rFonts w:ascii="Arial" w:cs="Arial" w:eastAsia="Arial" w:hAnsi="Arial"/>
                <w:sz w:val="18"/>
                <w:szCs w:val="18"/>
                <w:color w:val="auto"/>
                <w:vertAlign w:val="superscript"/>
              </w:rPr>
              <w:t>(2)</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(504,016)</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392,256</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159,324</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rPr>
              <w:t>-59.4%</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-131.6%</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Goodwill</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(722,361)</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(1,290,496)</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(1,252,858)</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rPr>
              <w:t>-2.9%</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73.4%</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Intangible Assets </w:t>
            </w:r>
            <w:r>
              <w:rPr>
                <w:rFonts w:ascii="Arial" w:cs="Arial" w:eastAsia="Arial" w:hAnsi="Arial"/>
                <w:sz w:val="18"/>
                <w:szCs w:val="18"/>
                <w:color w:val="auto"/>
                <w:vertAlign w:val="superscript"/>
              </w:rPr>
              <w:t>(3)</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(2,396,687)</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(3,345,228)</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(3,586,460)</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99"/>
              </w:rPr>
              <w:t>7.2%</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49.6%</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Deductions in Common Equity Tier 1 instruments </w:t>
            </w:r>
            <w:r>
              <w:rPr>
                <w:rFonts w:ascii="Arial" w:cs="Arial" w:eastAsia="Arial" w:hAnsi="Arial"/>
                <w:sz w:val="18"/>
                <w:szCs w:val="18"/>
                <w:color w:val="auto"/>
                <w:vertAlign w:val="superscript"/>
              </w:rPr>
              <w:t>(4)</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(673,952)</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(81,609)</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(99,319)</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rPr>
              <w:t>21.7%</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-85.3%</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Subordinated Debt</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8,047,314</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7,246,406</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8,854,662</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rPr>
              <w:t>22.2%</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10.0%</w:t>
            </w:r>
          </w:p>
        </w:tc>
      </w:tr>
      <w:tr>
        <w:trPr>
          <w:trHeight w:val="162"/>
        </w:trPr>
        <w:tc>
          <w:tcPr>
            <w:tcW w:w="520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2"/>
                <w:szCs w:val="12"/>
                <w:color w:val="auto"/>
              </w:rPr>
              <w:t xml:space="preserve">Loan loss reserves </w:t>
            </w:r>
            <w:r>
              <w:rPr>
                <w:rFonts w:ascii="Arial" w:cs="Arial" w:eastAsia="Arial" w:hAnsi="Arial"/>
                <w:sz w:val="18"/>
                <w:szCs w:val="18"/>
                <w:color w:val="auto"/>
                <w:vertAlign w:val="superscript"/>
              </w:rPr>
              <w:t>(5)</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2,033,379</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2,036,080</w:t>
            </w:r>
          </w:p>
        </w:tc>
        <w:tc>
          <w:tcPr>
            <w:tcW w:w="13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2,062,637</w:t>
            </w:r>
          </w:p>
        </w:tc>
        <w:tc>
          <w:tcPr>
            <w:tcW w:w="960" w:type="dxa"/>
            <w:vAlign w:val="bottom"/>
          </w:tcPr>
          <w:p>
            <w:pPr>
              <w:jc w:val="center"/>
              <w:spacing w:after="0" w:line="162" w:lineRule="exact"/>
              <w:rPr>
                <w:sz w:val="20"/>
                <w:szCs w:val="20"/>
                <w:color w:val="auto"/>
              </w:rPr>
            </w:pPr>
            <w:r>
              <w:rPr>
                <w:rFonts w:ascii="Arial" w:cs="Arial" w:eastAsia="Arial" w:hAnsi="Arial"/>
                <w:sz w:val="15"/>
                <w:szCs w:val="15"/>
                <w:color w:val="auto"/>
                <w:w w:val="99"/>
              </w:rPr>
              <w:t>1.3%</w:t>
            </w:r>
          </w:p>
        </w:tc>
        <w:tc>
          <w:tcPr>
            <w:tcW w:w="1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1.4%</w:t>
            </w:r>
          </w:p>
        </w:tc>
      </w:tr>
      <w:tr>
        <w:trPr>
          <w:trHeight w:val="185"/>
        </w:trPr>
        <w:tc>
          <w:tcPr>
            <w:tcW w:w="5200" w:type="dxa"/>
            <w:vAlign w:val="bottom"/>
            <w:tcBorders>
              <w:left w:val="single" w:sz="8" w:color="auto"/>
              <w:bottom w:val="single" w:sz="8" w:color="auto"/>
              <w:right w:val="single" w:sz="8" w:color="auto"/>
            </w:tcBorders>
          </w:tcPr>
          <w:p>
            <w:pPr>
              <w:ind w:left="160"/>
              <w:spacing w:after="0" w:line="186" w:lineRule="exact"/>
              <w:rPr>
                <w:sz w:val="20"/>
                <w:szCs w:val="20"/>
                <w:color w:val="auto"/>
              </w:rPr>
            </w:pPr>
            <w:r>
              <w:rPr>
                <w:rFonts w:ascii="Arial" w:cs="Arial" w:eastAsia="Arial" w:hAnsi="Arial"/>
                <w:sz w:val="13"/>
                <w:szCs w:val="13"/>
                <w:color w:val="auto"/>
              </w:rPr>
              <w:t xml:space="preserve">Deductions in Tier 2 instruments </w:t>
            </w:r>
            <w:r>
              <w:rPr>
                <w:rFonts w:ascii="Arial" w:cs="Arial" w:eastAsia="Arial" w:hAnsi="Arial"/>
                <w:sz w:val="21"/>
                <w:szCs w:val="21"/>
                <w:color w:val="auto"/>
                <w:vertAlign w:val="superscript"/>
              </w:rPr>
              <w:t>(6)</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(1,322,352)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(1,438,739)</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(2,036,821)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41.6%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54.0%</w:t>
            </w:r>
          </w:p>
        </w:tc>
      </w:tr>
      <w:tr>
        <w:trPr>
          <w:trHeight w:val="155"/>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Total Regulatory Capital (A)</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40,010,790</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41,608,741</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43,813,222</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5.3%</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9.5%</w:t>
            </w:r>
          </w:p>
        </w:tc>
      </w:tr>
      <w:tr>
        <w:trPr>
          <w:trHeight w:val="155"/>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Total Regulatory Common Equity Tier 1 Capital (B)</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31,252,448</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33,764,993</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34,932,743</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3.5%</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8"/>
              </w:rPr>
              <w:t>11.8%</w:t>
            </w:r>
          </w:p>
        </w:tc>
      </w:tr>
      <w:tr>
        <w:trPr>
          <w:trHeight w:val="156"/>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Total Regulatory Tier 1 Capital (C)</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31,252,448</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33,764,993</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34,932,743</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3.5%</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8"/>
              </w:rPr>
              <w:t>11.8%</w:t>
            </w:r>
          </w:p>
        </w:tc>
      </w:tr>
      <w:tr>
        <w:trPr>
          <w:trHeight w:val="155"/>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Total Regulatory Capital Requirement (D)</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29,124,775</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30,993,862</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32,346,541</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4.4%</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8"/>
              </w:rPr>
              <w:t>11.1%</w:t>
            </w:r>
          </w:p>
        </w:tc>
      </w:tr>
      <w:tr>
        <w:trPr>
          <w:trHeight w:val="155"/>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Total Regulatory Common Equity Tier 1 Capital Requirement (E)</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15,445,079</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16,281,634</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17,499,583</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7.5%</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13.3%</w:t>
            </w:r>
          </w:p>
        </w:tc>
      </w:tr>
      <w:tr>
        <w:trPr>
          <w:trHeight w:val="155"/>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Total Regulatory Tier 1 Capital Requirement (F)</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18,681,850</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rPr>
              <w:t>19,727,355</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rPr>
              <w:t>20,978,426</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9"/>
              </w:rPr>
              <w:t>6.3%</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12.3%</w:t>
            </w:r>
          </w:p>
        </w:tc>
      </w:tr>
      <w:tr>
        <w:trPr>
          <w:trHeight w:val="155"/>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Regulatory Capital Ratio (A) / (D)</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137%</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134%</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135%</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120 pp</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-193 bps</w:t>
            </w:r>
          </w:p>
        </w:tc>
      </w:tr>
      <w:tr>
        <w:trPr>
          <w:trHeight w:val="156"/>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Regulatory Common Equity Tier 1 Capital Ratio (B) / (E)</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202%</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207%</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200%</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(776)</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-273 bps</w:t>
            </w:r>
          </w:p>
        </w:tc>
      </w:tr>
      <w:tr>
        <w:trPr>
          <w:trHeight w:val="155"/>
        </w:trPr>
        <w:tc>
          <w:tcPr>
            <w:tcW w:w="5200" w:type="dxa"/>
            <w:vAlign w:val="bottom"/>
            <w:tcBorders>
              <w:left w:val="single" w:sz="8" w:color="auto"/>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Regulatory Tier 1 Capital Ratio (C) / (F)</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167%</w:t>
            </w:r>
          </w:p>
        </w:tc>
        <w:tc>
          <w:tcPr>
            <w:tcW w:w="134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171%</w:t>
            </w:r>
          </w:p>
        </w:tc>
        <w:tc>
          <w:tcPr>
            <w:tcW w:w="13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167%</w:t>
            </w:r>
          </w:p>
        </w:tc>
        <w:tc>
          <w:tcPr>
            <w:tcW w:w="96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(464)</w:t>
            </w:r>
          </w:p>
        </w:tc>
        <w:tc>
          <w:tcPr>
            <w:tcW w:w="10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rPr>
              <w:t>-77 bps</w:t>
            </w:r>
          </w:p>
        </w:tc>
      </w:tr>
    </w:tbl>
    <w:p>
      <w:pPr>
        <w:spacing w:after="0" w:line="177" w:lineRule="exact"/>
        <w:rPr>
          <w:sz w:val="20"/>
          <w:szCs w:val="20"/>
          <w:color w:val="auto"/>
        </w:rPr>
      </w:pPr>
    </w:p>
    <w:p>
      <w:pPr>
        <w:ind w:left="1460" w:hanging="333"/>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Earnings include Banco de Crédito del Perú and Mibanco Perú. Losses include all subsidiaries.</w:t>
      </w:r>
    </w:p>
    <w:p>
      <w:pPr>
        <w:spacing w:after="0" w:line="51" w:lineRule="exact"/>
        <w:rPr>
          <w:rFonts w:ascii="Arial" w:cs="Arial" w:eastAsia="Arial" w:hAnsi="Arial"/>
          <w:sz w:val="12"/>
          <w:szCs w:val="12"/>
          <w:color w:val="auto"/>
        </w:rPr>
      </w:pPr>
    </w:p>
    <w:p>
      <w:pPr>
        <w:ind w:left="1460" w:hanging="333"/>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Gains include Investment Grade Government Bonds and Peruvian Central Bank Certificates of Deposits. Losses include all bonds.</w:t>
      </w:r>
    </w:p>
    <w:p>
      <w:pPr>
        <w:spacing w:after="0" w:line="51" w:lineRule="exact"/>
        <w:rPr>
          <w:rFonts w:ascii="Arial" w:cs="Arial" w:eastAsia="Arial" w:hAnsi="Arial"/>
          <w:sz w:val="12"/>
          <w:szCs w:val="12"/>
          <w:color w:val="auto"/>
        </w:rPr>
      </w:pPr>
    </w:p>
    <w:p>
      <w:pPr>
        <w:ind w:left="1460" w:hanging="333"/>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Different to Goodwill. Includes Diferred Tax Assets.</w:t>
      </w:r>
    </w:p>
    <w:p>
      <w:pPr>
        <w:spacing w:after="0" w:line="51" w:lineRule="exact"/>
        <w:rPr>
          <w:rFonts w:ascii="Arial" w:cs="Arial" w:eastAsia="Arial" w:hAnsi="Arial"/>
          <w:sz w:val="12"/>
          <w:szCs w:val="12"/>
          <w:color w:val="auto"/>
        </w:rPr>
      </w:pPr>
    </w:p>
    <w:p>
      <w:pPr>
        <w:ind w:left="1460" w:hanging="333"/>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Investments in Equity.</w:t>
      </w:r>
    </w:p>
    <w:p>
      <w:pPr>
        <w:spacing w:after="0" w:line="51" w:lineRule="exact"/>
        <w:rPr>
          <w:rFonts w:ascii="Arial" w:cs="Arial" w:eastAsia="Arial" w:hAnsi="Arial"/>
          <w:sz w:val="12"/>
          <w:szCs w:val="12"/>
          <w:color w:val="auto"/>
        </w:rPr>
      </w:pPr>
    </w:p>
    <w:p>
      <w:pPr>
        <w:ind w:left="1460" w:hanging="333"/>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Up to 1.25% of total risk-weighted assets of Banco de Crédito del Perú, Solución Empresa Administradora Hipotecaria, Mibanco and Atlantic Security Bank.</w:t>
      </w:r>
    </w:p>
    <w:p>
      <w:pPr>
        <w:spacing w:after="0" w:line="51" w:lineRule="exact"/>
        <w:rPr>
          <w:rFonts w:ascii="Arial" w:cs="Arial" w:eastAsia="Arial" w:hAnsi="Arial"/>
          <w:sz w:val="12"/>
          <w:szCs w:val="12"/>
          <w:color w:val="auto"/>
        </w:rPr>
      </w:pPr>
    </w:p>
    <w:p>
      <w:pPr>
        <w:ind w:left="1460" w:hanging="333"/>
        <w:spacing w:after="0"/>
        <w:tabs>
          <w:tab w:leader="none" w:pos="14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Investments in Tier 2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836930</wp:posOffset>
            </wp:positionV>
            <wp:extent cx="71577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160020</wp:posOffset>
            </wp:positionV>
            <wp:extent cx="6789420" cy="5746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89420" cy="57467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58" w:name="page59"/>
    <w:bookmarkEnd w:id="58"/>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3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Regulatory and Capital Adequacy Ratios at BCP Stand-alone</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300" w:type="dxa"/>
            <w:vAlign w:val="bottom"/>
            <w:tcBorders>
              <w:top w:val="single" w:sz="8" w:color="auto"/>
              <w:left w:val="single" w:sz="8" w:color="auto"/>
            </w:tcBorders>
            <w:shd w:val="clear" w:color="auto" w:fill="2AD2C9"/>
          </w:tcPr>
          <w:p>
            <w:pPr>
              <w:spacing w:after="0" w:line="144" w:lineRule="exact"/>
              <w:rPr>
                <w:sz w:val="20"/>
                <w:szCs w:val="20"/>
                <w:color w:val="auto"/>
              </w:rPr>
            </w:pPr>
            <w:r>
              <w:rPr>
                <w:rFonts w:ascii="Arial" w:cs="Arial" w:eastAsia="Arial" w:hAnsi="Arial"/>
                <w:sz w:val="13"/>
                <w:szCs w:val="13"/>
                <w:b w:val="1"/>
                <w:bCs w:val="1"/>
                <w:color w:val="FFFFFF"/>
              </w:rPr>
              <w:t>Regulatory Capital</w:t>
            </w:r>
          </w:p>
        </w:tc>
        <w:tc>
          <w:tcPr>
            <w:tcW w:w="1780" w:type="dxa"/>
            <w:vAlign w:val="bottom"/>
            <w:tcBorders>
              <w:top w:val="single" w:sz="8" w:color="auto"/>
              <w:right w:val="single" w:sz="8" w:color="auto"/>
            </w:tcBorders>
            <w:shd w:val="clear" w:color="auto" w:fill="2AD2C9"/>
          </w:tcPr>
          <w:p>
            <w:pPr>
              <w:spacing w:after="0"/>
              <w:rPr>
                <w:sz w:val="12"/>
                <w:szCs w:val="12"/>
                <w:color w:val="auto"/>
              </w:rPr>
            </w:pPr>
          </w:p>
        </w:tc>
        <w:tc>
          <w:tcPr>
            <w:tcW w:w="1220" w:type="dxa"/>
            <w:vAlign w:val="bottom"/>
            <w:tcBorders>
              <w:top w:val="single" w:sz="8" w:color="auto"/>
            </w:tcBorders>
            <w:shd w:val="clear" w:color="auto" w:fill="2AD2C9"/>
          </w:tcPr>
          <w:p>
            <w:pPr>
              <w:spacing w:after="0"/>
              <w:rPr>
                <w:sz w:val="12"/>
                <w:szCs w:val="12"/>
                <w:color w:val="auto"/>
              </w:rPr>
            </w:pPr>
          </w:p>
        </w:tc>
        <w:tc>
          <w:tcPr>
            <w:tcW w:w="1240" w:type="dxa"/>
            <w:vAlign w:val="bottom"/>
            <w:tcBorders>
              <w:top w:val="single" w:sz="8" w:color="auto"/>
            </w:tcBorders>
            <w:shd w:val="clear" w:color="auto" w:fill="2AD2C9"/>
          </w:tcPr>
          <w:p>
            <w:pPr>
              <w:jc w:val="center"/>
              <w:spacing w:after="0" w:line="144" w:lineRule="exact"/>
              <w:rPr>
                <w:sz w:val="20"/>
                <w:szCs w:val="20"/>
                <w:color w:val="auto"/>
              </w:rPr>
            </w:pPr>
            <w:r>
              <w:rPr>
                <w:rFonts w:ascii="Arial" w:cs="Arial" w:eastAsia="Arial" w:hAnsi="Arial"/>
                <w:sz w:val="13"/>
                <w:szCs w:val="13"/>
                <w:b w:val="1"/>
                <w:bCs w:val="1"/>
                <w:color w:val="FFFFFF"/>
              </w:rPr>
              <w:t>Quarter</w:t>
            </w:r>
          </w:p>
        </w:tc>
        <w:tc>
          <w:tcPr>
            <w:tcW w:w="1260" w:type="dxa"/>
            <w:vAlign w:val="bottom"/>
            <w:tcBorders>
              <w:top w:val="single" w:sz="8" w:color="auto"/>
              <w:right w:val="single" w:sz="8" w:color="auto"/>
            </w:tcBorders>
            <w:shd w:val="clear" w:color="auto" w:fill="2AD2C9"/>
          </w:tcPr>
          <w:p>
            <w:pPr>
              <w:spacing w:after="0"/>
              <w:rPr>
                <w:sz w:val="12"/>
                <w:szCs w:val="12"/>
                <w:color w:val="auto"/>
              </w:rPr>
            </w:pPr>
          </w:p>
        </w:tc>
        <w:tc>
          <w:tcPr>
            <w:tcW w:w="900" w:type="dxa"/>
            <w:vAlign w:val="bottom"/>
            <w:tcBorders>
              <w:top w:val="single" w:sz="8" w:color="auto"/>
            </w:tcBorders>
            <w:shd w:val="clear" w:color="auto" w:fill="2AD2C9"/>
          </w:tcPr>
          <w:p>
            <w:pPr>
              <w:spacing w:after="0"/>
              <w:rPr>
                <w:sz w:val="12"/>
                <w:szCs w:val="12"/>
                <w:color w:val="auto"/>
              </w:rPr>
            </w:pPr>
          </w:p>
        </w:tc>
        <w:tc>
          <w:tcPr>
            <w:tcW w:w="1580" w:type="dxa"/>
            <w:vAlign w:val="bottom"/>
            <w:tcBorders>
              <w:top w:val="single" w:sz="8" w:color="auto"/>
              <w:right w:val="single" w:sz="8" w:color="auto"/>
            </w:tcBorders>
            <w:shd w:val="clear" w:color="auto" w:fill="2AD2C9"/>
          </w:tcPr>
          <w:p>
            <w:pPr>
              <w:spacing w:after="0" w:line="144"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300" w:type="dxa"/>
            <w:vAlign w:val="bottom"/>
            <w:tcBorders>
              <w:left w:val="single" w:sz="8" w:color="auto"/>
              <w:bottom w:val="single" w:sz="8" w:color="auto"/>
            </w:tcBorders>
            <w:shd w:val="clear" w:color="auto" w:fill="2AD2C9"/>
          </w:tcPr>
          <w:p>
            <w:pPr>
              <w:ind w:left="40"/>
              <w:spacing w:after="0"/>
              <w:rPr>
                <w:sz w:val="20"/>
                <w:szCs w:val="20"/>
                <w:color w:val="auto"/>
              </w:rPr>
            </w:pPr>
            <w:r>
              <w:rPr>
                <w:rFonts w:ascii="Arial" w:cs="Arial" w:eastAsia="Arial" w:hAnsi="Arial"/>
                <w:sz w:val="13"/>
                <w:szCs w:val="13"/>
                <w:color w:val="FFFFFF"/>
              </w:rPr>
              <w:t>(S/ thousand)</w:t>
            </w:r>
          </w:p>
        </w:tc>
        <w:tc>
          <w:tcPr>
            <w:tcW w:w="1780" w:type="dxa"/>
            <w:vAlign w:val="bottom"/>
            <w:tcBorders>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900" w:type="dxa"/>
            <w:vAlign w:val="bottom"/>
            <w:tcBorders>
              <w:bottom w:val="single" w:sz="8" w:color="auto"/>
            </w:tcBorders>
            <w:shd w:val="clear" w:color="auto" w:fill="2AD2C9"/>
          </w:tcPr>
          <w:p>
            <w:pPr>
              <w:jc w:val="center"/>
              <w:ind w:left="253"/>
              <w:spacing w:after="0"/>
              <w:rPr>
                <w:sz w:val="20"/>
                <w:szCs w:val="20"/>
                <w:color w:val="auto"/>
              </w:rPr>
            </w:pPr>
            <w:r>
              <w:rPr>
                <w:rFonts w:ascii="Arial" w:cs="Arial" w:eastAsia="Arial" w:hAnsi="Arial"/>
                <w:sz w:val="13"/>
                <w:szCs w:val="13"/>
                <w:b w:val="1"/>
                <w:bCs w:val="1"/>
                <w:color w:val="FFFFFF"/>
              </w:rPr>
              <w:t>QoQ</w:t>
            </w:r>
          </w:p>
        </w:tc>
        <w:tc>
          <w:tcPr>
            <w:tcW w:w="1580" w:type="dxa"/>
            <w:vAlign w:val="bottom"/>
            <w:tcBorders>
              <w:bottom w:val="single" w:sz="8" w:color="auto"/>
              <w:right w:val="single" w:sz="8" w:color="auto"/>
            </w:tcBorders>
            <w:shd w:val="clear" w:color="auto" w:fill="2AD2C9"/>
          </w:tcPr>
          <w:p>
            <w:pPr>
              <w:jc w:val="center"/>
              <w:ind w:left="213"/>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25"/>
        </w:trPr>
        <w:tc>
          <w:tcPr>
            <w:tcW w:w="3300" w:type="dxa"/>
            <w:vAlign w:val="bottom"/>
            <w:tcBorders>
              <w:left w:val="single" w:sz="8" w:color="auto"/>
            </w:tcBorders>
          </w:tcPr>
          <w:p>
            <w:pPr>
              <w:ind w:left="160"/>
              <w:spacing w:after="0" w:line="126" w:lineRule="exact"/>
              <w:rPr>
                <w:sz w:val="20"/>
                <w:szCs w:val="20"/>
                <w:color w:val="auto"/>
              </w:rPr>
            </w:pPr>
            <w:r>
              <w:rPr>
                <w:rFonts w:ascii="Arial" w:cs="Arial" w:eastAsia="Arial" w:hAnsi="Arial"/>
                <w:sz w:val="13"/>
                <w:szCs w:val="13"/>
                <w:color w:val="auto"/>
              </w:rPr>
              <w:t>Capital Stock</w:t>
            </w:r>
          </w:p>
        </w:tc>
        <w:tc>
          <w:tcPr>
            <w:tcW w:w="178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12,973,175</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12,973,175</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12,973,175</w:t>
            </w:r>
          </w:p>
        </w:tc>
        <w:tc>
          <w:tcPr>
            <w:tcW w:w="900" w:type="dxa"/>
            <w:vAlign w:val="bottom"/>
          </w:tcPr>
          <w:p>
            <w:pPr>
              <w:jc w:val="center"/>
              <w:ind w:left="253"/>
              <w:spacing w:after="0" w:line="126" w:lineRule="exact"/>
              <w:rPr>
                <w:sz w:val="20"/>
                <w:szCs w:val="20"/>
                <w:color w:val="auto"/>
              </w:rPr>
            </w:pPr>
            <w:r>
              <w:rPr>
                <w:rFonts w:ascii="Arial" w:cs="Arial" w:eastAsia="Arial" w:hAnsi="Arial"/>
                <w:sz w:val="13"/>
                <w:szCs w:val="13"/>
                <w:color w:val="auto"/>
              </w:rPr>
              <w:t>0.0%</w:t>
            </w:r>
          </w:p>
        </w:tc>
        <w:tc>
          <w:tcPr>
            <w:tcW w:w="1580" w:type="dxa"/>
            <w:vAlign w:val="bottom"/>
            <w:tcBorders>
              <w:right w:val="single" w:sz="8" w:color="auto"/>
            </w:tcBorders>
          </w:tcPr>
          <w:p>
            <w:pPr>
              <w:jc w:val="center"/>
              <w:ind w:left="213"/>
              <w:spacing w:after="0" w:line="126"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33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Reserves</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6,124,302</w:t>
            </w:r>
          </w:p>
        </w:tc>
        <w:tc>
          <w:tcPr>
            <w:tcW w:w="1240" w:type="dxa"/>
            <w:vAlign w:val="bottom"/>
          </w:tcPr>
          <w:p>
            <w:pPr>
              <w:jc w:val="center"/>
              <w:spacing w:after="0"/>
              <w:rPr>
                <w:sz w:val="20"/>
                <w:szCs w:val="20"/>
                <w:color w:val="auto"/>
              </w:rPr>
            </w:pPr>
            <w:r>
              <w:rPr>
                <w:rFonts w:ascii="Arial" w:cs="Arial" w:eastAsia="Arial" w:hAnsi="Arial"/>
                <w:sz w:val="13"/>
                <w:szCs w:val="13"/>
                <w:color w:val="auto"/>
              </w:rPr>
              <w:t>6,125,452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6,125,452</w:t>
            </w:r>
          </w:p>
        </w:tc>
        <w:tc>
          <w:tcPr>
            <w:tcW w:w="900" w:type="dxa"/>
            <w:vAlign w:val="bottom"/>
          </w:tcPr>
          <w:p>
            <w:pPr>
              <w:jc w:val="center"/>
              <w:ind w:left="253"/>
              <w:spacing w:after="0"/>
              <w:rPr>
                <w:sz w:val="20"/>
                <w:szCs w:val="20"/>
                <w:color w:val="auto"/>
              </w:rPr>
            </w:pPr>
            <w:r>
              <w:rPr>
                <w:rFonts w:ascii="Arial" w:cs="Arial" w:eastAsia="Arial" w:hAnsi="Arial"/>
                <w:sz w:val="13"/>
                <w:szCs w:val="13"/>
                <w:color w:val="auto"/>
              </w:rPr>
              <w:t>0.0%</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4"/>
        </w:trPr>
        <w:tc>
          <w:tcPr>
            <w:tcW w:w="3300" w:type="dxa"/>
            <w:vAlign w:val="bottom"/>
            <w:tcBorders>
              <w:left w:val="single" w:sz="8" w:color="auto"/>
            </w:tcBorders>
          </w:tcPr>
          <w:p>
            <w:pPr>
              <w:ind w:left="160"/>
              <w:spacing w:after="0" w:line="144" w:lineRule="exact"/>
              <w:rPr>
                <w:sz w:val="20"/>
                <w:szCs w:val="20"/>
                <w:color w:val="auto"/>
              </w:rPr>
            </w:pPr>
            <w:r>
              <w:rPr>
                <w:rFonts w:ascii="Arial" w:cs="Arial" w:eastAsia="Arial" w:hAnsi="Arial"/>
                <w:sz w:val="13"/>
                <w:szCs w:val="13"/>
                <w:color w:val="auto"/>
              </w:rPr>
              <w:t>Accumulated earnings</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Arial" w:cs="Arial" w:eastAsia="Arial" w:hAnsi="Arial"/>
                <w:sz w:val="13"/>
                <w:szCs w:val="13"/>
                <w:color w:val="auto"/>
              </w:rPr>
              <w:t>6,589,252</w:t>
            </w: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rPr>
              <w:t>6,730,631</w:t>
            </w:r>
          </w:p>
        </w:tc>
        <w:tc>
          <w:tcPr>
            <w:tcW w:w="12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8,320,658</w:t>
            </w:r>
          </w:p>
        </w:tc>
        <w:tc>
          <w:tcPr>
            <w:tcW w:w="900" w:type="dxa"/>
            <w:vAlign w:val="bottom"/>
          </w:tcPr>
          <w:p>
            <w:pPr>
              <w:jc w:val="center"/>
              <w:ind w:left="253"/>
              <w:spacing w:after="0" w:line="144" w:lineRule="exact"/>
              <w:rPr>
                <w:sz w:val="20"/>
                <w:szCs w:val="20"/>
                <w:color w:val="auto"/>
              </w:rPr>
            </w:pPr>
            <w:r>
              <w:rPr>
                <w:rFonts w:ascii="Arial" w:cs="Arial" w:eastAsia="Arial" w:hAnsi="Arial"/>
                <w:sz w:val="13"/>
                <w:szCs w:val="13"/>
                <w:color w:val="auto"/>
              </w:rPr>
              <w:t>23.6%</w:t>
            </w:r>
          </w:p>
        </w:tc>
        <w:tc>
          <w:tcPr>
            <w:tcW w:w="1580" w:type="dxa"/>
            <w:vAlign w:val="bottom"/>
            <w:tcBorders>
              <w:right w:val="single" w:sz="8" w:color="auto"/>
            </w:tcBorders>
          </w:tcPr>
          <w:p>
            <w:pPr>
              <w:jc w:val="center"/>
              <w:ind w:left="213"/>
              <w:spacing w:after="0" w:line="144" w:lineRule="exact"/>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53"/>
        </w:trPr>
        <w:tc>
          <w:tcPr>
            <w:tcW w:w="3300" w:type="dxa"/>
            <w:vAlign w:val="bottom"/>
            <w:tcBorders>
              <w:left w:val="single" w:sz="8" w:color="auto"/>
            </w:tcBorders>
          </w:tcPr>
          <w:p>
            <w:pPr>
              <w:ind w:left="160"/>
              <w:spacing w:after="0" w:line="153" w:lineRule="exact"/>
              <w:rPr>
                <w:sz w:val="20"/>
                <w:szCs w:val="20"/>
                <w:color w:val="auto"/>
              </w:rPr>
            </w:pPr>
            <w:r>
              <w:rPr>
                <w:rFonts w:ascii="Arial" w:cs="Arial" w:eastAsia="Arial" w:hAnsi="Arial"/>
                <w:sz w:val="11"/>
                <w:szCs w:val="11"/>
                <w:color w:val="auto"/>
              </w:rPr>
              <w:t xml:space="preserve">Loan loss reserves </w:t>
            </w:r>
            <w:r>
              <w:rPr>
                <w:rFonts w:ascii="Arial" w:cs="Arial" w:eastAsia="Arial" w:hAnsi="Arial"/>
                <w:sz w:val="17"/>
                <w:szCs w:val="17"/>
                <w:color w:val="auto"/>
                <w:vertAlign w:val="superscript"/>
              </w:rPr>
              <w:t>(1)</w:t>
            </w:r>
          </w:p>
        </w:tc>
        <w:tc>
          <w:tcPr>
            <w:tcW w:w="1780" w:type="dxa"/>
            <w:vAlign w:val="bottom"/>
            <w:tcBorders>
              <w:right w:val="single" w:sz="8" w:color="auto"/>
            </w:tcBorders>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1,757,256</w:t>
            </w:r>
          </w:p>
        </w:tc>
        <w:tc>
          <w:tcPr>
            <w:tcW w:w="1240" w:type="dxa"/>
            <w:vAlign w:val="bottom"/>
          </w:tcPr>
          <w:p>
            <w:pPr>
              <w:jc w:val="center"/>
              <w:spacing w:after="0"/>
              <w:rPr>
                <w:sz w:val="20"/>
                <w:szCs w:val="20"/>
                <w:color w:val="auto"/>
              </w:rPr>
            </w:pPr>
            <w:r>
              <w:rPr>
                <w:rFonts w:ascii="Arial" w:cs="Arial" w:eastAsia="Arial" w:hAnsi="Arial"/>
                <w:sz w:val="13"/>
                <w:szCs w:val="13"/>
                <w:color w:val="auto"/>
              </w:rPr>
              <w:t>1,800,868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1,799,773</w:t>
            </w:r>
          </w:p>
        </w:tc>
        <w:tc>
          <w:tcPr>
            <w:tcW w:w="900" w:type="dxa"/>
            <w:vAlign w:val="bottom"/>
          </w:tcPr>
          <w:p>
            <w:pPr>
              <w:jc w:val="center"/>
              <w:ind w:left="233"/>
              <w:spacing w:after="0"/>
              <w:rPr>
                <w:sz w:val="20"/>
                <w:szCs w:val="20"/>
                <w:color w:val="auto"/>
              </w:rPr>
            </w:pPr>
            <w:r>
              <w:rPr>
                <w:rFonts w:ascii="Arial" w:cs="Arial" w:eastAsia="Arial" w:hAnsi="Arial"/>
                <w:sz w:val="13"/>
                <w:szCs w:val="13"/>
                <w:color w:val="auto"/>
              </w:rPr>
              <w:t>-0.1%</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8"/>
        </w:trPr>
        <w:tc>
          <w:tcPr>
            <w:tcW w:w="33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Subordinated Debt</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7,339,800</w:t>
            </w:r>
          </w:p>
        </w:tc>
        <w:tc>
          <w:tcPr>
            <w:tcW w:w="1240" w:type="dxa"/>
            <w:vAlign w:val="bottom"/>
          </w:tcPr>
          <w:p>
            <w:pPr>
              <w:jc w:val="center"/>
              <w:spacing w:after="0"/>
              <w:rPr>
                <w:sz w:val="20"/>
                <w:szCs w:val="20"/>
                <w:color w:val="auto"/>
              </w:rPr>
            </w:pPr>
            <w:r>
              <w:rPr>
                <w:rFonts w:ascii="Arial" w:cs="Arial" w:eastAsia="Arial" w:hAnsi="Arial"/>
                <w:sz w:val="13"/>
                <w:szCs w:val="13"/>
                <w:color w:val="auto"/>
              </w:rPr>
              <w:t>6,419,500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7,903,050</w:t>
            </w:r>
          </w:p>
        </w:tc>
        <w:tc>
          <w:tcPr>
            <w:tcW w:w="900" w:type="dxa"/>
            <w:vAlign w:val="bottom"/>
          </w:tcPr>
          <w:p>
            <w:pPr>
              <w:jc w:val="center"/>
              <w:ind w:left="253"/>
              <w:spacing w:after="0"/>
              <w:rPr>
                <w:sz w:val="20"/>
                <w:szCs w:val="20"/>
                <w:color w:val="auto"/>
              </w:rPr>
            </w:pPr>
            <w:r>
              <w:rPr>
                <w:rFonts w:ascii="Arial" w:cs="Arial" w:eastAsia="Arial" w:hAnsi="Arial"/>
                <w:sz w:val="13"/>
                <w:szCs w:val="13"/>
                <w:color w:val="auto"/>
              </w:rPr>
              <w:t>23.1%</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8"/>
        </w:trPr>
        <w:tc>
          <w:tcPr>
            <w:tcW w:w="33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Unrealized Profit or Losses</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(413,658)</w:t>
            </w:r>
          </w:p>
        </w:tc>
        <w:tc>
          <w:tcPr>
            <w:tcW w:w="1240" w:type="dxa"/>
            <w:vAlign w:val="bottom"/>
          </w:tcPr>
          <w:p>
            <w:pPr>
              <w:jc w:val="center"/>
              <w:spacing w:after="0"/>
              <w:rPr>
                <w:sz w:val="20"/>
                <w:szCs w:val="20"/>
                <w:color w:val="auto"/>
              </w:rPr>
            </w:pPr>
            <w:r>
              <w:rPr>
                <w:rFonts w:ascii="Arial" w:cs="Arial" w:eastAsia="Arial" w:hAnsi="Arial"/>
                <w:sz w:val="13"/>
                <w:szCs w:val="13"/>
                <w:color w:val="auto"/>
              </w:rPr>
              <w:t>(10,363)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138,930</w:t>
            </w:r>
          </w:p>
        </w:tc>
        <w:tc>
          <w:tcPr>
            <w:tcW w:w="900" w:type="dxa"/>
            <w:vAlign w:val="bottom"/>
          </w:tcPr>
          <w:p>
            <w:pPr>
              <w:jc w:val="center"/>
              <w:ind w:left="253"/>
              <w:spacing w:after="0"/>
              <w:rPr>
                <w:sz w:val="20"/>
                <w:szCs w:val="20"/>
                <w:color w:val="auto"/>
              </w:rPr>
            </w:pPr>
            <w:r>
              <w:rPr>
                <w:rFonts w:ascii="Arial" w:cs="Arial" w:eastAsia="Arial" w:hAnsi="Arial"/>
                <w:sz w:val="13"/>
                <w:szCs w:val="13"/>
                <w:color w:val="auto"/>
              </w:rPr>
              <w:t>-1440.6%</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149"/>
        </w:trPr>
        <w:tc>
          <w:tcPr>
            <w:tcW w:w="50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3"/>
                <w:szCs w:val="13"/>
                <w:color w:val="auto"/>
              </w:rPr>
              <w:t>Investment in subsidiaries and others, net of unrealized profit and net income in</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auto"/>
              </w:rPr>
              <w:t>(2,477,732)</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rPr>
              <w:t>(2,535,672)</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(2,691,973)</w:t>
            </w:r>
          </w:p>
        </w:tc>
        <w:tc>
          <w:tcPr>
            <w:tcW w:w="900" w:type="dxa"/>
            <w:vAlign w:val="bottom"/>
            <w:vMerge w:val="restart"/>
          </w:tcPr>
          <w:p>
            <w:pPr>
              <w:jc w:val="center"/>
              <w:ind w:left="253"/>
              <w:spacing w:after="0"/>
              <w:rPr>
                <w:sz w:val="20"/>
                <w:szCs w:val="20"/>
                <w:color w:val="auto"/>
              </w:rPr>
            </w:pPr>
            <w:r>
              <w:rPr>
                <w:rFonts w:ascii="Arial" w:cs="Arial" w:eastAsia="Arial" w:hAnsi="Arial"/>
                <w:sz w:val="13"/>
                <w:szCs w:val="13"/>
                <w:color w:val="auto"/>
              </w:rPr>
              <w:t>6.2%</w:t>
            </w:r>
          </w:p>
        </w:tc>
        <w:tc>
          <w:tcPr>
            <w:tcW w:w="1580" w:type="dxa"/>
            <w:vAlign w:val="bottom"/>
            <w:tcBorders>
              <w:right w:val="single" w:sz="8" w:color="auto"/>
            </w:tcBorders>
            <w:vMerge w:val="restart"/>
          </w:tcPr>
          <w:p>
            <w:pPr>
              <w:jc w:val="center"/>
              <w:ind w:left="213"/>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13"/>
        </w:trPr>
        <w:tc>
          <w:tcPr>
            <w:tcW w:w="3300" w:type="dxa"/>
            <w:vAlign w:val="bottom"/>
            <w:tcBorders>
              <w:left w:val="single" w:sz="8" w:color="auto"/>
            </w:tcBorders>
            <w:vMerge w:val="restart"/>
          </w:tcPr>
          <w:p>
            <w:pPr>
              <w:ind w:left="160"/>
              <w:spacing w:after="0"/>
              <w:rPr>
                <w:sz w:val="20"/>
                <w:szCs w:val="20"/>
                <w:color w:val="auto"/>
              </w:rPr>
            </w:pPr>
            <w:r>
              <w:rPr>
                <w:rFonts w:ascii="Arial" w:cs="Arial" w:eastAsia="Arial" w:hAnsi="Arial"/>
                <w:sz w:val="13"/>
                <w:szCs w:val="13"/>
                <w:color w:val="auto"/>
              </w:rPr>
              <w:t>subsidiaries</w:t>
            </w:r>
          </w:p>
        </w:tc>
        <w:tc>
          <w:tcPr>
            <w:tcW w:w="1780" w:type="dxa"/>
            <w:vAlign w:val="bottom"/>
            <w:tcBorders>
              <w:right w:val="single" w:sz="8" w:color="auto"/>
            </w:tcBorders>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300" w:type="dxa"/>
            <w:vAlign w:val="bottom"/>
            <w:tcBorders>
              <w:left w:val="single" w:sz="8" w:color="auto"/>
            </w:tcBorders>
            <w:vMerge w:val="continue"/>
          </w:tcPr>
          <w:p>
            <w:pPr>
              <w:spacing w:after="0"/>
              <w:rPr>
                <w:sz w:val="3"/>
                <w:szCs w:val="3"/>
                <w:color w:val="auto"/>
              </w:rPr>
            </w:pPr>
          </w:p>
        </w:tc>
        <w:tc>
          <w:tcPr>
            <w:tcW w:w="1780" w:type="dxa"/>
            <w:vAlign w:val="bottom"/>
            <w:tcBorders>
              <w:right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3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Intangibles</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(1,515,214)</w:t>
            </w:r>
          </w:p>
        </w:tc>
        <w:tc>
          <w:tcPr>
            <w:tcW w:w="1240" w:type="dxa"/>
            <w:vAlign w:val="bottom"/>
          </w:tcPr>
          <w:p>
            <w:pPr>
              <w:jc w:val="center"/>
              <w:spacing w:after="0"/>
              <w:rPr>
                <w:sz w:val="20"/>
                <w:szCs w:val="20"/>
                <w:color w:val="auto"/>
              </w:rPr>
            </w:pPr>
            <w:r>
              <w:rPr>
                <w:rFonts w:ascii="Arial" w:cs="Arial" w:eastAsia="Arial" w:hAnsi="Arial"/>
                <w:sz w:val="13"/>
                <w:szCs w:val="13"/>
                <w:color w:val="auto"/>
              </w:rPr>
              <w:t>(1,624,042)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(1,795,540)</w:t>
            </w:r>
          </w:p>
        </w:tc>
        <w:tc>
          <w:tcPr>
            <w:tcW w:w="900" w:type="dxa"/>
            <w:vAlign w:val="bottom"/>
          </w:tcPr>
          <w:p>
            <w:pPr>
              <w:jc w:val="center"/>
              <w:ind w:left="253"/>
              <w:spacing w:after="0"/>
              <w:rPr>
                <w:sz w:val="20"/>
                <w:szCs w:val="20"/>
                <w:color w:val="auto"/>
              </w:rPr>
            </w:pPr>
            <w:r>
              <w:rPr>
                <w:rFonts w:ascii="Arial" w:cs="Arial" w:eastAsia="Arial" w:hAnsi="Arial"/>
                <w:sz w:val="13"/>
                <w:szCs w:val="13"/>
                <w:color w:val="auto"/>
              </w:rPr>
              <w:t>10.6%</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65"/>
        </w:trPr>
        <w:tc>
          <w:tcPr>
            <w:tcW w:w="33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Goodwill</w:t>
            </w:r>
          </w:p>
        </w:tc>
        <w:tc>
          <w:tcPr>
            <w:tcW w:w="17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(122,083)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(122,083)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(122,083)</w:t>
            </w:r>
          </w:p>
        </w:tc>
        <w:tc>
          <w:tcPr>
            <w:tcW w:w="90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0.0%</w:t>
            </w:r>
          </w:p>
        </w:tc>
        <w:tc>
          <w:tcPr>
            <w:tcW w:w="15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2"/>
        </w:trPr>
        <w:tc>
          <w:tcPr>
            <w:tcW w:w="33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 Regulatory Capital</w:t>
            </w:r>
          </w:p>
        </w:tc>
        <w:tc>
          <w:tcPr>
            <w:tcW w:w="1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30,255,097</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29,757,465</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32,651,442</w:t>
            </w:r>
          </w:p>
        </w:tc>
        <w:tc>
          <w:tcPr>
            <w:tcW w:w="90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9.7%</w:t>
            </w:r>
          </w:p>
        </w:tc>
        <w:tc>
          <w:tcPr>
            <w:tcW w:w="1580" w:type="dxa"/>
            <w:vAlign w:val="bottom"/>
            <w:tcBorders>
              <w:bottom w:val="single" w:sz="8" w:color="auto"/>
              <w:right w:val="single" w:sz="8" w:color="auto"/>
            </w:tcBorders>
          </w:tcPr>
          <w:p>
            <w:pPr>
              <w:jc w:val="center"/>
              <w:ind w:left="213"/>
              <w:spacing w:after="0" w:line="142" w:lineRule="exact"/>
              <w:rPr>
                <w:sz w:val="20"/>
                <w:szCs w:val="20"/>
                <w:color w:val="auto"/>
              </w:rPr>
            </w:pPr>
            <w:r>
              <w:rPr>
                <w:rFonts w:ascii="Arial" w:cs="Arial" w:eastAsia="Arial" w:hAnsi="Arial"/>
                <w:sz w:val="13"/>
                <w:szCs w:val="13"/>
                <w:b w:val="1"/>
                <w:bCs w:val="1"/>
                <w:color w:val="auto"/>
              </w:rPr>
              <w:t>7.9%</w:t>
            </w:r>
          </w:p>
        </w:tc>
        <w:tc>
          <w:tcPr>
            <w:tcW w:w="0" w:type="dxa"/>
            <w:vAlign w:val="bottom"/>
          </w:tcPr>
          <w:p>
            <w:pPr>
              <w:spacing w:after="0"/>
              <w:rPr>
                <w:sz w:val="1"/>
                <w:szCs w:val="1"/>
                <w:color w:val="auto"/>
              </w:rPr>
            </w:pPr>
          </w:p>
        </w:tc>
      </w:tr>
      <w:tr>
        <w:trPr>
          <w:trHeight w:val="142"/>
        </w:trPr>
        <w:tc>
          <w:tcPr>
            <w:tcW w:w="33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1"/>
                <w:szCs w:val="11"/>
                <w:b w:val="1"/>
                <w:bCs w:val="1"/>
                <w:color w:val="auto"/>
              </w:rPr>
              <w:t xml:space="preserve">Tier 1 Common Equity </w:t>
            </w:r>
            <w:r>
              <w:rPr>
                <w:rFonts w:ascii="Arial" w:cs="Arial" w:eastAsia="Arial" w:hAnsi="Arial"/>
                <w:sz w:val="16"/>
                <w:szCs w:val="16"/>
                <w:b w:val="1"/>
                <w:bCs w:val="1"/>
                <w:color w:val="auto"/>
                <w:vertAlign w:val="superscript"/>
              </w:rPr>
              <w:t>(2)</w:t>
            </w:r>
          </w:p>
        </w:tc>
        <w:tc>
          <w:tcPr>
            <w:tcW w:w="1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21,158,042</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21,537,097</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22,948,619</w:t>
            </w:r>
          </w:p>
        </w:tc>
        <w:tc>
          <w:tcPr>
            <w:tcW w:w="90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6.6%</w:t>
            </w:r>
          </w:p>
        </w:tc>
        <w:tc>
          <w:tcPr>
            <w:tcW w:w="1580" w:type="dxa"/>
            <w:vAlign w:val="bottom"/>
            <w:tcBorders>
              <w:bottom w:val="single" w:sz="8" w:color="auto"/>
              <w:right w:val="single" w:sz="8" w:color="auto"/>
            </w:tcBorders>
          </w:tcPr>
          <w:p>
            <w:pPr>
              <w:jc w:val="center"/>
              <w:ind w:left="213"/>
              <w:spacing w:after="0" w:line="142" w:lineRule="exact"/>
              <w:rPr>
                <w:sz w:val="20"/>
                <w:szCs w:val="20"/>
                <w:color w:val="auto"/>
              </w:rPr>
            </w:pPr>
            <w:r>
              <w:rPr>
                <w:rFonts w:ascii="Arial" w:cs="Arial" w:eastAsia="Arial" w:hAnsi="Arial"/>
                <w:sz w:val="13"/>
                <w:szCs w:val="13"/>
                <w:b w:val="1"/>
                <w:bCs w:val="1"/>
                <w:color w:val="auto"/>
              </w:rPr>
              <w:t>8.5%</w:t>
            </w:r>
          </w:p>
        </w:tc>
        <w:tc>
          <w:tcPr>
            <w:tcW w:w="0" w:type="dxa"/>
            <w:vAlign w:val="bottom"/>
          </w:tcPr>
          <w:p>
            <w:pPr>
              <w:spacing w:after="0"/>
              <w:rPr>
                <w:sz w:val="1"/>
                <w:szCs w:val="1"/>
                <w:color w:val="auto"/>
              </w:rPr>
            </w:pPr>
          </w:p>
        </w:tc>
      </w:tr>
      <w:tr>
        <w:trPr>
          <w:trHeight w:val="142"/>
        </w:trPr>
        <w:tc>
          <w:tcPr>
            <w:tcW w:w="33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1"/>
                <w:szCs w:val="11"/>
                <w:b w:val="1"/>
                <w:bCs w:val="1"/>
                <w:color w:val="auto"/>
              </w:rPr>
              <w:t xml:space="preserve">Regulatory Tier 1 Capital </w:t>
            </w:r>
            <w:r>
              <w:rPr>
                <w:rFonts w:ascii="Arial" w:cs="Arial" w:eastAsia="Arial" w:hAnsi="Arial"/>
                <w:sz w:val="16"/>
                <w:szCs w:val="16"/>
                <w:b w:val="1"/>
                <w:bCs w:val="1"/>
                <w:color w:val="auto"/>
                <w:vertAlign w:val="superscript"/>
              </w:rPr>
              <w:t>(3)</w:t>
            </w:r>
          </w:p>
        </w:tc>
        <w:tc>
          <w:tcPr>
            <w:tcW w:w="1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21,158,042</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21,537,097</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22,948,619</w:t>
            </w:r>
          </w:p>
        </w:tc>
        <w:tc>
          <w:tcPr>
            <w:tcW w:w="90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6.6%</w:t>
            </w:r>
          </w:p>
        </w:tc>
        <w:tc>
          <w:tcPr>
            <w:tcW w:w="1580" w:type="dxa"/>
            <w:vAlign w:val="bottom"/>
            <w:tcBorders>
              <w:bottom w:val="single" w:sz="8" w:color="auto"/>
              <w:right w:val="single" w:sz="8" w:color="auto"/>
            </w:tcBorders>
          </w:tcPr>
          <w:p>
            <w:pPr>
              <w:jc w:val="center"/>
              <w:ind w:left="213"/>
              <w:spacing w:after="0" w:line="142" w:lineRule="exact"/>
              <w:rPr>
                <w:sz w:val="20"/>
                <w:szCs w:val="20"/>
                <w:color w:val="auto"/>
              </w:rPr>
            </w:pPr>
            <w:r>
              <w:rPr>
                <w:rFonts w:ascii="Arial" w:cs="Arial" w:eastAsia="Arial" w:hAnsi="Arial"/>
                <w:sz w:val="13"/>
                <w:szCs w:val="13"/>
                <w:b w:val="1"/>
                <w:bCs w:val="1"/>
                <w:color w:val="auto"/>
              </w:rPr>
              <w:t>8.5%</w:t>
            </w:r>
          </w:p>
        </w:tc>
        <w:tc>
          <w:tcPr>
            <w:tcW w:w="0" w:type="dxa"/>
            <w:vAlign w:val="bottom"/>
          </w:tcPr>
          <w:p>
            <w:pPr>
              <w:spacing w:after="0"/>
              <w:rPr>
                <w:sz w:val="1"/>
                <w:szCs w:val="1"/>
                <w:color w:val="auto"/>
              </w:rPr>
            </w:pPr>
          </w:p>
        </w:tc>
      </w:tr>
      <w:tr>
        <w:trPr>
          <w:trHeight w:val="142"/>
        </w:trPr>
        <w:tc>
          <w:tcPr>
            <w:tcW w:w="33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1"/>
                <w:szCs w:val="11"/>
                <w:b w:val="1"/>
                <w:bCs w:val="1"/>
                <w:color w:val="auto"/>
              </w:rPr>
              <w:t xml:space="preserve">Regulatory Tier 2 Capital </w:t>
            </w:r>
            <w:r>
              <w:rPr>
                <w:rFonts w:ascii="Arial" w:cs="Arial" w:eastAsia="Arial" w:hAnsi="Arial"/>
                <w:sz w:val="16"/>
                <w:szCs w:val="16"/>
                <w:b w:val="1"/>
                <w:bCs w:val="1"/>
                <w:color w:val="auto"/>
                <w:vertAlign w:val="superscript"/>
              </w:rPr>
              <w:t>(4)</w:t>
            </w:r>
          </w:p>
        </w:tc>
        <w:tc>
          <w:tcPr>
            <w:tcW w:w="1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9,097,056</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8,220,368</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9,702,823</w:t>
            </w:r>
          </w:p>
        </w:tc>
        <w:tc>
          <w:tcPr>
            <w:tcW w:w="90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18.0%</w:t>
            </w:r>
          </w:p>
        </w:tc>
        <w:tc>
          <w:tcPr>
            <w:tcW w:w="1580" w:type="dxa"/>
            <w:vAlign w:val="bottom"/>
            <w:tcBorders>
              <w:bottom w:val="single" w:sz="8" w:color="auto"/>
              <w:right w:val="single" w:sz="8" w:color="auto"/>
            </w:tcBorders>
          </w:tcPr>
          <w:p>
            <w:pPr>
              <w:jc w:val="center"/>
              <w:ind w:left="213"/>
              <w:spacing w:after="0" w:line="142" w:lineRule="exact"/>
              <w:rPr>
                <w:sz w:val="20"/>
                <w:szCs w:val="20"/>
                <w:color w:val="auto"/>
              </w:rPr>
            </w:pPr>
            <w:r>
              <w:rPr>
                <w:rFonts w:ascii="Arial" w:cs="Arial" w:eastAsia="Arial" w:hAnsi="Arial"/>
                <w:sz w:val="13"/>
                <w:szCs w:val="13"/>
                <w:b w:val="1"/>
                <w:bCs w:val="1"/>
                <w:color w:val="auto"/>
              </w:rPr>
              <w:t>6.7%</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3300" w:type="dxa"/>
            <w:vAlign w:val="bottom"/>
            <w:tcBorders>
              <w:lef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Total risk-weighted assets</w:t>
            </w:r>
          </w:p>
        </w:tc>
        <w:tc>
          <w:tcPr>
            <w:tcW w:w="1780" w:type="dxa"/>
            <w:vAlign w:val="bottom"/>
            <w:tcBorders>
              <w:right w:val="single" w:sz="8" w:color="auto"/>
            </w:tcBorders>
            <w:shd w:val="clear" w:color="auto" w:fill="2AD2C9"/>
          </w:tcPr>
          <w:p>
            <w:pPr>
              <w:spacing w:after="0"/>
              <w:rPr>
                <w:sz w:val="10"/>
                <w:szCs w:val="10"/>
                <w:color w:val="auto"/>
              </w:rPr>
            </w:pPr>
          </w:p>
        </w:tc>
        <w:tc>
          <w:tcPr>
            <w:tcW w:w="1220" w:type="dxa"/>
            <w:vAlign w:val="bottom"/>
            <w:shd w:val="clear" w:color="auto" w:fill="2AD2C9"/>
          </w:tcPr>
          <w:p>
            <w:pPr>
              <w:spacing w:after="0"/>
              <w:rPr>
                <w:sz w:val="10"/>
                <w:szCs w:val="10"/>
                <w:color w:val="auto"/>
              </w:rPr>
            </w:pPr>
          </w:p>
        </w:tc>
        <w:tc>
          <w:tcPr>
            <w:tcW w:w="1240" w:type="dxa"/>
            <w:vAlign w:val="bottom"/>
            <w:shd w:val="clear" w:color="auto" w:fill="2AD2C9"/>
          </w:tcPr>
          <w:p>
            <w:pPr>
              <w:jc w:val="center"/>
              <w:spacing w:after="0" w:line="123" w:lineRule="exact"/>
              <w:rPr>
                <w:sz w:val="20"/>
                <w:szCs w:val="20"/>
                <w:color w:val="auto"/>
              </w:rPr>
            </w:pPr>
            <w:r>
              <w:rPr>
                <w:rFonts w:ascii="Arial" w:cs="Arial" w:eastAsia="Arial" w:hAnsi="Arial"/>
                <w:sz w:val="13"/>
                <w:szCs w:val="13"/>
                <w:b w:val="1"/>
                <w:bCs w:val="1"/>
                <w:color w:val="FFFFFF"/>
              </w:rPr>
              <w:t>Quarter</w:t>
            </w:r>
          </w:p>
        </w:tc>
        <w:tc>
          <w:tcPr>
            <w:tcW w:w="1260" w:type="dxa"/>
            <w:vAlign w:val="bottom"/>
            <w:tcBorders>
              <w:right w:val="single" w:sz="8" w:color="auto"/>
            </w:tcBorders>
            <w:shd w:val="clear" w:color="auto" w:fill="2AD2C9"/>
          </w:tcPr>
          <w:p>
            <w:pPr>
              <w:spacing w:after="0"/>
              <w:rPr>
                <w:sz w:val="10"/>
                <w:szCs w:val="10"/>
                <w:color w:val="auto"/>
              </w:rPr>
            </w:pPr>
          </w:p>
        </w:tc>
        <w:tc>
          <w:tcPr>
            <w:tcW w:w="900" w:type="dxa"/>
            <w:vAlign w:val="bottom"/>
            <w:shd w:val="clear" w:color="auto" w:fill="2AD2C9"/>
          </w:tcPr>
          <w:p>
            <w:pPr>
              <w:spacing w:after="0"/>
              <w:rPr>
                <w:sz w:val="10"/>
                <w:szCs w:val="10"/>
                <w:color w:val="auto"/>
              </w:rPr>
            </w:pPr>
          </w:p>
        </w:tc>
        <w:tc>
          <w:tcPr>
            <w:tcW w:w="1580" w:type="dxa"/>
            <w:vAlign w:val="bottom"/>
            <w:tcBorders>
              <w:righ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300" w:type="dxa"/>
            <w:vAlign w:val="bottom"/>
            <w:tcBorders>
              <w:left w:val="single" w:sz="8" w:color="auto"/>
              <w:bottom w:val="single" w:sz="8" w:color="auto"/>
            </w:tcBorders>
            <w:shd w:val="clear" w:color="auto" w:fill="2AD2C9"/>
          </w:tcPr>
          <w:p>
            <w:pPr>
              <w:ind w:left="40"/>
              <w:spacing w:after="0"/>
              <w:rPr>
                <w:sz w:val="20"/>
                <w:szCs w:val="20"/>
                <w:color w:val="auto"/>
              </w:rPr>
            </w:pPr>
            <w:r>
              <w:rPr>
                <w:rFonts w:ascii="Arial" w:cs="Arial" w:eastAsia="Arial" w:hAnsi="Arial"/>
                <w:sz w:val="13"/>
                <w:szCs w:val="13"/>
                <w:color w:val="FFFFFF"/>
              </w:rPr>
              <w:t>(S/ thousand)</w:t>
            </w:r>
          </w:p>
        </w:tc>
        <w:tc>
          <w:tcPr>
            <w:tcW w:w="1780" w:type="dxa"/>
            <w:vAlign w:val="bottom"/>
            <w:tcBorders>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900" w:type="dxa"/>
            <w:vAlign w:val="bottom"/>
            <w:tcBorders>
              <w:bottom w:val="single" w:sz="8" w:color="auto"/>
            </w:tcBorders>
            <w:shd w:val="clear" w:color="auto" w:fill="2AD2C9"/>
          </w:tcPr>
          <w:p>
            <w:pPr>
              <w:jc w:val="center"/>
              <w:ind w:left="253"/>
              <w:spacing w:after="0"/>
              <w:rPr>
                <w:sz w:val="20"/>
                <w:szCs w:val="20"/>
                <w:color w:val="auto"/>
              </w:rPr>
            </w:pPr>
            <w:r>
              <w:rPr>
                <w:rFonts w:ascii="Arial" w:cs="Arial" w:eastAsia="Arial" w:hAnsi="Arial"/>
                <w:sz w:val="13"/>
                <w:szCs w:val="13"/>
                <w:b w:val="1"/>
                <w:bCs w:val="1"/>
                <w:color w:val="FFFFFF"/>
              </w:rPr>
              <w:t>QoQ</w:t>
            </w:r>
          </w:p>
        </w:tc>
        <w:tc>
          <w:tcPr>
            <w:tcW w:w="1580" w:type="dxa"/>
            <w:vAlign w:val="bottom"/>
            <w:tcBorders>
              <w:bottom w:val="single" w:sz="8" w:color="auto"/>
              <w:right w:val="single" w:sz="8" w:color="auto"/>
            </w:tcBorders>
            <w:shd w:val="clear" w:color="auto" w:fill="2AD2C9"/>
          </w:tcPr>
          <w:p>
            <w:pPr>
              <w:jc w:val="center"/>
              <w:ind w:left="213"/>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25"/>
        </w:trPr>
        <w:tc>
          <w:tcPr>
            <w:tcW w:w="3300" w:type="dxa"/>
            <w:vAlign w:val="bottom"/>
            <w:tcBorders>
              <w:left w:val="single" w:sz="8" w:color="auto"/>
            </w:tcBorders>
          </w:tcPr>
          <w:p>
            <w:pPr>
              <w:ind w:left="160"/>
              <w:spacing w:after="0" w:line="126" w:lineRule="exact"/>
              <w:rPr>
                <w:sz w:val="20"/>
                <w:szCs w:val="20"/>
                <w:color w:val="auto"/>
              </w:rPr>
            </w:pPr>
            <w:r>
              <w:rPr>
                <w:rFonts w:ascii="Arial" w:cs="Arial" w:eastAsia="Arial" w:hAnsi="Arial"/>
                <w:sz w:val="13"/>
                <w:szCs w:val="13"/>
                <w:color w:val="auto"/>
              </w:rPr>
              <w:t>Market risk-weighted assets</w:t>
            </w:r>
          </w:p>
        </w:tc>
        <w:tc>
          <w:tcPr>
            <w:tcW w:w="178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3,922,295</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5,329,045</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5,019,033</w:t>
            </w:r>
          </w:p>
        </w:tc>
        <w:tc>
          <w:tcPr>
            <w:tcW w:w="900" w:type="dxa"/>
            <w:vAlign w:val="bottom"/>
          </w:tcPr>
          <w:p>
            <w:pPr>
              <w:jc w:val="center"/>
              <w:ind w:left="233"/>
              <w:spacing w:after="0" w:line="126" w:lineRule="exact"/>
              <w:rPr>
                <w:sz w:val="20"/>
                <w:szCs w:val="20"/>
                <w:color w:val="auto"/>
              </w:rPr>
            </w:pPr>
            <w:r>
              <w:rPr>
                <w:rFonts w:ascii="Arial" w:cs="Arial" w:eastAsia="Arial" w:hAnsi="Arial"/>
                <w:sz w:val="13"/>
                <w:szCs w:val="13"/>
                <w:color w:val="auto"/>
              </w:rPr>
              <w:t>-5.8%</w:t>
            </w:r>
          </w:p>
        </w:tc>
        <w:tc>
          <w:tcPr>
            <w:tcW w:w="1580" w:type="dxa"/>
            <w:vAlign w:val="bottom"/>
            <w:tcBorders>
              <w:right w:val="single" w:sz="8" w:color="auto"/>
            </w:tcBorders>
          </w:tcPr>
          <w:p>
            <w:pPr>
              <w:jc w:val="center"/>
              <w:ind w:left="213"/>
              <w:spacing w:after="0" w:line="126" w:lineRule="exact"/>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8"/>
        </w:trPr>
        <w:tc>
          <w:tcPr>
            <w:tcW w:w="33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Credit risk-weighted assets</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139,402,972</w:t>
            </w:r>
          </w:p>
        </w:tc>
        <w:tc>
          <w:tcPr>
            <w:tcW w:w="1240" w:type="dxa"/>
            <w:vAlign w:val="bottom"/>
          </w:tcPr>
          <w:p>
            <w:pPr>
              <w:jc w:val="center"/>
              <w:spacing w:after="0"/>
              <w:rPr>
                <w:sz w:val="20"/>
                <w:szCs w:val="20"/>
                <w:color w:val="auto"/>
              </w:rPr>
            </w:pPr>
            <w:r>
              <w:rPr>
                <w:rFonts w:ascii="Arial" w:cs="Arial" w:eastAsia="Arial" w:hAnsi="Arial"/>
                <w:sz w:val="13"/>
                <w:szCs w:val="13"/>
                <w:color w:val="auto"/>
              </w:rPr>
              <w:t>142,895,450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142,806,023</w:t>
            </w:r>
          </w:p>
        </w:tc>
        <w:tc>
          <w:tcPr>
            <w:tcW w:w="900" w:type="dxa"/>
            <w:vAlign w:val="bottom"/>
          </w:tcPr>
          <w:p>
            <w:pPr>
              <w:jc w:val="center"/>
              <w:ind w:left="233"/>
              <w:spacing w:after="0"/>
              <w:rPr>
                <w:sz w:val="20"/>
                <w:szCs w:val="20"/>
                <w:color w:val="auto"/>
              </w:rPr>
            </w:pPr>
            <w:r>
              <w:rPr>
                <w:rFonts w:ascii="Arial" w:cs="Arial" w:eastAsia="Arial" w:hAnsi="Arial"/>
                <w:sz w:val="13"/>
                <w:szCs w:val="13"/>
                <w:color w:val="auto"/>
              </w:rPr>
              <w:t>-0.1%</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5"/>
        </w:trPr>
        <w:tc>
          <w:tcPr>
            <w:tcW w:w="33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Operational risk-weighted assets</w:t>
            </w:r>
          </w:p>
        </w:tc>
        <w:tc>
          <w:tcPr>
            <w:tcW w:w="17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18,409,113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19,751,032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20,123,383</w:t>
            </w:r>
          </w:p>
        </w:tc>
        <w:tc>
          <w:tcPr>
            <w:tcW w:w="90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1.9%</w:t>
            </w:r>
          </w:p>
        </w:tc>
        <w:tc>
          <w:tcPr>
            <w:tcW w:w="15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42"/>
        </w:trPr>
        <w:tc>
          <w:tcPr>
            <w:tcW w:w="33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w:t>
            </w:r>
          </w:p>
        </w:tc>
        <w:tc>
          <w:tcPr>
            <w:tcW w:w="1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161,734,381</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167,975,527</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167,948,439</w:t>
            </w:r>
          </w:p>
        </w:tc>
        <w:tc>
          <w:tcPr>
            <w:tcW w:w="90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0.0%</w:t>
            </w:r>
          </w:p>
        </w:tc>
        <w:tc>
          <w:tcPr>
            <w:tcW w:w="1580" w:type="dxa"/>
            <w:vAlign w:val="bottom"/>
            <w:tcBorders>
              <w:bottom w:val="single" w:sz="8" w:color="auto"/>
              <w:right w:val="single" w:sz="8" w:color="auto"/>
            </w:tcBorders>
          </w:tcPr>
          <w:p>
            <w:pPr>
              <w:jc w:val="center"/>
              <w:ind w:left="213"/>
              <w:spacing w:after="0" w:line="142" w:lineRule="exact"/>
              <w:rPr>
                <w:sz w:val="20"/>
                <w:szCs w:val="20"/>
                <w:color w:val="auto"/>
              </w:rPr>
            </w:pPr>
            <w:r>
              <w:rPr>
                <w:rFonts w:ascii="Arial" w:cs="Arial" w:eastAsia="Arial" w:hAnsi="Arial"/>
                <w:sz w:val="13"/>
                <w:szCs w:val="13"/>
                <w:b w:val="1"/>
                <w:bCs w:val="1"/>
                <w:color w:val="auto"/>
              </w:rPr>
              <w:t>3.8%</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300" w:type="dxa"/>
            <w:vAlign w:val="bottom"/>
            <w:tcBorders>
              <w:lef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Capital requirement</w:t>
            </w:r>
          </w:p>
        </w:tc>
        <w:tc>
          <w:tcPr>
            <w:tcW w:w="1780" w:type="dxa"/>
            <w:vAlign w:val="bottom"/>
            <w:tcBorders>
              <w:right w:val="single" w:sz="8" w:color="auto"/>
            </w:tcBorders>
            <w:shd w:val="clear" w:color="auto" w:fill="2AD2C9"/>
          </w:tcPr>
          <w:p>
            <w:pPr>
              <w:spacing w:after="0"/>
              <w:rPr>
                <w:sz w:val="10"/>
                <w:szCs w:val="10"/>
                <w:color w:val="auto"/>
              </w:rPr>
            </w:pPr>
          </w:p>
        </w:tc>
        <w:tc>
          <w:tcPr>
            <w:tcW w:w="1220" w:type="dxa"/>
            <w:vAlign w:val="bottom"/>
            <w:shd w:val="clear" w:color="auto" w:fill="2AD2C9"/>
          </w:tcPr>
          <w:p>
            <w:pPr>
              <w:spacing w:after="0"/>
              <w:rPr>
                <w:sz w:val="10"/>
                <w:szCs w:val="10"/>
                <w:color w:val="auto"/>
              </w:rPr>
            </w:pPr>
          </w:p>
        </w:tc>
        <w:tc>
          <w:tcPr>
            <w:tcW w:w="1240" w:type="dxa"/>
            <w:vAlign w:val="bottom"/>
            <w:shd w:val="clear" w:color="auto" w:fill="2AD2C9"/>
          </w:tcPr>
          <w:p>
            <w:pPr>
              <w:jc w:val="center"/>
              <w:spacing w:after="0" w:line="123" w:lineRule="exact"/>
              <w:rPr>
                <w:sz w:val="20"/>
                <w:szCs w:val="20"/>
                <w:color w:val="auto"/>
              </w:rPr>
            </w:pPr>
            <w:r>
              <w:rPr>
                <w:rFonts w:ascii="Arial" w:cs="Arial" w:eastAsia="Arial" w:hAnsi="Arial"/>
                <w:sz w:val="13"/>
                <w:szCs w:val="13"/>
                <w:b w:val="1"/>
                <w:bCs w:val="1"/>
                <w:color w:val="FFFFFF"/>
              </w:rPr>
              <w:t>Quarter</w:t>
            </w:r>
          </w:p>
        </w:tc>
        <w:tc>
          <w:tcPr>
            <w:tcW w:w="1260" w:type="dxa"/>
            <w:vAlign w:val="bottom"/>
            <w:tcBorders>
              <w:right w:val="single" w:sz="8" w:color="auto"/>
            </w:tcBorders>
            <w:shd w:val="clear" w:color="auto" w:fill="2AD2C9"/>
          </w:tcPr>
          <w:p>
            <w:pPr>
              <w:spacing w:after="0"/>
              <w:rPr>
                <w:sz w:val="10"/>
                <w:szCs w:val="10"/>
                <w:color w:val="auto"/>
              </w:rPr>
            </w:pPr>
          </w:p>
        </w:tc>
        <w:tc>
          <w:tcPr>
            <w:tcW w:w="900" w:type="dxa"/>
            <w:vAlign w:val="bottom"/>
            <w:shd w:val="clear" w:color="auto" w:fill="2AD2C9"/>
          </w:tcPr>
          <w:p>
            <w:pPr>
              <w:spacing w:after="0"/>
              <w:rPr>
                <w:sz w:val="10"/>
                <w:szCs w:val="10"/>
                <w:color w:val="auto"/>
              </w:rPr>
            </w:pPr>
          </w:p>
        </w:tc>
        <w:tc>
          <w:tcPr>
            <w:tcW w:w="1580" w:type="dxa"/>
            <w:vAlign w:val="bottom"/>
            <w:tcBorders>
              <w:righ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300" w:type="dxa"/>
            <w:vAlign w:val="bottom"/>
            <w:tcBorders>
              <w:left w:val="single" w:sz="8" w:color="auto"/>
              <w:bottom w:val="single" w:sz="8" w:color="auto"/>
            </w:tcBorders>
            <w:shd w:val="clear" w:color="auto" w:fill="2AD2C9"/>
          </w:tcPr>
          <w:p>
            <w:pPr>
              <w:ind w:left="40"/>
              <w:spacing w:after="0"/>
              <w:rPr>
                <w:sz w:val="20"/>
                <w:szCs w:val="20"/>
                <w:color w:val="auto"/>
              </w:rPr>
            </w:pPr>
            <w:r>
              <w:rPr>
                <w:rFonts w:ascii="Arial" w:cs="Arial" w:eastAsia="Arial" w:hAnsi="Arial"/>
                <w:sz w:val="13"/>
                <w:szCs w:val="13"/>
                <w:color w:val="FFFFFF"/>
              </w:rPr>
              <w:t>(S/ thousand)</w:t>
            </w:r>
          </w:p>
        </w:tc>
        <w:tc>
          <w:tcPr>
            <w:tcW w:w="1780" w:type="dxa"/>
            <w:vAlign w:val="bottom"/>
            <w:tcBorders>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900" w:type="dxa"/>
            <w:vAlign w:val="bottom"/>
            <w:tcBorders>
              <w:bottom w:val="single" w:sz="8" w:color="auto"/>
            </w:tcBorders>
            <w:shd w:val="clear" w:color="auto" w:fill="2AD2C9"/>
          </w:tcPr>
          <w:p>
            <w:pPr>
              <w:jc w:val="center"/>
              <w:ind w:left="253"/>
              <w:spacing w:after="0"/>
              <w:rPr>
                <w:sz w:val="20"/>
                <w:szCs w:val="20"/>
                <w:color w:val="auto"/>
              </w:rPr>
            </w:pPr>
            <w:r>
              <w:rPr>
                <w:rFonts w:ascii="Arial" w:cs="Arial" w:eastAsia="Arial" w:hAnsi="Arial"/>
                <w:sz w:val="13"/>
                <w:szCs w:val="13"/>
                <w:b w:val="1"/>
                <w:bCs w:val="1"/>
                <w:color w:val="FFFFFF"/>
              </w:rPr>
              <w:t>QoQ</w:t>
            </w:r>
          </w:p>
        </w:tc>
        <w:tc>
          <w:tcPr>
            <w:tcW w:w="1580" w:type="dxa"/>
            <w:vAlign w:val="bottom"/>
            <w:tcBorders>
              <w:bottom w:val="single" w:sz="8" w:color="auto"/>
              <w:right w:val="single" w:sz="8" w:color="auto"/>
            </w:tcBorders>
            <w:shd w:val="clear" w:color="auto" w:fill="2AD2C9"/>
          </w:tcPr>
          <w:p>
            <w:pPr>
              <w:jc w:val="center"/>
              <w:ind w:left="213"/>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25"/>
        </w:trPr>
        <w:tc>
          <w:tcPr>
            <w:tcW w:w="3300" w:type="dxa"/>
            <w:vAlign w:val="bottom"/>
            <w:tcBorders>
              <w:left w:val="single" w:sz="8" w:color="auto"/>
            </w:tcBorders>
          </w:tcPr>
          <w:p>
            <w:pPr>
              <w:ind w:left="160"/>
              <w:spacing w:after="0" w:line="126" w:lineRule="exact"/>
              <w:rPr>
                <w:sz w:val="20"/>
                <w:szCs w:val="20"/>
                <w:color w:val="auto"/>
              </w:rPr>
            </w:pPr>
            <w:r>
              <w:rPr>
                <w:rFonts w:ascii="Arial" w:cs="Arial" w:eastAsia="Arial" w:hAnsi="Arial"/>
                <w:sz w:val="13"/>
                <w:szCs w:val="13"/>
                <w:color w:val="auto"/>
              </w:rPr>
              <w:t>Market risk capital requirement</w:t>
            </w:r>
          </w:p>
        </w:tc>
        <w:tc>
          <w:tcPr>
            <w:tcW w:w="178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392,230</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532,904</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501,903</w:t>
            </w:r>
          </w:p>
        </w:tc>
        <w:tc>
          <w:tcPr>
            <w:tcW w:w="900" w:type="dxa"/>
            <w:vAlign w:val="bottom"/>
          </w:tcPr>
          <w:p>
            <w:pPr>
              <w:jc w:val="center"/>
              <w:ind w:left="233"/>
              <w:spacing w:after="0" w:line="126" w:lineRule="exact"/>
              <w:rPr>
                <w:sz w:val="20"/>
                <w:szCs w:val="20"/>
                <w:color w:val="auto"/>
              </w:rPr>
            </w:pPr>
            <w:r>
              <w:rPr>
                <w:rFonts w:ascii="Arial" w:cs="Arial" w:eastAsia="Arial" w:hAnsi="Arial"/>
                <w:sz w:val="13"/>
                <w:szCs w:val="13"/>
                <w:color w:val="auto"/>
              </w:rPr>
              <w:t>-5.8%</w:t>
            </w:r>
          </w:p>
        </w:tc>
        <w:tc>
          <w:tcPr>
            <w:tcW w:w="1580" w:type="dxa"/>
            <w:vAlign w:val="bottom"/>
            <w:tcBorders>
              <w:right w:val="single" w:sz="8" w:color="auto"/>
            </w:tcBorders>
          </w:tcPr>
          <w:p>
            <w:pPr>
              <w:jc w:val="center"/>
              <w:ind w:left="213"/>
              <w:spacing w:after="0" w:line="126" w:lineRule="exact"/>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8"/>
        </w:trPr>
        <w:tc>
          <w:tcPr>
            <w:tcW w:w="33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Credit risk capital requirement</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13,243,282</w:t>
            </w:r>
          </w:p>
        </w:tc>
        <w:tc>
          <w:tcPr>
            <w:tcW w:w="1240" w:type="dxa"/>
            <w:vAlign w:val="bottom"/>
          </w:tcPr>
          <w:p>
            <w:pPr>
              <w:jc w:val="center"/>
              <w:spacing w:after="0"/>
              <w:rPr>
                <w:sz w:val="20"/>
                <w:szCs w:val="20"/>
                <w:color w:val="auto"/>
              </w:rPr>
            </w:pPr>
            <w:r>
              <w:rPr>
                <w:rFonts w:ascii="Arial" w:cs="Arial" w:eastAsia="Arial" w:hAnsi="Arial"/>
                <w:sz w:val="13"/>
                <w:szCs w:val="13"/>
                <w:color w:val="auto"/>
              </w:rPr>
              <w:t>14,289,545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14,280,602</w:t>
            </w:r>
          </w:p>
        </w:tc>
        <w:tc>
          <w:tcPr>
            <w:tcW w:w="900" w:type="dxa"/>
            <w:vAlign w:val="bottom"/>
          </w:tcPr>
          <w:p>
            <w:pPr>
              <w:jc w:val="center"/>
              <w:ind w:left="233"/>
              <w:spacing w:after="0"/>
              <w:rPr>
                <w:sz w:val="20"/>
                <w:szCs w:val="20"/>
                <w:color w:val="auto"/>
              </w:rPr>
            </w:pPr>
            <w:r>
              <w:rPr>
                <w:rFonts w:ascii="Arial" w:cs="Arial" w:eastAsia="Arial" w:hAnsi="Arial"/>
                <w:sz w:val="13"/>
                <w:szCs w:val="13"/>
                <w:color w:val="auto"/>
              </w:rPr>
              <w:t>-0.1%</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48"/>
        </w:trPr>
        <w:tc>
          <w:tcPr>
            <w:tcW w:w="33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Operational risk capital requirement</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1,840,911</w:t>
            </w:r>
          </w:p>
        </w:tc>
        <w:tc>
          <w:tcPr>
            <w:tcW w:w="1240" w:type="dxa"/>
            <w:vAlign w:val="bottom"/>
          </w:tcPr>
          <w:p>
            <w:pPr>
              <w:jc w:val="center"/>
              <w:spacing w:after="0"/>
              <w:rPr>
                <w:sz w:val="20"/>
                <w:szCs w:val="20"/>
                <w:color w:val="auto"/>
              </w:rPr>
            </w:pPr>
            <w:r>
              <w:rPr>
                <w:rFonts w:ascii="Arial" w:cs="Arial" w:eastAsia="Arial" w:hAnsi="Arial"/>
                <w:sz w:val="13"/>
                <w:szCs w:val="13"/>
                <w:color w:val="auto"/>
              </w:rPr>
              <w:t>1,975,103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2,012,338</w:t>
            </w:r>
          </w:p>
        </w:tc>
        <w:tc>
          <w:tcPr>
            <w:tcW w:w="900" w:type="dxa"/>
            <w:vAlign w:val="bottom"/>
          </w:tcPr>
          <w:p>
            <w:pPr>
              <w:jc w:val="center"/>
              <w:ind w:left="253"/>
              <w:spacing w:after="0"/>
              <w:rPr>
                <w:sz w:val="20"/>
                <w:szCs w:val="20"/>
                <w:color w:val="auto"/>
              </w:rPr>
            </w:pPr>
            <w:r>
              <w:rPr>
                <w:rFonts w:ascii="Arial" w:cs="Arial" w:eastAsia="Arial" w:hAnsi="Arial"/>
                <w:sz w:val="13"/>
                <w:szCs w:val="13"/>
                <w:color w:val="auto"/>
              </w:rPr>
              <w:t>1.9%</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65"/>
        </w:trPr>
        <w:tc>
          <w:tcPr>
            <w:tcW w:w="33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Additional capital requirements</w:t>
            </w:r>
          </w:p>
        </w:tc>
        <w:tc>
          <w:tcPr>
            <w:tcW w:w="17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6,882,642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7,348,282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8,400,182</w:t>
            </w:r>
          </w:p>
        </w:tc>
        <w:tc>
          <w:tcPr>
            <w:tcW w:w="90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14.3%</w:t>
            </w:r>
          </w:p>
        </w:tc>
        <w:tc>
          <w:tcPr>
            <w:tcW w:w="15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42"/>
        </w:trPr>
        <w:tc>
          <w:tcPr>
            <w:tcW w:w="33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w:t>
            </w:r>
          </w:p>
        </w:tc>
        <w:tc>
          <w:tcPr>
            <w:tcW w:w="1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22,359,066</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24,145,835</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25,195,026</w:t>
            </w:r>
          </w:p>
        </w:tc>
        <w:tc>
          <w:tcPr>
            <w:tcW w:w="900" w:type="dxa"/>
            <w:vAlign w:val="bottom"/>
            <w:tcBorders>
              <w:bottom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4.3%</w:t>
            </w:r>
          </w:p>
        </w:tc>
        <w:tc>
          <w:tcPr>
            <w:tcW w:w="1580" w:type="dxa"/>
            <w:vAlign w:val="bottom"/>
            <w:tcBorders>
              <w:bottom w:val="single" w:sz="8" w:color="auto"/>
              <w:right w:val="single" w:sz="8" w:color="auto"/>
            </w:tcBorders>
          </w:tcPr>
          <w:p>
            <w:pPr>
              <w:jc w:val="center"/>
              <w:ind w:left="213"/>
              <w:spacing w:after="0" w:line="142" w:lineRule="exact"/>
              <w:rPr>
                <w:sz w:val="20"/>
                <w:szCs w:val="20"/>
                <w:color w:val="auto"/>
              </w:rPr>
            </w:pPr>
            <w:r>
              <w:rPr>
                <w:rFonts w:ascii="Arial" w:cs="Arial" w:eastAsia="Arial" w:hAnsi="Arial"/>
                <w:sz w:val="13"/>
                <w:szCs w:val="13"/>
                <w:b w:val="1"/>
                <w:bCs w:val="1"/>
                <w:color w:val="auto"/>
              </w:rPr>
              <w:t>12.7%</w:t>
            </w:r>
          </w:p>
        </w:tc>
        <w:tc>
          <w:tcPr>
            <w:tcW w:w="0" w:type="dxa"/>
            <w:vAlign w:val="bottom"/>
          </w:tcPr>
          <w:p>
            <w:pPr>
              <w:spacing w:after="0"/>
              <w:rPr>
                <w:sz w:val="1"/>
                <w:szCs w:val="1"/>
                <w:color w:val="auto"/>
              </w:rPr>
            </w:pPr>
          </w:p>
        </w:tc>
      </w:tr>
      <w:tr>
        <w:trPr>
          <w:trHeight w:val="370"/>
        </w:trPr>
        <w:tc>
          <w:tcPr>
            <w:tcW w:w="3300" w:type="dxa"/>
            <w:vAlign w:val="bottom"/>
          </w:tcPr>
          <w:p>
            <w:pPr>
              <w:spacing w:after="0"/>
              <w:rPr>
                <w:sz w:val="24"/>
                <w:szCs w:val="24"/>
                <w:color w:val="auto"/>
              </w:rPr>
            </w:pPr>
          </w:p>
        </w:tc>
        <w:tc>
          <w:tcPr>
            <w:tcW w:w="4240" w:type="dxa"/>
            <w:vAlign w:val="bottom"/>
            <w:gridSpan w:val="3"/>
          </w:tcPr>
          <w:p>
            <w:pPr>
              <w:ind w:left="900"/>
              <w:spacing w:after="0"/>
              <w:rPr>
                <w:sz w:val="20"/>
                <w:szCs w:val="20"/>
                <w:color w:val="auto"/>
              </w:rPr>
            </w:pPr>
            <w:r>
              <w:rPr>
                <w:rFonts w:ascii="Arial" w:cs="Arial" w:eastAsia="Arial" w:hAnsi="Arial"/>
                <w:sz w:val="14"/>
                <w:szCs w:val="14"/>
                <w:b w:val="1"/>
                <w:bCs w:val="1"/>
                <w:color w:val="auto"/>
              </w:rPr>
              <w:t>Capital Ratios under Local Regulation</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00" w:type="dxa"/>
            <w:vAlign w:val="bottom"/>
            <w:tcBorders>
              <w:lef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Capital ratios under Local Regulation</w:t>
            </w:r>
          </w:p>
        </w:tc>
        <w:tc>
          <w:tcPr>
            <w:tcW w:w="1780" w:type="dxa"/>
            <w:vAlign w:val="bottom"/>
            <w:tcBorders>
              <w:right w:val="single" w:sz="8" w:color="auto"/>
            </w:tcBorders>
            <w:shd w:val="clear" w:color="auto" w:fill="2AD2C9"/>
          </w:tcPr>
          <w:p>
            <w:pPr>
              <w:spacing w:after="0"/>
              <w:rPr>
                <w:sz w:val="10"/>
                <w:szCs w:val="10"/>
                <w:color w:val="auto"/>
              </w:rPr>
            </w:pPr>
          </w:p>
        </w:tc>
        <w:tc>
          <w:tcPr>
            <w:tcW w:w="1220" w:type="dxa"/>
            <w:vAlign w:val="bottom"/>
            <w:shd w:val="clear" w:color="auto" w:fill="2AD2C9"/>
          </w:tcPr>
          <w:p>
            <w:pPr>
              <w:spacing w:after="0"/>
              <w:rPr>
                <w:sz w:val="10"/>
                <w:szCs w:val="10"/>
                <w:color w:val="auto"/>
              </w:rPr>
            </w:pPr>
          </w:p>
        </w:tc>
        <w:tc>
          <w:tcPr>
            <w:tcW w:w="1240" w:type="dxa"/>
            <w:vAlign w:val="bottom"/>
            <w:shd w:val="clear" w:color="auto" w:fill="2AD2C9"/>
          </w:tcPr>
          <w:p>
            <w:pPr>
              <w:jc w:val="center"/>
              <w:spacing w:after="0" w:line="123" w:lineRule="exact"/>
              <w:rPr>
                <w:sz w:val="20"/>
                <w:szCs w:val="20"/>
                <w:color w:val="auto"/>
              </w:rPr>
            </w:pPr>
            <w:r>
              <w:rPr>
                <w:rFonts w:ascii="Arial" w:cs="Arial" w:eastAsia="Arial" w:hAnsi="Arial"/>
                <w:sz w:val="13"/>
                <w:szCs w:val="13"/>
                <w:b w:val="1"/>
                <w:bCs w:val="1"/>
                <w:color w:val="FFFFFF"/>
              </w:rPr>
              <w:t>Quarter</w:t>
            </w:r>
          </w:p>
        </w:tc>
        <w:tc>
          <w:tcPr>
            <w:tcW w:w="1260" w:type="dxa"/>
            <w:vAlign w:val="bottom"/>
            <w:tcBorders>
              <w:right w:val="single" w:sz="8" w:color="auto"/>
            </w:tcBorders>
            <w:shd w:val="clear" w:color="auto" w:fill="2AD2C9"/>
          </w:tcPr>
          <w:p>
            <w:pPr>
              <w:spacing w:after="0"/>
              <w:rPr>
                <w:sz w:val="10"/>
                <w:szCs w:val="10"/>
                <w:color w:val="auto"/>
              </w:rPr>
            </w:pPr>
          </w:p>
        </w:tc>
        <w:tc>
          <w:tcPr>
            <w:tcW w:w="900" w:type="dxa"/>
            <w:vAlign w:val="bottom"/>
            <w:shd w:val="clear" w:color="auto" w:fill="2AD2C9"/>
          </w:tcPr>
          <w:p>
            <w:pPr>
              <w:spacing w:after="0"/>
              <w:rPr>
                <w:sz w:val="10"/>
                <w:szCs w:val="10"/>
                <w:color w:val="auto"/>
              </w:rPr>
            </w:pPr>
          </w:p>
        </w:tc>
        <w:tc>
          <w:tcPr>
            <w:tcW w:w="1580" w:type="dxa"/>
            <w:vAlign w:val="bottom"/>
            <w:tcBorders>
              <w:righ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300" w:type="dxa"/>
            <w:vAlign w:val="bottom"/>
            <w:tcBorders>
              <w:left w:val="single" w:sz="8" w:color="auto"/>
              <w:bottom w:val="single" w:sz="8" w:color="auto"/>
            </w:tcBorders>
            <w:shd w:val="clear" w:color="auto" w:fill="2AD2C9"/>
          </w:tcPr>
          <w:p>
            <w:pPr>
              <w:spacing w:after="0"/>
              <w:rPr>
                <w:sz w:val="14"/>
                <w:szCs w:val="14"/>
                <w:color w:val="auto"/>
              </w:rPr>
            </w:pPr>
          </w:p>
        </w:tc>
        <w:tc>
          <w:tcPr>
            <w:tcW w:w="1780" w:type="dxa"/>
            <w:vAlign w:val="bottom"/>
            <w:tcBorders>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900" w:type="dxa"/>
            <w:vAlign w:val="bottom"/>
            <w:tcBorders>
              <w:bottom w:val="single" w:sz="8" w:color="auto"/>
            </w:tcBorders>
            <w:shd w:val="clear" w:color="auto" w:fill="2AD2C9"/>
          </w:tcPr>
          <w:p>
            <w:pPr>
              <w:jc w:val="center"/>
              <w:ind w:left="253"/>
              <w:spacing w:after="0"/>
              <w:rPr>
                <w:sz w:val="20"/>
                <w:szCs w:val="20"/>
                <w:color w:val="auto"/>
              </w:rPr>
            </w:pPr>
            <w:r>
              <w:rPr>
                <w:rFonts w:ascii="Arial" w:cs="Arial" w:eastAsia="Arial" w:hAnsi="Arial"/>
                <w:sz w:val="13"/>
                <w:szCs w:val="13"/>
                <w:b w:val="1"/>
                <w:bCs w:val="1"/>
                <w:color w:val="FFFFFF"/>
              </w:rPr>
              <w:t>QoQ</w:t>
            </w:r>
          </w:p>
        </w:tc>
        <w:tc>
          <w:tcPr>
            <w:tcW w:w="1580" w:type="dxa"/>
            <w:vAlign w:val="bottom"/>
            <w:tcBorders>
              <w:bottom w:val="single" w:sz="8" w:color="auto"/>
              <w:right w:val="single" w:sz="8" w:color="auto"/>
            </w:tcBorders>
            <w:shd w:val="clear" w:color="auto" w:fill="2AD2C9"/>
          </w:tcPr>
          <w:p>
            <w:pPr>
              <w:jc w:val="center"/>
              <w:ind w:left="213"/>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23"/>
        </w:trPr>
        <w:tc>
          <w:tcPr>
            <w:tcW w:w="3300" w:type="dxa"/>
            <w:vAlign w:val="bottom"/>
            <w:tcBorders>
              <w:left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Common Equity Tier 1 ratio</w:t>
            </w:r>
          </w:p>
        </w:tc>
        <w:tc>
          <w:tcPr>
            <w:tcW w:w="178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3" w:lineRule="exact"/>
              <w:rPr>
                <w:sz w:val="20"/>
                <w:szCs w:val="20"/>
                <w:color w:val="auto"/>
              </w:rPr>
            </w:pPr>
            <w:r>
              <w:rPr>
                <w:rFonts w:ascii="Arial" w:cs="Arial" w:eastAsia="Arial" w:hAnsi="Arial"/>
                <w:sz w:val="13"/>
                <w:szCs w:val="13"/>
                <w:color w:val="auto"/>
              </w:rPr>
              <w:t>13.08%</w:t>
            </w:r>
          </w:p>
        </w:tc>
        <w:tc>
          <w:tcPr>
            <w:tcW w:w="1240" w:type="dxa"/>
            <w:vAlign w:val="bottom"/>
          </w:tcPr>
          <w:p>
            <w:pPr>
              <w:jc w:val="center"/>
              <w:spacing w:after="0" w:line="123" w:lineRule="exact"/>
              <w:rPr>
                <w:sz w:val="20"/>
                <w:szCs w:val="20"/>
                <w:color w:val="auto"/>
              </w:rPr>
            </w:pPr>
            <w:r>
              <w:rPr>
                <w:rFonts w:ascii="Arial" w:cs="Arial" w:eastAsia="Arial" w:hAnsi="Arial"/>
                <w:sz w:val="13"/>
                <w:szCs w:val="13"/>
                <w:color w:val="auto"/>
              </w:rPr>
              <w:t>12.82%</w:t>
            </w:r>
          </w:p>
        </w:tc>
        <w:tc>
          <w:tcPr>
            <w:tcW w:w="12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9"/>
              </w:rPr>
              <w:t>13.66%</w:t>
            </w:r>
          </w:p>
        </w:tc>
        <w:tc>
          <w:tcPr>
            <w:tcW w:w="900" w:type="dxa"/>
            <w:vAlign w:val="bottom"/>
          </w:tcPr>
          <w:p>
            <w:pPr>
              <w:jc w:val="center"/>
              <w:ind w:left="233"/>
              <w:spacing w:after="0" w:line="123" w:lineRule="exact"/>
              <w:rPr>
                <w:sz w:val="20"/>
                <w:szCs w:val="20"/>
                <w:color w:val="auto"/>
              </w:rPr>
            </w:pPr>
            <w:r>
              <w:rPr>
                <w:rFonts w:ascii="Arial" w:cs="Arial" w:eastAsia="Arial" w:hAnsi="Arial"/>
                <w:sz w:val="13"/>
                <w:szCs w:val="13"/>
                <w:color w:val="auto"/>
              </w:rPr>
              <w:t>84 bps</w:t>
            </w:r>
          </w:p>
        </w:tc>
        <w:tc>
          <w:tcPr>
            <w:tcW w:w="1580" w:type="dxa"/>
            <w:vAlign w:val="bottom"/>
            <w:tcBorders>
              <w:right w:val="single" w:sz="8" w:color="auto"/>
            </w:tcBorders>
          </w:tcPr>
          <w:p>
            <w:pPr>
              <w:jc w:val="center"/>
              <w:ind w:left="233"/>
              <w:spacing w:after="0" w:line="123" w:lineRule="exact"/>
              <w:rPr>
                <w:sz w:val="20"/>
                <w:szCs w:val="20"/>
                <w:color w:val="auto"/>
              </w:rPr>
            </w:pPr>
            <w:r>
              <w:rPr>
                <w:rFonts w:ascii="Arial" w:cs="Arial" w:eastAsia="Arial" w:hAnsi="Arial"/>
                <w:sz w:val="13"/>
                <w:szCs w:val="13"/>
                <w:color w:val="auto"/>
              </w:rPr>
              <w:t>58 bps</w:t>
            </w:r>
          </w:p>
        </w:tc>
        <w:tc>
          <w:tcPr>
            <w:tcW w:w="0" w:type="dxa"/>
            <w:vAlign w:val="bottom"/>
          </w:tcPr>
          <w:p>
            <w:pPr>
              <w:spacing w:after="0"/>
              <w:rPr>
                <w:sz w:val="1"/>
                <w:szCs w:val="1"/>
                <w:color w:val="auto"/>
              </w:rPr>
            </w:pPr>
          </w:p>
        </w:tc>
      </w:tr>
      <w:tr>
        <w:trPr>
          <w:trHeight w:val="148"/>
        </w:trPr>
        <w:tc>
          <w:tcPr>
            <w:tcW w:w="330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Tier 1 Capital ratio</w:t>
            </w:r>
          </w:p>
        </w:tc>
        <w:tc>
          <w:tcPr>
            <w:tcW w:w="17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13.08%</w:t>
            </w:r>
          </w:p>
        </w:tc>
        <w:tc>
          <w:tcPr>
            <w:tcW w:w="1240" w:type="dxa"/>
            <w:vAlign w:val="bottom"/>
          </w:tcPr>
          <w:p>
            <w:pPr>
              <w:jc w:val="center"/>
              <w:spacing w:after="0"/>
              <w:rPr>
                <w:sz w:val="20"/>
                <w:szCs w:val="20"/>
                <w:color w:val="auto"/>
              </w:rPr>
            </w:pPr>
            <w:r>
              <w:rPr>
                <w:rFonts w:ascii="Arial" w:cs="Arial" w:eastAsia="Arial" w:hAnsi="Arial"/>
                <w:sz w:val="13"/>
                <w:szCs w:val="13"/>
                <w:color w:val="auto"/>
              </w:rPr>
              <w:t>12.82%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13.66%</w:t>
            </w:r>
          </w:p>
        </w:tc>
        <w:tc>
          <w:tcPr>
            <w:tcW w:w="900" w:type="dxa"/>
            <w:vAlign w:val="bottom"/>
          </w:tcPr>
          <w:p>
            <w:pPr>
              <w:jc w:val="center"/>
              <w:ind w:left="233"/>
              <w:spacing w:after="0"/>
              <w:rPr>
                <w:sz w:val="20"/>
                <w:szCs w:val="20"/>
                <w:color w:val="auto"/>
              </w:rPr>
            </w:pPr>
            <w:r>
              <w:rPr>
                <w:rFonts w:ascii="Arial" w:cs="Arial" w:eastAsia="Arial" w:hAnsi="Arial"/>
                <w:sz w:val="13"/>
                <w:szCs w:val="13"/>
                <w:color w:val="auto"/>
              </w:rPr>
              <w:t>84 bps</w:t>
            </w:r>
          </w:p>
        </w:tc>
        <w:tc>
          <w:tcPr>
            <w:tcW w:w="158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58 bps</w:t>
            </w:r>
          </w:p>
        </w:tc>
        <w:tc>
          <w:tcPr>
            <w:tcW w:w="0" w:type="dxa"/>
            <w:vAlign w:val="bottom"/>
          </w:tcPr>
          <w:p>
            <w:pPr>
              <w:spacing w:after="0"/>
              <w:rPr>
                <w:sz w:val="1"/>
                <w:szCs w:val="1"/>
                <w:color w:val="auto"/>
              </w:rPr>
            </w:pPr>
          </w:p>
        </w:tc>
      </w:tr>
      <w:tr>
        <w:trPr>
          <w:trHeight w:val="167"/>
        </w:trPr>
        <w:tc>
          <w:tcPr>
            <w:tcW w:w="330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Regulatory Global Capital ratio</w:t>
            </w:r>
          </w:p>
        </w:tc>
        <w:tc>
          <w:tcPr>
            <w:tcW w:w="17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18.71%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17.72%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19.44%</w:t>
            </w:r>
          </w:p>
        </w:tc>
        <w:tc>
          <w:tcPr>
            <w:tcW w:w="90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color w:val="auto"/>
              </w:rPr>
              <w:t>173 bps</w:t>
            </w:r>
          </w:p>
        </w:tc>
        <w:tc>
          <w:tcPr>
            <w:tcW w:w="158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3"/>
                <w:szCs w:val="13"/>
                <w:color w:val="auto"/>
              </w:rPr>
              <w:t>73 bps</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280" w:hanging="153"/>
        <w:spacing w:after="0"/>
        <w:tabs>
          <w:tab w:leader="none" w:pos="12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Up to 1.25% of total risk-weighted assets.</w:t>
      </w:r>
    </w:p>
    <w:p>
      <w:pPr>
        <w:spacing w:after="0" w:line="11" w:lineRule="exact"/>
        <w:rPr>
          <w:rFonts w:ascii="Arial" w:cs="Arial" w:eastAsia="Arial" w:hAnsi="Arial"/>
          <w:sz w:val="12"/>
          <w:szCs w:val="12"/>
          <w:color w:val="auto"/>
        </w:rPr>
      </w:pPr>
    </w:p>
    <w:p>
      <w:pPr>
        <w:ind w:left="1120" w:right="20" w:firstLine="7"/>
        <w:spacing w:after="0" w:line="234" w:lineRule="auto"/>
        <w:tabs>
          <w:tab w:leader="none" w:pos="1282" w:val="left"/>
        </w:tabs>
        <w:numPr>
          <w:ilvl w:val="0"/>
          <w:numId w:val="57"/>
        </w:numPr>
        <w:rPr>
          <w:rFonts w:ascii="Arial" w:cs="Arial" w:eastAsia="Arial" w:hAnsi="Arial"/>
          <w:sz w:val="12"/>
          <w:szCs w:val="12"/>
          <w:color w:val="auto"/>
        </w:rPr>
      </w:pPr>
      <w:r>
        <w:rPr>
          <w:rFonts w:ascii="Arial" w:cs="Arial" w:eastAsia="Arial" w:hAnsi="Arial"/>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1280" w:hanging="153"/>
        <w:spacing w:after="0" w:line="234" w:lineRule="auto"/>
        <w:tabs>
          <w:tab w:leader="none" w:pos="12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Regulatory Tier 1 Capital = Common Equity Tier 1 + Tier 1 Subordinated Debt (Perpetual).</w:t>
      </w:r>
    </w:p>
    <w:p>
      <w:pPr>
        <w:ind w:left="1280" w:hanging="153"/>
        <w:spacing w:after="0"/>
        <w:tabs>
          <w:tab w:leader="none" w:pos="12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785495</wp:posOffset>
            </wp:positionV>
            <wp:extent cx="71577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99695</wp:posOffset>
            </wp:positionV>
            <wp:extent cx="6789420" cy="5829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89420" cy="582930"/>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59" w:name="page60"/>
    <w:bookmarkEnd w:id="59"/>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Capital and Capital Adequacy Ratios at Mibanco</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3200" w:type="dxa"/>
            <w:vAlign w:val="bottom"/>
            <w:tcBorders>
              <w:top w:val="single" w:sz="8" w:color="auto"/>
              <w:left w:val="single" w:sz="8" w:color="auto"/>
            </w:tcBorders>
            <w:shd w:val="clear" w:color="auto" w:fill="2AD2C9"/>
          </w:tcPr>
          <w:p>
            <w:pPr>
              <w:spacing w:after="0" w:line="144" w:lineRule="exact"/>
              <w:rPr>
                <w:sz w:val="20"/>
                <w:szCs w:val="20"/>
                <w:color w:val="auto"/>
              </w:rPr>
            </w:pPr>
            <w:r>
              <w:rPr>
                <w:rFonts w:ascii="Arial" w:cs="Arial" w:eastAsia="Arial" w:hAnsi="Arial"/>
                <w:sz w:val="13"/>
                <w:szCs w:val="13"/>
                <w:b w:val="1"/>
                <w:bCs w:val="1"/>
                <w:color w:val="FFFFFF"/>
              </w:rPr>
              <w:t>Regulatory Capital</w:t>
            </w:r>
          </w:p>
        </w:tc>
        <w:tc>
          <w:tcPr>
            <w:tcW w:w="1880" w:type="dxa"/>
            <w:vAlign w:val="bottom"/>
            <w:tcBorders>
              <w:top w:val="single" w:sz="8" w:color="auto"/>
              <w:right w:val="single" w:sz="8" w:color="auto"/>
            </w:tcBorders>
            <w:shd w:val="clear" w:color="auto" w:fill="2AD2C9"/>
          </w:tcPr>
          <w:p>
            <w:pPr>
              <w:spacing w:after="0"/>
              <w:rPr>
                <w:sz w:val="12"/>
                <w:szCs w:val="12"/>
                <w:color w:val="auto"/>
              </w:rPr>
            </w:pPr>
          </w:p>
        </w:tc>
        <w:tc>
          <w:tcPr>
            <w:tcW w:w="1220" w:type="dxa"/>
            <w:vAlign w:val="bottom"/>
            <w:tcBorders>
              <w:top w:val="single" w:sz="8" w:color="auto"/>
            </w:tcBorders>
            <w:shd w:val="clear" w:color="auto" w:fill="2AD2C9"/>
          </w:tcPr>
          <w:p>
            <w:pPr>
              <w:spacing w:after="0"/>
              <w:rPr>
                <w:sz w:val="12"/>
                <w:szCs w:val="12"/>
                <w:color w:val="auto"/>
              </w:rPr>
            </w:pPr>
          </w:p>
        </w:tc>
        <w:tc>
          <w:tcPr>
            <w:tcW w:w="1240" w:type="dxa"/>
            <w:vAlign w:val="bottom"/>
            <w:tcBorders>
              <w:top w:val="single" w:sz="8" w:color="auto"/>
            </w:tcBorders>
            <w:shd w:val="clear" w:color="auto" w:fill="2AD2C9"/>
          </w:tcPr>
          <w:p>
            <w:pPr>
              <w:jc w:val="center"/>
              <w:spacing w:after="0" w:line="144" w:lineRule="exact"/>
              <w:rPr>
                <w:sz w:val="20"/>
                <w:szCs w:val="20"/>
                <w:color w:val="auto"/>
              </w:rPr>
            </w:pPr>
            <w:r>
              <w:rPr>
                <w:rFonts w:ascii="Arial" w:cs="Arial" w:eastAsia="Arial" w:hAnsi="Arial"/>
                <w:sz w:val="13"/>
                <w:szCs w:val="13"/>
                <w:b w:val="1"/>
                <w:bCs w:val="1"/>
                <w:color w:val="FFFFFF"/>
              </w:rPr>
              <w:t>As of</w:t>
            </w:r>
          </w:p>
        </w:tc>
        <w:tc>
          <w:tcPr>
            <w:tcW w:w="1260" w:type="dxa"/>
            <w:vAlign w:val="bottom"/>
            <w:tcBorders>
              <w:top w:val="single" w:sz="8" w:color="auto"/>
              <w:right w:val="single" w:sz="8" w:color="auto"/>
            </w:tcBorders>
            <w:shd w:val="clear" w:color="auto" w:fill="2AD2C9"/>
          </w:tcPr>
          <w:p>
            <w:pPr>
              <w:spacing w:after="0"/>
              <w:rPr>
                <w:sz w:val="12"/>
                <w:szCs w:val="12"/>
                <w:color w:val="auto"/>
              </w:rPr>
            </w:pPr>
          </w:p>
        </w:tc>
        <w:tc>
          <w:tcPr>
            <w:tcW w:w="860" w:type="dxa"/>
            <w:vAlign w:val="bottom"/>
            <w:tcBorders>
              <w:top w:val="single" w:sz="8" w:color="auto"/>
            </w:tcBorders>
            <w:shd w:val="clear" w:color="auto" w:fill="2AD2C9"/>
          </w:tcPr>
          <w:p>
            <w:pPr>
              <w:spacing w:after="0"/>
              <w:rPr>
                <w:sz w:val="12"/>
                <w:szCs w:val="12"/>
                <w:color w:val="auto"/>
              </w:rPr>
            </w:pPr>
          </w:p>
        </w:tc>
        <w:tc>
          <w:tcPr>
            <w:tcW w:w="1620" w:type="dxa"/>
            <w:vAlign w:val="bottom"/>
            <w:tcBorders>
              <w:top w:val="single" w:sz="8" w:color="auto"/>
              <w:right w:val="single" w:sz="8" w:color="auto"/>
            </w:tcBorders>
            <w:shd w:val="clear" w:color="auto" w:fill="2AD2C9"/>
          </w:tcPr>
          <w:p>
            <w:pPr>
              <w:ind w:left="40"/>
              <w:spacing w:after="0" w:line="144"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200" w:type="dxa"/>
            <w:vAlign w:val="bottom"/>
            <w:tcBorders>
              <w:left w:val="single" w:sz="8" w:color="auto"/>
              <w:bottom w:val="single" w:sz="8" w:color="auto"/>
            </w:tcBorders>
            <w:shd w:val="clear" w:color="auto" w:fill="2AD2C9"/>
          </w:tcPr>
          <w:p>
            <w:pPr>
              <w:ind w:left="40"/>
              <w:spacing w:after="0"/>
              <w:rPr>
                <w:sz w:val="20"/>
                <w:szCs w:val="20"/>
                <w:color w:val="auto"/>
              </w:rPr>
            </w:pPr>
            <w:r>
              <w:rPr>
                <w:rFonts w:ascii="Arial" w:cs="Arial" w:eastAsia="Arial" w:hAnsi="Arial"/>
                <w:sz w:val="13"/>
                <w:szCs w:val="13"/>
                <w:color w:val="FFFFFF"/>
              </w:rPr>
              <w:t>(S/ thousand)</w:t>
            </w:r>
          </w:p>
        </w:tc>
        <w:tc>
          <w:tcPr>
            <w:tcW w:w="1880" w:type="dxa"/>
            <w:vAlign w:val="bottom"/>
            <w:tcBorders>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860" w:type="dxa"/>
            <w:vAlign w:val="bottom"/>
            <w:tcBorders>
              <w:bottom w:val="single" w:sz="8" w:color="auto"/>
            </w:tcBorders>
            <w:shd w:val="clear" w:color="auto" w:fill="2AD2C9"/>
          </w:tcPr>
          <w:p>
            <w:pPr>
              <w:jc w:val="center"/>
              <w:ind w:left="293"/>
              <w:spacing w:after="0"/>
              <w:rPr>
                <w:sz w:val="20"/>
                <w:szCs w:val="20"/>
                <w:color w:val="auto"/>
              </w:rPr>
            </w:pPr>
            <w:r>
              <w:rPr>
                <w:rFonts w:ascii="Arial" w:cs="Arial" w:eastAsia="Arial" w:hAnsi="Arial"/>
                <w:sz w:val="13"/>
                <w:szCs w:val="13"/>
                <w:b w:val="1"/>
                <w:bCs w:val="1"/>
                <w:color w:val="FFFFFF"/>
              </w:rPr>
              <w:t>QoQ</w:t>
            </w:r>
          </w:p>
        </w:tc>
        <w:tc>
          <w:tcPr>
            <w:tcW w:w="1620" w:type="dxa"/>
            <w:vAlign w:val="bottom"/>
            <w:tcBorders>
              <w:bottom w:val="single" w:sz="8" w:color="auto"/>
              <w:right w:val="single" w:sz="8" w:color="auto"/>
            </w:tcBorders>
            <w:shd w:val="clear" w:color="auto" w:fill="2AD2C9"/>
          </w:tcPr>
          <w:p>
            <w:pPr>
              <w:ind w:left="840"/>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25"/>
        </w:trPr>
        <w:tc>
          <w:tcPr>
            <w:tcW w:w="3200" w:type="dxa"/>
            <w:vAlign w:val="bottom"/>
            <w:tcBorders>
              <w:left w:val="single" w:sz="8" w:color="auto"/>
            </w:tcBorders>
          </w:tcPr>
          <w:p>
            <w:pPr>
              <w:ind w:left="160"/>
              <w:spacing w:after="0" w:line="126" w:lineRule="exact"/>
              <w:rPr>
                <w:sz w:val="20"/>
                <w:szCs w:val="20"/>
                <w:color w:val="auto"/>
              </w:rPr>
            </w:pPr>
            <w:r>
              <w:rPr>
                <w:rFonts w:ascii="Arial" w:cs="Arial" w:eastAsia="Arial" w:hAnsi="Arial"/>
                <w:sz w:val="13"/>
                <w:szCs w:val="13"/>
                <w:color w:val="auto"/>
              </w:rPr>
              <w:t>Capital Stock</w:t>
            </w:r>
          </w:p>
        </w:tc>
        <w:tc>
          <w:tcPr>
            <w:tcW w:w="188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1,840,606</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1,840,606</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1,840,606</w:t>
            </w:r>
          </w:p>
        </w:tc>
        <w:tc>
          <w:tcPr>
            <w:tcW w:w="860" w:type="dxa"/>
            <w:vAlign w:val="bottom"/>
          </w:tcPr>
          <w:p>
            <w:pPr>
              <w:jc w:val="center"/>
              <w:ind w:left="293"/>
              <w:spacing w:after="0" w:line="126" w:lineRule="exact"/>
              <w:rPr>
                <w:sz w:val="20"/>
                <w:szCs w:val="20"/>
                <w:color w:val="auto"/>
              </w:rPr>
            </w:pPr>
            <w:r>
              <w:rPr>
                <w:rFonts w:ascii="Arial" w:cs="Arial" w:eastAsia="Arial" w:hAnsi="Arial"/>
                <w:sz w:val="13"/>
                <w:szCs w:val="13"/>
                <w:color w:val="auto"/>
              </w:rPr>
              <w:t>0.0%</w:t>
            </w:r>
          </w:p>
        </w:tc>
        <w:tc>
          <w:tcPr>
            <w:tcW w:w="1620" w:type="dxa"/>
            <w:vAlign w:val="bottom"/>
            <w:tcBorders>
              <w:right w:val="single" w:sz="8" w:color="auto"/>
            </w:tcBorders>
          </w:tcPr>
          <w:p>
            <w:pPr>
              <w:jc w:val="center"/>
              <w:ind w:left="253"/>
              <w:spacing w:after="0" w:line="126"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Reserves</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334,650</w:t>
            </w:r>
          </w:p>
        </w:tc>
        <w:tc>
          <w:tcPr>
            <w:tcW w:w="1240" w:type="dxa"/>
            <w:vAlign w:val="bottom"/>
          </w:tcPr>
          <w:p>
            <w:pPr>
              <w:jc w:val="center"/>
              <w:spacing w:after="0"/>
              <w:rPr>
                <w:sz w:val="20"/>
                <w:szCs w:val="20"/>
                <w:color w:val="auto"/>
              </w:rPr>
            </w:pPr>
            <w:r>
              <w:rPr>
                <w:rFonts w:ascii="Arial" w:cs="Arial" w:eastAsia="Arial" w:hAnsi="Arial"/>
                <w:sz w:val="13"/>
                <w:szCs w:val="13"/>
                <w:color w:val="auto"/>
              </w:rPr>
              <w:t>365,847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365,847</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rPr>
              <w:t>0.0%</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44"/>
        </w:trPr>
        <w:tc>
          <w:tcPr>
            <w:tcW w:w="3200" w:type="dxa"/>
            <w:vAlign w:val="bottom"/>
            <w:tcBorders>
              <w:left w:val="single" w:sz="8" w:color="auto"/>
            </w:tcBorders>
          </w:tcPr>
          <w:p>
            <w:pPr>
              <w:ind w:left="160"/>
              <w:spacing w:after="0" w:line="144" w:lineRule="exact"/>
              <w:rPr>
                <w:sz w:val="20"/>
                <w:szCs w:val="20"/>
                <w:color w:val="auto"/>
              </w:rPr>
            </w:pPr>
            <w:r>
              <w:rPr>
                <w:rFonts w:ascii="Arial" w:cs="Arial" w:eastAsia="Arial" w:hAnsi="Arial"/>
                <w:sz w:val="13"/>
                <w:szCs w:val="13"/>
                <w:color w:val="auto"/>
              </w:rPr>
              <w:t>Accumulated earnings</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Arial" w:cs="Arial" w:eastAsia="Arial" w:hAnsi="Arial"/>
                <w:sz w:val="13"/>
                <w:szCs w:val="13"/>
                <w:color w:val="auto"/>
              </w:rPr>
              <w:t>369,573</w:t>
            </w:r>
          </w:p>
        </w:tc>
        <w:tc>
          <w:tcPr>
            <w:tcW w:w="1240" w:type="dxa"/>
            <w:vAlign w:val="bottom"/>
          </w:tcPr>
          <w:p>
            <w:pPr>
              <w:jc w:val="center"/>
              <w:spacing w:after="0" w:line="144" w:lineRule="exact"/>
              <w:rPr>
                <w:sz w:val="20"/>
                <w:szCs w:val="20"/>
                <w:color w:val="auto"/>
              </w:rPr>
            </w:pPr>
            <w:r>
              <w:rPr>
                <w:rFonts w:ascii="Arial" w:cs="Arial" w:eastAsia="Arial" w:hAnsi="Arial"/>
                <w:sz w:val="13"/>
                <w:szCs w:val="13"/>
                <w:color w:val="auto"/>
              </w:rPr>
              <w:t>394,428</w:t>
            </w:r>
          </w:p>
        </w:tc>
        <w:tc>
          <w:tcPr>
            <w:tcW w:w="12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550,164</w:t>
            </w:r>
          </w:p>
        </w:tc>
        <w:tc>
          <w:tcPr>
            <w:tcW w:w="860" w:type="dxa"/>
            <w:vAlign w:val="bottom"/>
          </w:tcPr>
          <w:p>
            <w:pPr>
              <w:jc w:val="center"/>
              <w:ind w:left="293"/>
              <w:spacing w:after="0" w:line="144" w:lineRule="exact"/>
              <w:rPr>
                <w:sz w:val="20"/>
                <w:szCs w:val="20"/>
                <w:color w:val="auto"/>
              </w:rPr>
            </w:pPr>
            <w:r>
              <w:rPr>
                <w:rFonts w:ascii="Arial" w:cs="Arial" w:eastAsia="Arial" w:hAnsi="Arial"/>
                <w:sz w:val="13"/>
                <w:szCs w:val="13"/>
                <w:color w:val="auto"/>
              </w:rPr>
              <w:t>39.5%</w:t>
            </w:r>
          </w:p>
        </w:tc>
        <w:tc>
          <w:tcPr>
            <w:tcW w:w="1620" w:type="dxa"/>
            <w:vAlign w:val="bottom"/>
            <w:tcBorders>
              <w:right w:val="single" w:sz="8" w:color="auto"/>
            </w:tcBorders>
          </w:tcPr>
          <w:p>
            <w:pPr>
              <w:jc w:val="center"/>
              <w:ind w:left="253"/>
              <w:spacing w:after="0" w:line="144" w:lineRule="exact"/>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53"/>
        </w:trPr>
        <w:tc>
          <w:tcPr>
            <w:tcW w:w="3200" w:type="dxa"/>
            <w:vAlign w:val="bottom"/>
            <w:tcBorders>
              <w:left w:val="single" w:sz="8" w:color="auto"/>
            </w:tcBorders>
          </w:tcPr>
          <w:p>
            <w:pPr>
              <w:ind w:left="160"/>
              <w:spacing w:after="0" w:line="153" w:lineRule="exact"/>
              <w:rPr>
                <w:sz w:val="20"/>
                <w:szCs w:val="20"/>
                <w:color w:val="auto"/>
              </w:rPr>
            </w:pPr>
            <w:r>
              <w:rPr>
                <w:rFonts w:ascii="Arial" w:cs="Arial" w:eastAsia="Arial" w:hAnsi="Arial"/>
                <w:sz w:val="11"/>
                <w:szCs w:val="11"/>
                <w:color w:val="auto"/>
              </w:rPr>
              <w:t xml:space="preserve">Loan loss reserves </w:t>
            </w:r>
            <w:r>
              <w:rPr>
                <w:rFonts w:ascii="Arial" w:cs="Arial" w:eastAsia="Arial" w:hAnsi="Arial"/>
                <w:sz w:val="17"/>
                <w:szCs w:val="17"/>
                <w:color w:val="auto"/>
                <w:vertAlign w:val="superscript"/>
              </w:rPr>
              <w:t>(1)</w:t>
            </w:r>
          </w:p>
        </w:tc>
        <w:tc>
          <w:tcPr>
            <w:tcW w:w="1880" w:type="dxa"/>
            <w:vAlign w:val="bottom"/>
            <w:tcBorders>
              <w:right w:val="single" w:sz="8" w:color="auto"/>
            </w:tcBorders>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144,751</w:t>
            </w:r>
          </w:p>
        </w:tc>
        <w:tc>
          <w:tcPr>
            <w:tcW w:w="1240" w:type="dxa"/>
            <w:vAlign w:val="bottom"/>
          </w:tcPr>
          <w:p>
            <w:pPr>
              <w:jc w:val="center"/>
              <w:spacing w:after="0"/>
              <w:rPr>
                <w:sz w:val="20"/>
                <w:szCs w:val="20"/>
                <w:color w:val="auto"/>
              </w:rPr>
            </w:pPr>
            <w:r>
              <w:rPr>
                <w:rFonts w:ascii="Arial" w:cs="Arial" w:eastAsia="Arial" w:hAnsi="Arial"/>
                <w:sz w:val="13"/>
                <w:szCs w:val="13"/>
                <w:color w:val="auto"/>
              </w:rPr>
              <w:t>158,725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167,481</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rPr>
              <w:t>5.5%</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Perpetual subordinated debt</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w:t>
            </w:r>
          </w:p>
        </w:tc>
        <w:tc>
          <w:tcPr>
            <w:tcW w:w="12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w w:val="99"/>
              </w:rPr>
              <w:t>n.a</w:t>
            </w:r>
          </w:p>
        </w:tc>
        <w:tc>
          <w:tcPr>
            <w:tcW w:w="1620" w:type="dxa"/>
            <w:vAlign w:val="bottom"/>
            <w:tcBorders>
              <w:right w:val="single" w:sz="8" w:color="auto"/>
            </w:tcBorders>
          </w:tcPr>
          <w:p>
            <w:pPr>
              <w:ind w:left="8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Subordinated debt</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167,000</w:t>
            </w:r>
          </w:p>
        </w:tc>
        <w:tc>
          <w:tcPr>
            <w:tcW w:w="1240" w:type="dxa"/>
            <w:vAlign w:val="bottom"/>
          </w:tcPr>
          <w:p>
            <w:pPr>
              <w:jc w:val="center"/>
              <w:spacing w:after="0"/>
              <w:rPr>
                <w:sz w:val="20"/>
                <w:szCs w:val="20"/>
                <w:color w:val="auto"/>
              </w:rPr>
            </w:pPr>
            <w:r>
              <w:rPr>
                <w:rFonts w:ascii="Arial" w:cs="Arial" w:eastAsia="Arial" w:hAnsi="Arial"/>
                <w:sz w:val="13"/>
                <w:szCs w:val="13"/>
                <w:color w:val="auto"/>
              </w:rPr>
              <w:t>388,551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382,551</w:t>
            </w:r>
          </w:p>
        </w:tc>
        <w:tc>
          <w:tcPr>
            <w:tcW w:w="860" w:type="dxa"/>
            <w:vAlign w:val="bottom"/>
          </w:tcPr>
          <w:p>
            <w:pPr>
              <w:jc w:val="center"/>
              <w:ind w:left="273"/>
              <w:spacing w:after="0"/>
              <w:rPr>
                <w:sz w:val="20"/>
                <w:szCs w:val="20"/>
                <w:color w:val="auto"/>
              </w:rPr>
            </w:pPr>
            <w:r>
              <w:rPr>
                <w:rFonts w:ascii="Arial" w:cs="Arial" w:eastAsia="Arial" w:hAnsi="Arial"/>
                <w:sz w:val="13"/>
                <w:szCs w:val="13"/>
                <w:color w:val="auto"/>
              </w:rPr>
              <w:t>-1.5%</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129.1%</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Unrealidez Profit or Losses</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(3,728)</w:t>
            </w:r>
          </w:p>
        </w:tc>
        <w:tc>
          <w:tcPr>
            <w:tcW w:w="1240" w:type="dxa"/>
            <w:vAlign w:val="bottom"/>
          </w:tcPr>
          <w:p>
            <w:pPr>
              <w:jc w:val="center"/>
              <w:spacing w:after="0"/>
              <w:rPr>
                <w:sz w:val="20"/>
                <w:szCs w:val="20"/>
                <w:color w:val="auto"/>
              </w:rPr>
            </w:pPr>
            <w:r>
              <w:rPr>
                <w:rFonts w:ascii="Arial" w:cs="Arial" w:eastAsia="Arial" w:hAnsi="Arial"/>
                <w:sz w:val="13"/>
                <w:szCs w:val="13"/>
                <w:color w:val="auto"/>
              </w:rPr>
              <w:t>7,294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12,032</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rPr>
              <w:t>65.0%</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-422.7%</w:t>
            </w:r>
          </w:p>
        </w:tc>
        <w:tc>
          <w:tcPr>
            <w:tcW w:w="0" w:type="dxa"/>
            <w:vAlign w:val="bottom"/>
          </w:tcPr>
          <w:p>
            <w:pPr>
              <w:spacing w:after="0"/>
              <w:rPr>
                <w:sz w:val="1"/>
                <w:szCs w:val="1"/>
                <w:color w:val="auto"/>
              </w:rPr>
            </w:pPr>
          </w:p>
        </w:tc>
      </w:tr>
      <w:tr>
        <w:trPr>
          <w:trHeight w:val="149"/>
        </w:trPr>
        <w:tc>
          <w:tcPr>
            <w:tcW w:w="50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3"/>
                <w:szCs w:val="13"/>
                <w:color w:val="auto"/>
              </w:rPr>
              <w:t>Investment in subsidiaries and others, net of unrealized profit and net income in</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auto"/>
                <w:w w:val="98"/>
              </w:rPr>
              <w:t>(298)</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rPr>
              <w:t>(164)</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(216)</w:t>
            </w:r>
          </w:p>
        </w:tc>
        <w:tc>
          <w:tcPr>
            <w:tcW w:w="860" w:type="dxa"/>
            <w:vAlign w:val="bottom"/>
            <w:vMerge w:val="restart"/>
          </w:tcPr>
          <w:p>
            <w:pPr>
              <w:jc w:val="center"/>
              <w:ind w:left="293"/>
              <w:spacing w:after="0"/>
              <w:rPr>
                <w:sz w:val="20"/>
                <w:szCs w:val="20"/>
                <w:color w:val="auto"/>
              </w:rPr>
            </w:pPr>
            <w:r>
              <w:rPr>
                <w:rFonts w:ascii="Arial" w:cs="Arial" w:eastAsia="Arial" w:hAnsi="Arial"/>
                <w:sz w:val="13"/>
                <w:szCs w:val="13"/>
                <w:color w:val="auto"/>
              </w:rPr>
              <w:t>31.9%</w:t>
            </w:r>
          </w:p>
        </w:tc>
        <w:tc>
          <w:tcPr>
            <w:tcW w:w="1620" w:type="dxa"/>
            <w:vAlign w:val="bottom"/>
            <w:tcBorders>
              <w:right w:val="single" w:sz="8" w:color="auto"/>
            </w:tcBorders>
            <w:vMerge w:val="restart"/>
          </w:tcPr>
          <w:p>
            <w:pPr>
              <w:jc w:val="center"/>
              <w:ind w:left="253"/>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13"/>
        </w:trPr>
        <w:tc>
          <w:tcPr>
            <w:tcW w:w="3200" w:type="dxa"/>
            <w:vAlign w:val="bottom"/>
            <w:tcBorders>
              <w:left w:val="single" w:sz="8" w:color="auto"/>
            </w:tcBorders>
            <w:vMerge w:val="restart"/>
          </w:tcPr>
          <w:p>
            <w:pPr>
              <w:ind w:left="160"/>
              <w:spacing w:after="0"/>
              <w:rPr>
                <w:sz w:val="20"/>
                <w:szCs w:val="20"/>
                <w:color w:val="auto"/>
              </w:rPr>
            </w:pPr>
            <w:r>
              <w:rPr>
                <w:rFonts w:ascii="Arial" w:cs="Arial" w:eastAsia="Arial" w:hAnsi="Arial"/>
                <w:sz w:val="13"/>
                <w:szCs w:val="13"/>
                <w:color w:val="auto"/>
              </w:rPr>
              <w:t>subsidiaries</w:t>
            </w:r>
          </w:p>
        </w:tc>
        <w:tc>
          <w:tcPr>
            <w:tcW w:w="1880" w:type="dxa"/>
            <w:vAlign w:val="bottom"/>
            <w:tcBorders>
              <w:right w:val="single" w:sz="8" w:color="auto"/>
            </w:tcBorders>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200" w:type="dxa"/>
            <w:vAlign w:val="bottom"/>
            <w:tcBorders>
              <w:left w:val="single" w:sz="8" w:color="auto"/>
            </w:tcBorders>
            <w:vMerge w:val="continue"/>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Intangibles</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(136,691)</w:t>
            </w:r>
          </w:p>
        </w:tc>
        <w:tc>
          <w:tcPr>
            <w:tcW w:w="1240" w:type="dxa"/>
            <w:vAlign w:val="bottom"/>
          </w:tcPr>
          <w:p>
            <w:pPr>
              <w:jc w:val="center"/>
              <w:spacing w:after="0"/>
              <w:rPr>
                <w:sz w:val="20"/>
                <w:szCs w:val="20"/>
                <w:color w:val="auto"/>
              </w:rPr>
            </w:pPr>
            <w:r>
              <w:rPr>
                <w:rFonts w:ascii="Arial" w:cs="Arial" w:eastAsia="Arial" w:hAnsi="Arial"/>
                <w:sz w:val="13"/>
                <w:szCs w:val="13"/>
                <w:color w:val="auto"/>
              </w:rPr>
              <w:t>(124,978)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(138,648)</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rPr>
              <w:t>10.9%</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32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Goodwill</w:t>
            </w:r>
          </w:p>
        </w:tc>
        <w:tc>
          <w:tcPr>
            <w:tcW w:w="18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(139,180)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(139,180)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(139,180)</w:t>
            </w:r>
          </w:p>
        </w:tc>
        <w:tc>
          <w:tcPr>
            <w:tcW w:w="86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color w:val="auto"/>
              </w:rPr>
              <w:t>0.0%</w:t>
            </w:r>
          </w:p>
        </w:tc>
        <w:tc>
          <w:tcPr>
            <w:tcW w:w="162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2"/>
        </w:trPr>
        <w:tc>
          <w:tcPr>
            <w:tcW w:w="32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 Regulatory Capital</w:t>
            </w:r>
          </w:p>
        </w:tc>
        <w:tc>
          <w:tcPr>
            <w:tcW w:w="18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2,576,683</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2,891,129</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3,040,636</w:t>
            </w:r>
          </w:p>
        </w:tc>
        <w:tc>
          <w:tcPr>
            <w:tcW w:w="860" w:type="dxa"/>
            <w:vAlign w:val="bottom"/>
            <w:tcBorders>
              <w:bottom w:val="single" w:sz="8" w:color="auto"/>
            </w:tcBorders>
          </w:tcPr>
          <w:p>
            <w:pPr>
              <w:jc w:val="center"/>
              <w:ind w:left="293"/>
              <w:spacing w:after="0" w:line="142" w:lineRule="exact"/>
              <w:rPr>
                <w:sz w:val="20"/>
                <w:szCs w:val="20"/>
                <w:color w:val="auto"/>
              </w:rPr>
            </w:pPr>
            <w:r>
              <w:rPr>
                <w:rFonts w:ascii="Arial" w:cs="Arial" w:eastAsia="Arial" w:hAnsi="Arial"/>
                <w:sz w:val="13"/>
                <w:szCs w:val="13"/>
                <w:b w:val="1"/>
                <w:bCs w:val="1"/>
                <w:color w:val="auto"/>
              </w:rPr>
              <w:t>5.2%</w:t>
            </w:r>
          </w:p>
        </w:tc>
        <w:tc>
          <w:tcPr>
            <w:tcW w:w="162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18.0%</w:t>
            </w:r>
          </w:p>
        </w:tc>
        <w:tc>
          <w:tcPr>
            <w:tcW w:w="0" w:type="dxa"/>
            <w:vAlign w:val="bottom"/>
          </w:tcPr>
          <w:p>
            <w:pPr>
              <w:spacing w:after="0"/>
              <w:rPr>
                <w:sz w:val="1"/>
                <w:szCs w:val="1"/>
                <w:color w:val="auto"/>
              </w:rPr>
            </w:pPr>
          </w:p>
        </w:tc>
      </w:tr>
      <w:tr>
        <w:trPr>
          <w:trHeight w:val="142"/>
        </w:trPr>
        <w:tc>
          <w:tcPr>
            <w:tcW w:w="32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1"/>
                <w:szCs w:val="11"/>
                <w:b w:val="1"/>
                <w:bCs w:val="1"/>
                <w:color w:val="auto"/>
              </w:rPr>
              <w:t xml:space="preserve">Tier Common Equity </w:t>
            </w:r>
            <w:r>
              <w:rPr>
                <w:rFonts w:ascii="Arial" w:cs="Arial" w:eastAsia="Arial" w:hAnsi="Arial"/>
                <w:sz w:val="16"/>
                <w:szCs w:val="16"/>
                <w:b w:val="1"/>
                <w:bCs w:val="1"/>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2,264,932</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2,343,853</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2,490,604</w:t>
            </w:r>
          </w:p>
        </w:tc>
        <w:tc>
          <w:tcPr>
            <w:tcW w:w="860" w:type="dxa"/>
            <w:vAlign w:val="bottom"/>
            <w:tcBorders>
              <w:bottom w:val="single" w:sz="8" w:color="auto"/>
            </w:tcBorders>
          </w:tcPr>
          <w:p>
            <w:pPr>
              <w:jc w:val="center"/>
              <w:ind w:left="293"/>
              <w:spacing w:after="0" w:line="142" w:lineRule="exact"/>
              <w:rPr>
                <w:sz w:val="20"/>
                <w:szCs w:val="20"/>
                <w:color w:val="auto"/>
              </w:rPr>
            </w:pPr>
            <w:r>
              <w:rPr>
                <w:rFonts w:ascii="Arial" w:cs="Arial" w:eastAsia="Arial" w:hAnsi="Arial"/>
                <w:sz w:val="13"/>
                <w:szCs w:val="13"/>
                <w:b w:val="1"/>
                <w:bCs w:val="1"/>
                <w:color w:val="auto"/>
              </w:rPr>
              <w:t>6.3%</w:t>
            </w:r>
          </w:p>
        </w:tc>
        <w:tc>
          <w:tcPr>
            <w:tcW w:w="162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142"/>
        </w:trPr>
        <w:tc>
          <w:tcPr>
            <w:tcW w:w="32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1"/>
                <w:szCs w:val="11"/>
                <w:b w:val="1"/>
                <w:bCs w:val="1"/>
                <w:color w:val="auto"/>
              </w:rPr>
              <w:t xml:space="preserve">Regulatory Tier 1 Capital </w:t>
            </w:r>
            <w:r>
              <w:rPr>
                <w:rFonts w:ascii="Arial" w:cs="Arial" w:eastAsia="Arial" w:hAnsi="Arial"/>
                <w:sz w:val="16"/>
                <w:szCs w:val="16"/>
                <w:b w:val="1"/>
                <w:bCs w:val="1"/>
                <w:color w:val="auto"/>
                <w:vertAlign w:val="superscript"/>
              </w:rPr>
              <w:t>(3)</w:t>
            </w:r>
          </w:p>
        </w:tc>
        <w:tc>
          <w:tcPr>
            <w:tcW w:w="18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2,264,932</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2,343,853</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2,490,604</w:t>
            </w:r>
          </w:p>
        </w:tc>
        <w:tc>
          <w:tcPr>
            <w:tcW w:w="860" w:type="dxa"/>
            <w:vAlign w:val="bottom"/>
            <w:tcBorders>
              <w:bottom w:val="single" w:sz="8" w:color="auto"/>
            </w:tcBorders>
          </w:tcPr>
          <w:p>
            <w:pPr>
              <w:jc w:val="center"/>
              <w:ind w:left="293"/>
              <w:spacing w:after="0" w:line="142" w:lineRule="exact"/>
              <w:rPr>
                <w:sz w:val="20"/>
                <w:szCs w:val="20"/>
                <w:color w:val="auto"/>
              </w:rPr>
            </w:pPr>
            <w:r>
              <w:rPr>
                <w:rFonts w:ascii="Arial" w:cs="Arial" w:eastAsia="Arial" w:hAnsi="Arial"/>
                <w:sz w:val="13"/>
                <w:szCs w:val="13"/>
                <w:b w:val="1"/>
                <w:bCs w:val="1"/>
                <w:color w:val="auto"/>
              </w:rPr>
              <w:t>6.3%</w:t>
            </w:r>
          </w:p>
        </w:tc>
        <w:tc>
          <w:tcPr>
            <w:tcW w:w="162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142"/>
        </w:trPr>
        <w:tc>
          <w:tcPr>
            <w:tcW w:w="32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1"/>
                <w:szCs w:val="11"/>
                <w:b w:val="1"/>
                <w:bCs w:val="1"/>
                <w:color w:val="auto"/>
              </w:rPr>
              <w:t xml:space="preserve">Regulatory Tier 2 Capital </w:t>
            </w:r>
            <w:r>
              <w:rPr>
                <w:rFonts w:ascii="Arial" w:cs="Arial" w:eastAsia="Arial" w:hAnsi="Arial"/>
                <w:sz w:val="16"/>
                <w:szCs w:val="16"/>
                <w:b w:val="1"/>
                <w:bCs w:val="1"/>
                <w:color w:val="auto"/>
                <w:vertAlign w:val="superscript"/>
              </w:rPr>
              <w:t>(4)</w:t>
            </w:r>
          </w:p>
        </w:tc>
        <w:tc>
          <w:tcPr>
            <w:tcW w:w="18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311,751</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547,276</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550,032</w:t>
            </w:r>
          </w:p>
        </w:tc>
        <w:tc>
          <w:tcPr>
            <w:tcW w:w="860" w:type="dxa"/>
            <w:vAlign w:val="bottom"/>
            <w:tcBorders>
              <w:bottom w:val="single" w:sz="8" w:color="auto"/>
            </w:tcBorders>
          </w:tcPr>
          <w:p>
            <w:pPr>
              <w:jc w:val="center"/>
              <w:ind w:left="293"/>
              <w:spacing w:after="0" w:line="142" w:lineRule="exact"/>
              <w:rPr>
                <w:sz w:val="20"/>
                <w:szCs w:val="20"/>
                <w:color w:val="auto"/>
              </w:rPr>
            </w:pPr>
            <w:r>
              <w:rPr>
                <w:rFonts w:ascii="Arial" w:cs="Arial" w:eastAsia="Arial" w:hAnsi="Arial"/>
                <w:sz w:val="13"/>
                <w:szCs w:val="13"/>
                <w:b w:val="1"/>
                <w:bCs w:val="1"/>
                <w:color w:val="auto"/>
              </w:rPr>
              <w:t>0.5%</w:t>
            </w:r>
          </w:p>
        </w:tc>
        <w:tc>
          <w:tcPr>
            <w:tcW w:w="162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76.4%</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3200" w:type="dxa"/>
            <w:vAlign w:val="bottom"/>
            <w:tcBorders>
              <w:lef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Total risk-weighted assets</w:t>
            </w:r>
          </w:p>
        </w:tc>
        <w:tc>
          <w:tcPr>
            <w:tcW w:w="1880" w:type="dxa"/>
            <w:vAlign w:val="bottom"/>
            <w:tcBorders>
              <w:right w:val="single" w:sz="8" w:color="auto"/>
            </w:tcBorders>
            <w:shd w:val="clear" w:color="auto" w:fill="2AD2C9"/>
          </w:tcPr>
          <w:p>
            <w:pPr>
              <w:spacing w:after="0"/>
              <w:rPr>
                <w:sz w:val="10"/>
                <w:szCs w:val="10"/>
                <w:color w:val="auto"/>
              </w:rPr>
            </w:pPr>
          </w:p>
        </w:tc>
        <w:tc>
          <w:tcPr>
            <w:tcW w:w="1220" w:type="dxa"/>
            <w:vAlign w:val="bottom"/>
            <w:shd w:val="clear" w:color="auto" w:fill="2AD2C9"/>
          </w:tcPr>
          <w:p>
            <w:pPr>
              <w:spacing w:after="0"/>
              <w:rPr>
                <w:sz w:val="10"/>
                <w:szCs w:val="10"/>
                <w:color w:val="auto"/>
              </w:rPr>
            </w:pPr>
          </w:p>
        </w:tc>
        <w:tc>
          <w:tcPr>
            <w:tcW w:w="1240" w:type="dxa"/>
            <w:vAlign w:val="bottom"/>
            <w:shd w:val="clear" w:color="auto" w:fill="2AD2C9"/>
          </w:tcPr>
          <w:p>
            <w:pPr>
              <w:jc w:val="center"/>
              <w:spacing w:after="0" w:line="123" w:lineRule="exact"/>
              <w:rPr>
                <w:sz w:val="20"/>
                <w:szCs w:val="20"/>
                <w:color w:val="auto"/>
              </w:rPr>
            </w:pPr>
            <w:r>
              <w:rPr>
                <w:rFonts w:ascii="Arial" w:cs="Arial" w:eastAsia="Arial" w:hAnsi="Arial"/>
                <w:sz w:val="13"/>
                <w:szCs w:val="13"/>
                <w:b w:val="1"/>
                <w:bCs w:val="1"/>
                <w:color w:val="FFFFFF"/>
              </w:rPr>
              <w:t>As of</w:t>
            </w:r>
          </w:p>
        </w:tc>
        <w:tc>
          <w:tcPr>
            <w:tcW w:w="1260" w:type="dxa"/>
            <w:vAlign w:val="bottom"/>
            <w:tcBorders>
              <w:right w:val="single" w:sz="8" w:color="auto"/>
            </w:tcBorders>
            <w:shd w:val="clear" w:color="auto" w:fill="2AD2C9"/>
          </w:tcPr>
          <w:p>
            <w:pPr>
              <w:spacing w:after="0"/>
              <w:rPr>
                <w:sz w:val="10"/>
                <w:szCs w:val="10"/>
                <w:color w:val="auto"/>
              </w:rPr>
            </w:pPr>
          </w:p>
        </w:tc>
        <w:tc>
          <w:tcPr>
            <w:tcW w:w="860" w:type="dxa"/>
            <w:vAlign w:val="bottom"/>
            <w:shd w:val="clear" w:color="auto" w:fill="2AD2C9"/>
          </w:tcPr>
          <w:p>
            <w:pPr>
              <w:spacing w:after="0"/>
              <w:rPr>
                <w:sz w:val="10"/>
                <w:szCs w:val="10"/>
                <w:color w:val="auto"/>
              </w:rPr>
            </w:pPr>
          </w:p>
        </w:tc>
        <w:tc>
          <w:tcPr>
            <w:tcW w:w="1620" w:type="dxa"/>
            <w:vAlign w:val="bottom"/>
            <w:tcBorders>
              <w:right w:val="single" w:sz="8" w:color="auto"/>
            </w:tcBorders>
            <w:shd w:val="clear" w:color="auto" w:fill="2AD2C9"/>
          </w:tcPr>
          <w:p>
            <w:pPr>
              <w:ind w:left="40"/>
              <w:spacing w:after="0" w:line="123"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200" w:type="dxa"/>
            <w:vAlign w:val="bottom"/>
            <w:tcBorders>
              <w:left w:val="single" w:sz="8" w:color="auto"/>
              <w:bottom w:val="single" w:sz="8" w:color="auto"/>
            </w:tcBorders>
            <w:shd w:val="clear" w:color="auto" w:fill="2AD2C9"/>
          </w:tcPr>
          <w:p>
            <w:pPr>
              <w:ind w:left="40"/>
              <w:spacing w:after="0"/>
              <w:rPr>
                <w:sz w:val="20"/>
                <w:szCs w:val="20"/>
                <w:color w:val="auto"/>
              </w:rPr>
            </w:pPr>
            <w:r>
              <w:rPr>
                <w:rFonts w:ascii="Arial" w:cs="Arial" w:eastAsia="Arial" w:hAnsi="Arial"/>
                <w:sz w:val="13"/>
                <w:szCs w:val="13"/>
                <w:color w:val="FFFFFF"/>
              </w:rPr>
              <w:t>(S/ thousand)</w:t>
            </w:r>
          </w:p>
        </w:tc>
        <w:tc>
          <w:tcPr>
            <w:tcW w:w="1880" w:type="dxa"/>
            <w:vAlign w:val="bottom"/>
            <w:tcBorders>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860" w:type="dxa"/>
            <w:vAlign w:val="bottom"/>
            <w:tcBorders>
              <w:bottom w:val="single" w:sz="8" w:color="auto"/>
            </w:tcBorders>
            <w:shd w:val="clear" w:color="auto" w:fill="2AD2C9"/>
          </w:tcPr>
          <w:p>
            <w:pPr>
              <w:jc w:val="center"/>
              <w:ind w:left="293"/>
              <w:spacing w:after="0"/>
              <w:rPr>
                <w:sz w:val="20"/>
                <w:szCs w:val="20"/>
                <w:color w:val="auto"/>
              </w:rPr>
            </w:pPr>
            <w:r>
              <w:rPr>
                <w:rFonts w:ascii="Arial" w:cs="Arial" w:eastAsia="Arial" w:hAnsi="Arial"/>
                <w:sz w:val="13"/>
                <w:szCs w:val="13"/>
                <w:b w:val="1"/>
                <w:bCs w:val="1"/>
                <w:color w:val="FFFFFF"/>
              </w:rPr>
              <w:t>QoQ</w:t>
            </w:r>
          </w:p>
        </w:tc>
        <w:tc>
          <w:tcPr>
            <w:tcW w:w="1620" w:type="dxa"/>
            <w:vAlign w:val="bottom"/>
            <w:tcBorders>
              <w:bottom w:val="single" w:sz="8" w:color="auto"/>
              <w:right w:val="single" w:sz="8" w:color="auto"/>
            </w:tcBorders>
            <w:shd w:val="clear" w:color="auto" w:fill="2AD2C9"/>
          </w:tcPr>
          <w:p>
            <w:pPr>
              <w:ind w:left="840"/>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25"/>
        </w:trPr>
        <w:tc>
          <w:tcPr>
            <w:tcW w:w="3200" w:type="dxa"/>
            <w:vAlign w:val="bottom"/>
            <w:tcBorders>
              <w:left w:val="single" w:sz="8" w:color="auto"/>
            </w:tcBorders>
          </w:tcPr>
          <w:p>
            <w:pPr>
              <w:ind w:left="160"/>
              <w:spacing w:after="0" w:line="126" w:lineRule="exact"/>
              <w:rPr>
                <w:sz w:val="20"/>
                <w:szCs w:val="20"/>
                <w:color w:val="auto"/>
              </w:rPr>
            </w:pPr>
            <w:r>
              <w:rPr>
                <w:rFonts w:ascii="Arial" w:cs="Arial" w:eastAsia="Arial" w:hAnsi="Arial"/>
                <w:sz w:val="13"/>
                <w:szCs w:val="13"/>
                <w:color w:val="auto"/>
              </w:rPr>
              <w:t>Market risk-weighted assets</w:t>
            </w:r>
          </w:p>
        </w:tc>
        <w:tc>
          <w:tcPr>
            <w:tcW w:w="188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241,964</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221,008</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157,365</w:t>
            </w:r>
          </w:p>
        </w:tc>
        <w:tc>
          <w:tcPr>
            <w:tcW w:w="860" w:type="dxa"/>
            <w:vAlign w:val="bottom"/>
          </w:tcPr>
          <w:p>
            <w:pPr>
              <w:jc w:val="center"/>
              <w:ind w:left="293"/>
              <w:spacing w:after="0" w:line="126" w:lineRule="exact"/>
              <w:rPr>
                <w:sz w:val="20"/>
                <w:szCs w:val="20"/>
                <w:color w:val="auto"/>
              </w:rPr>
            </w:pPr>
            <w:r>
              <w:rPr>
                <w:rFonts w:ascii="Arial" w:cs="Arial" w:eastAsia="Arial" w:hAnsi="Arial"/>
                <w:sz w:val="13"/>
                <w:szCs w:val="13"/>
                <w:color w:val="auto"/>
              </w:rPr>
              <w:t>-28.8%</w:t>
            </w:r>
          </w:p>
        </w:tc>
        <w:tc>
          <w:tcPr>
            <w:tcW w:w="1620" w:type="dxa"/>
            <w:vAlign w:val="bottom"/>
            <w:tcBorders>
              <w:right w:val="single" w:sz="8" w:color="auto"/>
            </w:tcBorders>
          </w:tcPr>
          <w:p>
            <w:pPr>
              <w:jc w:val="center"/>
              <w:ind w:left="253"/>
              <w:spacing w:after="0" w:line="126" w:lineRule="exact"/>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Credit risk-weighted assets</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11,419,696</w:t>
            </w:r>
          </w:p>
        </w:tc>
        <w:tc>
          <w:tcPr>
            <w:tcW w:w="1240" w:type="dxa"/>
            <w:vAlign w:val="bottom"/>
          </w:tcPr>
          <w:p>
            <w:pPr>
              <w:jc w:val="center"/>
              <w:spacing w:after="0"/>
              <w:rPr>
                <w:sz w:val="20"/>
                <w:szCs w:val="20"/>
                <w:color w:val="auto"/>
              </w:rPr>
            </w:pPr>
            <w:r>
              <w:rPr>
                <w:rFonts w:ascii="Arial" w:cs="Arial" w:eastAsia="Arial" w:hAnsi="Arial"/>
                <w:sz w:val="13"/>
                <w:szCs w:val="13"/>
                <w:color w:val="auto"/>
              </w:rPr>
              <w:t>12,539,729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13,221,315</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rPr>
              <w:t>5.4%</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5"/>
        </w:trPr>
        <w:tc>
          <w:tcPr>
            <w:tcW w:w="320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Operational risk-weighted assets</w:t>
            </w:r>
          </w:p>
        </w:tc>
        <w:tc>
          <w:tcPr>
            <w:tcW w:w="18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1,605,950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922,672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928,897</w:t>
            </w:r>
          </w:p>
        </w:tc>
        <w:tc>
          <w:tcPr>
            <w:tcW w:w="86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color w:val="auto"/>
              </w:rPr>
              <w:t>0.7%</w:t>
            </w:r>
          </w:p>
        </w:tc>
        <w:tc>
          <w:tcPr>
            <w:tcW w:w="162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142"/>
        </w:trPr>
        <w:tc>
          <w:tcPr>
            <w:tcW w:w="3200" w:type="dxa"/>
            <w:vAlign w:val="bottom"/>
            <w:tcBorders>
              <w:left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w:t>
            </w:r>
          </w:p>
        </w:tc>
        <w:tc>
          <w:tcPr>
            <w:tcW w:w="18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13,267,611</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13,683,410</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14,307,577</w:t>
            </w:r>
          </w:p>
        </w:tc>
        <w:tc>
          <w:tcPr>
            <w:tcW w:w="860" w:type="dxa"/>
            <w:vAlign w:val="bottom"/>
            <w:tcBorders>
              <w:bottom w:val="single" w:sz="8" w:color="auto"/>
            </w:tcBorders>
          </w:tcPr>
          <w:p>
            <w:pPr>
              <w:jc w:val="center"/>
              <w:ind w:left="293"/>
              <w:spacing w:after="0" w:line="142" w:lineRule="exact"/>
              <w:rPr>
                <w:sz w:val="20"/>
                <w:szCs w:val="20"/>
                <w:color w:val="auto"/>
              </w:rPr>
            </w:pPr>
            <w:r>
              <w:rPr>
                <w:rFonts w:ascii="Arial" w:cs="Arial" w:eastAsia="Arial" w:hAnsi="Arial"/>
                <w:sz w:val="13"/>
                <w:szCs w:val="13"/>
                <w:b w:val="1"/>
                <w:bCs w:val="1"/>
                <w:color w:val="auto"/>
              </w:rPr>
              <w:t>4.6%</w:t>
            </w:r>
          </w:p>
        </w:tc>
        <w:tc>
          <w:tcPr>
            <w:tcW w:w="162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7.8%</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3200" w:type="dxa"/>
            <w:vAlign w:val="bottom"/>
            <w:tcBorders>
              <w:lef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Capital requirement</w:t>
            </w:r>
          </w:p>
        </w:tc>
        <w:tc>
          <w:tcPr>
            <w:tcW w:w="1880" w:type="dxa"/>
            <w:vAlign w:val="bottom"/>
            <w:tcBorders>
              <w:right w:val="single" w:sz="8" w:color="auto"/>
            </w:tcBorders>
            <w:shd w:val="clear" w:color="auto" w:fill="2AD2C9"/>
          </w:tcPr>
          <w:p>
            <w:pPr>
              <w:spacing w:after="0"/>
              <w:rPr>
                <w:sz w:val="10"/>
                <w:szCs w:val="10"/>
                <w:color w:val="auto"/>
              </w:rPr>
            </w:pPr>
          </w:p>
        </w:tc>
        <w:tc>
          <w:tcPr>
            <w:tcW w:w="1220" w:type="dxa"/>
            <w:vAlign w:val="bottom"/>
            <w:shd w:val="clear" w:color="auto" w:fill="2AD2C9"/>
          </w:tcPr>
          <w:p>
            <w:pPr>
              <w:spacing w:after="0"/>
              <w:rPr>
                <w:sz w:val="10"/>
                <w:szCs w:val="10"/>
                <w:color w:val="auto"/>
              </w:rPr>
            </w:pPr>
          </w:p>
        </w:tc>
        <w:tc>
          <w:tcPr>
            <w:tcW w:w="1240" w:type="dxa"/>
            <w:vAlign w:val="bottom"/>
            <w:shd w:val="clear" w:color="auto" w:fill="2AD2C9"/>
          </w:tcPr>
          <w:p>
            <w:pPr>
              <w:jc w:val="center"/>
              <w:spacing w:after="0" w:line="123" w:lineRule="exact"/>
              <w:rPr>
                <w:sz w:val="20"/>
                <w:szCs w:val="20"/>
                <w:color w:val="auto"/>
              </w:rPr>
            </w:pPr>
            <w:r>
              <w:rPr>
                <w:rFonts w:ascii="Arial" w:cs="Arial" w:eastAsia="Arial" w:hAnsi="Arial"/>
                <w:sz w:val="13"/>
                <w:szCs w:val="13"/>
                <w:b w:val="1"/>
                <w:bCs w:val="1"/>
                <w:color w:val="FFFFFF"/>
              </w:rPr>
              <w:t>As of</w:t>
            </w:r>
          </w:p>
        </w:tc>
        <w:tc>
          <w:tcPr>
            <w:tcW w:w="1260" w:type="dxa"/>
            <w:vAlign w:val="bottom"/>
            <w:tcBorders>
              <w:right w:val="single" w:sz="8" w:color="auto"/>
            </w:tcBorders>
            <w:shd w:val="clear" w:color="auto" w:fill="2AD2C9"/>
          </w:tcPr>
          <w:p>
            <w:pPr>
              <w:spacing w:after="0"/>
              <w:rPr>
                <w:sz w:val="10"/>
                <w:szCs w:val="10"/>
                <w:color w:val="auto"/>
              </w:rPr>
            </w:pPr>
          </w:p>
        </w:tc>
        <w:tc>
          <w:tcPr>
            <w:tcW w:w="860" w:type="dxa"/>
            <w:vAlign w:val="bottom"/>
            <w:shd w:val="clear" w:color="auto" w:fill="2AD2C9"/>
          </w:tcPr>
          <w:p>
            <w:pPr>
              <w:spacing w:after="0"/>
              <w:rPr>
                <w:sz w:val="10"/>
                <w:szCs w:val="10"/>
                <w:color w:val="auto"/>
              </w:rPr>
            </w:pPr>
          </w:p>
        </w:tc>
        <w:tc>
          <w:tcPr>
            <w:tcW w:w="1620" w:type="dxa"/>
            <w:vAlign w:val="bottom"/>
            <w:tcBorders>
              <w:right w:val="single" w:sz="8" w:color="auto"/>
            </w:tcBorders>
            <w:shd w:val="clear" w:color="auto" w:fill="2AD2C9"/>
          </w:tcPr>
          <w:p>
            <w:pPr>
              <w:ind w:left="40"/>
              <w:spacing w:after="0" w:line="123"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200" w:type="dxa"/>
            <w:vAlign w:val="bottom"/>
            <w:tcBorders>
              <w:left w:val="single" w:sz="8" w:color="auto"/>
              <w:bottom w:val="single" w:sz="8" w:color="auto"/>
            </w:tcBorders>
            <w:shd w:val="clear" w:color="auto" w:fill="2AD2C9"/>
          </w:tcPr>
          <w:p>
            <w:pPr>
              <w:ind w:left="40"/>
              <w:spacing w:after="0"/>
              <w:rPr>
                <w:sz w:val="20"/>
                <w:szCs w:val="20"/>
                <w:color w:val="auto"/>
              </w:rPr>
            </w:pPr>
            <w:r>
              <w:rPr>
                <w:rFonts w:ascii="Arial" w:cs="Arial" w:eastAsia="Arial" w:hAnsi="Arial"/>
                <w:sz w:val="13"/>
                <w:szCs w:val="13"/>
                <w:color w:val="FFFFFF"/>
              </w:rPr>
              <w:t>(S/ thousand)</w:t>
            </w:r>
          </w:p>
        </w:tc>
        <w:tc>
          <w:tcPr>
            <w:tcW w:w="1880" w:type="dxa"/>
            <w:vAlign w:val="bottom"/>
            <w:tcBorders>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860" w:type="dxa"/>
            <w:vAlign w:val="bottom"/>
            <w:tcBorders>
              <w:bottom w:val="single" w:sz="8" w:color="auto"/>
            </w:tcBorders>
            <w:shd w:val="clear" w:color="auto" w:fill="2AD2C9"/>
          </w:tcPr>
          <w:p>
            <w:pPr>
              <w:jc w:val="center"/>
              <w:ind w:left="293"/>
              <w:spacing w:after="0"/>
              <w:rPr>
                <w:sz w:val="20"/>
                <w:szCs w:val="20"/>
                <w:color w:val="auto"/>
              </w:rPr>
            </w:pPr>
            <w:r>
              <w:rPr>
                <w:rFonts w:ascii="Arial" w:cs="Arial" w:eastAsia="Arial" w:hAnsi="Arial"/>
                <w:sz w:val="13"/>
                <w:szCs w:val="13"/>
                <w:b w:val="1"/>
                <w:bCs w:val="1"/>
                <w:color w:val="FFFFFF"/>
              </w:rPr>
              <w:t>QoQ</w:t>
            </w:r>
          </w:p>
        </w:tc>
        <w:tc>
          <w:tcPr>
            <w:tcW w:w="1620" w:type="dxa"/>
            <w:vAlign w:val="bottom"/>
            <w:tcBorders>
              <w:bottom w:val="single" w:sz="8" w:color="auto"/>
              <w:right w:val="single" w:sz="8" w:color="auto"/>
            </w:tcBorders>
            <w:shd w:val="clear" w:color="auto" w:fill="2AD2C9"/>
          </w:tcPr>
          <w:p>
            <w:pPr>
              <w:ind w:left="840"/>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25"/>
        </w:trPr>
        <w:tc>
          <w:tcPr>
            <w:tcW w:w="3200" w:type="dxa"/>
            <w:vAlign w:val="bottom"/>
            <w:tcBorders>
              <w:left w:val="single" w:sz="8" w:color="auto"/>
            </w:tcBorders>
          </w:tcPr>
          <w:p>
            <w:pPr>
              <w:ind w:left="160"/>
              <w:spacing w:after="0" w:line="126" w:lineRule="exact"/>
              <w:rPr>
                <w:sz w:val="20"/>
                <w:szCs w:val="20"/>
                <w:color w:val="auto"/>
              </w:rPr>
            </w:pPr>
            <w:r>
              <w:rPr>
                <w:rFonts w:ascii="Arial" w:cs="Arial" w:eastAsia="Arial" w:hAnsi="Arial"/>
                <w:sz w:val="13"/>
                <w:szCs w:val="13"/>
                <w:color w:val="auto"/>
              </w:rPr>
              <w:t>Market risk capital requirement</w:t>
            </w:r>
          </w:p>
        </w:tc>
        <w:tc>
          <w:tcPr>
            <w:tcW w:w="1880" w:type="dxa"/>
            <w:vAlign w:val="bottom"/>
            <w:tcBorders>
              <w:right w:val="single" w:sz="8" w:color="auto"/>
            </w:tcBorders>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24,196</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22,101</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15,737</w:t>
            </w:r>
          </w:p>
        </w:tc>
        <w:tc>
          <w:tcPr>
            <w:tcW w:w="860" w:type="dxa"/>
            <w:vAlign w:val="bottom"/>
          </w:tcPr>
          <w:p>
            <w:pPr>
              <w:jc w:val="center"/>
              <w:ind w:left="293"/>
              <w:spacing w:after="0" w:line="126" w:lineRule="exact"/>
              <w:rPr>
                <w:sz w:val="20"/>
                <w:szCs w:val="20"/>
                <w:color w:val="auto"/>
              </w:rPr>
            </w:pPr>
            <w:r>
              <w:rPr>
                <w:rFonts w:ascii="Arial" w:cs="Arial" w:eastAsia="Arial" w:hAnsi="Arial"/>
                <w:sz w:val="13"/>
                <w:szCs w:val="13"/>
                <w:color w:val="auto"/>
              </w:rPr>
              <w:t>-28.8%</w:t>
            </w:r>
          </w:p>
        </w:tc>
        <w:tc>
          <w:tcPr>
            <w:tcW w:w="1620" w:type="dxa"/>
            <w:vAlign w:val="bottom"/>
            <w:tcBorders>
              <w:right w:val="single" w:sz="8" w:color="auto"/>
            </w:tcBorders>
          </w:tcPr>
          <w:p>
            <w:pPr>
              <w:jc w:val="center"/>
              <w:ind w:left="253"/>
              <w:spacing w:after="0" w:line="126" w:lineRule="exact"/>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Credit risk capital requirement</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1,084,871</w:t>
            </w:r>
          </w:p>
        </w:tc>
        <w:tc>
          <w:tcPr>
            <w:tcW w:w="1240" w:type="dxa"/>
            <w:vAlign w:val="bottom"/>
          </w:tcPr>
          <w:p>
            <w:pPr>
              <w:jc w:val="center"/>
              <w:spacing w:after="0"/>
              <w:rPr>
                <w:sz w:val="20"/>
                <w:szCs w:val="20"/>
                <w:color w:val="auto"/>
              </w:rPr>
            </w:pPr>
            <w:r>
              <w:rPr>
                <w:rFonts w:ascii="Arial" w:cs="Arial" w:eastAsia="Arial" w:hAnsi="Arial"/>
                <w:sz w:val="13"/>
                <w:szCs w:val="13"/>
                <w:color w:val="auto"/>
              </w:rPr>
              <w:t>1,253,973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1,322,131</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rPr>
              <w:t>5.4%</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ind w:left="160"/>
              <w:spacing w:after="0"/>
              <w:rPr>
                <w:sz w:val="20"/>
                <w:szCs w:val="20"/>
                <w:color w:val="auto"/>
              </w:rPr>
            </w:pPr>
            <w:r>
              <w:rPr>
                <w:rFonts w:ascii="Arial" w:cs="Arial" w:eastAsia="Arial" w:hAnsi="Arial"/>
                <w:sz w:val="13"/>
                <w:szCs w:val="13"/>
                <w:color w:val="auto"/>
              </w:rPr>
              <w:t>Operational risk capital requirement</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160,595</w:t>
            </w:r>
          </w:p>
        </w:tc>
        <w:tc>
          <w:tcPr>
            <w:tcW w:w="1240" w:type="dxa"/>
            <w:vAlign w:val="bottom"/>
          </w:tcPr>
          <w:p>
            <w:pPr>
              <w:jc w:val="center"/>
              <w:spacing w:after="0"/>
              <w:rPr>
                <w:sz w:val="20"/>
                <w:szCs w:val="20"/>
                <w:color w:val="auto"/>
              </w:rPr>
            </w:pPr>
            <w:r>
              <w:rPr>
                <w:rFonts w:ascii="Arial" w:cs="Arial" w:eastAsia="Arial" w:hAnsi="Arial"/>
                <w:sz w:val="13"/>
                <w:szCs w:val="13"/>
                <w:color w:val="auto"/>
              </w:rPr>
              <w:t>92,267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92,890</w:t>
            </w:r>
          </w:p>
        </w:tc>
        <w:tc>
          <w:tcPr>
            <w:tcW w:w="860" w:type="dxa"/>
            <w:vAlign w:val="bottom"/>
          </w:tcPr>
          <w:p>
            <w:pPr>
              <w:jc w:val="center"/>
              <w:ind w:left="293"/>
              <w:spacing w:after="0"/>
              <w:rPr>
                <w:sz w:val="20"/>
                <w:szCs w:val="20"/>
                <w:color w:val="auto"/>
              </w:rPr>
            </w:pPr>
            <w:r>
              <w:rPr>
                <w:rFonts w:ascii="Arial" w:cs="Arial" w:eastAsia="Arial" w:hAnsi="Arial"/>
                <w:sz w:val="13"/>
                <w:szCs w:val="13"/>
                <w:color w:val="auto"/>
              </w:rPr>
              <w:t>0.7%</w:t>
            </w:r>
          </w:p>
        </w:tc>
        <w:tc>
          <w:tcPr>
            <w:tcW w:w="162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147"/>
        </w:trPr>
        <w:tc>
          <w:tcPr>
            <w:tcW w:w="320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3"/>
                <w:szCs w:val="13"/>
                <w:color w:val="auto"/>
              </w:rPr>
              <w:t>Additional capital requirements</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3"/>
                <w:szCs w:val="13"/>
                <w:color w:val="auto"/>
              </w:rPr>
              <w:t>184,428</w:t>
            </w:r>
          </w:p>
        </w:tc>
        <w:tc>
          <w:tcPr>
            <w:tcW w:w="1240" w:type="dxa"/>
            <w:vAlign w:val="bottom"/>
          </w:tcPr>
          <w:p>
            <w:pPr>
              <w:jc w:val="center"/>
              <w:spacing w:after="0" w:line="147" w:lineRule="exact"/>
              <w:rPr>
                <w:sz w:val="20"/>
                <w:szCs w:val="20"/>
                <w:color w:val="auto"/>
              </w:rPr>
            </w:pPr>
            <w:r>
              <w:rPr>
                <w:rFonts w:ascii="Arial" w:cs="Arial" w:eastAsia="Arial" w:hAnsi="Arial"/>
                <w:sz w:val="13"/>
                <w:szCs w:val="13"/>
                <w:color w:val="auto"/>
              </w:rPr>
              <w:t>188,096</w:t>
            </w: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3"/>
                <w:szCs w:val="13"/>
                <w:color w:val="auto"/>
              </w:rPr>
              <w:t>198,320</w:t>
            </w:r>
          </w:p>
        </w:tc>
        <w:tc>
          <w:tcPr>
            <w:tcW w:w="860" w:type="dxa"/>
            <w:vAlign w:val="bottom"/>
          </w:tcPr>
          <w:p>
            <w:pPr>
              <w:jc w:val="center"/>
              <w:ind w:left="293"/>
              <w:spacing w:after="0" w:line="147" w:lineRule="exact"/>
              <w:rPr>
                <w:sz w:val="20"/>
                <w:szCs w:val="20"/>
                <w:color w:val="auto"/>
              </w:rPr>
            </w:pPr>
            <w:r>
              <w:rPr>
                <w:rFonts w:ascii="Arial" w:cs="Arial" w:eastAsia="Arial" w:hAnsi="Arial"/>
                <w:sz w:val="13"/>
                <w:szCs w:val="13"/>
                <w:color w:val="auto"/>
              </w:rPr>
              <w:t>5.4%</w:t>
            </w:r>
          </w:p>
        </w:tc>
        <w:tc>
          <w:tcPr>
            <w:tcW w:w="1620" w:type="dxa"/>
            <w:vAlign w:val="bottom"/>
            <w:tcBorders>
              <w:right w:val="single" w:sz="8" w:color="auto"/>
            </w:tcBorders>
          </w:tcPr>
          <w:p>
            <w:pPr>
              <w:jc w:val="center"/>
              <w:ind w:left="253"/>
              <w:spacing w:after="0" w:line="147"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7"/>
        </w:trPr>
        <w:tc>
          <w:tcPr>
            <w:tcW w:w="320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18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1,454,091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1,556,437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1,629,077</w:t>
            </w:r>
          </w:p>
        </w:tc>
        <w:tc>
          <w:tcPr>
            <w:tcW w:w="86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b w:val="1"/>
                <w:bCs w:val="1"/>
                <w:color w:val="auto"/>
              </w:rPr>
              <w:t>4.7%</w:t>
            </w:r>
          </w:p>
        </w:tc>
        <w:tc>
          <w:tcPr>
            <w:tcW w:w="1620" w:type="dxa"/>
            <w:vAlign w:val="bottom"/>
            <w:tcBorders>
              <w:bottom w:val="single" w:sz="8" w:color="auto"/>
              <w:right w:val="single" w:sz="8" w:color="auto"/>
            </w:tcBorders>
          </w:tcPr>
          <w:p>
            <w:pPr>
              <w:jc w:val="center"/>
              <w:ind w:left="253"/>
              <w:spacing w:after="0"/>
              <w:rPr>
                <w:sz w:val="20"/>
                <w:szCs w:val="20"/>
                <w:color w:val="auto"/>
              </w:rPr>
            </w:pPr>
            <w:r>
              <w:rPr>
                <w:rFonts w:ascii="Arial" w:cs="Arial" w:eastAsia="Arial" w:hAnsi="Arial"/>
                <w:sz w:val="13"/>
                <w:szCs w:val="13"/>
                <w:b w:val="1"/>
                <w:bCs w:val="1"/>
                <w:color w:val="auto"/>
              </w:rPr>
              <w:t>12.0%</w:t>
            </w:r>
          </w:p>
        </w:tc>
        <w:tc>
          <w:tcPr>
            <w:tcW w:w="0" w:type="dxa"/>
            <w:vAlign w:val="bottom"/>
          </w:tcPr>
          <w:p>
            <w:pPr>
              <w:spacing w:after="0"/>
              <w:rPr>
                <w:sz w:val="1"/>
                <w:szCs w:val="1"/>
                <w:color w:val="auto"/>
              </w:rPr>
            </w:pPr>
          </w:p>
        </w:tc>
      </w:tr>
      <w:tr>
        <w:trPr>
          <w:trHeight w:val="410"/>
        </w:trPr>
        <w:tc>
          <w:tcPr>
            <w:tcW w:w="3200" w:type="dxa"/>
            <w:vAlign w:val="bottom"/>
          </w:tcPr>
          <w:p>
            <w:pPr>
              <w:spacing w:after="0"/>
              <w:rPr>
                <w:sz w:val="24"/>
                <w:szCs w:val="24"/>
                <w:color w:val="auto"/>
              </w:rPr>
            </w:pPr>
          </w:p>
        </w:tc>
        <w:tc>
          <w:tcPr>
            <w:tcW w:w="43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rPr>
              <w:t>Capital Ratios under Local Regulation</w:t>
            </w: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00" w:type="dxa"/>
            <w:vAlign w:val="bottom"/>
            <w:tcBorders>
              <w:left w:val="single" w:sz="8" w:color="auto"/>
            </w:tcBorders>
            <w:vMerge w:val="restart"/>
            <w:shd w:val="clear" w:color="auto" w:fill="2AD2C9"/>
          </w:tcPr>
          <w:p>
            <w:pPr>
              <w:spacing w:after="0"/>
              <w:rPr>
                <w:sz w:val="20"/>
                <w:szCs w:val="20"/>
                <w:color w:val="auto"/>
              </w:rPr>
            </w:pPr>
            <w:r>
              <w:rPr>
                <w:rFonts w:ascii="Arial" w:cs="Arial" w:eastAsia="Arial" w:hAnsi="Arial"/>
                <w:sz w:val="13"/>
                <w:szCs w:val="13"/>
                <w:b w:val="1"/>
                <w:bCs w:val="1"/>
                <w:color w:val="FFFFFF"/>
              </w:rPr>
              <w:t>Capital ratios under Local Regulation</w:t>
            </w:r>
          </w:p>
        </w:tc>
        <w:tc>
          <w:tcPr>
            <w:tcW w:w="1880" w:type="dxa"/>
            <w:vAlign w:val="bottom"/>
            <w:tcBorders>
              <w:right w:val="single" w:sz="8" w:color="auto"/>
            </w:tcBorders>
            <w:shd w:val="clear" w:color="auto" w:fill="2AD2C9"/>
          </w:tcPr>
          <w:p>
            <w:pPr>
              <w:spacing w:after="0"/>
              <w:rPr>
                <w:sz w:val="10"/>
                <w:szCs w:val="10"/>
                <w:color w:val="auto"/>
              </w:rPr>
            </w:pPr>
          </w:p>
        </w:tc>
        <w:tc>
          <w:tcPr>
            <w:tcW w:w="1220" w:type="dxa"/>
            <w:vAlign w:val="bottom"/>
            <w:shd w:val="clear" w:color="auto" w:fill="2AD2C9"/>
          </w:tcPr>
          <w:p>
            <w:pPr>
              <w:spacing w:after="0"/>
              <w:rPr>
                <w:sz w:val="10"/>
                <w:szCs w:val="10"/>
                <w:color w:val="auto"/>
              </w:rPr>
            </w:pPr>
          </w:p>
        </w:tc>
        <w:tc>
          <w:tcPr>
            <w:tcW w:w="1240" w:type="dxa"/>
            <w:vAlign w:val="bottom"/>
            <w:shd w:val="clear" w:color="auto" w:fill="2AD2C9"/>
          </w:tcPr>
          <w:p>
            <w:pPr>
              <w:jc w:val="center"/>
              <w:spacing w:after="0" w:line="123" w:lineRule="exact"/>
              <w:rPr>
                <w:sz w:val="20"/>
                <w:szCs w:val="20"/>
                <w:color w:val="auto"/>
              </w:rPr>
            </w:pPr>
            <w:r>
              <w:rPr>
                <w:rFonts w:ascii="Arial" w:cs="Arial" w:eastAsia="Arial" w:hAnsi="Arial"/>
                <w:sz w:val="13"/>
                <w:szCs w:val="13"/>
                <w:b w:val="1"/>
                <w:bCs w:val="1"/>
                <w:color w:val="FFFFFF"/>
              </w:rPr>
              <w:t>As of</w:t>
            </w:r>
          </w:p>
        </w:tc>
        <w:tc>
          <w:tcPr>
            <w:tcW w:w="1260" w:type="dxa"/>
            <w:vAlign w:val="bottom"/>
            <w:tcBorders>
              <w:right w:val="single" w:sz="8" w:color="auto"/>
            </w:tcBorders>
            <w:shd w:val="clear" w:color="auto" w:fill="2AD2C9"/>
          </w:tcPr>
          <w:p>
            <w:pPr>
              <w:spacing w:after="0"/>
              <w:rPr>
                <w:sz w:val="10"/>
                <w:szCs w:val="10"/>
                <w:color w:val="auto"/>
              </w:rPr>
            </w:pPr>
          </w:p>
        </w:tc>
        <w:tc>
          <w:tcPr>
            <w:tcW w:w="860" w:type="dxa"/>
            <w:vAlign w:val="bottom"/>
            <w:shd w:val="clear" w:color="auto" w:fill="2AD2C9"/>
          </w:tcPr>
          <w:p>
            <w:pPr>
              <w:spacing w:after="0"/>
              <w:rPr>
                <w:sz w:val="10"/>
                <w:szCs w:val="10"/>
                <w:color w:val="auto"/>
              </w:rPr>
            </w:pPr>
          </w:p>
        </w:tc>
        <w:tc>
          <w:tcPr>
            <w:tcW w:w="1620" w:type="dxa"/>
            <w:vAlign w:val="bottom"/>
            <w:tcBorders>
              <w:right w:val="single" w:sz="8" w:color="auto"/>
            </w:tcBorders>
            <w:shd w:val="clear" w:color="auto" w:fill="2AD2C9"/>
          </w:tcPr>
          <w:p>
            <w:pPr>
              <w:ind w:left="40"/>
              <w:spacing w:after="0" w:line="123"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7"/>
        </w:trPr>
        <w:tc>
          <w:tcPr>
            <w:tcW w:w="3200" w:type="dxa"/>
            <w:vAlign w:val="bottom"/>
            <w:tcBorders>
              <w:left w:val="single" w:sz="8" w:color="auto"/>
              <w:bottom w:val="single" w:sz="8" w:color="2AD2C9"/>
            </w:tcBorders>
            <w:vMerge w:val="continue"/>
            <w:shd w:val="clear" w:color="auto" w:fill="2AD2C9"/>
          </w:tcPr>
          <w:p>
            <w:pPr>
              <w:spacing w:after="0"/>
              <w:rPr>
                <w:sz w:val="14"/>
                <w:szCs w:val="14"/>
                <w:color w:val="auto"/>
              </w:rPr>
            </w:pPr>
          </w:p>
        </w:tc>
        <w:tc>
          <w:tcPr>
            <w:tcW w:w="1880" w:type="dxa"/>
            <w:vAlign w:val="bottom"/>
            <w:tcBorders>
              <w:bottom w:val="single" w:sz="8" w:color="2AD2C9"/>
              <w:right w:val="single" w:sz="8" w:color="auto"/>
            </w:tcBorders>
            <w:shd w:val="clear" w:color="auto" w:fill="2AD2C9"/>
          </w:tcPr>
          <w:p>
            <w:pPr>
              <w:spacing w:after="0"/>
              <w:rPr>
                <w:sz w:val="14"/>
                <w:szCs w:val="14"/>
                <w:color w:val="auto"/>
              </w:rPr>
            </w:pPr>
          </w:p>
        </w:tc>
        <w:tc>
          <w:tcPr>
            <w:tcW w:w="1220" w:type="dxa"/>
            <w:vAlign w:val="bottom"/>
            <w:tcBorders>
              <w:bottom w:val="single" w:sz="8" w:color="2AD2C9"/>
            </w:tcBorders>
            <w:shd w:val="clear" w:color="auto" w:fill="2AD2C9"/>
          </w:tcPr>
          <w:p>
            <w:pPr>
              <w:jc w:val="center"/>
              <w:ind w:right="33"/>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2AD2C9"/>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2AD2C9"/>
              <w:right w:val="single" w:sz="8" w:color="auto"/>
            </w:tcBorders>
            <w:shd w:val="clear" w:color="auto" w:fill="2AD2C9"/>
          </w:tcPr>
          <w:p>
            <w:pPr>
              <w:ind w:left="380"/>
              <w:spacing w:after="0"/>
              <w:rPr>
                <w:sz w:val="20"/>
                <w:szCs w:val="20"/>
                <w:color w:val="auto"/>
              </w:rPr>
            </w:pPr>
            <w:r>
              <w:rPr>
                <w:rFonts w:ascii="Arial" w:cs="Arial" w:eastAsia="Arial" w:hAnsi="Arial"/>
                <w:sz w:val="13"/>
                <w:szCs w:val="13"/>
                <w:b w:val="1"/>
                <w:bCs w:val="1"/>
                <w:color w:val="FFFFFF"/>
              </w:rPr>
              <w:t>Dec 25</w:t>
            </w:r>
          </w:p>
        </w:tc>
        <w:tc>
          <w:tcPr>
            <w:tcW w:w="860" w:type="dxa"/>
            <w:vAlign w:val="bottom"/>
            <w:tcBorders>
              <w:bottom w:val="single" w:sz="8" w:color="2AD2C9"/>
            </w:tcBorders>
            <w:shd w:val="clear" w:color="auto" w:fill="2AD2C9"/>
          </w:tcPr>
          <w:p>
            <w:pPr>
              <w:jc w:val="center"/>
              <w:ind w:left="153"/>
              <w:spacing w:after="0"/>
              <w:rPr>
                <w:sz w:val="20"/>
                <w:szCs w:val="20"/>
                <w:color w:val="auto"/>
              </w:rPr>
            </w:pPr>
            <w:r>
              <w:rPr>
                <w:rFonts w:ascii="Arial" w:cs="Arial" w:eastAsia="Arial" w:hAnsi="Arial"/>
                <w:sz w:val="13"/>
                <w:szCs w:val="13"/>
                <w:b w:val="1"/>
                <w:bCs w:val="1"/>
                <w:color w:val="FFFFFF"/>
                <w:w w:val="99"/>
              </w:rPr>
              <w:t>QoQ</w:t>
            </w:r>
          </w:p>
        </w:tc>
        <w:tc>
          <w:tcPr>
            <w:tcW w:w="1620" w:type="dxa"/>
            <w:vAlign w:val="bottom"/>
            <w:tcBorders>
              <w:bottom w:val="single" w:sz="8" w:color="2AD2C9"/>
              <w:right w:val="single" w:sz="8" w:color="auto"/>
            </w:tcBorders>
            <w:shd w:val="clear" w:color="auto" w:fill="2AD2C9"/>
          </w:tcPr>
          <w:p>
            <w:pPr>
              <w:jc w:val="center"/>
              <w:ind w:left="153"/>
              <w:spacing w:after="0"/>
              <w:rPr>
                <w:sz w:val="20"/>
                <w:szCs w:val="20"/>
                <w:color w:val="auto"/>
              </w:rPr>
            </w:pPr>
            <w:r>
              <w:rPr>
                <w:rFonts w:ascii="Arial" w:cs="Arial" w:eastAsia="Arial" w:hAnsi="Arial"/>
                <w:sz w:val="13"/>
                <w:szCs w:val="13"/>
                <w:b w:val="1"/>
                <w:bCs w:val="1"/>
                <w:color w:val="FFFFFF"/>
                <w:w w:val="94"/>
              </w:rPr>
              <w:t>YoY</w:t>
            </w:r>
          </w:p>
        </w:tc>
        <w:tc>
          <w:tcPr>
            <w:tcW w:w="0" w:type="dxa"/>
            <w:vAlign w:val="bottom"/>
          </w:tcPr>
          <w:p>
            <w:pPr>
              <w:spacing w:after="0"/>
              <w:rPr>
                <w:sz w:val="1"/>
                <w:szCs w:val="1"/>
                <w:color w:val="auto"/>
              </w:rPr>
            </w:pPr>
          </w:p>
        </w:tc>
      </w:tr>
      <w:tr>
        <w:trPr>
          <w:trHeight w:val="123"/>
        </w:trPr>
        <w:tc>
          <w:tcPr>
            <w:tcW w:w="3200" w:type="dxa"/>
            <w:vAlign w:val="bottom"/>
            <w:tcBorders>
              <w:top w:val="single" w:sz="8" w:color="auto"/>
              <w:left w:val="single" w:sz="8" w:color="auto"/>
            </w:tcBorders>
          </w:tcPr>
          <w:p>
            <w:pPr>
              <w:spacing w:after="0" w:line="123" w:lineRule="exact"/>
              <w:rPr>
                <w:sz w:val="20"/>
                <w:szCs w:val="20"/>
                <w:color w:val="auto"/>
              </w:rPr>
            </w:pPr>
            <w:r>
              <w:rPr>
                <w:rFonts w:ascii="Arial" w:cs="Arial" w:eastAsia="Arial" w:hAnsi="Arial"/>
                <w:sz w:val="13"/>
                <w:szCs w:val="13"/>
                <w:b w:val="1"/>
                <w:bCs w:val="1"/>
                <w:color w:val="auto"/>
              </w:rPr>
              <w:t>Common Equity Tier 1 Ratio</w:t>
            </w:r>
          </w:p>
        </w:tc>
        <w:tc>
          <w:tcPr>
            <w:tcW w:w="1880" w:type="dxa"/>
            <w:vAlign w:val="bottom"/>
            <w:tcBorders>
              <w:top w:val="single" w:sz="8" w:color="auto"/>
              <w:right w:val="single" w:sz="8" w:color="auto"/>
            </w:tcBorders>
          </w:tcPr>
          <w:p>
            <w:pPr>
              <w:spacing w:after="0"/>
              <w:rPr>
                <w:sz w:val="10"/>
                <w:szCs w:val="10"/>
                <w:color w:val="auto"/>
              </w:rPr>
            </w:pPr>
          </w:p>
        </w:tc>
        <w:tc>
          <w:tcPr>
            <w:tcW w:w="122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3"/>
                <w:szCs w:val="13"/>
                <w:color w:val="auto"/>
              </w:rPr>
              <w:t>17.07%</w:t>
            </w:r>
          </w:p>
        </w:tc>
        <w:tc>
          <w:tcPr>
            <w:tcW w:w="12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color w:val="auto"/>
              </w:rPr>
              <w:t>17.13%</w:t>
            </w:r>
          </w:p>
        </w:tc>
        <w:tc>
          <w:tcPr>
            <w:tcW w:w="1260" w:type="dxa"/>
            <w:vAlign w:val="bottom"/>
            <w:tcBorders>
              <w:top w:val="single" w:sz="8" w:color="auto"/>
              <w:right w:val="single" w:sz="8" w:color="auto"/>
            </w:tcBorders>
          </w:tcPr>
          <w:p>
            <w:pPr>
              <w:ind w:left="360"/>
              <w:spacing w:after="0" w:line="123" w:lineRule="exact"/>
              <w:rPr>
                <w:sz w:val="20"/>
                <w:szCs w:val="20"/>
                <w:color w:val="auto"/>
              </w:rPr>
            </w:pPr>
            <w:r>
              <w:rPr>
                <w:rFonts w:ascii="Arial" w:cs="Arial" w:eastAsia="Arial" w:hAnsi="Arial"/>
                <w:sz w:val="13"/>
                <w:szCs w:val="13"/>
                <w:color w:val="auto"/>
              </w:rPr>
              <w:t>17.41%</w:t>
            </w:r>
          </w:p>
        </w:tc>
        <w:tc>
          <w:tcPr>
            <w:tcW w:w="860" w:type="dxa"/>
            <w:vAlign w:val="bottom"/>
            <w:tcBorders>
              <w:top w:val="single" w:sz="8" w:color="auto"/>
            </w:tcBorders>
          </w:tcPr>
          <w:p>
            <w:pPr>
              <w:jc w:val="center"/>
              <w:ind w:left="153"/>
              <w:spacing w:after="0" w:line="123" w:lineRule="exact"/>
              <w:rPr>
                <w:sz w:val="20"/>
                <w:szCs w:val="20"/>
                <w:color w:val="auto"/>
              </w:rPr>
            </w:pPr>
            <w:r>
              <w:rPr>
                <w:rFonts w:ascii="Arial" w:cs="Arial" w:eastAsia="Arial" w:hAnsi="Arial"/>
                <w:sz w:val="13"/>
                <w:szCs w:val="13"/>
                <w:color w:val="auto"/>
              </w:rPr>
              <w:t>28 bps</w:t>
            </w:r>
          </w:p>
        </w:tc>
        <w:tc>
          <w:tcPr>
            <w:tcW w:w="1620" w:type="dxa"/>
            <w:vAlign w:val="bottom"/>
            <w:tcBorders>
              <w:top w:val="single" w:sz="8" w:color="auto"/>
              <w:right w:val="single" w:sz="8" w:color="auto"/>
            </w:tcBorders>
          </w:tcPr>
          <w:p>
            <w:pPr>
              <w:jc w:val="center"/>
              <w:ind w:left="153"/>
              <w:spacing w:after="0" w:line="123" w:lineRule="exact"/>
              <w:rPr>
                <w:sz w:val="20"/>
                <w:szCs w:val="20"/>
                <w:color w:val="auto"/>
              </w:rPr>
            </w:pPr>
            <w:r>
              <w:rPr>
                <w:rFonts w:ascii="Arial" w:cs="Arial" w:eastAsia="Arial" w:hAnsi="Arial"/>
                <w:sz w:val="13"/>
                <w:szCs w:val="13"/>
                <w:color w:val="auto"/>
              </w:rPr>
              <w:t>34 bps</w:t>
            </w:r>
          </w:p>
        </w:tc>
        <w:tc>
          <w:tcPr>
            <w:tcW w:w="0" w:type="dxa"/>
            <w:vAlign w:val="bottom"/>
          </w:tcPr>
          <w:p>
            <w:pPr>
              <w:spacing w:after="0"/>
              <w:rPr>
                <w:sz w:val="1"/>
                <w:szCs w:val="1"/>
                <w:color w:val="auto"/>
              </w:rPr>
            </w:pPr>
          </w:p>
        </w:tc>
      </w:tr>
      <w:tr>
        <w:trPr>
          <w:trHeight w:val="148"/>
        </w:trPr>
        <w:tc>
          <w:tcPr>
            <w:tcW w:w="3200" w:type="dxa"/>
            <w:vAlign w:val="bottom"/>
            <w:tcBorders>
              <w:left w:val="single" w:sz="8" w:color="auto"/>
            </w:tcBorders>
          </w:tcPr>
          <w:p>
            <w:pPr>
              <w:spacing w:after="0"/>
              <w:rPr>
                <w:sz w:val="20"/>
                <w:szCs w:val="20"/>
                <w:color w:val="auto"/>
              </w:rPr>
            </w:pPr>
            <w:r>
              <w:rPr>
                <w:rFonts w:ascii="Arial" w:cs="Arial" w:eastAsia="Arial" w:hAnsi="Arial"/>
                <w:sz w:val="13"/>
                <w:szCs w:val="13"/>
                <w:b w:val="1"/>
                <w:bCs w:val="1"/>
                <w:color w:val="auto"/>
              </w:rPr>
              <w:t>Tier 1 Capital ratio</w:t>
            </w:r>
          </w:p>
        </w:tc>
        <w:tc>
          <w:tcPr>
            <w:tcW w:w="1880" w:type="dxa"/>
            <w:vAlign w:val="bottom"/>
            <w:tcBorders>
              <w:right w:val="single" w:sz="8" w:color="auto"/>
            </w:tcBorders>
          </w:tcPr>
          <w:p>
            <w:pPr>
              <w:spacing w:after="0"/>
              <w:rPr>
                <w:sz w:val="12"/>
                <w:szCs w:val="12"/>
                <w:color w:val="auto"/>
              </w:rPr>
            </w:pPr>
          </w:p>
        </w:tc>
        <w:tc>
          <w:tcPr>
            <w:tcW w:w="1220" w:type="dxa"/>
            <w:vAlign w:val="bottom"/>
          </w:tcPr>
          <w:p>
            <w:pPr>
              <w:jc w:val="center"/>
              <w:ind w:right="13"/>
              <w:spacing w:after="0"/>
              <w:rPr>
                <w:sz w:val="20"/>
                <w:szCs w:val="20"/>
                <w:color w:val="auto"/>
              </w:rPr>
            </w:pPr>
            <w:r>
              <w:rPr>
                <w:rFonts w:ascii="Arial" w:cs="Arial" w:eastAsia="Arial" w:hAnsi="Arial"/>
                <w:sz w:val="13"/>
                <w:szCs w:val="13"/>
                <w:color w:val="auto"/>
              </w:rPr>
              <w:t>17.07%</w:t>
            </w:r>
          </w:p>
        </w:tc>
        <w:tc>
          <w:tcPr>
            <w:tcW w:w="1240" w:type="dxa"/>
            <w:vAlign w:val="bottom"/>
          </w:tcPr>
          <w:p>
            <w:pPr>
              <w:jc w:val="center"/>
              <w:spacing w:after="0"/>
              <w:rPr>
                <w:sz w:val="20"/>
                <w:szCs w:val="20"/>
                <w:color w:val="auto"/>
              </w:rPr>
            </w:pPr>
            <w:r>
              <w:rPr>
                <w:rFonts w:ascii="Arial" w:cs="Arial" w:eastAsia="Arial" w:hAnsi="Arial"/>
                <w:sz w:val="13"/>
                <w:szCs w:val="13"/>
                <w:color w:val="auto"/>
              </w:rPr>
              <w:t>17.13%</w:t>
            </w:r>
          </w:p>
        </w:tc>
        <w:tc>
          <w:tcPr>
            <w:tcW w:w="1260" w:type="dxa"/>
            <w:vAlign w:val="bottom"/>
            <w:tcBorders>
              <w:right w:val="single" w:sz="8" w:color="auto"/>
            </w:tcBorders>
          </w:tcPr>
          <w:p>
            <w:pPr>
              <w:ind w:left="360"/>
              <w:spacing w:after="0"/>
              <w:rPr>
                <w:sz w:val="20"/>
                <w:szCs w:val="20"/>
                <w:color w:val="auto"/>
              </w:rPr>
            </w:pPr>
            <w:r>
              <w:rPr>
                <w:rFonts w:ascii="Arial" w:cs="Arial" w:eastAsia="Arial" w:hAnsi="Arial"/>
                <w:sz w:val="13"/>
                <w:szCs w:val="13"/>
                <w:color w:val="auto"/>
              </w:rPr>
              <w:t>17.41%</w:t>
            </w:r>
          </w:p>
        </w:tc>
        <w:tc>
          <w:tcPr>
            <w:tcW w:w="860" w:type="dxa"/>
            <w:vAlign w:val="bottom"/>
          </w:tcPr>
          <w:p>
            <w:pPr>
              <w:jc w:val="center"/>
              <w:ind w:left="153"/>
              <w:spacing w:after="0"/>
              <w:rPr>
                <w:sz w:val="20"/>
                <w:szCs w:val="20"/>
                <w:color w:val="auto"/>
              </w:rPr>
            </w:pPr>
            <w:r>
              <w:rPr>
                <w:rFonts w:ascii="Arial" w:cs="Arial" w:eastAsia="Arial" w:hAnsi="Arial"/>
                <w:sz w:val="13"/>
                <w:szCs w:val="13"/>
                <w:color w:val="auto"/>
              </w:rPr>
              <w:t>28 bps</w:t>
            </w:r>
          </w:p>
        </w:tc>
        <w:tc>
          <w:tcPr>
            <w:tcW w:w="1620" w:type="dxa"/>
            <w:vAlign w:val="bottom"/>
            <w:tcBorders>
              <w:right w:val="single" w:sz="8" w:color="auto"/>
            </w:tcBorders>
          </w:tcPr>
          <w:p>
            <w:pPr>
              <w:jc w:val="center"/>
              <w:ind w:left="153"/>
              <w:spacing w:after="0"/>
              <w:rPr>
                <w:sz w:val="20"/>
                <w:szCs w:val="20"/>
                <w:color w:val="auto"/>
              </w:rPr>
            </w:pPr>
            <w:r>
              <w:rPr>
                <w:rFonts w:ascii="Arial" w:cs="Arial" w:eastAsia="Arial" w:hAnsi="Arial"/>
                <w:sz w:val="13"/>
                <w:szCs w:val="13"/>
                <w:color w:val="auto"/>
              </w:rPr>
              <w:t>34 bps</w:t>
            </w:r>
          </w:p>
        </w:tc>
        <w:tc>
          <w:tcPr>
            <w:tcW w:w="0" w:type="dxa"/>
            <w:vAlign w:val="bottom"/>
          </w:tcPr>
          <w:p>
            <w:pPr>
              <w:spacing w:after="0"/>
              <w:rPr>
                <w:sz w:val="1"/>
                <w:szCs w:val="1"/>
                <w:color w:val="auto"/>
              </w:rPr>
            </w:pPr>
          </w:p>
        </w:tc>
      </w:tr>
      <w:tr>
        <w:trPr>
          <w:trHeight w:val="167"/>
        </w:trPr>
        <w:tc>
          <w:tcPr>
            <w:tcW w:w="3200" w:type="dxa"/>
            <w:vAlign w:val="bottom"/>
            <w:tcBorders>
              <w:left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Regulatory Global Capital Ratio</w:t>
            </w:r>
          </w:p>
        </w:tc>
        <w:tc>
          <w:tcPr>
            <w:tcW w:w="188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color w:val="auto"/>
              </w:rPr>
              <w:t>19.42%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21.13%</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color w:val="auto"/>
              </w:rPr>
              <w:t>21.25%</w:t>
            </w:r>
          </w:p>
        </w:tc>
        <w:tc>
          <w:tcPr>
            <w:tcW w:w="86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rPr>
              <w:t>12 bps</w:t>
            </w:r>
          </w:p>
        </w:tc>
        <w:tc>
          <w:tcPr>
            <w:tcW w:w="1620" w:type="dxa"/>
            <w:vAlign w:val="bottom"/>
            <w:tcBorders>
              <w:bottom w:val="single" w:sz="8" w:color="auto"/>
              <w:right w:val="single" w:sz="8" w:color="auto"/>
            </w:tcBorders>
          </w:tcPr>
          <w:p>
            <w:pPr>
              <w:jc w:val="center"/>
              <w:ind w:left="153"/>
              <w:spacing w:after="0"/>
              <w:rPr>
                <w:sz w:val="20"/>
                <w:szCs w:val="20"/>
                <w:color w:val="auto"/>
              </w:rPr>
            </w:pPr>
            <w:r>
              <w:rPr>
                <w:rFonts w:ascii="Arial" w:cs="Arial" w:eastAsia="Arial" w:hAnsi="Arial"/>
                <w:sz w:val="13"/>
                <w:szCs w:val="13"/>
                <w:color w:val="auto"/>
              </w:rPr>
              <w:t>183 bps</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280" w:hanging="153"/>
        <w:spacing w:after="0"/>
        <w:tabs>
          <w:tab w:leader="none" w:pos="1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Up to 1.25% of total risk-weighted assets.</w:t>
      </w:r>
    </w:p>
    <w:p>
      <w:pPr>
        <w:spacing w:after="0" w:line="11" w:lineRule="exact"/>
        <w:rPr>
          <w:rFonts w:ascii="Arial" w:cs="Arial" w:eastAsia="Arial" w:hAnsi="Arial"/>
          <w:sz w:val="12"/>
          <w:szCs w:val="12"/>
          <w:color w:val="auto"/>
        </w:rPr>
      </w:pPr>
    </w:p>
    <w:p>
      <w:pPr>
        <w:ind w:left="1120" w:right="20" w:firstLine="7"/>
        <w:spacing w:after="0" w:line="234" w:lineRule="auto"/>
        <w:tabs>
          <w:tab w:leader="none" w:pos="1282" w:val="left"/>
        </w:tabs>
        <w:numPr>
          <w:ilvl w:val="0"/>
          <w:numId w:val="58"/>
        </w:numPr>
        <w:rPr>
          <w:rFonts w:ascii="Arial" w:cs="Arial" w:eastAsia="Arial" w:hAnsi="Arial"/>
          <w:sz w:val="12"/>
          <w:szCs w:val="12"/>
          <w:color w:val="auto"/>
        </w:rPr>
      </w:pPr>
      <w:r>
        <w:rPr>
          <w:rFonts w:ascii="Arial" w:cs="Arial" w:eastAsia="Arial" w:hAnsi="Arial"/>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1280" w:hanging="153"/>
        <w:spacing w:after="0" w:line="234" w:lineRule="auto"/>
        <w:tabs>
          <w:tab w:leader="none" w:pos="1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Regulatory Tier 1 Capital = Common Equity Tier 1 + Tier 1 Subordinated Debt (Perpetual).</w:t>
      </w:r>
    </w:p>
    <w:p>
      <w:pPr>
        <w:ind w:left="1280" w:hanging="153"/>
        <w:spacing w:after="0"/>
        <w:tabs>
          <w:tab w:leader="none" w:pos="1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819785</wp:posOffset>
            </wp:positionV>
            <wp:extent cx="71577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116840</wp:posOffset>
            </wp:positionV>
            <wp:extent cx="6789420" cy="6000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89420" cy="60007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0" w:name="page61"/>
    <w:bookmarkEnd w:id="60"/>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IFRS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5080" w:type="dxa"/>
            <w:vAlign w:val="bottom"/>
            <w:tcBorders>
              <w:top w:val="single" w:sz="8" w:color="auto"/>
              <w:left w:val="single" w:sz="8" w:color="auto"/>
              <w:right w:val="single" w:sz="8" w:color="auto"/>
            </w:tcBorders>
            <w:shd w:val="clear" w:color="auto" w:fill="2AD2C9"/>
          </w:tcPr>
          <w:p>
            <w:pPr>
              <w:spacing w:after="0" w:line="144" w:lineRule="exact"/>
              <w:rPr>
                <w:sz w:val="20"/>
                <w:szCs w:val="20"/>
                <w:color w:val="auto"/>
              </w:rPr>
            </w:pPr>
            <w:r>
              <w:rPr>
                <w:rFonts w:ascii="Arial" w:cs="Arial" w:eastAsia="Arial" w:hAnsi="Arial"/>
                <w:sz w:val="13"/>
                <w:szCs w:val="13"/>
                <w:b w:val="1"/>
                <w:bCs w:val="1"/>
                <w:color w:val="FFFFFF"/>
              </w:rPr>
              <w:t>Common Equity Tier 1 IFRS</w:t>
            </w:r>
          </w:p>
        </w:tc>
        <w:tc>
          <w:tcPr>
            <w:tcW w:w="1220" w:type="dxa"/>
            <w:vAlign w:val="bottom"/>
            <w:tcBorders>
              <w:top w:val="single" w:sz="8" w:color="auto"/>
            </w:tcBorders>
            <w:shd w:val="clear" w:color="auto" w:fill="2AD2C9"/>
          </w:tcPr>
          <w:p>
            <w:pPr>
              <w:spacing w:after="0"/>
              <w:rPr>
                <w:sz w:val="12"/>
                <w:szCs w:val="12"/>
                <w:color w:val="auto"/>
              </w:rPr>
            </w:pPr>
          </w:p>
        </w:tc>
        <w:tc>
          <w:tcPr>
            <w:tcW w:w="1240" w:type="dxa"/>
            <w:vAlign w:val="bottom"/>
            <w:tcBorders>
              <w:top w:val="single" w:sz="8" w:color="auto"/>
            </w:tcBorders>
            <w:shd w:val="clear" w:color="auto" w:fill="2AD2C9"/>
          </w:tcPr>
          <w:p>
            <w:pPr>
              <w:jc w:val="center"/>
              <w:spacing w:after="0" w:line="144" w:lineRule="exact"/>
              <w:rPr>
                <w:sz w:val="20"/>
                <w:szCs w:val="20"/>
                <w:color w:val="auto"/>
              </w:rPr>
            </w:pPr>
            <w:r>
              <w:rPr>
                <w:rFonts w:ascii="Arial" w:cs="Arial" w:eastAsia="Arial" w:hAnsi="Arial"/>
                <w:sz w:val="13"/>
                <w:szCs w:val="13"/>
                <w:b w:val="1"/>
                <w:bCs w:val="1"/>
                <w:color w:val="FFFFFF"/>
              </w:rPr>
              <w:t>As of</w:t>
            </w:r>
          </w:p>
        </w:tc>
        <w:tc>
          <w:tcPr>
            <w:tcW w:w="1260" w:type="dxa"/>
            <w:vAlign w:val="bottom"/>
            <w:tcBorders>
              <w:top w:val="single" w:sz="8" w:color="auto"/>
              <w:right w:val="single" w:sz="8" w:color="auto"/>
            </w:tcBorders>
            <w:shd w:val="clear" w:color="auto" w:fill="2AD2C9"/>
          </w:tcPr>
          <w:p>
            <w:pPr>
              <w:spacing w:after="0"/>
              <w:rPr>
                <w:sz w:val="12"/>
                <w:szCs w:val="12"/>
                <w:color w:val="auto"/>
              </w:rPr>
            </w:pPr>
          </w:p>
        </w:tc>
        <w:tc>
          <w:tcPr>
            <w:tcW w:w="880" w:type="dxa"/>
            <w:vAlign w:val="bottom"/>
            <w:tcBorders>
              <w:top w:val="single" w:sz="8" w:color="auto"/>
            </w:tcBorders>
            <w:shd w:val="clear" w:color="auto" w:fill="2AD2C9"/>
          </w:tcPr>
          <w:p>
            <w:pPr>
              <w:spacing w:after="0"/>
              <w:rPr>
                <w:sz w:val="12"/>
                <w:szCs w:val="12"/>
                <w:color w:val="auto"/>
              </w:rPr>
            </w:pPr>
          </w:p>
        </w:tc>
        <w:tc>
          <w:tcPr>
            <w:tcW w:w="1600" w:type="dxa"/>
            <w:vAlign w:val="bottom"/>
            <w:tcBorders>
              <w:top w:val="single" w:sz="8" w:color="auto"/>
              <w:right w:val="single" w:sz="8" w:color="auto"/>
            </w:tcBorders>
            <w:shd w:val="clear" w:color="auto" w:fill="2AD2C9"/>
          </w:tcPr>
          <w:p>
            <w:pPr>
              <w:ind w:left="20"/>
              <w:spacing w:after="0" w:line="144" w:lineRule="exact"/>
              <w:rPr>
                <w:sz w:val="20"/>
                <w:szCs w:val="20"/>
                <w:color w:val="auto"/>
              </w:rPr>
            </w:pPr>
            <w:r>
              <w:rPr>
                <w:rFonts w:ascii="Arial" w:cs="Arial" w:eastAsia="Arial" w:hAnsi="Arial"/>
                <w:sz w:val="13"/>
                <w:szCs w:val="13"/>
                <w:b w:val="1"/>
                <w:bCs w:val="1"/>
                <w:color w:val="FFFFFF"/>
              </w:rPr>
              <w:t>% Change</w:t>
            </w:r>
          </w:p>
        </w:tc>
      </w:tr>
      <w:tr>
        <w:trPr>
          <w:trHeight w:val="167"/>
        </w:trPr>
        <w:tc>
          <w:tcPr>
            <w:tcW w:w="5080" w:type="dxa"/>
            <w:vAlign w:val="bottom"/>
            <w:tcBorders>
              <w:left w:val="single" w:sz="8" w:color="auto"/>
              <w:bottom w:val="single" w:sz="8" w:color="auto"/>
              <w:right w:val="single" w:sz="8" w:color="auto"/>
            </w:tcBorders>
            <w:shd w:val="clear" w:color="auto" w:fill="2AD2C9"/>
          </w:tcPr>
          <w:p>
            <w:pPr>
              <w:spacing w:after="0"/>
              <w:rPr>
                <w:sz w:val="20"/>
                <w:szCs w:val="20"/>
                <w:color w:val="auto"/>
              </w:rPr>
            </w:pPr>
            <w:r>
              <w:rPr>
                <w:rFonts w:ascii="Arial" w:cs="Arial" w:eastAsia="Arial" w:hAnsi="Arial"/>
                <w:sz w:val="13"/>
                <w:szCs w:val="13"/>
                <w:color w:val="FFFFFF"/>
              </w:rPr>
              <w:t>(S/ thousand)</w:t>
            </w: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880" w:type="dxa"/>
            <w:vAlign w:val="bottom"/>
            <w:tcBorders>
              <w:bottom w:val="single" w:sz="8" w:color="auto"/>
            </w:tcBorders>
            <w:shd w:val="clear" w:color="auto" w:fill="2AD2C9"/>
          </w:tcPr>
          <w:p>
            <w:pPr>
              <w:jc w:val="center"/>
              <w:ind w:left="273"/>
              <w:spacing w:after="0"/>
              <w:rPr>
                <w:sz w:val="20"/>
                <w:szCs w:val="20"/>
                <w:color w:val="auto"/>
              </w:rPr>
            </w:pPr>
            <w:r>
              <w:rPr>
                <w:rFonts w:ascii="Arial" w:cs="Arial" w:eastAsia="Arial" w:hAnsi="Arial"/>
                <w:sz w:val="13"/>
                <w:szCs w:val="13"/>
                <w:b w:val="1"/>
                <w:bCs w:val="1"/>
                <w:color w:val="FFFFFF"/>
              </w:rPr>
              <w:t>QoQ</w:t>
            </w:r>
          </w:p>
        </w:tc>
        <w:tc>
          <w:tcPr>
            <w:tcW w:w="1600" w:type="dxa"/>
            <w:vAlign w:val="bottom"/>
            <w:tcBorders>
              <w:bottom w:val="single" w:sz="8" w:color="auto"/>
              <w:right w:val="single" w:sz="8" w:color="auto"/>
            </w:tcBorders>
            <w:shd w:val="clear" w:color="auto" w:fill="2AD2C9"/>
          </w:tcPr>
          <w:p>
            <w:pPr>
              <w:jc w:val="center"/>
              <w:ind w:left="233"/>
              <w:spacing w:after="0"/>
              <w:rPr>
                <w:sz w:val="20"/>
                <w:szCs w:val="20"/>
                <w:color w:val="auto"/>
              </w:rPr>
            </w:pPr>
            <w:r>
              <w:rPr>
                <w:rFonts w:ascii="Arial" w:cs="Arial" w:eastAsia="Arial" w:hAnsi="Arial"/>
                <w:sz w:val="13"/>
                <w:szCs w:val="13"/>
                <w:b w:val="1"/>
                <w:bCs w:val="1"/>
                <w:color w:val="FFFFFF"/>
              </w:rPr>
              <w:t>YoY</w:t>
            </w:r>
          </w:p>
        </w:tc>
      </w:tr>
      <w:tr>
        <w:trPr>
          <w:trHeight w:val="125"/>
        </w:trPr>
        <w:tc>
          <w:tcPr>
            <w:tcW w:w="5080" w:type="dxa"/>
            <w:vAlign w:val="bottom"/>
            <w:tcBorders>
              <w:left w:val="single" w:sz="8" w:color="auto"/>
              <w:right w:val="single" w:sz="8" w:color="auto"/>
            </w:tcBorders>
          </w:tcPr>
          <w:p>
            <w:pPr>
              <w:ind w:left="160"/>
              <w:spacing w:after="0" w:line="126" w:lineRule="exact"/>
              <w:rPr>
                <w:sz w:val="20"/>
                <w:szCs w:val="20"/>
                <w:color w:val="auto"/>
              </w:rPr>
            </w:pPr>
            <w:r>
              <w:rPr>
                <w:rFonts w:ascii="Arial" w:cs="Arial" w:eastAsia="Arial" w:hAnsi="Arial"/>
                <w:sz w:val="13"/>
                <w:szCs w:val="13"/>
                <w:color w:val="auto"/>
              </w:rPr>
              <w:t>Capital and reserves</w:t>
            </w: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18,585,234</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18,586,384</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18,586,384</w:t>
            </w:r>
          </w:p>
        </w:tc>
        <w:tc>
          <w:tcPr>
            <w:tcW w:w="880" w:type="dxa"/>
            <w:vAlign w:val="bottom"/>
          </w:tcPr>
          <w:p>
            <w:pPr>
              <w:jc w:val="center"/>
              <w:ind w:left="273"/>
              <w:spacing w:after="0" w:line="126" w:lineRule="exact"/>
              <w:rPr>
                <w:sz w:val="20"/>
                <w:szCs w:val="20"/>
                <w:color w:val="auto"/>
              </w:rPr>
            </w:pPr>
            <w:r>
              <w:rPr>
                <w:rFonts w:ascii="Arial" w:cs="Arial" w:eastAsia="Arial" w:hAnsi="Arial"/>
                <w:sz w:val="13"/>
                <w:szCs w:val="13"/>
                <w:color w:val="auto"/>
              </w:rPr>
              <w:t>0.0%</w:t>
            </w:r>
          </w:p>
        </w:tc>
        <w:tc>
          <w:tcPr>
            <w:tcW w:w="1600" w:type="dxa"/>
            <w:vAlign w:val="bottom"/>
            <w:tcBorders>
              <w:right w:val="single" w:sz="8" w:color="auto"/>
            </w:tcBorders>
          </w:tcPr>
          <w:p>
            <w:pPr>
              <w:jc w:val="center"/>
              <w:ind w:left="233"/>
              <w:spacing w:after="0" w:line="126" w:lineRule="exact"/>
              <w:rPr>
                <w:sz w:val="20"/>
                <w:szCs w:val="20"/>
                <w:color w:val="auto"/>
              </w:rPr>
            </w:pPr>
            <w:r>
              <w:rPr>
                <w:rFonts w:ascii="Arial" w:cs="Arial" w:eastAsia="Arial" w:hAnsi="Arial"/>
                <w:sz w:val="13"/>
                <w:szCs w:val="13"/>
                <w:color w:val="auto"/>
              </w:rPr>
              <w:t>0.0%</w:t>
            </w:r>
          </w:p>
        </w:tc>
      </w:tr>
      <w:tr>
        <w:trPr>
          <w:trHeight w:val="148"/>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Retained earnings</w:t>
            </w:r>
          </w:p>
        </w:tc>
        <w:tc>
          <w:tcPr>
            <w:tcW w:w="1220" w:type="dxa"/>
            <w:vAlign w:val="bottom"/>
          </w:tcPr>
          <w:p>
            <w:pPr>
              <w:jc w:val="center"/>
              <w:spacing w:after="0"/>
              <w:rPr>
                <w:sz w:val="20"/>
                <w:szCs w:val="20"/>
                <w:color w:val="auto"/>
              </w:rPr>
            </w:pPr>
            <w:r>
              <w:rPr>
                <w:rFonts w:ascii="Arial" w:cs="Arial" w:eastAsia="Arial" w:hAnsi="Arial"/>
                <w:sz w:val="13"/>
                <w:szCs w:val="13"/>
                <w:color w:val="auto"/>
              </w:rPr>
              <w:t>7,345,245</w:t>
            </w:r>
          </w:p>
        </w:tc>
        <w:tc>
          <w:tcPr>
            <w:tcW w:w="1240" w:type="dxa"/>
            <w:vAlign w:val="bottom"/>
          </w:tcPr>
          <w:p>
            <w:pPr>
              <w:jc w:val="center"/>
              <w:spacing w:after="0"/>
              <w:rPr>
                <w:sz w:val="20"/>
                <w:szCs w:val="20"/>
                <w:color w:val="auto"/>
              </w:rPr>
            </w:pPr>
            <w:r>
              <w:rPr>
                <w:rFonts w:ascii="Arial" w:cs="Arial" w:eastAsia="Arial" w:hAnsi="Arial"/>
                <w:sz w:val="13"/>
                <w:szCs w:val="13"/>
                <w:color w:val="auto"/>
              </w:rPr>
              <w:t>7,524,062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9,077,924</w:t>
            </w:r>
          </w:p>
        </w:tc>
        <w:tc>
          <w:tcPr>
            <w:tcW w:w="880" w:type="dxa"/>
            <w:vAlign w:val="bottom"/>
          </w:tcPr>
          <w:p>
            <w:pPr>
              <w:jc w:val="center"/>
              <w:ind w:left="273"/>
              <w:spacing w:after="0"/>
              <w:rPr>
                <w:sz w:val="20"/>
                <w:szCs w:val="20"/>
                <w:color w:val="auto"/>
              </w:rPr>
            </w:pPr>
            <w:r>
              <w:rPr>
                <w:rFonts w:ascii="Arial" w:cs="Arial" w:eastAsia="Arial" w:hAnsi="Arial"/>
                <w:sz w:val="13"/>
                <w:szCs w:val="13"/>
                <w:color w:val="auto"/>
              </w:rPr>
              <w:t>20.7%</w:t>
            </w:r>
          </w:p>
        </w:tc>
        <w:tc>
          <w:tcPr>
            <w:tcW w:w="160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23.6%</w:t>
            </w:r>
          </w:p>
        </w:tc>
      </w:tr>
      <w:tr>
        <w:trPr>
          <w:trHeight w:val="149"/>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Unrealized gains (losses)</w:t>
            </w:r>
          </w:p>
        </w:tc>
        <w:tc>
          <w:tcPr>
            <w:tcW w:w="1220" w:type="dxa"/>
            <w:vAlign w:val="bottom"/>
          </w:tcPr>
          <w:p>
            <w:pPr>
              <w:jc w:val="center"/>
              <w:spacing w:after="0"/>
              <w:rPr>
                <w:sz w:val="20"/>
                <w:szCs w:val="20"/>
                <w:color w:val="auto"/>
              </w:rPr>
            </w:pPr>
            <w:r>
              <w:rPr>
                <w:rFonts w:ascii="Arial" w:cs="Arial" w:eastAsia="Arial" w:hAnsi="Arial"/>
                <w:sz w:val="13"/>
                <w:szCs w:val="13"/>
                <w:color w:val="auto"/>
              </w:rPr>
              <w:t>81,399</w:t>
            </w:r>
          </w:p>
        </w:tc>
        <w:tc>
          <w:tcPr>
            <w:tcW w:w="1240" w:type="dxa"/>
            <w:vAlign w:val="bottom"/>
          </w:tcPr>
          <w:p>
            <w:pPr>
              <w:jc w:val="center"/>
              <w:spacing w:after="0"/>
              <w:rPr>
                <w:sz w:val="20"/>
                <w:szCs w:val="20"/>
                <w:color w:val="auto"/>
              </w:rPr>
            </w:pPr>
            <w:r>
              <w:rPr>
                <w:rFonts w:ascii="Arial" w:cs="Arial" w:eastAsia="Arial" w:hAnsi="Arial"/>
                <w:sz w:val="13"/>
                <w:szCs w:val="13"/>
                <w:color w:val="auto"/>
              </w:rPr>
              <w:t>505,339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636,199</w:t>
            </w:r>
          </w:p>
        </w:tc>
        <w:tc>
          <w:tcPr>
            <w:tcW w:w="880" w:type="dxa"/>
            <w:vAlign w:val="bottom"/>
          </w:tcPr>
          <w:p>
            <w:pPr>
              <w:jc w:val="center"/>
              <w:ind w:left="273"/>
              <w:spacing w:after="0"/>
              <w:rPr>
                <w:sz w:val="20"/>
                <w:szCs w:val="20"/>
                <w:color w:val="auto"/>
              </w:rPr>
            </w:pPr>
            <w:r>
              <w:rPr>
                <w:rFonts w:ascii="Arial" w:cs="Arial" w:eastAsia="Arial" w:hAnsi="Arial"/>
                <w:sz w:val="13"/>
                <w:szCs w:val="13"/>
                <w:color w:val="auto"/>
              </w:rPr>
              <w:t>25.9%</w:t>
            </w:r>
          </w:p>
        </w:tc>
        <w:tc>
          <w:tcPr>
            <w:tcW w:w="160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681.6%</w:t>
            </w:r>
          </w:p>
        </w:tc>
      </w:tr>
      <w:tr>
        <w:trPr>
          <w:trHeight w:val="148"/>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Goodwill and intangibles</w:t>
            </w:r>
          </w:p>
        </w:tc>
        <w:tc>
          <w:tcPr>
            <w:tcW w:w="1220" w:type="dxa"/>
            <w:vAlign w:val="bottom"/>
          </w:tcPr>
          <w:p>
            <w:pPr>
              <w:jc w:val="center"/>
              <w:spacing w:after="0"/>
              <w:rPr>
                <w:sz w:val="20"/>
                <w:szCs w:val="20"/>
                <w:color w:val="auto"/>
              </w:rPr>
            </w:pPr>
            <w:r>
              <w:rPr>
                <w:rFonts w:ascii="Arial" w:cs="Arial" w:eastAsia="Arial" w:hAnsi="Arial"/>
                <w:sz w:val="13"/>
                <w:szCs w:val="13"/>
                <w:color w:val="auto"/>
              </w:rPr>
              <w:t>(1,741,267)</w:t>
            </w:r>
          </w:p>
        </w:tc>
        <w:tc>
          <w:tcPr>
            <w:tcW w:w="1240" w:type="dxa"/>
            <w:vAlign w:val="bottom"/>
          </w:tcPr>
          <w:p>
            <w:pPr>
              <w:jc w:val="center"/>
              <w:spacing w:after="0"/>
              <w:rPr>
                <w:sz w:val="20"/>
                <w:szCs w:val="20"/>
                <w:color w:val="auto"/>
              </w:rPr>
            </w:pPr>
            <w:r>
              <w:rPr>
                <w:rFonts w:ascii="Arial" w:cs="Arial" w:eastAsia="Arial" w:hAnsi="Arial"/>
                <w:sz w:val="13"/>
                <w:szCs w:val="13"/>
                <w:color w:val="auto"/>
              </w:rPr>
              <w:t>(1,806,698)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(1,971,859)</w:t>
            </w:r>
          </w:p>
        </w:tc>
        <w:tc>
          <w:tcPr>
            <w:tcW w:w="880" w:type="dxa"/>
            <w:vAlign w:val="bottom"/>
          </w:tcPr>
          <w:p>
            <w:pPr>
              <w:jc w:val="center"/>
              <w:ind w:left="273"/>
              <w:spacing w:after="0"/>
              <w:rPr>
                <w:sz w:val="20"/>
                <w:szCs w:val="20"/>
                <w:color w:val="auto"/>
              </w:rPr>
            </w:pPr>
            <w:r>
              <w:rPr>
                <w:rFonts w:ascii="Arial" w:cs="Arial" w:eastAsia="Arial" w:hAnsi="Arial"/>
                <w:sz w:val="13"/>
                <w:szCs w:val="13"/>
                <w:color w:val="auto"/>
              </w:rPr>
              <w:t>9.1%</w:t>
            </w:r>
          </w:p>
        </w:tc>
        <w:tc>
          <w:tcPr>
            <w:tcW w:w="160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13.2%</w:t>
            </w:r>
          </w:p>
        </w:tc>
      </w:tr>
      <w:tr>
        <w:trPr>
          <w:trHeight w:val="165"/>
        </w:trPr>
        <w:tc>
          <w:tcPr>
            <w:tcW w:w="5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Investments in subsidiaries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(2,598,905)</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(2,585,795)</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(2,723,662)</w:t>
            </w:r>
          </w:p>
        </w:tc>
        <w:tc>
          <w:tcPr>
            <w:tcW w:w="880" w:type="dxa"/>
            <w:vAlign w:val="bottom"/>
            <w:tcBorders>
              <w:bottom w:val="single" w:sz="8" w:color="auto"/>
            </w:tcBorders>
          </w:tcPr>
          <w:p>
            <w:pPr>
              <w:jc w:val="center"/>
              <w:ind w:left="273"/>
              <w:spacing w:after="0"/>
              <w:rPr>
                <w:sz w:val="20"/>
                <w:szCs w:val="20"/>
                <w:color w:val="auto"/>
              </w:rPr>
            </w:pPr>
            <w:r>
              <w:rPr>
                <w:rFonts w:ascii="Arial" w:cs="Arial" w:eastAsia="Arial" w:hAnsi="Arial"/>
                <w:sz w:val="13"/>
                <w:szCs w:val="13"/>
                <w:color w:val="auto"/>
              </w:rPr>
              <w:t>5.3%</w:t>
            </w:r>
          </w:p>
        </w:tc>
        <w:tc>
          <w:tcPr>
            <w:tcW w:w="160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3"/>
                <w:szCs w:val="13"/>
                <w:color w:val="auto"/>
              </w:rPr>
              <w:t>4.8%</w:t>
            </w:r>
          </w:p>
        </w:tc>
      </w:tr>
      <w:tr>
        <w:trPr>
          <w:trHeight w:val="142"/>
        </w:trPr>
        <w:tc>
          <w:tcPr>
            <w:tcW w:w="50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w:t>
            </w: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21,671,706</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22,223,292</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23,604,986</w:t>
            </w:r>
          </w:p>
        </w:tc>
        <w:tc>
          <w:tcPr>
            <w:tcW w:w="880" w:type="dxa"/>
            <w:vAlign w:val="bottom"/>
            <w:tcBorders>
              <w:bottom w:val="single" w:sz="8" w:color="auto"/>
            </w:tcBorders>
          </w:tcPr>
          <w:p>
            <w:pPr>
              <w:jc w:val="center"/>
              <w:ind w:left="273"/>
              <w:spacing w:after="0" w:line="142" w:lineRule="exact"/>
              <w:rPr>
                <w:sz w:val="20"/>
                <w:szCs w:val="20"/>
                <w:color w:val="auto"/>
              </w:rPr>
            </w:pPr>
            <w:r>
              <w:rPr>
                <w:rFonts w:ascii="Arial" w:cs="Arial" w:eastAsia="Arial" w:hAnsi="Arial"/>
                <w:sz w:val="13"/>
                <w:szCs w:val="13"/>
                <w:b w:val="1"/>
                <w:bCs w:val="1"/>
                <w:color w:val="auto"/>
              </w:rPr>
              <w:t>6.2%</w:t>
            </w:r>
          </w:p>
        </w:tc>
        <w:tc>
          <w:tcPr>
            <w:tcW w:w="1600" w:type="dxa"/>
            <w:vAlign w:val="bottom"/>
            <w:tcBorders>
              <w:bottom w:val="single" w:sz="8" w:color="auto"/>
              <w:right w:val="single" w:sz="8" w:color="auto"/>
            </w:tcBorders>
          </w:tcPr>
          <w:p>
            <w:pPr>
              <w:jc w:val="center"/>
              <w:ind w:left="233"/>
              <w:spacing w:after="0" w:line="142" w:lineRule="exact"/>
              <w:rPr>
                <w:sz w:val="20"/>
                <w:szCs w:val="20"/>
                <w:color w:val="auto"/>
              </w:rPr>
            </w:pPr>
            <w:r>
              <w:rPr>
                <w:rFonts w:ascii="Arial" w:cs="Arial" w:eastAsia="Arial" w:hAnsi="Arial"/>
                <w:sz w:val="13"/>
                <w:szCs w:val="13"/>
                <w:b w:val="1"/>
                <w:bCs w:val="1"/>
                <w:color w:val="auto"/>
              </w:rPr>
              <w:t>8.9%</w:t>
            </w:r>
          </w:p>
        </w:tc>
      </w:tr>
      <w:tr>
        <w:trPr>
          <w:trHeight w:val="183"/>
        </w:trPr>
        <w:tc>
          <w:tcPr>
            <w:tcW w:w="50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142"/>
        </w:trPr>
        <w:tc>
          <w:tcPr>
            <w:tcW w:w="50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Adjusted RWAs IFRS</w:t>
            </w: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162,676,386</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168,714,799</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168,734,761</w:t>
            </w:r>
          </w:p>
        </w:tc>
        <w:tc>
          <w:tcPr>
            <w:tcW w:w="880" w:type="dxa"/>
            <w:vAlign w:val="bottom"/>
            <w:tcBorders>
              <w:bottom w:val="single" w:sz="8" w:color="auto"/>
            </w:tcBorders>
          </w:tcPr>
          <w:p>
            <w:pPr>
              <w:jc w:val="center"/>
              <w:ind w:left="273"/>
              <w:spacing w:after="0" w:line="142" w:lineRule="exact"/>
              <w:rPr>
                <w:sz w:val="20"/>
                <w:szCs w:val="20"/>
                <w:color w:val="auto"/>
              </w:rPr>
            </w:pPr>
            <w:r>
              <w:rPr>
                <w:rFonts w:ascii="Arial" w:cs="Arial" w:eastAsia="Arial" w:hAnsi="Arial"/>
                <w:sz w:val="13"/>
                <w:szCs w:val="13"/>
                <w:b w:val="1"/>
                <w:bCs w:val="1"/>
                <w:color w:val="auto"/>
              </w:rPr>
              <w:t>0.0%</w:t>
            </w:r>
          </w:p>
        </w:tc>
        <w:tc>
          <w:tcPr>
            <w:tcW w:w="1600" w:type="dxa"/>
            <w:vAlign w:val="bottom"/>
            <w:tcBorders>
              <w:bottom w:val="single" w:sz="8" w:color="auto"/>
              <w:right w:val="single" w:sz="8" w:color="auto"/>
            </w:tcBorders>
          </w:tcPr>
          <w:p>
            <w:pPr>
              <w:jc w:val="center"/>
              <w:ind w:left="233"/>
              <w:spacing w:after="0" w:line="142" w:lineRule="exact"/>
              <w:rPr>
                <w:sz w:val="20"/>
                <w:szCs w:val="20"/>
                <w:color w:val="auto"/>
              </w:rPr>
            </w:pPr>
            <w:r>
              <w:rPr>
                <w:rFonts w:ascii="Arial" w:cs="Arial" w:eastAsia="Arial" w:hAnsi="Arial"/>
                <w:sz w:val="13"/>
                <w:szCs w:val="13"/>
                <w:b w:val="1"/>
                <w:bCs w:val="1"/>
                <w:color w:val="auto"/>
              </w:rPr>
              <w:t>3.7%</w:t>
            </w:r>
          </w:p>
        </w:tc>
      </w:tr>
      <w:tr>
        <w:trPr>
          <w:trHeight w:val="125"/>
        </w:trPr>
        <w:tc>
          <w:tcPr>
            <w:tcW w:w="5080" w:type="dxa"/>
            <w:vAlign w:val="bottom"/>
            <w:tcBorders>
              <w:left w:val="single" w:sz="8" w:color="auto"/>
              <w:right w:val="single" w:sz="8" w:color="auto"/>
            </w:tcBorders>
          </w:tcPr>
          <w:p>
            <w:pPr>
              <w:ind w:left="160"/>
              <w:spacing w:after="0" w:line="126" w:lineRule="exact"/>
              <w:rPr>
                <w:sz w:val="20"/>
                <w:szCs w:val="20"/>
                <w:color w:val="auto"/>
              </w:rPr>
            </w:pPr>
            <w:r>
              <w:rPr>
                <w:rFonts w:ascii="Arial" w:cs="Arial" w:eastAsia="Arial" w:hAnsi="Arial"/>
                <w:sz w:val="13"/>
                <w:szCs w:val="13"/>
                <w:color w:val="auto"/>
              </w:rPr>
              <w:t>Adjusted Credit RWAs IFRS</w:t>
            </w: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140,344,978</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143,634,722</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143,592,345</w:t>
            </w:r>
          </w:p>
        </w:tc>
        <w:tc>
          <w:tcPr>
            <w:tcW w:w="880" w:type="dxa"/>
            <w:vAlign w:val="bottom"/>
          </w:tcPr>
          <w:p>
            <w:pPr>
              <w:jc w:val="center"/>
              <w:ind w:left="273"/>
              <w:spacing w:after="0" w:line="126" w:lineRule="exact"/>
              <w:rPr>
                <w:sz w:val="20"/>
                <w:szCs w:val="20"/>
                <w:color w:val="auto"/>
              </w:rPr>
            </w:pPr>
            <w:r>
              <w:rPr>
                <w:rFonts w:ascii="Arial" w:cs="Arial" w:eastAsia="Arial" w:hAnsi="Arial"/>
                <w:sz w:val="13"/>
                <w:szCs w:val="13"/>
                <w:color w:val="auto"/>
              </w:rPr>
              <w:t>0.0%</w:t>
            </w:r>
          </w:p>
        </w:tc>
        <w:tc>
          <w:tcPr>
            <w:tcW w:w="1600" w:type="dxa"/>
            <w:vAlign w:val="bottom"/>
            <w:tcBorders>
              <w:right w:val="single" w:sz="8" w:color="auto"/>
            </w:tcBorders>
          </w:tcPr>
          <w:p>
            <w:pPr>
              <w:jc w:val="center"/>
              <w:ind w:left="233"/>
              <w:spacing w:after="0" w:line="126" w:lineRule="exact"/>
              <w:rPr>
                <w:sz w:val="20"/>
                <w:szCs w:val="20"/>
                <w:color w:val="auto"/>
              </w:rPr>
            </w:pPr>
            <w:r>
              <w:rPr>
                <w:rFonts w:ascii="Arial" w:cs="Arial" w:eastAsia="Arial" w:hAnsi="Arial"/>
                <w:sz w:val="13"/>
                <w:szCs w:val="13"/>
                <w:color w:val="auto"/>
              </w:rPr>
              <w:t>2.3%</w:t>
            </w:r>
          </w:p>
        </w:tc>
      </w:tr>
      <w:tr>
        <w:trPr>
          <w:trHeight w:val="165"/>
        </w:trPr>
        <w:tc>
          <w:tcPr>
            <w:tcW w:w="5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22,331,409</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25,080,077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25,142,416</w:t>
            </w:r>
          </w:p>
        </w:tc>
        <w:tc>
          <w:tcPr>
            <w:tcW w:w="880" w:type="dxa"/>
            <w:vAlign w:val="bottom"/>
            <w:tcBorders>
              <w:bottom w:val="single" w:sz="8" w:color="auto"/>
            </w:tcBorders>
          </w:tcPr>
          <w:p>
            <w:pPr>
              <w:jc w:val="center"/>
              <w:ind w:left="273"/>
              <w:spacing w:after="0"/>
              <w:rPr>
                <w:sz w:val="20"/>
                <w:szCs w:val="20"/>
                <w:color w:val="auto"/>
              </w:rPr>
            </w:pPr>
            <w:r>
              <w:rPr>
                <w:rFonts w:ascii="Arial" w:cs="Arial" w:eastAsia="Arial" w:hAnsi="Arial"/>
                <w:sz w:val="13"/>
                <w:szCs w:val="13"/>
                <w:color w:val="auto"/>
              </w:rPr>
              <w:t>0.2%</w:t>
            </w:r>
          </w:p>
        </w:tc>
        <w:tc>
          <w:tcPr>
            <w:tcW w:w="160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3"/>
                <w:szCs w:val="13"/>
                <w:color w:val="auto"/>
              </w:rPr>
              <w:t>12.6%</w:t>
            </w:r>
          </w:p>
        </w:tc>
      </w:tr>
      <w:tr>
        <w:trPr>
          <w:trHeight w:val="183"/>
        </w:trPr>
        <w:tc>
          <w:tcPr>
            <w:tcW w:w="50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142"/>
        </w:trPr>
        <w:tc>
          <w:tcPr>
            <w:tcW w:w="50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CET1 ratio IFRS</w:t>
            </w: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13.32%</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13.17%</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9"/>
              </w:rPr>
              <w:t>13.99%</w:t>
            </w:r>
          </w:p>
        </w:tc>
        <w:tc>
          <w:tcPr>
            <w:tcW w:w="880" w:type="dxa"/>
            <w:vAlign w:val="bottom"/>
            <w:tcBorders>
              <w:bottom w:val="single" w:sz="8" w:color="auto"/>
            </w:tcBorders>
          </w:tcPr>
          <w:p>
            <w:pPr>
              <w:jc w:val="center"/>
              <w:ind w:left="273"/>
              <w:spacing w:after="0" w:line="142" w:lineRule="exact"/>
              <w:rPr>
                <w:sz w:val="20"/>
                <w:szCs w:val="20"/>
                <w:color w:val="auto"/>
              </w:rPr>
            </w:pPr>
            <w:r>
              <w:rPr>
                <w:rFonts w:ascii="Arial" w:cs="Arial" w:eastAsia="Arial" w:hAnsi="Arial"/>
                <w:sz w:val="13"/>
                <w:szCs w:val="13"/>
                <w:b w:val="1"/>
                <w:bCs w:val="1"/>
                <w:color w:val="auto"/>
              </w:rPr>
              <w:t>82 bps</w:t>
            </w:r>
          </w:p>
        </w:tc>
        <w:tc>
          <w:tcPr>
            <w:tcW w:w="1600" w:type="dxa"/>
            <w:vAlign w:val="bottom"/>
            <w:tcBorders>
              <w:bottom w:val="single" w:sz="8" w:color="auto"/>
              <w:right w:val="single" w:sz="8" w:color="auto"/>
            </w:tcBorders>
          </w:tcPr>
          <w:p>
            <w:pPr>
              <w:jc w:val="center"/>
              <w:ind w:left="273"/>
              <w:spacing w:after="0" w:line="142" w:lineRule="exact"/>
              <w:rPr>
                <w:sz w:val="20"/>
                <w:szCs w:val="20"/>
                <w:color w:val="auto"/>
              </w:rPr>
            </w:pPr>
            <w:r>
              <w:rPr>
                <w:rFonts w:ascii="Arial" w:cs="Arial" w:eastAsia="Arial" w:hAnsi="Arial"/>
                <w:sz w:val="13"/>
                <w:szCs w:val="13"/>
                <w:b w:val="1"/>
                <w:bCs w:val="1"/>
                <w:color w:val="auto"/>
              </w:rPr>
              <w:t>67 bps</w:t>
            </w:r>
          </w:p>
        </w:tc>
      </w:tr>
      <w:tr>
        <w:trPr>
          <w:trHeight w:val="410"/>
        </w:trPr>
        <w:tc>
          <w:tcPr>
            <w:tcW w:w="50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Mibanco</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7"/>
        </w:trPr>
        <w:tc>
          <w:tcPr>
            <w:tcW w:w="50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123"/>
        </w:trPr>
        <w:tc>
          <w:tcPr>
            <w:tcW w:w="5080" w:type="dxa"/>
            <w:vAlign w:val="bottom"/>
            <w:tcBorders>
              <w:left w:val="single" w:sz="8" w:color="auto"/>
              <w:right w:val="single" w:sz="8" w:color="auto"/>
            </w:tcBorders>
            <w:shd w:val="clear" w:color="auto" w:fill="2AD2C9"/>
          </w:tcPr>
          <w:p>
            <w:pPr>
              <w:spacing w:after="0" w:line="123" w:lineRule="exact"/>
              <w:rPr>
                <w:sz w:val="20"/>
                <w:szCs w:val="20"/>
                <w:color w:val="auto"/>
              </w:rPr>
            </w:pPr>
            <w:r>
              <w:rPr>
                <w:rFonts w:ascii="Arial" w:cs="Arial" w:eastAsia="Arial" w:hAnsi="Arial"/>
                <w:sz w:val="13"/>
                <w:szCs w:val="13"/>
                <w:b w:val="1"/>
                <w:bCs w:val="1"/>
                <w:color w:val="FFFFFF"/>
              </w:rPr>
              <w:t>Common Equity Tier 1 IFRS</w:t>
            </w:r>
          </w:p>
        </w:tc>
        <w:tc>
          <w:tcPr>
            <w:tcW w:w="1220" w:type="dxa"/>
            <w:vAlign w:val="bottom"/>
            <w:shd w:val="clear" w:color="auto" w:fill="2AD2C9"/>
          </w:tcPr>
          <w:p>
            <w:pPr>
              <w:spacing w:after="0"/>
              <w:rPr>
                <w:sz w:val="10"/>
                <w:szCs w:val="10"/>
                <w:color w:val="auto"/>
              </w:rPr>
            </w:pPr>
          </w:p>
        </w:tc>
        <w:tc>
          <w:tcPr>
            <w:tcW w:w="1240" w:type="dxa"/>
            <w:vAlign w:val="bottom"/>
            <w:shd w:val="clear" w:color="auto" w:fill="2AD2C9"/>
          </w:tcPr>
          <w:p>
            <w:pPr>
              <w:jc w:val="center"/>
              <w:spacing w:after="0" w:line="123" w:lineRule="exact"/>
              <w:rPr>
                <w:sz w:val="20"/>
                <w:szCs w:val="20"/>
                <w:color w:val="auto"/>
              </w:rPr>
            </w:pPr>
            <w:r>
              <w:rPr>
                <w:rFonts w:ascii="Arial" w:cs="Arial" w:eastAsia="Arial" w:hAnsi="Arial"/>
                <w:sz w:val="13"/>
                <w:szCs w:val="13"/>
                <w:b w:val="1"/>
                <w:bCs w:val="1"/>
                <w:color w:val="FFFFFF"/>
              </w:rPr>
              <w:t>As of</w:t>
            </w:r>
          </w:p>
        </w:tc>
        <w:tc>
          <w:tcPr>
            <w:tcW w:w="1260" w:type="dxa"/>
            <w:vAlign w:val="bottom"/>
            <w:tcBorders>
              <w:right w:val="single" w:sz="8" w:color="auto"/>
            </w:tcBorders>
            <w:shd w:val="clear" w:color="auto" w:fill="2AD2C9"/>
          </w:tcPr>
          <w:p>
            <w:pPr>
              <w:spacing w:after="0"/>
              <w:rPr>
                <w:sz w:val="10"/>
                <w:szCs w:val="10"/>
                <w:color w:val="auto"/>
              </w:rPr>
            </w:pPr>
          </w:p>
        </w:tc>
        <w:tc>
          <w:tcPr>
            <w:tcW w:w="880" w:type="dxa"/>
            <w:vAlign w:val="bottom"/>
            <w:shd w:val="clear" w:color="auto" w:fill="2AD2C9"/>
          </w:tcPr>
          <w:p>
            <w:pPr>
              <w:spacing w:after="0"/>
              <w:rPr>
                <w:sz w:val="10"/>
                <w:szCs w:val="10"/>
                <w:color w:val="auto"/>
              </w:rPr>
            </w:pPr>
          </w:p>
        </w:tc>
        <w:tc>
          <w:tcPr>
            <w:tcW w:w="1600" w:type="dxa"/>
            <w:vAlign w:val="bottom"/>
            <w:tcBorders>
              <w:right w:val="single" w:sz="8" w:color="auto"/>
            </w:tcBorders>
            <w:shd w:val="clear" w:color="auto" w:fill="2AD2C9"/>
          </w:tcPr>
          <w:p>
            <w:pPr>
              <w:ind w:left="20"/>
              <w:spacing w:after="0" w:line="123" w:lineRule="exact"/>
              <w:rPr>
                <w:sz w:val="20"/>
                <w:szCs w:val="20"/>
                <w:color w:val="auto"/>
              </w:rPr>
            </w:pPr>
            <w:r>
              <w:rPr>
                <w:rFonts w:ascii="Arial" w:cs="Arial" w:eastAsia="Arial" w:hAnsi="Arial"/>
                <w:sz w:val="13"/>
                <w:szCs w:val="13"/>
                <w:b w:val="1"/>
                <w:bCs w:val="1"/>
                <w:color w:val="FFFFFF"/>
              </w:rPr>
              <w:t>% Change</w:t>
            </w:r>
          </w:p>
        </w:tc>
      </w:tr>
      <w:tr>
        <w:trPr>
          <w:trHeight w:val="167"/>
        </w:trPr>
        <w:tc>
          <w:tcPr>
            <w:tcW w:w="5080" w:type="dxa"/>
            <w:vAlign w:val="bottom"/>
            <w:tcBorders>
              <w:left w:val="single" w:sz="8" w:color="auto"/>
              <w:bottom w:val="single" w:sz="8" w:color="auto"/>
              <w:right w:val="single" w:sz="8" w:color="auto"/>
            </w:tcBorders>
            <w:shd w:val="clear" w:color="auto" w:fill="2AD2C9"/>
          </w:tcPr>
          <w:p>
            <w:pPr>
              <w:spacing w:after="0"/>
              <w:rPr>
                <w:sz w:val="20"/>
                <w:szCs w:val="20"/>
                <w:color w:val="auto"/>
              </w:rPr>
            </w:pPr>
            <w:r>
              <w:rPr>
                <w:rFonts w:ascii="Arial" w:cs="Arial" w:eastAsia="Arial" w:hAnsi="Arial"/>
                <w:sz w:val="13"/>
                <w:szCs w:val="13"/>
                <w:color w:val="FFFFFF"/>
              </w:rPr>
              <w:t>(S/ thousand)</w:t>
            </w: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Sep 25</w:t>
            </w:r>
          </w:p>
        </w:tc>
        <w:tc>
          <w:tcPr>
            <w:tcW w:w="126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25</w:t>
            </w:r>
          </w:p>
        </w:tc>
        <w:tc>
          <w:tcPr>
            <w:tcW w:w="880" w:type="dxa"/>
            <w:vAlign w:val="bottom"/>
            <w:tcBorders>
              <w:bottom w:val="single" w:sz="8" w:color="auto"/>
            </w:tcBorders>
            <w:shd w:val="clear" w:color="auto" w:fill="2AD2C9"/>
          </w:tcPr>
          <w:p>
            <w:pPr>
              <w:jc w:val="center"/>
              <w:ind w:left="273"/>
              <w:spacing w:after="0"/>
              <w:rPr>
                <w:sz w:val="20"/>
                <w:szCs w:val="20"/>
                <w:color w:val="auto"/>
              </w:rPr>
            </w:pPr>
            <w:r>
              <w:rPr>
                <w:rFonts w:ascii="Arial" w:cs="Arial" w:eastAsia="Arial" w:hAnsi="Arial"/>
                <w:sz w:val="13"/>
                <w:szCs w:val="13"/>
                <w:b w:val="1"/>
                <w:bCs w:val="1"/>
                <w:color w:val="FFFFFF"/>
              </w:rPr>
              <w:t>QoQ</w:t>
            </w:r>
          </w:p>
        </w:tc>
        <w:tc>
          <w:tcPr>
            <w:tcW w:w="1600" w:type="dxa"/>
            <w:vAlign w:val="bottom"/>
            <w:tcBorders>
              <w:bottom w:val="single" w:sz="8" w:color="auto"/>
              <w:right w:val="single" w:sz="8" w:color="auto"/>
            </w:tcBorders>
            <w:shd w:val="clear" w:color="auto" w:fill="2AD2C9"/>
          </w:tcPr>
          <w:p>
            <w:pPr>
              <w:jc w:val="center"/>
              <w:ind w:left="233"/>
              <w:spacing w:after="0"/>
              <w:rPr>
                <w:sz w:val="20"/>
                <w:szCs w:val="20"/>
                <w:color w:val="auto"/>
              </w:rPr>
            </w:pPr>
            <w:r>
              <w:rPr>
                <w:rFonts w:ascii="Arial" w:cs="Arial" w:eastAsia="Arial" w:hAnsi="Arial"/>
                <w:sz w:val="13"/>
                <w:szCs w:val="13"/>
                <w:b w:val="1"/>
                <w:bCs w:val="1"/>
                <w:color w:val="FFFFFF"/>
              </w:rPr>
              <w:t>YoY</w:t>
            </w:r>
          </w:p>
        </w:tc>
      </w:tr>
      <w:tr>
        <w:trPr>
          <w:trHeight w:val="125"/>
        </w:trPr>
        <w:tc>
          <w:tcPr>
            <w:tcW w:w="5080" w:type="dxa"/>
            <w:vAlign w:val="bottom"/>
            <w:tcBorders>
              <w:left w:val="single" w:sz="8" w:color="auto"/>
              <w:right w:val="single" w:sz="8" w:color="auto"/>
            </w:tcBorders>
          </w:tcPr>
          <w:p>
            <w:pPr>
              <w:ind w:left="160"/>
              <w:spacing w:after="0" w:line="126" w:lineRule="exact"/>
              <w:rPr>
                <w:sz w:val="20"/>
                <w:szCs w:val="20"/>
                <w:color w:val="auto"/>
              </w:rPr>
            </w:pPr>
            <w:r>
              <w:rPr>
                <w:rFonts w:ascii="Arial" w:cs="Arial" w:eastAsia="Arial" w:hAnsi="Arial"/>
                <w:sz w:val="13"/>
                <w:szCs w:val="13"/>
                <w:color w:val="auto"/>
              </w:rPr>
              <w:t>Capital and reserves</w:t>
            </w: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2,703,385</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2,734,582</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2,734,582</w:t>
            </w:r>
          </w:p>
        </w:tc>
        <w:tc>
          <w:tcPr>
            <w:tcW w:w="880" w:type="dxa"/>
            <w:vAlign w:val="bottom"/>
          </w:tcPr>
          <w:p>
            <w:pPr>
              <w:jc w:val="center"/>
              <w:ind w:left="273"/>
              <w:spacing w:after="0" w:line="126" w:lineRule="exact"/>
              <w:rPr>
                <w:sz w:val="20"/>
                <w:szCs w:val="20"/>
                <w:color w:val="auto"/>
              </w:rPr>
            </w:pPr>
            <w:r>
              <w:rPr>
                <w:rFonts w:ascii="Arial" w:cs="Arial" w:eastAsia="Arial" w:hAnsi="Arial"/>
                <w:sz w:val="13"/>
                <w:szCs w:val="13"/>
                <w:color w:val="auto"/>
              </w:rPr>
              <w:t>0.0%</w:t>
            </w:r>
          </w:p>
        </w:tc>
        <w:tc>
          <w:tcPr>
            <w:tcW w:w="1600" w:type="dxa"/>
            <w:vAlign w:val="bottom"/>
            <w:tcBorders>
              <w:right w:val="single" w:sz="8" w:color="auto"/>
            </w:tcBorders>
          </w:tcPr>
          <w:p>
            <w:pPr>
              <w:jc w:val="center"/>
              <w:ind w:left="233"/>
              <w:spacing w:after="0" w:line="126" w:lineRule="exact"/>
              <w:rPr>
                <w:sz w:val="20"/>
                <w:szCs w:val="20"/>
                <w:color w:val="auto"/>
              </w:rPr>
            </w:pPr>
            <w:r>
              <w:rPr>
                <w:rFonts w:ascii="Arial" w:cs="Arial" w:eastAsia="Arial" w:hAnsi="Arial"/>
                <w:sz w:val="13"/>
                <w:szCs w:val="13"/>
                <w:color w:val="auto"/>
              </w:rPr>
              <w:t>1.2%</w:t>
            </w:r>
          </w:p>
        </w:tc>
      </w:tr>
      <w:tr>
        <w:trPr>
          <w:trHeight w:val="148"/>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Retained earnings</w:t>
            </w:r>
          </w:p>
        </w:tc>
        <w:tc>
          <w:tcPr>
            <w:tcW w:w="1220" w:type="dxa"/>
            <w:vAlign w:val="bottom"/>
          </w:tcPr>
          <w:p>
            <w:pPr>
              <w:jc w:val="center"/>
              <w:spacing w:after="0"/>
              <w:rPr>
                <w:sz w:val="20"/>
                <w:szCs w:val="20"/>
                <w:color w:val="auto"/>
              </w:rPr>
            </w:pPr>
            <w:r>
              <w:rPr>
                <w:rFonts w:ascii="Arial" w:cs="Arial" w:eastAsia="Arial" w:hAnsi="Arial"/>
                <w:sz w:val="13"/>
                <w:szCs w:val="13"/>
                <w:color w:val="auto"/>
              </w:rPr>
              <w:t>(29,980)</w:t>
            </w:r>
          </w:p>
        </w:tc>
        <w:tc>
          <w:tcPr>
            <w:tcW w:w="1240" w:type="dxa"/>
            <w:vAlign w:val="bottom"/>
          </w:tcPr>
          <w:p>
            <w:pPr>
              <w:jc w:val="center"/>
              <w:spacing w:after="0"/>
              <w:rPr>
                <w:sz w:val="20"/>
                <w:szCs w:val="20"/>
                <w:color w:val="auto"/>
              </w:rPr>
            </w:pPr>
            <w:r>
              <w:rPr>
                <w:rFonts w:ascii="Arial" w:cs="Arial" w:eastAsia="Arial" w:hAnsi="Arial"/>
                <w:sz w:val="13"/>
                <w:szCs w:val="13"/>
                <w:color w:val="auto"/>
              </w:rPr>
              <w:t>(80,674)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55,838</w:t>
            </w:r>
          </w:p>
        </w:tc>
        <w:tc>
          <w:tcPr>
            <w:tcW w:w="880" w:type="dxa"/>
            <w:vAlign w:val="bottom"/>
          </w:tcPr>
          <w:p>
            <w:pPr>
              <w:jc w:val="center"/>
              <w:ind w:left="273"/>
              <w:spacing w:after="0"/>
              <w:rPr>
                <w:sz w:val="20"/>
                <w:szCs w:val="20"/>
                <w:color w:val="auto"/>
              </w:rPr>
            </w:pPr>
            <w:r>
              <w:rPr>
                <w:rFonts w:ascii="Arial" w:cs="Arial" w:eastAsia="Arial" w:hAnsi="Arial"/>
                <w:sz w:val="13"/>
                <w:szCs w:val="13"/>
                <w:color w:val="auto"/>
              </w:rPr>
              <w:t>-169.2%</w:t>
            </w:r>
          </w:p>
        </w:tc>
        <w:tc>
          <w:tcPr>
            <w:tcW w:w="160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-286.2%</w:t>
            </w:r>
          </w:p>
        </w:tc>
      </w:tr>
      <w:tr>
        <w:trPr>
          <w:trHeight w:val="148"/>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Unrealized gains (losses)</w:t>
            </w:r>
          </w:p>
        </w:tc>
        <w:tc>
          <w:tcPr>
            <w:tcW w:w="1220" w:type="dxa"/>
            <w:vAlign w:val="bottom"/>
          </w:tcPr>
          <w:p>
            <w:pPr>
              <w:jc w:val="center"/>
              <w:spacing w:after="0"/>
              <w:rPr>
                <w:sz w:val="20"/>
                <w:szCs w:val="20"/>
                <w:color w:val="auto"/>
              </w:rPr>
            </w:pPr>
            <w:r>
              <w:rPr>
                <w:rFonts w:ascii="Arial" w:cs="Arial" w:eastAsia="Arial" w:hAnsi="Arial"/>
                <w:sz w:val="13"/>
                <w:szCs w:val="13"/>
                <w:color w:val="auto"/>
              </w:rPr>
              <w:t>(5,037)</w:t>
            </w:r>
          </w:p>
        </w:tc>
        <w:tc>
          <w:tcPr>
            <w:tcW w:w="1240" w:type="dxa"/>
            <w:vAlign w:val="bottom"/>
          </w:tcPr>
          <w:p>
            <w:pPr>
              <w:jc w:val="center"/>
              <w:spacing w:after="0"/>
              <w:rPr>
                <w:sz w:val="20"/>
                <w:szCs w:val="20"/>
                <w:color w:val="auto"/>
              </w:rPr>
            </w:pPr>
            <w:r>
              <w:rPr>
                <w:rFonts w:ascii="Arial" w:cs="Arial" w:eastAsia="Arial" w:hAnsi="Arial"/>
                <w:sz w:val="13"/>
                <w:szCs w:val="13"/>
                <w:color w:val="auto"/>
              </w:rPr>
              <w:t>7,100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11,531</w:t>
            </w:r>
          </w:p>
        </w:tc>
        <w:tc>
          <w:tcPr>
            <w:tcW w:w="880" w:type="dxa"/>
            <w:vAlign w:val="bottom"/>
          </w:tcPr>
          <w:p>
            <w:pPr>
              <w:jc w:val="center"/>
              <w:ind w:left="273"/>
              <w:spacing w:after="0"/>
              <w:rPr>
                <w:sz w:val="20"/>
                <w:szCs w:val="20"/>
                <w:color w:val="auto"/>
              </w:rPr>
            </w:pPr>
            <w:r>
              <w:rPr>
                <w:rFonts w:ascii="Arial" w:cs="Arial" w:eastAsia="Arial" w:hAnsi="Arial"/>
                <w:sz w:val="13"/>
                <w:szCs w:val="13"/>
                <w:color w:val="auto"/>
              </w:rPr>
              <w:t>62.4%</w:t>
            </w:r>
          </w:p>
        </w:tc>
        <w:tc>
          <w:tcPr>
            <w:tcW w:w="160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-328.9%</w:t>
            </w:r>
          </w:p>
        </w:tc>
      </w:tr>
      <w:tr>
        <w:trPr>
          <w:trHeight w:val="148"/>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Goodwill and intangibles</w:t>
            </w:r>
          </w:p>
        </w:tc>
        <w:tc>
          <w:tcPr>
            <w:tcW w:w="1220" w:type="dxa"/>
            <w:vAlign w:val="bottom"/>
          </w:tcPr>
          <w:p>
            <w:pPr>
              <w:jc w:val="center"/>
              <w:spacing w:after="0"/>
              <w:rPr>
                <w:sz w:val="20"/>
                <w:szCs w:val="20"/>
                <w:color w:val="auto"/>
              </w:rPr>
            </w:pPr>
            <w:r>
              <w:rPr>
                <w:rFonts w:ascii="Arial" w:cs="Arial" w:eastAsia="Arial" w:hAnsi="Arial"/>
                <w:sz w:val="13"/>
                <w:szCs w:val="13"/>
                <w:color w:val="auto"/>
              </w:rPr>
              <w:t>(310,730)</w:t>
            </w:r>
          </w:p>
        </w:tc>
        <w:tc>
          <w:tcPr>
            <w:tcW w:w="1240" w:type="dxa"/>
            <w:vAlign w:val="bottom"/>
          </w:tcPr>
          <w:p>
            <w:pPr>
              <w:jc w:val="center"/>
              <w:spacing w:after="0"/>
              <w:rPr>
                <w:sz w:val="20"/>
                <w:szCs w:val="20"/>
                <w:color w:val="auto"/>
              </w:rPr>
            </w:pPr>
            <w:r>
              <w:rPr>
                <w:rFonts w:ascii="Arial" w:cs="Arial" w:eastAsia="Arial" w:hAnsi="Arial"/>
                <w:sz w:val="13"/>
                <w:szCs w:val="13"/>
                <w:color w:val="auto"/>
              </w:rPr>
              <w:t>(296,196)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(308,880)</w:t>
            </w:r>
          </w:p>
        </w:tc>
        <w:tc>
          <w:tcPr>
            <w:tcW w:w="880" w:type="dxa"/>
            <w:vAlign w:val="bottom"/>
          </w:tcPr>
          <w:p>
            <w:pPr>
              <w:jc w:val="center"/>
              <w:ind w:left="273"/>
              <w:spacing w:after="0"/>
              <w:rPr>
                <w:sz w:val="20"/>
                <w:szCs w:val="20"/>
                <w:color w:val="auto"/>
              </w:rPr>
            </w:pPr>
            <w:r>
              <w:rPr>
                <w:rFonts w:ascii="Arial" w:cs="Arial" w:eastAsia="Arial" w:hAnsi="Arial"/>
                <w:sz w:val="13"/>
                <w:szCs w:val="13"/>
                <w:color w:val="auto"/>
              </w:rPr>
              <w:t>4.3%</w:t>
            </w:r>
          </w:p>
        </w:tc>
        <w:tc>
          <w:tcPr>
            <w:tcW w:w="1600" w:type="dxa"/>
            <w:vAlign w:val="bottom"/>
            <w:tcBorders>
              <w:right w:val="single" w:sz="8" w:color="auto"/>
            </w:tcBorders>
          </w:tcPr>
          <w:p>
            <w:pPr>
              <w:jc w:val="center"/>
              <w:ind w:left="253"/>
              <w:spacing w:after="0"/>
              <w:rPr>
                <w:sz w:val="20"/>
                <w:szCs w:val="20"/>
                <w:color w:val="auto"/>
              </w:rPr>
            </w:pPr>
            <w:r>
              <w:rPr>
                <w:rFonts w:ascii="Arial" w:cs="Arial" w:eastAsia="Arial" w:hAnsi="Arial"/>
                <w:sz w:val="13"/>
                <w:szCs w:val="13"/>
                <w:color w:val="auto"/>
              </w:rPr>
              <w:t>-0.6%</w:t>
            </w:r>
          </w:p>
        </w:tc>
      </w:tr>
      <w:tr>
        <w:trPr>
          <w:trHeight w:val="165"/>
        </w:trPr>
        <w:tc>
          <w:tcPr>
            <w:tcW w:w="5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Investments in subsidiaries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(302)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(166)</w:t>
            </w:r>
          </w:p>
        </w:tc>
        <w:tc>
          <w:tcPr>
            <w:tcW w:w="8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-2.8%</w:t>
            </w:r>
          </w:p>
        </w:tc>
        <w:tc>
          <w:tcPr>
            <w:tcW w:w="160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3"/>
                <w:szCs w:val="13"/>
                <w:color w:val="auto"/>
              </w:rPr>
              <w:t>-45.1%</w:t>
            </w:r>
          </w:p>
        </w:tc>
      </w:tr>
      <w:tr>
        <w:trPr>
          <w:trHeight w:val="142"/>
        </w:trPr>
        <w:tc>
          <w:tcPr>
            <w:tcW w:w="50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Total</w:t>
            </w: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2,357,337</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2,364,642</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2,492,906</w:t>
            </w:r>
          </w:p>
        </w:tc>
        <w:tc>
          <w:tcPr>
            <w:tcW w:w="880" w:type="dxa"/>
            <w:vAlign w:val="bottom"/>
            <w:tcBorders>
              <w:bottom w:val="single" w:sz="8" w:color="auto"/>
            </w:tcBorders>
          </w:tcPr>
          <w:p>
            <w:pPr>
              <w:jc w:val="center"/>
              <w:ind w:left="273"/>
              <w:spacing w:after="0" w:line="142" w:lineRule="exact"/>
              <w:rPr>
                <w:sz w:val="20"/>
                <w:szCs w:val="20"/>
                <w:color w:val="auto"/>
              </w:rPr>
            </w:pPr>
            <w:r>
              <w:rPr>
                <w:rFonts w:ascii="Arial" w:cs="Arial" w:eastAsia="Arial" w:hAnsi="Arial"/>
                <w:sz w:val="13"/>
                <w:szCs w:val="13"/>
                <w:b w:val="1"/>
                <w:bCs w:val="1"/>
                <w:color w:val="auto"/>
              </w:rPr>
              <w:t>5.4%</w:t>
            </w:r>
          </w:p>
        </w:tc>
        <w:tc>
          <w:tcPr>
            <w:tcW w:w="1600" w:type="dxa"/>
            <w:vAlign w:val="bottom"/>
            <w:tcBorders>
              <w:bottom w:val="single" w:sz="8" w:color="auto"/>
              <w:right w:val="single" w:sz="8" w:color="auto"/>
            </w:tcBorders>
          </w:tcPr>
          <w:p>
            <w:pPr>
              <w:jc w:val="center"/>
              <w:ind w:left="233"/>
              <w:spacing w:after="0" w:line="142" w:lineRule="exact"/>
              <w:rPr>
                <w:sz w:val="20"/>
                <w:szCs w:val="20"/>
                <w:color w:val="auto"/>
              </w:rPr>
            </w:pPr>
            <w:r>
              <w:rPr>
                <w:rFonts w:ascii="Arial" w:cs="Arial" w:eastAsia="Arial" w:hAnsi="Arial"/>
                <w:sz w:val="13"/>
                <w:szCs w:val="13"/>
                <w:b w:val="1"/>
                <w:bCs w:val="1"/>
                <w:color w:val="auto"/>
              </w:rPr>
              <w:t>5.8%</w:t>
            </w:r>
          </w:p>
        </w:tc>
      </w:tr>
      <w:tr>
        <w:trPr>
          <w:trHeight w:val="209"/>
        </w:trPr>
        <w:tc>
          <w:tcPr>
            <w:tcW w:w="5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142"/>
        </w:trPr>
        <w:tc>
          <w:tcPr>
            <w:tcW w:w="50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Adjusted RWAs IFRS</w:t>
            </w: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13,449,807</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13,792,869</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14,407,727</w:t>
            </w:r>
          </w:p>
        </w:tc>
        <w:tc>
          <w:tcPr>
            <w:tcW w:w="880" w:type="dxa"/>
            <w:vAlign w:val="bottom"/>
            <w:tcBorders>
              <w:bottom w:val="single" w:sz="8" w:color="auto"/>
            </w:tcBorders>
          </w:tcPr>
          <w:p>
            <w:pPr>
              <w:jc w:val="center"/>
              <w:ind w:left="273"/>
              <w:spacing w:after="0" w:line="142" w:lineRule="exact"/>
              <w:rPr>
                <w:sz w:val="20"/>
                <w:szCs w:val="20"/>
                <w:color w:val="auto"/>
              </w:rPr>
            </w:pPr>
            <w:r>
              <w:rPr>
                <w:rFonts w:ascii="Arial" w:cs="Arial" w:eastAsia="Arial" w:hAnsi="Arial"/>
                <w:sz w:val="13"/>
                <w:szCs w:val="13"/>
                <w:b w:val="1"/>
                <w:bCs w:val="1"/>
                <w:color w:val="auto"/>
              </w:rPr>
              <w:t>4.5%</w:t>
            </w:r>
          </w:p>
        </w:tc>
        <w:tc>
          <w:tcPr>
            <w:tcW w:w="1600" w:type="dxa"/>
            <w:vAlign w:val="bottom"/>
            <w:tcBorders>
              <w:bottom w:val="single" w:sz="8" w:color="auto"/>
              <w:right w:val="single" w:sz="8" w:color="auto"/>
            </w:tcBorders>
          </w:tcPr>
          <w:p>
            <w:pPr>
              <w:jc w:val="center"/>
              <w:ind w:left="233"/>
              <w:spacing w:after="0" w:line="142" w:lineRule="exact"/>
              <w:rPr>
                <w:sz w:val="20"/>
                <w:szCs w:val="20"/>
                <w:color w:val="auto"/>
              </w:rPr>
            </w:pPr>
            <w:r>
              <w:rPr>
                <w:rFonts w:ascii="Arial" w:cs="Arial" w:eastAsia="Arial" w:hAnsi="Arial"/>
                <w:sz w:val="13"/>
                <w:szCs w:val="13"/>
                <w:b w:val="1"/>
                <w:bCs w:val="1"/>
                <w:color w:val="auto"/>
              </w:rPr>
              <w:t>7.1%</w:t>
            </w:r>
          </w:p>
        </w:tc>
      </w:tr>
      <w:tr>
        <w:trPr>
          <w:trHeight w:val="125"/>
        </w:trPr>
        <w:tc>
          <w:tcPr>
            <w:tcW w:w="5080" w:type="dxa"/>
            <w:vAlign w:val="bottom"/>
            <w:tcBorders>
              <w:left w:val="single" w:sz="8" w:color="auto"/>
              <w:right w:val="single" w:sz="8" w:color="auto"/>
            </w:tcBorders>
          </w:tcPr>
          <w:p>
            <w:pPr>
              <w:ind w:left="160"/>
              <w:spacing w:after="0" w:line="126" w:lineRule="exact"/>
              <w:rPr>
                <w:sz w:val="20"/>
                <w:szCs w:val="20"/>
                <w:color w:val="auto"/>
              </w:rPr>
            </w:pPr>
            <w:r>
              <w:rPr>
                <w:rFonts w:ascii="Arial" w:cs="Arial" w:eastAsia="Arial" w:hAnsi="Arial"/>
                <w:sz w:val="13"/>
                <w:szCs w:val="13"/>
                <w:color w:val="auto"/>
              </w:rPr>
              <w:t>Adjusted Credit RWAs IFRS</w:t>
            </w:r>
          </w:p>
        </w:tc>
        <w:tc>
          <w:tcPr>
            <w:tcW w:w="1220" w:type="dxa"/>
            <w:vAlign w:val="bottom"/>
          </w:tcPr>
          <w:p>
            <w:pPr>
              <w:jc w:val="center"/>
              <w:spacing w:after="0" w:line="126" w:lineRule="exact"/>
              <w:rPr>
                <w:sz w:val="20"/>
                <w:szCs w:val="20"/>
                <w:color w:val="auto"/>
              </w:rPr>
            </w:pPr>
            <w:r>
              <w:rPr>
                <w:rFonts w:ascii="Arial" w:cs="Arial" w:eastAsia="Arial" w:hAnsi="Arial"/>
                <w:sz w:val="13"/>
                <w:szCs w:val="13"/>
                <w:color w:val="auto"/>
              </w:rPr>
              <w:t>11,597,881</w:t>
            </w:r>
          </w:p>
        </w:tc>
        <w:tc>
          <w:tcPr>
            <w:tcW w:w="1240" w:type="dxa"/>
            <w:vAlign w:val="bottom"/>
          </w:tcPr>
          <w:p>
            <w:pPr>
              <w:jc w:val="center"/>
              <w:spacing w:after="0" w:line="126" w:lineRule="exact"/>
              <w:rPr>
                <w:sz w:val="20"/>
                <w:szCs w:val="20"/>
                <w:color w:val="auto"/>
              </w:rPr>
            </w:pPr>
            <w:r>
              <w:rPr>
                <w:rFonts w:ascii="Arial" w:cs="Arial" w:eastAsia="Arial" w:hAnsi="Arial"/>
                <w:sz w:val="13"/>
                <w:szCs w:val="13"/>
                <w:color w:val="auto"/>
              </w:rPr>
              <w:t>12,649,188</w:t>
            </w:r>
          </w:p>
        </w:tc>
        <w:tc>
          <w:tcPr>
            <w:tcW w:w="12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color w:val="auto"/>
              </w:rPr>
              <w:t>13,321,465</w:t>
            </w:r>
          </w:p>
        </w:tc>
        <w:tc>
          <w:tcPr>
            <w:tcW w:w="880" w:type="dxa"/>
            <w:vAlign w:val="bottom"/>
          </w:tcPr>
          <w:p>
            <w:pPr>
              <w:jc w:val="center"/>
              <w:ind w:left="273"/>
              <w:spacing w:after="0" w:line="126" w:lineRule="exact"/>
              <w:rPr>
                <w:sz w:val="20"/>
                <w:szCs w:val="20"/>
                <w:color w:val="auto"/>
              </w:rPr>
            </w:pPr>
            <w:r>
              <w:rPr>
                <w:rFonts w:ascii="Arial" w:cs="Arial" w:eastAsia="Arial" w:hAnsi="Arial"/>
                <w:sz w:val="13"/>
                <w:szCs w:val="13"/>
                <w:color w:val="auto"/>
              </w:rPr>
              <w:t>5.3%</w:t>
            </w:r>
          </w:p>
        </w:tc>
        <w:tc>
          <w:tcPr>
            <w:tcW w:w="1600" w:type="dxa"/>
            <w:vAlign w:val="bottom"/>
            <w:tcBorders>
              <w:right w:val="single" w:sz="8" w:color="auto"/>
            </w:tcBorders>
          </w:tcPr>
          <w:p>
            <w:pPr>
              <w:jc w:val="center"/>
              <w:ind w:left="233"/>
              <w:spacing w:after="0" w:line="126" w:lineRule="exact"/>
              <w:rPr>
                <w:sz w:val="20"/>
                <w:szCs w:val="20"/>
                <w:color w:val="auto"/>
              </w:rPr>
            </w:pPr>
            <w:r>
              <w:rPr>
                <w:rFonts w:ascii="Arial" w:cs="Arial" w:eastAsia="Arial" w:hAnsi="Arial"/>
                <w:sz w:val="13"/>
                <w:szCs w:val="13"/>
                <w:color w:val="auto"/>
              </w:rPr>
              <w:t>14.9%</w:t>
            </w:r>
          </w:p>
        </w:tc>
      </w:tr>
      <w:tr>
        <w:trPr>
          <w:trHeight w:val="165"/>
        </w:trPr>
        <w:tc>
          <w:tcPr>
            <w:tcW w:w="5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1,851,926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1,143,680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1,086,263</w:t>
            </w:r>
          </w:p>
        </w:tc>
        <w:tc>
          <w:tcPr>
            <w:tcW w:w="8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-5.0%</w:t>
            </w:r>
          </w:p>
        </w:tc>
        <w:tc>
          <w:tcPr>
            <w:tcW w:w="160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3"/>
                <w:szCs w:val="13"/>
                <w:color w:val="auto"/>
              </w:rPr>
              <w:t>-41.3%</w:t>
            </w:r>
          </w:p>
        </w:tc>
      </w:tr>
      <w:tr>
        <w:trPr>
          <w:trHeight w:val="183"/>
        </w:trPr>
        <w:tc>
          <w:tcPr>
            <w:tcW w:w="50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142"/>
        </w:trPr>
        <w:tc>
          <w:tcPr>
            <w:tcW w:w="5080" w:type="dxa"/>
            <w:vAlign w:val="bottom"/>
            <w:tcBorders>
              <w:left w:val="single" w:sz="8" w:color="auto"/>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CET1 ratio IFRS</w:t>
            </w: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17.53%</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17.14%</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9"/>
              </w:rPr>
              <w:t>17.30%</w:t>
            </w:r>
          </w:p>
        </w:tc>
        <w:tc>
          <w:tcPr>
            <w:tcW w:w="880" w:type="dxa"/>
            <w:vAlign w:val="bottom"/>
            <w:tcBorders>
              <w:bottom w:val="single" w:sz="8" w:color="auto"/>
            </w:tcBorders>
          </w:tcPr>
          <w:p>
            <w:pPr>
              <w:jc w:val="center"/>
              <w:ind w:left="273"/>
              <w:spacing w:after="0" w:line="142" w:lineRule="exact"/>
              <w:rPr>
                <w:sz w:val="20"/>
                <w:szCs w:val="20"/>
                <w:color w:val="auto"/>
              </w:rPr>
            </w:pPr>
            <w:r>
              <w:rPr>
                <w:rFonts w:ascii="Arial" w:cs="Arial" w:eastAsia="Arial" w:hAnsi="Arial"/>
                <w:sz w:val="13"/>
                <w:szCs w:val="13"/>
                <w:b w:val="1"/>
                <w:bCs w:val="1"/>
                <w:color w:val="auto"/>
              </w:rPr>
              <w:t>16 bps</w:t>
            </w:r>
          </w:p>
        </w:tc>
        <w:tc>
          <w:tcPr>
            <w:tcW w:w="1600" w:type="dxa"/>
            <w:vAlign w:val="bottom"/>
            <w:tcBorders>
              <w:bottom w:val="single" w:sz="8" w:color="auto"/>
              <w:right w:val="single" w:sz="8" w:color="auto"/>
            </w:tcBorders>
          </w:tcPr>
          <w:p>
            <w:pPr>
              <w:jc w:val="center"/>
              <w:ind w:left="253"/>
              <w:spacing w:after="0" w:line="142" w:lineRule="exact"/>
              <w:rPr>
                <w:sz w:val="20"/>
                <w:szCs w:val="20"/>
                <w:color w:val="auto"/>
              </w:rPr>
            </w:pPr>
            <w:r>
              <w:rPr>
                <w:rFonts w:ascii="Arial" w:cs="Arial" w:eastAsia="Arial" w:hAnsi="Arial"/>
                <w:sz w:val="13"/>
                <w:szCs w:val="13"/>
                <w:b w:val="1"/>
                <w:bCs w:val="1"/>
                <w:color w:val="auto"/>
              </w:rPr>
              <w:t>-22 bps</w:t>
            </w:r>
          </w:p>
        </w:tc>
      </w:tr>
      <w:tr>
        <w:trPr>
          <w:trHeight w:val="1310"/>
        </w:trPr>
        <w:tc>
          <w:tcPr>
            <w:tcW w:w="5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-727710</wp:posOffset>
            </wp:positionV>
            <wp:extent cx="6789420" cy="6089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89420" cy="60896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1" w:name="page62"/>
    <w:bookmarkEnd w:id="61"/>
    <w:p>
      <w:pPr>
        <w:jc w:val="both"/>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 Financial Statements and Ratios by Business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12.7.1. Credicorp Consolidated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S/ thousands, IFRS)</w:t>
      </w:r>
    </w:p>
    <w:p>
      <w:pPr>
        <w:spacing w:after="0" w:line="172" w:lineRule="exact"/>
        <w:rPr>
          <w:sz w:val="20"/>
          <w:szCs w:val="20"/>
          <w:color w:val="auto"/>
        </w:rPr>
      </w:pPr>
    </w:p>
    <w:tbl>
      <w:tblPr>
        <w:tblLayout w:type="fixed"/>
        <w:tblInd w:w="1130" w:type="dxa"/>
        <w:tblCellMar>
          <w:top w:w="0" w:type="dxa"/>
          <w:left w:w="0" w:type="dxa"/>
          <w:bottom w:w="0" w:type="dxa"/>
          <w:right w:w="0" w:type="dxa"/>
        </w:tblCellMar>
      </w:tblPr>
      <w:tr>
        <w:trPr>
          <w:trHeight w:val="118"/>
        </w:trPr>
        <w:tc>
          <w:tcPr>
            <w:tcW w:w="418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940" w:type="dxa"/>
            <w:vAlign w:val="bottom"/>
            <w:tcBorders>
              <w:top w:val="single" w:sz="8" w:color="auto"/>
            </w:tcBorders>
            <w:shd w:val="clear" w:color="auto" w:fill="2AD2C9"/>
          </w:tcPr>
          <w:p>
            <w:pPr>
              <w:spacing w:after="0"/>
              <w:rPr>
                <w:sz w:val="10"/>
                <w:szCs w:val="10"/>
                <w:color w:val="auto"/>
              </w:rPr>
            </w:pPr>
          </w:p>
        </w:tc>
        <w:tc>
          <w:tcPr>
            <w:tcW w:w="980" w:type="dxa"/>
            <w:vAlign w:val="bottom"/>
            <w:tcBorders>
              <w:top w:val="single" w:sz="8" w:color="auto"/>
            </w:tcBorders>
            <w:shd w:val="clear" w:color="auto" w:fill="2AD2C9"/>
          </w:tcPr>
          <w:p>
            <w:pPr>
              <w:jc w:val="center"/>
              <w:spacing w:after="0" w:line="118" w:lineRule="exact"/>
              <w:rPr>
                <w:sz w:val="20"/>
                <w:szCs w:val="20"/>
                <w:color w:val="auto"/>
              </w:rPr>
            </w:pPr>
            <w:r>
              <w:rPr>
                <w:rFonts w:ascii="Arial" w:cs="Arial" w:eastAsia="Arial" w:hAnsi="Arial"/>
                <w:sz w:val="11"/>
                <w:szCs w:val="11"/>
                <w:b w:val="1"/>
                <w:bCs w:val="1"/>
                <w:color w:val="FFFFFF"/>
                <w:w w:val="94"/>
              </w:rPr>
              <w:t>As of</w:t>
            </w:r>
          </w:p>
        </w:tc>
        <w:tc>
          <w:tcPr>
            <w:tcW w:w="980" w:type="dxa"/>
            <w:vAlign w:val="bottom"/>
            <w:tcBorders>
              <w:top w:val="single" w:sz="8" w:color="auto"/>
              <w:right w:val="single" w:sz="8" w:color="auto"/>
            </w:tcBorders>
            <w:shd w:val="clear" w:color="auto" w:fill="2AD2C9"/>
          </w:tcPr>
          <w:p>
            <w:pPr>
              <w:spacing w:after="0"/>
              <w:rPr>
                <w:sz w:val="10"/>
                <w:szCs w:val="10"/>
                <w:color w:val="auto"/>
              </w:rPr>
            </w:pPr>
          </w:p>
        </w:tc>
        <w:tc>
          <w:tcPr>
            <w:tcW w:w="680" w:type="dxa"/>
            <w:vAlign w:val="bottom"/>
            <w:tcBorders>
              <w:top w:val="single" w:sz="8" w:color="auto"/>
            </w:tcBorders>
            <w:shd w:val="clear" w:color="auto" w:fill="2AD2C9"/>
          </w:tcPr>
          <w:p>
            <w:pPr>
              <w:spacing w:after="0"/>
              <w:rPr>
                <w:sz w:val="10"/>
                <w:szCs w:val="10"/>
                <w:color w:val="auto"/>
              </w:rPr>
            </w:pPr>
          </w:p>
        </w:tc>
        <w:tc>
          <w:tcPr>
            <w:tcW w:w="1280" w:type="dxa"/>
            <w:vAlign w:val="bottom"/>
            <w:tcBorders>
              <w:top w:val="single" w:sz="8" w:color="auto"/>
              <w:right w:val="single" w:sz="8" w:color="auto"/>
            </w:tcBorders>
            <w:shd w:val="clear" w:color="auto" w:fill="2AD2C9"/>
          </w:tcPr>
          <w:p>
            <w:pPr>
              <w:ind w:left="20"/>
              <w:spacing w:after="0" w:line="118" w:lineRule="exact"/>
              <w:rPr>
                <w:sz w:val="20"/>
                <w:szCs w:val="20"/>
                <w:color w:val="auto"/>
              </w:rPr>
            </w:pPr>
            <w:r>
              <w:rPr>
                <w:rFonts w:ascii="Arial" w:cs="Arial" w:eastAsia="Arial" w:hAnsi="Arial"/>
                <w:sz w:val="11"/>
                <w:szCs w:val="11"/>
                <w:b w:val="1"/>
                <w:bCs w:val="1"/>
                <w:color w:val="FFFFFF"/>
              </w:rPr>
              <w:t>% change</w:t>
            </w:r>
          </w:p>
        </w:tc>
      </w:tr>
      <w:tr>
        <w:trPr>
          <w:trHeight w:val="139"/>
        </w:trPr>
        <w:tc>
          <w:tcPr>
            <w:tcW w:w="418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9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1"/>
                <w:szCs w:val="11"/>
                <w:b w:val="1"/>
                <w:bCs w:val="1"/>
                <w:color w:val="FFFFFF"/>
              </w:rPr>
              <w:t>Dec 24</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5"/>
              </w:rPr>
              <w:t>Sep 25</w:t>
            </w:r>
          </w:p>
        </w:tc>
        <w:tc>
          <w:tcPr>
            <w:tcW w:w="98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1"/>
                <w:szCs w:val="11"/>
                <w:b w:val="1"/>
                <w:bCs w:val="1"/>
                <w:color w:val="FFFFFF"/>
              </w:rPr>
              <w:t>Dec 25</w:t>
            </w:r>
          </w:p>
        </w:tc>
        <w:tc>
          <w:tcPr>
            <w:tcW w:w="68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11"/>
                <w:szCs w:val="11"/>
                <w:b w:val="1"/>
                <w:bCs w:val="1"/>
                <w:color w:val="FFFFFF"/>
              </w:rPr>
              <w:t>QoQ</w:t>
            </w:r>
          </w:p>
        </w:tc>
        <w:tc>
          <w:tcPr>
            <w:tcW w:w="1280" w:type="dxa"/>
            <w:vAlign w:val="bottom"/>
            <w:tcBorders>
              <w:bottom w:val="single" w:sz="8" w:color="auto"/>
              <w:right w:val="single" w:sz="8" w:color="auto"/>
            </w:tcBorders>
            <w:shd w:val="clear" w:color="auto" w:fill="2AD2C9"/>
          </w:tcPr>
          <w:p>
            <w:pPr>
              <w:ind w:left="660"/>
              <w:spacing w:after="0"/>
              <w:rPr>
                <w:sz w:val="20"/>
                <w:szCs w:val="20"/>
                <w:color w:val="auto"/>
              </w:rPr>
            </w:pPr>
            <w:r>
              <w:rPr>
                <w:rFonts w:ascii="Arial" w:cs="Arial" w:eastAsia="Arial" w:hAnsi="Arial"/>
                <w:sz w:val="11"/>
                <w:szCs w:val="11"/>
                <w:b w:val="1"/>
                <w:bCs w:val="1"/>
                <w:color w:val="FFFFFF"/>
              </w:rPr>
              <w:t>YoY</w:t>
            </w:r>
          </w:p>
        </w:tc>
      </w:tr>
      <w:tr>
        <w:trPr>
          <w:trHeight w:val="98"/>
        </w:trPr>
        <w:tc>
          <w:tcPr>
            <w:tcW w:w="4180" w:type="dxa"/>
            <w:vAlign w:val="bottom"/>
            <w:tcBorders>
              <w:left w:val="single" w:sz="8" w:color="auto"/>
              <w:right w:val="single" w:sz="8" w:color="auto"/>
            </w:tcBorders>
          </w:tcPr>
          <w:p>
            <w:pPr>
              <w:ind w:left="20"/>
              <w:spacing w:after="0" w:line="98" w:lineRule="exact"/>
              <w:rPr>
                <w:sz w:val="20"/>
                <w:szCs w:val="20"/>
                <w:color w:val="auto"/>
              </w:rPr>
            </w:pPr>
            <w:r>
              <w:rPr>
                <w:rFonts w:ascii="Arial" w:cs="Arial" w:eastAsia="Arial" w:hAnsi="Arial"/>
                <w:sz w:val="11"/>
                <w:szCs w:val="11"/>
                <w:b w:val="1"/>
                <w:bCs w:val="1"/>
                <w:color w:val="auto"/>
              </w:rPr>
              <w:t>ASSETS</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b w:val="1"/>
                <w:bCs w:val="1"/>
                <w:color w:val="auto"/>
              </w:rPr>
              <w:t>Cash and due from banks</w:t>
            </w: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r>
      <w:tr>
        <w:trPr>
          <w:trHeight w:val="121"/>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Non-interest bearing</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7,535,259</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7,237,295</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7,649,640</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5.7%</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1.5%</w:t>
            </w:r>
          </w:p>
        </w:tc>
      </w:tr>
      <w:tr>
        <w:trPr>
          <w:trHeight w:val="122"/>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Interest bearing</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4"/>
              </w:rPr>
              <w:t>40,119,937</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35,862,184</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41,394,817</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15.4%</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3.2%</w:t>
            </w:r>
          </w:p>
        </w:tc>
      </w:tr>
      <w:tr>
        <w:trPr>
          <w:trHeight w:val="152"/>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Total cash and due from banks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47,655,196</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43,099,479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49,044,457</w:t>
            </w:r>
          </w:p>
        </w:tc>
        <w:tc>
          <w:tcPr>
            <w:tcW w:w="680" w:type="dxa"/>
            <w:vAlign w:val="bottom"/>
          </w:tcPr>
          <w:p>
            <w:pPr>
              <w:jc w:val="center"/>
              <w:ind w:left="206"/>
              <w:spacing w:after="0"/>
              <w:rPr>
                <w:sz w:val="20"/>
                <w:szCs w:val="20"/>
                <w:color w:val="auto"/>
              </w:rPr>
            </w:pPr>
            <w:r>
              <w:rPr>
                <w:rFonts w:ascii="Arial" w:cs="Arial" w:eastAsia="Arial" w:hAnsi="Arial"/>
                <w:sz w:val="11"/>
                <w:szCs w:val="11"/>
                <w:b w:val="1"/>
                <w:bCs w:val="1"/>
                <w:color w:val="auto"/>
                <w:w w:val="96"/>
              </w:rPr>
              <w:t>13.8%</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5"/>
              </w:rPr>
              <w:t>2.9%</w:t>
            </w:r>
          </w:p>
        </w:tc>
      </w:tr>
      <w:tr>
        <w:trPr>
          <w:trHeight w:val="213"/>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Cash collateral, reverse repurchase agreements and securities borrowing</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1,033,177</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3,404,639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2,177,200</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7"/>
              </w:rPr>
              <w:t>-36.1%</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6"/>
              </w:rPr>
              <w:t>110.7%</w:t>
            </w:r>
          </w:p>
        </w:tc>
      </w:tr>
      <w:tr>
        <w:trPr>
          <w:trHeight w:val="121"/>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Fair value through profit or loss investments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4,715,343</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3"/>
              </w:rPr>
              <w:t>4,356,311</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4,957,236</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13.8%</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5.1%</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Fair value through other comprehensive income investments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40,142,638</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38,005,522</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39,034,049</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2.7%</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7"/>
              </w:rPr>
              <w:t>-2.8%</w:t>
            </w:r>
          </w:p>
        </w:tc>
      </w:tr>
      <w:tr>
        <w:trPr>
          <w:trHeight w:val="146"/>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Amortized cost investments</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8,967,877</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8,824,746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8,813,657</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-0.1%</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-1.7%</w:t>
            </w:r>
          </w:p>
        </w:tc>
      </w:tr>
      <w:tr>
        <w:trPr>
          <w:trHeight w:val="219"/>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Loans</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145,732,273</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144,752,254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149,984,954</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3.6%</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5"/>
              </w:rPr>
              <w:t>2.9%</w:t>
            </w:r>
          </w:p>
        </w:tc>
      </w:tr>
      <w:tr>
        <w:trPr>
          <w:trHeight w:val="121"/>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Current</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140,309,061</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139,798,951</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145,171,418</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3.8%</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3.5%</w:t>
            </w:r>
          </w:p>
        </w:tc>
      </w:tr>
      <w:tr>
        <w:trPr>
          <w:trHeight w:val="122"/>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Internal overdue loans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5,423,212</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4,953,303</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4,813,536</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-2.8%</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1"/>
              </w:rPr>
              <w:t>-11.2%</w:t>
            </w:r>
          </w:p>
        </w:tc>
      </w:tr>
      <w:tr>
        <w:trPr>
          <w:trHeight w:val="122"/>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Less - allowance for loan losses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9"/>
              </w:rPr>
              <w:t>(7,994,977)</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5"/>
              </w:rPr>
              <w:t>(7,674,040)</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(7,669,950)</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-0.1%</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7"/>
              </w:rPr>
              <w:t>-4.1%</w:t>
            </w:r>
          </w:p>
        </w:tc>
      </w:tr>
      <w:tr>
        <w:trPr>
          <w:trHeight w:val="146"/>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Loans, net</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137,737,296</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137,078,214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142,315,004</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3.8%</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5"/>
              </w:rPr>
              <w:t>3.3%</w:t>
            </w:r>
          </w:p>
        </w:tc>
      </w:tr>
      <w:tr>
        <w:trPr>
          <w:trHeight w:val="219"/>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Financial assets designated at fair value through profit or loss</w:t>
            </w:r>
          </w:p>
        </w:tc>
        <w:tc>
          <w:tcPr>
            <w:tcW w:w="940" w:type="dxa"/>
            <w:vAlign w:val="bottom"/>
          </w:tcPr>
          <w:p>
            <w:pPr>
              <w:jc w:val="center"/>
              <w:spacing w:after="0"/>
              <w:rPr>
                <w:sz w:val="20"/>
                <w:szCs w:val="20"/>
                <w:color w:val="auto"/>
              </w:rPr>
            </w:pPr>
            <w:r>
              <w:rPr>
                <w:rFonts w:ascii="Arial" w:cs="Arial" w:eastAsia="Arial" w:hAnsi="Arial"/>
                <w:sz w:val="11"/>
                <w:szCs w:val="11"/>
                <w:color w:val="auto"/>
              </w:rPr>
              <w:t>932,734</w:t>
            </w:r>
          </w:p>
        </w:tc>
        <w:tc>
          <w:tcPr>
            <w:tcW w:w="980" w:type="dxa"/>
            <w:vAlign w:val="bottom"/>
          </w:tcPr>
          <w:p>
            <w:pPr>
              <w:jc w:val="center"/>
              <w:spacing w:after="0"/>
              <w:rPr>
                <w:sz w:val="20"/>
                <w:szCs w:val="20"/>
                <w:color w:val="auto"/>
              </w:rPr>
            </w:pPr>
            <w:r>
              <w:rPr>
                <w:rFonts w:ascii="Arial" w:cs="Arial" w:eastAsia="Arial" w:hAnsi="Arial"/>
                <w:sz w:val="11"/>
                <w:szCs w:val="11"/>
                <w:color w:val="auto"/>
                <w:w w:val="95"/>
              </w:rPr>
              <w:t>956,885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992,429</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3.7%</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5"/>
              </w:rPr>
              <w:t>6.4%</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Property, plant and equipment, net</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1,841,147</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2,725,302</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2,672,458</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-1.9%</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rPr>
              <w:t>45.2%</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Due from customers on acceptances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528,184</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5"/>
              </w:rPr>
              <w:t>553,561</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345,906</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-37.5%</w:t>
            </w:r>
          </w:p>
        </w:tc>
        <w:tc>
          <w:tcPr>
            <w:tcW w:w="128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-34.5%</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Investments in associates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763,918</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rPr>
              <w:t>52,388</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65,338</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24.7%</w:t>
            </w:r>
          </w:p>
        </w:tc>
        <w:tc>
          <w:tcPr>
            <w:tcW w:w="128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-91.4%</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Intangible assets and goodwill, net</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3,289,157</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4,596,373</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4,764,394</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3.7%</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rPr>
              <w:t>44.9%</w:t>
            </w:r>
          </w:p>
        </w:tc>
      </w:tr>
      <w:tr>
        <w:trPr>
          <w:trHeight w:val="115"/>
        </w:trPr>
        <w:tc>
          <w:tcPr>
            <w:tcW w:w="4180" w:type="dxa"/>
            <w:vAlign w:val="bottom"/>
            <w:tcBorders>
              <w:left w:val="single" w:sz="8" w:color="auto"/>
              <w:right w:val="single" w:sz="8" w:color="auto"/>
            </w:tcBorders>
          </w:tcPr>
          <w:p>
            <w:pPr>
              <w:ind w:left="20"/>
              <w:spacing w:after="0" w:line="115" w:lineRule="exact"/>
              <w:rPr>
                <w:sz w:val="20"/>
                <w:szCs w:val="20"/>
                <w:color w:val="auto"/>
              </w:rPr>
            </w:pPr>
            <w:r>
              <w:rPr>
                <w:rFonts w:ascii="Arial" w:cs="Arial" w:eastAsia="Arial" w:hAnsi="Arial"/>
                <w:sz w:val="11"/>
                <w:szCs w:val="11"/>
                <w:color w:val="auto"/>
              </w:rPr>
              <w:t>Reinsurance contract assets</w:t>
            </w:r>
          </w:p>
        </w:tc>
        <w:tc>
          <w:tcPr>
            <w:tcW w:w="940" w:type="dxa"/>
            <w:vAlign w:val="bottom"/>
          </w:tcPr>
          <w:p>
            <w:pPr>
              <w:jc w:val="center"/>
              <w:spacing w:after="0" w:line="115" w:lineRule="exact"/>
              <w:rPr>
                <w:sz w:val="20"/>
                <w:szCs w:val="20"/>
                <w:color w:val="auto"/>
              </w:rPr>
            </w:pPr>
            <w:r>
              <w:rPr>
                <w:rFonts w:ascii="Arial" w:cs="Arial" w:eastAsia="Arial" w:hAnsi="Arial"/>
                <w:sz w:val="11"/>
                <w:szCs w:val="11"/>
                <w:color w:val="auto"/>
              </w:rPr>
              <w:t>841,170</w:t>
            </w:r>
          </w:p>
        </w:tc>
        <w:tc>
          <w:tcPr>
            <w:tcW w:w="980" w:type="dxa"/>
            <w:vAlign w:val="bottom"/>
          </w:tcPr>
          <w:p>
            <w:pPr>
              <w:jc w:val="center"/>
              <w:spacing w:after="0" w:line="115" w:lineRule="exact"/>
              <w:rPr>
                <w:sz w:val="20"/>
                <w:szCs w:val="20"/>
                <w:color w:val="auto"/>
              </w:rPr>
            </w:pPr>
            <w:r>
              <w:rPr>
                <w:rFonts w:ascii="Arial" w:cs="Arial" w:eastAsia="Arial" w:hAnsi="Arial"/>
                <w:sz w:val="11"/>
                <w:szCs w:val="11"/>
                <w:color w:val="auto"/>
                <w:w w:val="95"/>
              </w:rPr>
              <w:t>853,974</w:t>
            </w:r>
          </w:p>
        </w:tc>
        <w:tc>
          <w:tcPr>
            <w:tcW w:w="98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708,560</w:t>
            </w:r>
          </w:p>
        </w:tc>
        <w:tc>
          <w:tcPr>
            <w:tcW w:w="680" w:type="dxa"/>
            <w:vAlign w:val="bottom"/>
          </w:tcPr>
          <w:p>
            <w:pPr>
              <w:jc w:val="center"/>
              <w:ind w:left="206"/>
              <w:spacing w:after="0" w:line="115" w:lineRule="exact"/>
              <w:rPr>
                <w:sz w:val="20"/>
                <w:szCs w:val="20"/>
                <w:color w:val="auto"/>
              </w:rPr>
            </w:pPr>
            <w:r>
              <w:rPr>
                <w:rFonts w:ascii="Arial" w:cs="Arial" w:eastAsia="Arial" w:hAnsi="Arial"/>
                <w:sz w:val="11"/>
                <w:szCs w:val="11"/>
                <w:color w:val="auto"/>
                <w:w w:val="97"/>
              </w:rPr>
              <w:t>-17.0%</w:t>
            </w:r>
          </w:p>
        </w:tc>
        <w:tc>
          <w:tcPr>
            <w:tcW w:w="1280" w:type="dxa"/>
            <w:vAlign w:val="bottom"/>
            <w:tcBorders>
              <w:right w:val="single" w:sz="8" w:color="auto"/>
            </w:tcBorders>
          </w:tcPr>
          <w:p>
            <w:pPr>
              <w:jc w:val="center"/>
              <w:ind w:left="206"/>
              <w:spacing w:after="0" w:line="115" w:lineRule="exact"/>
              <w:rPr>
                <w:sz w:val="20"/>
                <w:szCs w:val="20"/>
                <w:color w:val="auto"/>
              </w:rPr>
            </w:pPr>
            <w:r>
              <w:rPr>
                <w:rFonts w:ascii="Arial" w:cs="Arial" w:eastAsia="Arial" w:hAnsi="Arial"/>
                <w:sz w:val="11"/>
                <w:szCs w:val="11"/>
                <w:color w:val="auto"/>
                <w:w w:val="97"/>
              </w:rPr>
              <w:t>-15.8%</w:t>
            </w:r>
          </w:p>
        </w:tc>
      </w:tr>
      <w:tr>
        <w:trPr>
          <w:trHeight w:val="241"/>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 xml:space="preserve">Other assets </w:t>
            </w:r>
            <w:r>
              <w:rPr>
                <w:rFonts w:ascii="Arial" w:cs="Arial" w:eastAsia="Arial" w:hAnsi="Arial"/>
                <w:sz w:val="17"/>
                <w:szCs w:val="17"/>
                <w:color w:val="auto"/>
                <w:vertAlign w:val="superscript"/>
              </w:rPr>
              <w:t>(1)</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7,641,103</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10,673,230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11,471,845</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7.5%</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rPr>
              <w:t>50.1%</w:t>
            </w:r>
          </w:p>
        </w:tc>
      </w:tr>
      <w:tr>
        <w:trPr>
          <w:trHeight w:val="16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Total Assets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256,088,940</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255,180,624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267,362,533</w:t>
            </w:r>
          </w:p>
        </w:tc>
        <w:tc>
          <w:tcPr>
            <w:tcW w:w="68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4.8%</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5"/>
              </w:rPr>
              <w:t>4.4%</w:t>
            </w:r>
          </w:p>
        </w:tc>
      </w:tr>
      <w:tr>
        <w:trPr>
          <w:trHeight w:val="213"/>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r>
      <w:tr>
        <w:trPr>
          <w:trHeight w:val="121"/>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b w:val="1"/>
                <w:bCs w:val="1"/>
                <w:color w:val="auto"/>
              </w:rPr>
              <w:t>Deposits and obligations</w:t>
            </w: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r>
      <w:tr>
        <w:trPr>
          <w:trHeight w:val="122"/>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Non-interest bearing</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47,160,191</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46,588,002</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52,217,286</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12.1%</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rPr>
              <w:t>10.7%</w:t>
            </w:r>
          </w:p>
        </w:tc>
      </w:tr>
      <w:tr>
        <w:trPr>
          <w:trHeight w:val="122"/>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Interest bearing</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114,681,875</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4"/>
              </w:rPr>
              <w:t>111,842,453</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118,184,347</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5.7%</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3.1%</w:t>
            </w:r>
          </w:p>
        </w:tc>
      </w:tr>
      <w:tr>
        <w:trPr>
          <w:trHeight w:val="146"/>
        </w:trPr>
        <w:tc>
          <w:tcPr>
            <w:tcW w:w="41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Total deposits and obligations</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161,842,066</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158,430,455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170,401,633</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7.6%</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5"/>
              </w:rPr>
              <w:t>5.3%</w:t>
            </w:r>
          </w:p>
        </w:tc>
      </w:tr>
      <w:tr>
        <w:trPr>
          <w:trHeight w:val="219"/>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Payables from repurchase agreements and securities lending</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9,060,710</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10,181,173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8,243,787</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7"/>
              </w:rPr>
              <w:t>-19.0%</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-9.0%</w:t>
            </w:r>
          </w:p>
        </w:tc>
      </w:tr>
      <w:tr>
        <w:trPr>
          <w:trHeight w:val="122"/>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BCRP instruments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6,646,830</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6,643,892</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4,776,512</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-28.1%</w:t>
            </w:r>
          </w:p>
        </w:tc>
        <w:tc>
          <w:tcPr>
            <w:tcW w:w="128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-28.1%</w:t>
            </w:r>
          </w:p>
        </w:tc>
      </w:tr>
      <w:tr>
        <w:trPr>
          <w:trHeight w:val="121"/>
        </w:trPr>
        <w:tc>
          <w:tcPr>
            <w:tcW w:w="4180" w:type="dxa"/>
            <w:vAlign w:val="bottom"/>
            <w:tcBorders>
              <w:left w:val="single" w:sz="8" w:color="auto"/>
              <w:right w:val="single" w:sz="8" w:color="auto"/>
            </w:tcBorders>
          </w:tcPr>
          <w:p>
            <w:pPr>
              <w:ind w:left="180"/>
              <w:spacing w:after="0" w:line="122" w:lineRule="exact"/>
              <w:rPr>
                <w:sz w:val="20"/>
                <w:szCs w:val="20"/>
                <w:color w:val="auto"/>
              </w:rPr>
            </w:pPr>
            <w:r>
              <w:rPr>
                <w:rFonts w:ascii="Arial" w:cs="Arial" w:eastAsia="Arial" w:hAnsi="Arial"/>
                <w:sz w:val="11"/>
                <w:szCs w:val="11"/>
                <w:color w:val="auto"/>
              </w:rPr>
              <w:t>Repurchase agreements with third parties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2,298,494</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3,401,635</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3,332,706</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-2.0%</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rPr>
              <w:t>45.0%</w:t>
            </w:r>
          </w:p>
        </w:tc>
      </w:tr>
      <w:tr>
        <w:trPr>
          <w:trHeight w:val="146"/>
        </w:trPr>
        <w:tc>
          <w:tcPr>
            <w:tcW w:w="41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Repurchase agreements with customers</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115,386</w:t>
            </w:r>
          </w:p>
        </w:tc>
        <w:tc>
          <w:tcPr>
            <w:tcW w:w="980" w:type="dxa"/>
            <w:vAlign w:val="bottom"/>
          </w:tcPr>
          <w:p>
            <w:pPr>
              <w:jc w:val="center"/>
              <w:spacing w:after="0"/>
              <w:rPr>
                <w:sz w:val="20"/>
                <w:szCs w:val="20"/>
                <w:color w:val="auto"/>
              </w:rPr>
            </w:pPr>
            <w:r>
              <w:rPr>
                <w:rFonts w:ascii="Arial" w:cs="Arial" w:eastAsia="Arial" w:hAnsi="Arial"/>
                <w:sz w:val="11"/>
                <w:szCs w:val="11"/>
                <w:color w:val="auto"/>
                <w:w w:val="95"/>
              </w:rPr>
              <w:t>135,646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134,569</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-0.8%</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rPr>
              <w:t>16.6%</w:t>
            </w:r>
          </w:p>
        </w:tc>
      </w:tr>
      <w:tr>
        <w:trPr>
          <w:trHeight w:val="219"/>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Due to banks and correspondents</w:t>
            </w:r>
          </w:p>
        </w:tc>
        <w:tc>
          <w:tcPr>
            <w:tcW w:w="940" w:type="dxa"/>
            <w:vAlign w:val="bottom"/>
          </w:tcPr>
          <w:p>
            <w:pPr>
              <w:jc w:val="center"/>
              <w:spacing w:after="0"/>
              <w:rPr>
                <w:sz w:val="20"/>
                <w:szCs w:val="20"/>
                <w:color w:val="auto"/>
              </w:rPr>
            </w:pPr>
            <w:r>
              <w:rPr>
                <w:rFonts w:ascii="Arial" w:cs="Arial" w:eastAsia="Arial" w:hAnsi="Arial"/>
                <w:sz w:val="11"/>
                <w:szCs w:val="11"/>
                <w:color w:val="auto"/>
                <w:w w:val="98"/>
              </w:rPr>
              <w:t>10,754,385</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11,241,079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10,675,238</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-5.0%</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-0.7%</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Bonds and notes issued</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17,268,443</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12,209,724</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14,025,535</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14.9%</w:t>
            </w:r>
          </w:p>
        </w:tc>
        <w:tc>
          <w:tcPr>
            <w:tcW w:w="128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-18.8%</w:t>
            </w:r>
          </w:p>
        </w:tc>
      </w:tr>
      <w:tr>
        <w:trPr>
          <w:trHeight w:val="121"/>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Banker’s acceptances outstanding</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528,184</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5"/>
              </w:rPr>
              <w:t>553,561</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345,906</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7"/>
              </w:rPr>
              <w:t>-37.5%</w:t>
            </w:r>
          </w:p>
        </w:tc>
        <w:tc>
          <w:tcPr>
            <w:tcW w:w="128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-34.5%</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Insurance contract liability</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13,422,285</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14,203,439</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14,264,155</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0.4%</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6.3%</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Financial liabilities at fair value through profit or loss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151,485</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5"/>
              </w:rPr>
              <w:t>928,814</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1,055,893</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13.7%</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6"/>
              </w:rPr>
              <w:t>597.0%</w:t>
            </w:r>
          </w:p>
        </w:tc>
      </w:tr>
      <w:tr>
        <w:trPr>
          <w:trHeight w:val="146"/>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liabilities</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8,084,148</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10,176,606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9,254,277</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-9.1%</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rPr>
              <w:t>14.5%</w:t>
            </w:r>
          </w:p>
        </w:tc>
      </w:tr>
      <w:tr>
        <w:trPr>
          <w:trHeight w:val="249"/>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Total Liabilities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221,111,706</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217,924,851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228,266,424</w:t>
            </w:r>
          </w:p>
        </w:tc>
        <w:tc>
          <w:tcPr>
            <w:tcW w:w="68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4.7%</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5"/>
              </w:rPr>
              <w:t>3.2%</w:t>
            </w:r>
          </w:p>
        </w:tc>
      </w:tr>
      <w:tr>
        <w:trPr>
          <w:trHeight w:val="213"/>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equity</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34,346,451</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36,560,502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38,366,950</w:t>
            </w:r>
          </w:p>
        </w:tc>
        <w:tc>
          <w:tcPr>
            <w:tcW w:w="68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4.9%</w:t>
            </w:r>
          </w:p>
        </w:tc>
        <w:tc>
          <w:tcPr>
            <w:tcW w:w="128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11.7%</w:t>
            </w:r>
          </w:p>
        </w:tc>
      </w:tr>
      <w:tr>
        <w:trPr>
          <w:trHeight w:val="121"/>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Capital stock</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1,318,993</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1,318,993</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1,318,993</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0.0%</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0.0%</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Treasury stock</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7"/>
              </w:rPr>
              <w:t>(208,879)</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7"/>
              </w:rPr>
              <w:t>(209,845)</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(209,845)</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0.0%</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0.5%</w:t>
            </w:r>
          </w:p>
        </w:tc>
      </w:tr>
      <w:tr>
        <w:trPr>
          <w:trHeight w:val="121"/>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Capital surplus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176,307</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5"/>
              </w:rPr>
              <w:t>139,528</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148,729</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6.6%</w:t>
            </w:r>
          </w:p>
        </w:tc>
        <w:tc>
          <w:tcPr>
            <w:tcW w:w="128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7"/>
              </w:rPr>
              <w:t>-15.6%</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Reserves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27,202,665</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29,628,427</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29,648,582</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0.1%</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5"/>
              </w:rPr>
              <w:t>9.0%</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Other reserves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214,627</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5"/>
              </w:rPr>
              <w:t>353,144</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544,767</w:t>
            </w:r>
          </w:p>
        </w:tc>
        <w:tc>
          <w:tcPr>
            <w:tcW w:w="680" w:type="dxa"/>
            <w:vAlign w:val="bottom"/>
          </w:tcPr>
          <w:p>
            <w:pPr>
              <w:jc w:val="center"/>
              <w:ind w:left="206"/>
              <w:spacing w:after="0" w:line="122" w:lineRule="exact"/>
              <w:rPr>
                <w:sz w:val="20"/>
                <w:szCs w:val="20"/>
                <w:color w:val="auto"/>
              </w:rPr>
            </w:pPr>
            <w:r>
              <w:rPr>
                <w:rFonts w:ascii="Arial" w:cs="Arial" w:eastAsia="Arial" w:hAnsi="Arial"/>
                <w:sz w:val="11"/>
                <w:szCs w:val="11"/>
                <w:color w:val="auto"/>
                <w:w w:val="96"/>
              </w:rPr>
              <w:t>54.3%</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6"/>
              </w:rPr>
              <w:t>153.8%</w:t>
            </w:r>
          </w:p>
        </w:tc>
      </w:tr>
      <w:tr>
        <w:trPr>
          <w:trHeight w:val="146"/>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Retained earnings</w:t>
            </w:r>
          </w:p>
        </w:tc>
        <w:tc>
          <w:tcPr>
            <w:tcW w:w="940" w:type="dxa"/>
            <w:vAlign w:val="bottom"/>
          </w:tcPr>
          <w:p>
            <w:pPr>
              <w:jc w:val="center"/>
              <w:spacing w:after="0"/>
              <w:rPr>
                <w:sz w:val="20"/>
                <w:szCs w:val="20"/>
                <w:color w:val="auto"/>
              </w:rPr>
            </w:pPr>
            <w:r>
              <w:rPr>
                <w:rFonts w:ascii="Arial" w:cs="Arial" w:eastAsia="Arial" w:hAnsi="Arial"/>
                <w:sz w:val="11"/>
                <w:szCs w:val="11"/>
                <w:color w:val="auto"/>
                <w:w w:val="97"/>
              </w:rPr>
              <w:t>5,642,738</w:t>
            </w:r>
          </w:p>
        </w:tc>
        <w:tc>
          <w:tcPr>
            <w:tcW w:w="980" w:type="dxa"/>
            <w:vAlign w:val="bottom"/>
          </w:tcPr>
          <w:p>
            <w:pPr>
              <w:jc w:val="center"/>
              <w:spacing w:after="0"/>
              <w:rPr>
                <w:sz w:val="20"/>
                <w:szCs w:val="20"/>
                <w:color w:val="auto"/>
              </w:rPr>
            </w:pPr>
            <w:r>
              <w:rPr>
                <w:rFonts w:ascii="Arial" w:cs="Arial" w:eastAsia="Arial" w:hAnsi="Arial"/>
                <w:sz w:val="11"/>
                <w:szCs w:val="11"/>
                <w:color w:val="auto"/>
                <w:w w:val="97"/>
              </w:rPr>
              <w:t>5,330,255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6,915,724</w:t>
            </w:r>
          </w:p>
        </w:tc>
        <w:tc>
          <w:tcPr>
            <w:tcW w:w="680" w:type="dxa"/>
            <w:vAlign w:val="bottom"/>
          </w:tcPr>
          <w:p>
            <w:pPr>
              <w:jc w:val="center"/>
              <w:ind w:left="206"/>
              <w:spacing w:after="0"/>
              <w:rPr>
                <w:sz w:val="20"/>
                <w:szCs w:val="20"/>
                <w:color w:val="auto"/>
              </w:rPr>
            </w:pPr>
            <w:r>
              <w:rPr>
                <w:rFonts w:ascii="Arial" w:cs="Arial" w:eastAsia="Arial" w:hAnsi="Arial"/>
                <w:sz w:val="11"/>
                <w:szCs w:val="11"/>
                <w:color w:val="auto"/>
                <w:w w:val="96"/>
              </w:rPr>
              <w:t>29.7%</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rPr>
              <w:t>22.6%</w:t>
            </w:r>
          </w:p>
        </w:tc>
      </w:tr>
      <w:tr>
        <w:trPr>
          <w:trHeight w:val="243"/>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Non-controlling interest</w:t>
            </w:r>
          </w:p>
        </w:tc>
        <w:tc>
          <w:tcPr>
            <w:tcW w:w="940" w:type="dxa"/>
            <w:vAlign w:val="bottom"/>
          </w:tcPr>
          <w:p>
            <w:pPr>
              <w:jc w:val="center"/>
              <w:spacing w:after="0"/>
              <w:rPr>
                <w:sz w:val="20"/>
                <w:szCs w:val="20"/>
                <w:color w:val="auto"/>
              </w:rPr>
            </w:pPr>
            <w:r>
              <w:rPr>
                <w:rFonts w:ascii="Arial" w:cs="Arial" w:eastAsia="Arial" w:hAnsi="Arial"/>
                <w:sz w:val="11"/>
                <w:szCs w:val="11"/>
                <w:color w:val="auto"/>
              </w:rPr>
              <w:t>630,783</w:t>
            </w:r>
          </w:p>
        </w:tc>
        <w:tc>
          <w:tcPr>
            <w:tcW w:w="980" w:type="dxa"/>
            <w:vAlign w:val="bottom"/>
          </w:tcPr>
          <w:p>
            <w:pPr>
              <w:jc w:val="center"/>
              <w:spacing w:after="0"/>
              <w:rPr>
                <w:sz w:val="20"/>
                <w:szCs w:val="20"/>
                <w:color w:val="auto"/>
              </w:rPr>
            </w:pPr>
            <w:r>
              <w:rPr>
                <w:rFonts w:ascii="Arial" w:cs="Arial" w:eastAsia="Arial" w:hAnsi="Arial"/>
                <w:sz w:val="11"/>
                <w:szCs w:val="11"/>
                <w:color w:val="auto"/>
                <w:w w:val="95"/>
              </w:rPr>
              <w:t>695,271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729,159</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4.9%</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color w:val="auto"/>
              </w:rPr>
              <w:t>15.6%</w:t>
            </w:r>
          </w:p>
        </w:tc>
      </w:tr>
      <w:tr>
        <w:trPr>
          <w:trHeight w:val="249"/>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Total Net Equity</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34,977,234</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37,255,773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39,096,109</w:t>
            </w:r>
          </w:p>
        </w:tc>
        <w:tc>
          <w:tcPr>
            <w:tcW w:w="68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4.9%</w:t>
            </w:r>
          </w:p>
        </w:tc>
        <w:tc>
          <w:tcPr>
            <w:tcW w:w="128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11.8%</w:t>
            </w:r>
          </w:p>
        </w:tc>
      </w:tr>
      <w:tr>
        <w:trPr>
          <w:trHeight w:val="243"/>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256,088,940</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255,180,624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267,362,533</w:t>
            </w:r>
          </w:p>
        </w:tc>
        <w:tc>
          <w:tcPr>
            <w:tcW w:w="68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4.8%</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5"/>
              </w:rPr>
              <w:t>4.4%</w:t>
            </w:r>
          </w:p>
        </w:tc>
      </w:tr>
      <w:tr>
        <w:trPr>
          <w:trHeight w:val="213"/>
        </w:trPr>
        <w:tc>
          <w:tcPr>
            <w:tcW w:w="4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Off-balance sheet</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151,223,851</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153,289,772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142,310,181</w:t>
            </w:r>
          </w:p>
        </w:tc>
        <w:tc>
          <w:tcPr>
            <w:tcW w:w="680" w:type="dxa"/>
            <w:vAlign w:val="bottom"/>
          </w:tcPr>
          <w:p>
            <w:pPr>
              <w:jc w:val="center"/>
              <w:ind w:left="226"/>
              <w:spacing w:after="0"/>
              <w:rPr>
                <w:sz w:val="20"/>
                <w:szCs w:val="20"/>
                <w:color w:val="auto"/>
              </w:rPr>
            </w:pPr>
            <w:r>
              <w:rPr>
                <w:rFonts w:ascii="Arial" w:cs="Arial" w:eastAsia="Arial" w:hAnsi="Arial"/>
                <w:sz w:val="11"/>
                <w:szCs w:val="11"/>
                <w:b w:val="1"/>
                <w:bCs w:val="1"/>
                <w:color w:val="auto"/>
                <w:w w:val="97"/>
              </w:rPr>
              <w:t>-7.2%</w:t>
            </w:r>
          </w:p>
        </w:tc>
        <w:tc>
          <w:tcPr>
            <w:tcW w:w="1280" w:type="dxa"/>
            <w:vAlign w:val="bottom"/>
            <w:tcBorders>
              <w:right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-5.9%</w:t>
            </w:r>
          </w:p>
        </w:tc>
      </w:tr>
      <w:tr>
        <w:trPr>
          <w:trHeight w:val="121"/>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Total performance bonds, stand-by and L/Cs.</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22,139,322</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21,007,568</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21,267,157</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1.2%</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7"/>
              </w:rPr>
              <w:t>-3.9%</w:t>
            </w:r>
          </w:p>
        </w:tc>
      </w:tr>
      <w:tr>
        <w:trPr>
          <w:trHeight w:val="122"/>
        </w:trPr>
        <w:tc>
          <w:tcPr>
            <w:tcW w:w="418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Undrawn credit lines, advised but not committed</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8"/>
              </w:rPr>
              <w:t>85,269,774</w:t>
            </w:r>
          </w:p>
        </w:tc>
        <w:tc>
          <w:tcPr>
            <w:tcW w:w="980" w:type="dxa"/>
            <w:vAlign w:val="bottom"/>
          </w:tcPr>
          <w:p>
            <w:pPr>
              <w:jc w:val="center"/>
              <w:spacing w:after="0" w:line="122" w:lineRule="exact"/>
              <w:rPr>
                <w:sz w:val="20"/>
                <w:szCs w:val="20"/>
                <w:color w:val="auto"/>
              </w:rPr>
            </w:pPr>
            <w:r>
              <w:rPr>
                <w:rFonts w:ascii="Arial" w:cs="Arial" w:eastAsia="Arial" w:hAnsi="Arial"/>
                <w:sz w:val="11"/>
                <w:szCs w:val="11"/>
                <w:color w:val="auto"/>
                <w:w w:val="98"/>
              </w:rPr>
              <w:t>78,586,547</w:t>
            </w:r>
          </w:p>
        </w:tc>
        <w:tc>
          <w:tcPr>
            <w:tcW w:w="9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80,250,985</w:t>
            </w:r>
          </w:p>
        </w:tc>
        <w:tc>
          <w:tcPr>
            <w:tcW w:w="68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5"/>
              </w:rPr>
              <w:t>2.1%</w:t>
            </w:r>
          </w:p>
        </w:tc>
        <w:tc>
          <w:tcPr>
            <w:tcW w:w="1280" w:type="dxa"/>
            <w:vAlign w:val="bottom"/>
            <w:tcBorders>
              <w:right w:val="single" w:sz="8" w:color="auto"/>
            </w:tcBorders>
          </w:tcPr>
          <w:p>
            <w:pPr>
              <w:jc w:val="center"/>
              <w:ind w:left="186"/>
              <w:spacing w:after="0" w:line="122" w:lineRule="exact"/>
              <w:rPr>
                <w:sz w:val="20"/>
                <w:szCs w:val="20"/>
                <w:color w:val="auto"/>
              </w:rPr>
            </w:pPr>
            <w:r>
              <w:rPr>
                <w:rFonts w:ascii="Arial" w:cs="Arial" w:eastAsia="Arial" w:hAnsi="Arial"/>
                <w:sz w:val="11"/>
                <w:szCs w:val="11"/>
                <w:color w:val="auto"/>
                <w:w w:val="97"/>
              </w:rPr>
              <w:t>-5.9%</w:t>
            </w:r>
          </w:p>
        </w:tc>
      </w:tr>
      <w:tr>
        <w:trPr>
          <w:trHeight w:val="139"/>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derivatives (notional) and others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43,814,755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53,695,657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40,792,039</w:t>
            </w:r>
          </w:p>
        </w:tc>
        <w:tc>
          <w:tcPr>
            <w:tcW w:w="680" w:type="dxa"/>
            <w:vAlign w:val="bottom"/>
            <w:tcBorders>
              <w:bottom w:val="single" w:sz="8" w:color="auto"/>
            </w:tcBorders>
          </w:tcPr>
          <w:p>
            <w:pPr>
              <w:jc w:val="center"/>
              <w:ind w:left="206"/>
              <w:spacing w:after="0"/>
              <w:rPr>
                <w:sz w:val="20"/>
                <w:szCs w:val="20"/>
                <w:color w:val="auto"/>
              </w:rPr>
            </w:pPr>
            <w:r>
              <w:rPr>
                <w:rFonts w:ascii="Arial" w:cs="Arial" w:eastAsia="Arial" w:hAnsi="Arial"/>
                <w:sz w:val="11"/>
                <w:szCs w:val="11"/>
                <w:color w:val="auto"/>
                <w:w w:val="97"/>
              </w:rPr>
              <w:t>-24.0%</w:t>
            </w:r>
          </w:p>
        </w:tc>
        <w:tc>
          <w:tcPr>
            <w:tcW w:w="1280" w:type="dxa"/>
            <w:vAlign w:val="bottom"/>
            <w:tcBorders>
              <w:bottom w:val="single" w:sz="8" w:color="auto"/>
              <w:right w:val="single" w:sz="8" w:color="auto"/>
            </w:tcBorders>
          </w:tcPr>
          <w:p>
            <w:pPr>
              <w:jc w:val="center"/>
              <w:ind w:left="186"/>
              <w:spacing w:after="0"/>
              <w:rPr>
                <w:sz w:val="20"/>
                <w:szCs w:val="20"/>
                <w:color w:val="auto"/>
              </w:rPr>
            </w:pPr>
            <w:r>
              <w:rPr>
                <w:rFonts w:ascii="Arial" w:cs="Arial" w:eastAsia="Arial" w:hAnsi="Arial"/>
                <w:sz w:val="11"/>
                <w:szCs w:val="11"/>
                <w:color w:val="auto"/>
                <w:w w:val="97"/>
              </w:rPr>
              <w:t>-6.9%</w:t>
            </w:r>
          </w:p>
        </w:tc>
      </w:tr>
    </w:tbl>
    <w:p>
      <w:pPr>
        <w:spacing w:after="0" w:line="177"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(1) Includes mainly accounts receivables from brokerage and others.</w:t>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 Due to reclassifications, the Balance Sheet may differ from those reported in previous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802640</wp:posOffset>
            </wp:positionV>
            <wp:extent cx="71577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116840</wp:posOffset>
            </wp:positionV>
            <wp:extent cx="6772275" cy="5829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2275" cy="582930"/>
                    </a:xfrm>
                    <a:prstGeom prst="rect">
                      <a:avLst/>
                    </a:prstGeom>
                    <a:noFill/>
                  </pic:spPr>
                </pic:pic>
              </a:graphicData>
            </a:graphic>
          </wp:anchor>
        </w:drawing>
      </w:r>
    </w:p>
    <w:p>
      <w:pPr>
        <w:sectPr>
          <w:pgSz w:w="11920" w:h="16838" w:orient="portrait"/>
          <w:cols w:equalWidth="0" w:num="1">
            <w:col w:w="11220"/>
          </w:cols>
          <w:pgMar w:left="340" w:top="515" w:right="358" w:bottom="1440" w:gutter="0" w:footer="0" w:header="0"/>
        </w:sectPr>
      </w:pPr>
    </w:p>
    <w:bookmarkStart w:id="62" w:name="page63"/>
    <w:bookmarkEnd w:id="62"/>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3180" w:type="dxa"/>
            <w:vAlign w:val="bottom"/>
            <w:tcBorders>
              <w:top w:val="single" w:sz="8" w:color="auto"/>
              <w:left w:val="single" w:sz="8" w:color="auto"/>
              <w:right w:val="single" w:sz="8" w:color="auto"/>
            </w:tcBorders>
            <w:shd w:val="clear" w:color="auto" w:fill="1DD5CC"/>
          </w:tcPr>
          <w:p>
            <w:pPr>
              <w:spacing w:after="0"/>
              <w:rPr>
                <w:sz w:val="11"/>
                <w:szCs w:val="11"/>
                <w:color w:val="auto"/>
              </w:rPr>
            </w:pPr>
          </w:p>
        </w:tc>
        <w:tc>
          <w:tcPr>
            <w:tcW w:w="1000" w:type="dxa"/>
            <w:vAlign w:val="bottom"/>
            <w:tcBorders>
              <w:top w:val="single" w:sz="8" w:color="auto"/>
            </w:tcBorders>
            <w:shd w:val="clear" w:color="auto" w:fill="1DD5CC"/>
          </w:tcPr>
          <w:p>
            <w:pPr>
              <w:spacing w:after="0"/>
              <w:rPr>
                <w:sz w:val="11"/>
                <w:szCs w:val="11"/>
                <w:color w:val="auto"/>
              </w:rPr>
            </w:pPr>
          </w:p>
        </w:tc>
        <w:tc>
          <w:tcPr>
            <w:tcW w:w="1020" w:type="dxa"/>
            <w:vAlign w:val="bottom"/>
            <w:tcBorders>
              <w:top w:val="single" w:sz="8" w:color="auto"/>
            </w:tcBorders>
            <w:shd w:val="clear" w:color="auto" w:fill="1DD5CC"/>
          </w:tcPr>
          <w:p>
            <w:pPr>
              <w:ind w:left="340"/>
              <w:spacing w:after="0"/>
              <w:rPr>
                <w:sz w:val="20"/>
                <w:szCs w:val="20"/>
                <w:color w:val="auto"/>
              </w:rPr>
            </w:pPr>
            <w:r>
              <w:rPr>
                <w:rFonts w:ascii="Arial" w:cs="Arial" w:eastAsia="Arial" w:hAnsi="Arial"/>
                <w:sz w:val="10"/>
                <w:szCs w:val="10"/>
                <w:b w:val="1"/>
                <w:bCs w:val="1"/>
                <w:color w:val="FFFFFF"/>
              </w:rPr>
              <w:t>Quarter</w:t>
            </w:r>
          </w:p>
        </w:tc>
        <w:tc>
          <w:tcPr>
            <w:tcW w:w="1020" w:type="dxa"/>
            <w:vAlign w:val="bottom"/>
            <w:tcBorders>
              <w:top w:val="single" w:sz="8" w:color="auto"/>
              <w:right w:val="single" w:sz="8" w:color="auto"/>
            </w:tcBorders>
            <w:shd w:val="clear" w:color="auto" w:fill="1DD5CC"/>
          </w:tcPr>
          <w:p>
            <w:pPr>
              <w:spacing w:after="0"/>
              <w:rPr>
                <w:sz w:val="11"/>
                <w:szCs w:val="11"/>
                <w:color w:val="auto"/>
              </w:rPr>
            </w:pPr>
          </w:p>
        </w:tc>
        <w:tc>
          <w:tcPr>
            <w:tcW w:w="1280" w:type="dxa"/>
            <w:vAlign w:val="bottom"/>
            <w:tcBorders>
              <w:top w:val="single" w:sz="8" w:color="auto"/>
            </w:tcBorders>
            <w:shd w:val="clear" w:color="auto" w:fill="1DD5CC"/>
          </w:tcPr>
          <w:p>
            <w:pPr>
              <w:ind w:left="780"/>
              <w:spacing w:after="0"/>
              <w:rPr>
                <w:sz w:val="20"/>
                <w:szCs w:val="20"/>
                <w:color w:val="auto"/>
              </w:rPr>
            </w:pPr>
            <w:r>
              <w:rPr>
                <w:rFonts w:ascii="Arial" w:cs="Arial" w:eastAsia="Arial" w:hAnsi="Arial"/>
                <w:sz w:val="10"/>
                <w:szCs w:val="10"/>
                <w:b w:val="1"/>
                <w:bCs w:val="1"/>
                <w:color w:val="FFFFFF"/>
              </w:rPr>
              <w:t>% change</w:t>
            </w:r>
          </w:p>
        </w:tc>
        <w:tc>
          <w:tcPr>
            <w:tcW w:w="760" w:type="dxa"/>
            <w:vAlign w:val="bottom"/>
            <w:tcBorders>
              <w:top w:val="single" w:sz="8" w:color="auto"/>
              <w:right w:val="single" w:sz="8" w:color="auto"/>
            </w:tcBorders>
            <w:shd w:val="clear" w:color="auto" w:fill="1DD5CC"/>
          </w:tcPr>
          <w:p>
            <w:pPr>
              <w:spacing w:after="0"/>
              <w:rPr>
                <w:sz w:val="11"/>
                <w:szCs w:val="11"/>
                <w:color w:val="auto"/>
              </w:rPr>
            </w:pPr>
          </w:p>
        </w:tc>
        <w:tc>
          <w:tcPr>
            <w:tcW w:w="820" w:type="dxa"/>
            <w:vAlign w:val="bottom"/>
            <w:tcBorders>
              <w:top w:val="single" w:sz="8" w:color="auto"/>
            </w:tcBorders>
            <w:shd w:val="clear" w:color="auto" w:fill="1DD5CC"/>
          </w:tcPr>
          <w:p>
            <w:pPr>
              <w:spacing w:after="0"/>
              <w:rPr>
                <w:sz w:val="11"/>
                <w:szCs w:val="11"/>
                <w:color w:val="auto"/>
              </w:rPr>
            </w:pPr>
          </w:p>
        </w:tc>
        <w:tc>
          <w:tcPr>
            <w:tcW w:w="1180" w:type="dxa"/>
            <w:vAlign w:val="bottom"/>
            <w:tcBorders>
              <w:top w:val="single" w:sz="8" w:color="auto"/>
            </w:tcBorders>
            <w:shd w:val="clear" w:color="auto" w:fill="1DD5CC"/>
          </w:tcPr>
          <w:p>
            <w:pPr>
              <w:ind w:left="40"/>
              <w:spacing w:after="0"/>
              <w:rPr>
                <w:sz w:val="20"/>
                <w:szCs w:val="20"/>
                <w:color w:val="auto"/>
              </w:rPr>
            </w:pPr>
            <w:r>
              <w:rPr>
                <w:rFonts w:ascii="Arial" w:cs="Arial" w:eastAsia="Arial" w:hAnsi="Arial"/>
                <w:sz w:val="10"/>
                <w:szCs w:val="10"/>
                <w:b w:val="1"/>
                <w:bCs w:val="1"/>
                <w:color w:val="FFFFFF"/>
              </w:rPr>
              <w:t>Up to</w:t>
            </w:r>
          </w:p>
        </w:tc>
        <w:tc>
          <w:tcPr>
            <w:tcW w:w="1020" w:type="dxa"/>
            <w:vAlign w:val="bottom"/>
            <w:tcBorders>
              <w:top w:val="single" w:sz="8" w:color="auto"/>
              <w:right w:val="single" w:sz="8" w:color="auto"/>
            </w:tcBorders>
            <w:shd w:val="clear" w:color="auto" w:fill="1DD5CC"/>
          </w:tcPr>
          <w:p>
            <w:pPr>
              <w:jc w:val="center"/>
              <w:spacing w:after="0"/>
              <w:rPr>
                <w:sz w:val="20"/>
                <w:szCs w:val="20"/>
                <w:color w:val="auto"/>
              </w:rPr>
            </w:pPr>
            <w:r>
              <w:rPr>
                <w:rFonts w:ascii="Arial" w:cs="Arial" w:eastAsia="Arial" w:hAnsi="Arial"/>
                <w:sz w:val="10"/>
                <w:szCs w:val="10"/>
                <w:b w:val="1"/>
                <w:bCs w:val="1"/>
                <w:color w:val="FFFFFF"/>
                <w:w w:val="98"/>
              </w:rPr>
              <w:t>% change</w:t>
            </w:r>
          </w:p>
        </w:tc>
        <w:tc>
          <w:tcPr>
            <w:tcW w:w="0" w:type="dxa"/>
            <w:vAlign w:val="bottom"/>
          </w:tcPr>
          <w:p>
            <w:pPr>
              <w:spacing w:after="0"/>
              <w:rPr>
                <w:sz w:val="1"/>
                <w:szCs w:val="1"/>
                <w:color w:val="auto"/>
              </w:rPr>
            </w:pPr>
          </w:p>
        </w:tc>
      </w:tr>
      <w:tr>
        <w:trPr>
          <w:trHeight w:val="121"/>
        </w:trPr>
        <w:tc>
          <w:tcPr>
            <w:tcW w:w="3180" w:type="dxa"/>
            <w:vAlign w:val="bottom"/>
            <w:tcBorders>
              <w:left w:val="single" w:sz="8" w:color="auto"/>
              <w:bottom w:val="single" w:sz="8" w:color="auto"/>
              <w:right w:val="single" w:sz="8" w:color="auto"/>
            </w:tcBorders>
            <w:shd w:val="clear" w:color="auto" w:fill="1DD5CC"/>
          </w:tcPr>
          <w:p>
            <w:pPr>
              <w:spacing w:after="0"/>
              <w:rPr>
                <w:sz w:val="10"/>
                <w:szCs w:val="10"/>
                <w:color w:val="auto"/>
              </w:rPr>
            </w:pP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4Q24</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3Q25</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4Q25</w:t>
            </w:r>
          </w:p>
        </w:tc>
        <w:tc>
          <w:tcPr>
            <w:tcW w:w="1280" w:type="dxa"/>
            <w:vAlign w:val="bottom"/>
            <w:tcBorders>
              <w:bottom w:val="single" w:sz="8" w:color="auto"/>
            </w:tcBorders>
            <w:shd w:val="clear" w:color="auto" w:fill="1DD5CC"/>
          </w:tcPr>
          <w:p>
            <w:pPr>
              <w:jc w:val="center"/>
              <w:ind w:right="211"/>
              <w:spacing w:after="0"/>
              <w:rPr>
                <w:sz w:val="20"/>
                <w:szCs w:val="20"/>
                <w:color w:val="auto"/>
              </w:rPr>
            </w:pPr>
            <w:r>
              <w:rPr>
                <w:rFonts w:ascii="Arial" w:cs="Arial" w:eastAsia="Arial" w:hAnsi="Arial"/>
                <w:sz w:val="10"/>
                <w:szCs w:val="10"/>
                <w:b w:val="1"/>
                <w:bCs w:val="1"/>
                <w:color w:val="FFFFFF"/>
              </w:rPr>
              <w:t>QoQ</w:t>
            </w:r>
          </w:p>
        </w:tc>
        <w:tc>
          <w:tcPr>
            <w:tcW w:w="760" w:type="dxa"/>
            <w:vAlign w:val="bottom"/>
            <w:tcBorders>
              <w:bottom w:val="single" w:sz="8" w:color="auto"/>
              <w:right w:val="single" w:sz="8" w:color="auto"/>
            </w:tcBorders>
            <w:shd w:val="clear" w:color="auto" w:fill="1DD5CC"/>
          </w:tcPr>
          <w:p>
            <w:pPr>
              <w:ind w:left="140"/>
              <w:spacing w:after="0"/>
              <w:rPr>
                <w:sz w:val="20"/>
                <w:szCs w:val="20"/>
                <w:color w:val="auto"/>
              </w:rPr>
            </w:pPr>
            <w:r>
              <w:rPr>
                <w:rFonts w:ascii="Arial" w:cs="Arial" w:eastAsia="Arial" w:hAnsi="Arial"/>
                <w:sz w:val="10"/>
                <w:szCs w:val="10"/>
                <w:b w:val="1"/>
                <w:bCs w:val="1"/>
                <w:color w:val="FFFFFF"/>
              </w:rPr>
              <w:t>YoY</w:t>
            </w:r>
          </w:p>
        </w:tc>
        <w:tc>
          <w:tcPr>
            <w:tcW w:w="820" w:type="dxa"/>
            <w:vAlign w:val="bottom"/>
            <w:tcBorders>
              <w:bottom w:val="single" w:sz="8" w:color="auto"/>
            </w:tcBorders>
            <w:shd w:val="clear" w:color="auto" w:fill="1DD5CC"/>
          </w:tcPr>
          <w:p>
            <w:pPr>
              <w:jc w:val="center"/>
              <w:ind w:left="151"/>
              <w:spacing w:after="0"/>
              <w:rPr>
                <w:sz w:val="20"/>
                <w:szCs w:val="20"/>
                <w:color w:val="auto"/>
              </w:rPr>
            </w:pPr>
            <w:r>
              <w:rPr>
                <w:rFonts w:ascii="Arial" w:cs="Arial" w:eastAsia="Arial" w:hAnsi="Arial"/>
                <w:sz w:val="10"/>
                <w:szCs w:val="10"/>
                <w:b w:val="1"/>
                <w:bCs w:val="1"/>
                <w:color w:val="FFFFFF"/>
                <w:w w:val="98"/>
              </w:rPr>
              <w:t>2024</w:t>
            </w:r>
          </w:p>
        </w:tc>
        <w:tc>
          <w:tcPr>
            <w:tcW w:w="1180" w:type="dxa"/>
            <w:vAlign w:val="bottom"/>
            <w:tcBorders>
              <w:bottom w:val="single" w:sz="8" w:color="auto"/>
            </w:tcBorders>
            <w:shd w:val="clear" w:color="auto" w:fill="1DD5CC"/>
          </w:tcPr>
          <w:p>
            <w:pPr>
              <w:jc w:val="center"/>
              <w:ind w:left="111"/>
              <w:spacing w:after="0"/>
              <w:rPr>
                <w:sz w:val="20"/>
                <w:szCs w:val="20"/>
                <w:color w:val="auto"/>
              </w:rPr>
            </w:pPr>
            <w:r>
              <w:rPr>
                <w:rFonts w:ascii="Arial" w:cs="Arial" w:eastAsia="Arial" w:hAnsi="Arial"/>
                <w:sz w:val="10"/>
                <w:szCs w:val="10"/>
                <w:b w:val="1"/>
                <w:bCs w:val="1"/>
                <w:color w:val="FFFFFF"/>
                <w:w w:val="98"/>
              </w:rPr>
              <w:t>2025</w:t>
            </w:r>
          </w:p>
        </w:tc>
        <w:tc>
          <w:tcPr>
            <w:tcW w:w="1020" w:type="dxa"/>
            <w:vAlign w:val="bottom"/>
            <w:tcBorders>
              <w:bottom w:val="single" w:sz="8" w:color="auto"/>
              <w:right w:val="single" w:sz="8" w:color="auto"/>
            </w:tcBorders>
            <w:shd w:val="clear" w:color="auto" w:fill="1DD5CC"/>
          </w:tcPr>
          <w:p>
            <w:pPr>
              <w:jc w:val="center"/>
              <w:ind w:right="11"/>
              <w:spacing w:after="0"/>
              <w:rPr>
                <w:sz w:val="20"/>
                <w:szCs w:val="20"/>
                <w:color w:val="auto"/>
              </w:rPr>
            </w:pPr>
            <w:r>
              <w:rPr>
                <w:rFonts w:ascii="Arial" w:cs="Arial" w:eastAsia="Arial" w:hAnsi="Arial"/>
                <w:sz w:val="10"/>
                <w:szCs w:val="10"/>
                <w:b w:val="1"/>
                <w:bCs w:val="1"/>
                <w:color w:val="FFFFFF"/>
                <w:w w:val="98"/>
              </w:rPr>
              <w:t>2025 / 2024</w:t>
            </w: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tcPr>
          <w:p>
            <w:pPr>
              <w:spacing w:after="0" w:line="108" w:lineRule="exact"/>
              <w:rPr>
                <w:sz w:val="20"/>
                <w:szCs w:val="20"/>
                <w:color w:val="auto"/>
              </w:rPr>
            </w:pPr>
            <w:r>
              <w:rPr>
                <w:rFonts w:ascii="Arial" w:cs="Arial" w:eastAsia="Arial" w:hAnsi="Arial"/>
                <w:sz w:val="10"/>
                <w:szCs w:val="10"/>
                <w:b w:val="1"/>
                <w:bCs w:val="1"/>
                <w:color w:val="auto"/>
              </w:rPr>
              <w:t>Interest income and expense</w:t>
            </w: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Interest and similar income</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5,012,121</w:t>
            </w:r>
          </w:p>
        </w:tc>
        <w:tc>
          <w:tcPr>
            <w:tcW w:w="1020" w:type="dxa"/>
            <w:vAlign w:val="bottom"/>
          </w:tcPr>
          <w:p>
            <w:pPr>
              <w:jc w:val="center"/>
              <w:spacing w:after="0"/>
              <w:rPr>
                <w:sz w:val="20"/>
                <w:szCs w:val="20"/>
                <w:color w:val="auto"/>
              </w:rPr>
            </w:pPr>
            <w:r>
              <w:rPr>
                <w:rFonts w:ascii="Arial" w:cs="Arial" w:eastAsia="Arial" w:hAnsi="Arial"/>
                <w:sz w:val="10"/>
                <w:szCs w:val="10"/>
                <w:color w:val="auto"/>
                <w:w w:val="98"/>
              </w:rPr>
              <w:t>4,987,693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5,125,394</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2.8%</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rPr>
              <w:t>2.3%</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5"/>
              </w:rPr>
              <w:t>19,869,256</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9"/>
              </w:rPr>
              <w:t>19,930,169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0.3%</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Interest and similar expenses</w:t>
            </w:r>
          </w:p>
        </w:tc>
        <w:tc>
          <w:tcPr>
            <w:tcW w:w="1000" w:type="dxa"/>
            <w:vAlign w:val="bottom"/>
          </w:tcPr>
          <w:p>
            <w:pPr>
              <w:jc w:val="center"/>
              <w:spacing w:after="0"/>
              <w:rPr>
                <w:sz w:val="20"/>
                <w:szCs w:val="20"/>
                <w:color w:val="auto"/>
              </w:rPr>
            </w:pPr>
            <w:r>
              <w:rPr>
                <w:rFonts w:ascii="Arial" w:cs="Arial" w:eastAsia="Arial" w:hAnsi="Arial"/>
                <w:sz w:val="10"/>
                <w:szCs w:val="10"/>
                <w:color w:val="auto"/>
                <w:w w:val="97"/>
              </w:rPr>
              <w:t>(1,382,327)</w:t>
            </w:r>
          </w:p>
        </w:tc>
        <w:tc>
          <w:tcPr>
            <w:tcW w:w="1020" w:type="dxa"/>
            <w:vAlign w:val="bottom"/>
          </w:tcPr>
          <w:p>
            <w:pPr>
              <w:jc w:val="center"/>
              <w:spacing w:after="0"/>
              <w:rPr>
                <w:sz w:val="20"/>
                <w:szCs w:val="20"/>
                <w:color w:val="auto"/>
              </w:rPr>
            </w:pPr>
            <w:r>
              <w:rPr>
                <w:rFonts w:ascii="Arial" w:cs="Arial" w:eastAsia="Arial" w:hAnsi="Arial"/>
                <w:sz w:val="10"/>
                <w:szCs w:val="10"/>
                <w:color w:val="auto"/>
                <w:w w:val="97"/>
              </w:rPr>
              <w:t>(1,299,864)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(1,284,127)</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9"/>
              </w:rPr>
              <w:t>-1.2%</w:t>
            </w:r>
          </w:p>
        </w:tc>
        <w:tc>
          <w:tcPr>
            <w:tcW w:w="760" w:type="dxa"/>
            <w:vAlign w:val="bottom"/>
            <w:tcBorders>
              <w:right w:val="single" w:sz="8" w:color="auto"/>
            </w:tcBorders>
          </w:tcPr>
          <w:p>
            <w:pPr>
              <w:jc w:val="center"/>
              <w:ind w:right="251"/>
              <w:spacing w:after="0"/>
              <w:rPr>
                <w:sz w:val="20"/>
                <w:szCs w:val="20"/>
                <w:color w:val="auto"/>
              </w:rPr>
            </w:pPr>
            <w:r>
              <w:rPr>
                <w:rFonts w:ascii="Arial" w:cs="Arial" w:eastAsia="Arial" w:hAnsi="Arial"/>
                <w:sz w:val="10"/>
                <w:szCs w:val="10"/>
                <w:color w:val="auto"/>
                <w:w w:val="99"/>
              </w:rPr>
              <w:t>-7.1%</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(5,754,125)</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(5,213,690)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-9.4%</w:t>
            </w:r>
          </w:p>
        </w:tc>
        <w:tc>
          <w:tcPr>
            <w:tcW w:w="0" w:type="dxa"/>
            <w:vAlign w:val="bottom"/>
          </w:tcPr>
          <w:p>
            <w:pPr>
              <w:spacing w:after="0"/>
              <w:rPr>
                <w:sz w:val="1"/>
                <w:szCs w:val="1"/>
                <w:color w:val="auto"/>
              </w:rPr>
            </w:pPr>
          </w:p>
        </w:tc>
      </w:tr>
      <w:tr>
        <w:trPr>
          <w:trHeight w:val="124"/>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Net interest, similar income and expenses</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8"/>
              </w:rPr>
              <w:t>3,629,794</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3,687,829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3,841,267</w:t>
            </w:r>
          </w:p>
        </w:tc>
        <w:tc>
          <w:tcPr>
            <w:tcW w:w="1280" w:type="dxa"/>
            <w:vAlign w:val="bottom"/>
          </w:tcPr>
          <w:p>
            <w:pPr>
              <w:jc w:val="center"/>
              <w:ind w:right="211"/>
              <w:spacing w:after="0"/>
              <w:rPr>
                <w:sz w:val="20"/>
                <w:szCs w:val="20"/>
                <w:color w:val="auto"/>
              </w:rPr>
            </w:pPr>
            <w:r>
              <w:rPr>
                <w:rFonts w:ascii="Arial" w:cs="Arial" w:eastAsia="Arial" w:hAnsi="Arial"/>
                <w:sz w:val="10"/>
                <w:szCs w:val="10"/>
                <w:b w:val="1"/>
                <w:bCs w:val="1"/>
                <w:color w:val="auto"/>
                <w:w w:val="96"/>
              </w:rPr>
              <w:t>4.2%</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rPr>
              <w:t>5.8%</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w w:val="95"/>
              </w:rPr>
              <w:t>14,115,131</w:t>
            </w:r>
          </w:p>
        </w:tc>
        <w:tc>
          <w:tcPr>
            <w:tcW w:w="1180" w:type="dxa"/>
            <w:vAlign w:val="bottom"/>
          </w:tcPr>
          <w:p>
            <w:pPr>
              <w:jc w:val="center"/>
              <w:ind w:left="111"/>
              <w:spacing w:after="0"/>
              <w:rPr>
                <w:sz w:val="20"/>
                <w:szCs w:val="20"/>
                <w:color w:val="auto"/>
              </w:rPr>
            </w:pPr>
            <w:r>
              <w:rPr>
                <w:rFonts w:ascii="Arial" w:cs="Arial" w:eastAsia="Arial" w:hAnsi="Arial"/>
                <w:sz w:val="10"/>
                <w:szCs w:val="10"/>
                <w:b w:val="1"/>
                <w:bCs w:val="1"/>
                <w:color w:val="auto"/>
                <w:w w:val="99"/>
              </w:rPr>
              <w:t>14,716,479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4.3%</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Provision for credit losses on loan portfolio</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(857,694)</w:t>
            </w:r>
          </w:p>
        </w:tc>
        <w:tc>
          <w:tcPr>
            <w:tcW w:w="1020" w:type="dxa"/>
            <w:vAlign w:val="bottom"/>
          </w:tcPr>
          <w:p>
            <w:pPr>
              <w:jc w:val="center"/>
              <w:spacing w:after="0"/>
              <w:rPr>
                <w:sz w:val="20"/>
                <w:szCs w:val="20"/>
                <w:color w:val="auto"/>
              </w:rPr>
            </w:pPr>
            <w:r>
              <w:rPr>
                <w:rFonts w:ascii="Arial" w:cs="Arial" w:eastAsia="Arial" w:hAnsi="Arial"/>
                <w:sz w:val="10"/>
                <w:szCs w:val="10"/>
                <w:color w:val="auto"/>
                <w:w w:val="98"/>
              </w:rPr>
              <w:t>(720,445)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(773,311)</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7.3%</w:t>
            </w:r>
          </w:p>
        </w:tc>
        <w:tc>
          <w:tcPr>
            <w:tcW w:w="760" w:type="dxa"/>
            <w:vAlign w:val="bottom"/>
            <w:tcBorders>
              <w:right w:val="single" w:sz="8" w:color="auto"/>
            </w:tcBorders>
          </w:tcPr>
          <w:p>
            <w:pPr>
              <w:jc w:val="center"/>
              <w:ind w:right="251"/>
              <w:spacing w:after="0"/>
              <w:rPr>
                <w:sz w:val="20"/>
                <w:szCs w:val="20"/>
                <w:color w:val="auto"/>
              </w:rPr>
            </w:pPr>
            <w:r>
              <w:rPr>
                <w:rFonts w:ascii="Arial" w:cs="Arial" w:eastAsia="Arial" w:hAnsi="Arial"/>
                <w:sz w:val="10"/>
                <w:szCs w:val="10"/>
                <w:color w:val="auto"/>
                <w:w w:val="99"/>
              </w:rPr>
              <w:t>-9.8%</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(3,943,301)</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(2,873,454)</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rPr>
              <w:t>-27.1%</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Recoveries of written-off loans</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114,398</w:t>
            </w:r>
          </w:p>
        </w:tc>
        <w:tc>
          <w:tcPr>
            <w:tcW w:w="1020" w:type="dxa"/>
            <w:vAlign w:val="bottom"/>
          </w:tcPr>
          <w:p>
            <w:pPr>
              <w:jc w:val="center"/>
              <w:spacing w:after="0"/>
              <w:rPr>
                <w:sz w:val="20"/>
                <w:szCs w:val="20"/>
                <w:color w:val="auto"/>
              </w:rPr>
            </w:pPr>
            <w:r>
              <w:rPr>
                <w:rFonts w:ascii="Arial" w:cs="Arial" w:eastAsia="Arial" w:hAnsi="Arial"/>
                <w:sz w:val="10"/>
                <w:szCs w:val="10"/>
                <w:color w:val="auto"/>
                <w:w w:val="93"/>
              </w:rPr>
              <w:t>117,527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127,025</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8.1%</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11.0%</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9"/>
              </w:rPr>
              <w:t>423,854</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9"/>
              </w:rPr>
              <w:t>467,198</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10.2%</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Provision for credit losses on loan portfolio, net of recoveries</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8"/>
              </w:rPr>
              <w:t>(743,296)</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(602,918)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(646,286)</w:t>
            </w:r>
          </w:p>
        </w:tc>
        <w:tc>
          <w:tcPr>
            <w:tcW w:w="1280" w:type="dxa"/>
            <w:vAlign w:val="bottom"/>
          </w:tcPr>
          <w:p>
            <w:pPr>
              <w:jc w:val="center"/>
              <w:ind w:right="211"/>
              <w:spacing w:after="0"/>
              <w:rPr>
                <w:sz w:val="20"/>
                <w:szCs w:val="20"/>
                <w:color w:val="auto"/>
              </w:rPr>
            </w:pPr>
            <w:r>
              <w:rPr>
                <w:rFonts w:ascii="Arial" w:cs="Arial" w:eastAsia="Arial" w:hAnsi="Arial"/>
                <w:sz w:val="10"/>
                <w:szCs w:val="10"/>
                <w:b w:val="1"/>
                <w:bCs w:val="1"/>
                <w:color w:val="auto"/>
                <w:w w:val="96"/>
              </w:rPr>
              <w:t>7.2%</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rPr>
              <w:t>-13.1%</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rPr>
              <w:t>(3,519,447)</w:t>
            </w:r>
          </w:p>
        </w:tc>
        <w:tc>
          <w:tcPr>
            <w:tcW w:w="1180" w:type="dxa"/>
            <w:vAlign w:val="bottom"/>
          </w:tcPr>
          <w:p>
            <w:pPr>
              <w:jc w:val="center"/>
              <w:ind w:left="111"/>
              <w:spacing w:after="0"/>
              <w:rPr>
                <w:sz w:val="20"/>
                <w:szCs w:val="20"/>
                <w:color w:val="auto"/>
              </w:rPr>
            </w:pPr>
            <w:r>
              <w:rPr>
                <w:rFonts w:ascii="Arial" w:cs="Arial" w:eastAsia="Arial" w:hAnsi="Arial"/>
                <w:sz w:val="10"/>
                <w:szCs w:val="10"/>
                <w:b w:val="1"/>
                <w:bCs w:val="1"/>
                <w:color w:val="auto"/>
                <w:w w:val="97"/>
              </w:rPr>
              <w:t>(2,406,256)</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b w:val="1"/>
                <w:bCs w:val="1"/>
                <w:color w:val="auto"/>
              </w:rPr>
              <w:t>-31.6%</w:t>
            </w:r>
          </w:p>
        </w:tc>
        <w:tc>
          <w:tcPr>
            <w:tcW w:w="0" w:type="dxa"/>
            <w:vAlign w:val="bottom"/>
          </w:tcPr>
          <w:p>
            <w:pPr>
              <w:spacing w:after="0"/>
              <w:rPr>
                <w:sz w:val="1"/>
                <w:szCs w:val="1"/>
                <w:color w:val="auto"/>
              </w:rPr>
            </w:pPr>
          </w:p>
        </w:tc>
      </w:tr>
      <w:tr>
        <w:trPr>
          <w:trHeight w:val="121"/>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Net interest, similar income and expenses, after provision for</w:t>
            </w:r>
          </w:p>
        </w:tc>
        <w:tc>
          <w:tcPr>
            <w:tcW w:w="10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2,886,498</w:t>
            </w:r>
          </w:p>
        </w:tc>
        <w:tc>
          <w:tcPr>
            <w:tcW w:w="1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3,084,911</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8"/>
              </w:rPr>
              <w:t>3,194,981</w:t>
            </w:r>
          </w:p>
        </w:tc>
        <w:tc>
          <w:tcPr>
            <w:tcW w:w="1280" w:type="dxa"/>
            <w:vAlign w:val="bottom"/>
            <w:vMerge w:val="restart"/>
          </w:tcPr>
          <w:p>
            <w:pPr>
              <w:jc w:val="center"/>
              <w:ind w:right="211"/>
              <w:spacing w:after="0"/>
              <w:rPr>
                <w:sz w:val="20"/>
                <w:szCs w:val="20"/>
                <w:color w:val="auto"/>
              </w:rPr>
            </w:pPr>
            <w:r>
              <w:rPr>
                <w:rFonts w:ascii="Arial" w:cs="Arial" w:eastAsia="Arial" w:hAnsi="Arial"/>
                <w:sz w:val="10"/>
                <w:szCs w:val="10"/>
                <w:b w:val="1"/>
                <w:bCs w:val="1"/>
                <w:color w:val="auto"/>
                <w:w w:val="96"/>
              </w:rPr>
              <w:t>3.6%</w:t>
            </w:r>
          </w:p>
        </w:tc>
        <w:tc>
          <w:tcPr>
            <w:tcW w:w="760" w:type="dxa"/>
            <w:vAlign w:val="bottom"/>
            <w:tcBorders>
              <w:right w:val="single" w:sz="8" w:color="auto"/>
            </w:tcBorders>
            <w:vMerge w:val="restart"/>
          </w:tcPr>
          <w:p>
            <w:pPr>
              <w:jc w:val="center"/>
              <w:ind w:right="231"/>
              <w:spacing w:after="0"/>
              <w:rPr>
                <w:sz w:val="20"/>
                <w:szCs w:val="20"/>
                <w:color w:val="auto"/>
              </w:rPr>
            </w:pPr>
            <w:r>
              <w:rPr>
                <w:rFonts w:ascii="Arial" w:cs="Arial" w:eastAsia="Arial" w:hAnsi="Arial"/>
                <w:sz w:val="10"/>
                <w:szCs w:val="10"/>
                <w:b w:val="1"/>
                <w:bCs w:val="1"/>
                <w:color w:val="auto"/>
                <w:w w:val="98"/>
              </w:rPr>
              <w:t>10.7%</w:t>
            </w:r>
          </w:p>
        </w:tc>
        <w:tc>
          <w:tcPr>
            <w:tcW w:w="820" w:type="dxa"/>
            <w:vAlign w:val="bottom"/>
            <w:vMerge w:val="restart"/>
          </w:tcPr>
          <w:p>
            <w:pPr>
              <w:jc w:val="center"/>
              <w:ind w:left="131"/>
              <w:spacing w:after="0"/>
              <w:rPr>
                <w:sz w:val="20"/>
                <w:szCs w:val="20"/>
                <w:color w:val="auto"/>
              </w:rPr>
            </w:pPr>
            <w:r>
              <w:rPr>
                <w:rFonts w:ascii="Arial" w:cs="Arial" w:eastAsia="Arial" w:hAnsi="Arial"/>
                <w:sz w:val="10"/>
                <w:szCs w:val="10"/>
                <w:b w:val="1"/>
                <w:bCs w:val="1"/>
                <w:color w:val="auto"/>
                <w:w w:val="95"/>
              </w:rPr>
              <w:t>10,595,684</w:t>
            </w:r>
          </w:p>
        </w:tc>
        <w:tc>
          <w:tcPr>
            <w:tcW w:w="1180" w:type="dxa"/>
            <w:vAlign w:val="bottom"/>
            <w:vMerge w:val="restart"/>
          </w:tcPr>
          <w:p>
            <w:pPr>
              <w:jc w:val="center"/>
              <w:ind w:left="111"/>
              <w:spacing w:after="0"/>
              <w:rPr>
                <w:sz w:val="20"/>
                <w:szCs w:val="20"/>
                <w:color w:val="auto"/>
              </w:rPr>
            </w:pPr>
            <w:r>
              <w:rPr>
                <w:rFonts w:ascii="Arial" w:cs="Arial" w:eastAsia="Arial" w:hAnsi="Arial"/>
                <w:sz w:val="10"/>
                <w:szCs w:val="10"/>
                <w:b w:val="1"/>
                <w:bCs w:val="1"/>
                <w:color w:val="auto"/>
                <w:w w:val="99"/>
              </w:rPr>
              <w:t>12,310,223</w:t>
            </w:r>
          </w:p>
        </w:tc>
        <w:tc>
          <w:tcPr>
            <w:tcW w:w="1020" w:type="dxa"/>
            <w:vAlign w:val="bottom"/>
            <w:tcBorders>
              <w:right w:val="single" w:sz="8" w:color="auto"/>
            </w:tcBorders>
            <w:vMerge w:val="restart"/>
          </w:tcPr>
          <w:p>
            <w:pPr>
              <w:jc w:val="center"/>
              <w:ind w:right="11"/>
              <w:spacing w:after="0"/>
              <w:rPr>
                <w:sz w:val="20"/>
                <w:szCs w:val="20"/>
                <w:color w:val="auto"/>
              </w:rPr>
            </w:pPr>
            <w:r>
              <w:rPr>
                <w:rFonts w:ascii="Arial" w:cs="Arial" w:eastAsia="Arial" w:hAnsi="Arial"/>
                <w:sz w:val="10"/>
                <w:szCs w:val="10"/>
                <w:b w:val="1"/>
                <w:bCs w:val="1"/>
                <w:color w:val="auto"/>
                <w:w w:val="98"/>
              </w:rPr>
              <w:t>16.2%</w:t>
            </w:r>
          </w:p>
        </w:tc>
        <w:tc>
          <w:tcPr>
            <w:tcW w:w="0" w:type="dxa"/>
            <w:vAlign w:val="bottom"/>
          </w:tcPr>
          <w:p>
            <w:pPr>
              <w:spacing w:after="0"/>
              <w:rPr>
                <w:sz w:val="1"/>
                <w:szCs w:val="1"/>
                <w:color w:val="auto"/>
              </w:rPr>
            </w:pPr>
          </w:p>
        </w:tc>
      </w:tr>
      <w:tr>
        <w:trPr>
          <w:trHeight w:val="72"/>
        </w:trPr>
        <w:tc>
          <w:tcPr>
            <w:tcW w:w="31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0"/>
                <w:szCs w:val="10"/>
                <w:b w:val="1"/>
                <w:bCs w:val="1"/>
                <w:color w:val="auto"/>
              </w:rPr>
              <w:t>credit losses on loan portfolio</w:t>
            </w:r>
          </w:p>
        </w:tc>
        <w:tc>
          <w:tcPr>
            <w:tcW w:w="10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180" w:type="dxa"/>
            <w:vAlign w:val="bottom"/>
            <w:tcBorders>
              <w:left w:val="single" w:sz="8" w:color="auto"/>
              <w:right w:val="single" w:sz="8" w:color="auto"/>
            </w:tcBorders>
            <w:vMerge w:val="continue"/>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Other income</w:t>
            </w: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Fee income</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973,339</w:t>
            </w:r>
          </w:p>
        </w:tc>
        <w:tc>
          <w:tcPr>
            <w:tcW w:w="1020" w:type="dxa"/>
            <w:vAlign w:val="bottom"/>
          </w:tcPr>
          <w:p>
            <w:pPr>
              <w:jc w:val="center"/>
              <w:spacing w:after="0"/>
              <w:rPr>
                <w:sz w:val="20"/>
                <w:szCs w:val="20"/>
                <w:color w:val="auto"/>
              </w:rPr>
            </w:pPr>
            <w:r>
              <w:rPr>
                <w:rFonts w:ascii="Arial" w:cs="Arial" w:eastAsia="Arial" w:hAnsi="Arial"/>
                <w:sz w:val="10"/>
                <w:szCs w:val="10"/>
                <w:color w:val="auto"/>
                <w:w w:val="98"/>
              </w:rPr>
              <w:t>1,063,032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1,118,110</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5.2%</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14.9%</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8"/>
              </w:rPr>
              <w:t>3,759,950</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8"/>
              </w:rPr>
              <w:t>4,199,719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11.7%</w:t>
            </w:r>
          </w:p>
        </w:tc>
        <w:tc>
          <w:tcPr>
            <w:tcW w:w="0" w:type="dxa"/>
            <w:vAlign w:val="bottom"/>
          </w:tcPr>
          <w:p>
            <w:pPr>
              <w:spacing w:after="0"/>
              <w:rPr>
                <w:sz w:val="1"/>
                <w:szCs w:val="1"/>
                <w:color w:val="auto"/>
              </w:rPr>
            </w:pPr>
          </w:p>
        </w:tc>
      </w:tr>
      <w:tr>
        <w:trPr>
          <w:trHeight w:val="12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gain on foreign exchange transactions</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385,230</w:t>
            </w:r>
          </w:p>
        </w:tc>
        <w:tc>
          <w:tcPr>
            <w:tcW w:w="1020" w:type="dxa"/>
            <w:vAlign w:val="bottom"/>
          </w:tcPr>
          <w:p>
            <w:pPr>
              <w:jc w:val="center"/>
              <w:spacing w:after="0"/>
              <w:rPr>
                <w:sz w:val="20"/>
                <w:szCs w:val="20"/>
                <w:color w:val="auto"/>
              </w:rPr>
            </w:pPr>
            <w:r>
              <w:rPr>
                <w:rFonts w:ascii="Arial" w:cs="Arial" w:eastAsia="Arial" w:hAnsi="Arial"/>
                <w:sz w:val="10"/>
                <w:szCs w:val="10"/>
                <w:color w:val="auto"/>
                <w:w w:val="93"/>
              </w:rPr>
              <w:t>394,572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426,916</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8.2%</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10.8%</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8"/>
              </w:rPr>
              <w:t>1,359,805</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8"/>
              </w:rPr>
              <w:t>1,542,318</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13.4%</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loss on securities</w:t>
            </w:r>
          </w:p>
        </w:tc>
        <w:tc>
          <w:tcPr>
            <w:tcW w:w="1000" w:type="dxa"/>
            <w:vAlign w:val="bottom"/>
          </w:tcPr>
          <w:p>
            <w:pPr>
              <w:jc w:val="center"/>
              <w:spacing w:after="0"/>
              <w:rPr>
                <w:sz w:val="20"/>
                <w:szCs w:val="20"/>
                <w:color w:val="auto"/>
              </w:rPr>
            </w:pPr>
            <w:r>
              <w:rPr>
                <w:rFonts w:ascii="Arial" w:cs="Arial" w:eastAsia="Arial" w:hAnsi="Arial"/>
                <w:sz w:val="10"/>
                <w:szCs w:val="10"/>
                <w:color w:val="auto"/>
                <w:w w:val="96"/>
              </w:rPr>
              <w:t>(47,377)</w:t>
            </w:r>
          </w:p>
        </w:tc>
        <w:tc>
          <w:tcPr>
            <w:tcW w:w="1020" w:type="dxa"/>
            <w:vAlign w:val="bottom"/>
          </w:tcPr>
          <w:p>
            <w:pPr>
              <w:jc w:val="center"/>
              <w:spacing w:after="0"/>
              <w:rPr>
                <w:sz w:val="20"/>
                <w:szCs w:val="20"/>
                <w:color w:val="auto"/>
              </w:rPr>
            </w:pPr>
            <w:r>
              <w:rPr>
                <w:rFonts w:ascii="Arial" w:cs="Arial" w:eastAsia="Arial" w:hAnsi="Arial"/>
                <w:sz w:val="10"/>
                <w:szCs w:val="10"/>
                <w:color w:val="auto"/>
                <w:w w:val="93"/>
              </w:rPr>
              <w:t>111,977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96,280</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4"/>
              </w:rPr>
              <w:t>-14.0%</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6"/>
              </w:rPr>
              <w:t>-303.2%</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9"/>
              </w:rPr>
              <w:t>227,112</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9"/>
              </w:rPr>
              <w:t>359,282</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58.2%</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gain from associates</w:t>
            </w:r>
          </w:p>
        </w:tc>
        <w:tc>
          <w:tcPr>
            <w:tcW w:w="1000" w:type="dxa"/>
            <w:vAlign w:val="bottom"/>
          </w:tcPr>
          <w:p>
            <w:pPr>
              <w:jc w:val="center"/>
              <w:spacing w:after="0"/>
              <w:rPr>
                <w:sz w:val="20"/>
                <w:szCs w:val="20"/>
                <w:color w:val="auto"/>
              </w:rPr>
            </w:pPr>
            <w:r>
              <w:rPr>
                <w:rFonts w:ascii="Arial" w:cs="Arial" w:eastAsia="Arial" w:hAnsi="Arial"/>
                <w:sz w:val="10"/>
                <w:szCs w:val="10"/>
                <w:color w:val="auto"/>
                <w:w w:val="97"/>
              </w:rPr>
              <w:t>38,560</w:t>
            </w:r>
          </w:p>
        </w:tc>
        <w:tc>
          <w:tcPr>
            <w:tcW w:w="1020" w:type="dxa"/>
            <w:vAlign w:val="bottom"/>
          </w:tcPr>
          <w:p>
            <w:pPr>
              <w:jc w:val="center"/>
              <w:spacing w:after="0"/>
              <w:rPr>
                <w:sz w:val="20"/>
                <w:szCs w:val="20"/>
                <w:color w:val="auto"/>
              </w:rPr>
            </w:pPr>
            <w:r>
              <w:rPr>
                <w:rFonts w:ascii="Arial" w:cs="Arial" w:eastAsia="Arial" w:hAnsi="Arial"/>
                <w:sz w:val="10"/>
                <w:szCs w:val="10"/>
                <w:color w:val="auto"/>
              </w:rPr>
              <w:t>5,192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5,588</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7.6%</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rPr>
              <w:t>-85.5%</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9"/>
              </w:rPr>
              <w:t>135,183</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41,404</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rPr>
              <w:t>-69.4%</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gain (loss) on derivatives held for trading</w:t>
            </w:r>
          </w:p>
        </w:tc>
        <w:tc>
          <w:tcPr>
            <w:tcW w:w="1000" w:type="dxa"/>
            <w:vAlign w:val="bottom"/>
          </w:tcPr>
          <w:p>
            <w:pPr>
              <w:jc w:val="center"/>
              <w:spacing w:after="0"/>
              <w:rPr>
                <w:sz w:val="20"/>
                <w:szCs w:val="20"/>
                <w:color w:val="auto"/>
              </w:rPr>
            </w:pPr>
            <w:r>
              <w:rPr>
                <w:rFonts w:ascii="Arial" w:cs="Arial" w:eastAsia="Arial" w:hAnsi="Arial"/>
                <w:sz w:val="10"/>
                <w:szCs w:val="10"/>
                <w:color w:val="auto"/>
                <w:w w:val="97"/>
              </w:rPr>
              <w:t>77,962</w:t>
            </w:r>
          </w:p>
        </w:tc>
        <w:tc>
          <w:tcPr>
            <w:tcW w:w="1020" w:type="dxa"/>
            <w:vAlign w:val="bottom"/>
          </w:tcPr>
          <w:p>
            <w:pPr>
              <w:jc w:val="center"/>
              <w:spacing w:after="0"/>
              <w:rPr>
                <w:sz w:val="20"/>
                <w:szCs w:val="20"/>
                <w:color w:val="auto"/>
              </w:rPr>
            </w:pPr>
            <w:r>
              <w:rPr>
                <w:rFonts w:ascii="Arial" w:cs="Arial" w:eastAsia="Arial" w:hAnsi="Arial"/>
                <w:sz w:val="10"/>
                <w:szCs w:val="10"/>
                <w:color w:val="auto"/>
              </w:rPr>
              <w:t>244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11,756</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4718.0%</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rPr>
              <w:t>-84.9%</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9"/>
              </w:rPr>
              <w:t>156,195</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51,917</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rPr>
              <w:t>-66.8%</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gain (loss) from exchange differences</w:t>
            </w:r>
          </w:p>
        </w:tc>
        <w:tc>
          <w:tcPr>
            <w:tcW w:w="1000" w:type="dxa"/>
            <w:vAlign w:val="bottom"/>
          </w:tcPr>
          <w:p>
            <w:pPr>
              <w:jc w:val="center"/>
              <w:spacing w:after="0"/>
              <w:rPr>
                <w:sz w:val="20"/>
                <w:szCs w:val="20"/>
                <w:color w:val="auto"/>
              </w:rPr>
            </w:pPr>
            <w:r>
              <w:rPr>
                <w:rFonts w:ascii="Arial" w:cs="Arial" w:eastAsia="Arial" w:hAnsi="Arial"/>
                <w:sz w:val="10"/>
                <w:szCs w:val="10"/>
                <w:color w:val="auto"/>
                <w:w w:val="96"/>
              </w:rPr>
              <w:t>(21,365)</w:t>
            </w:r>
          </w:p>
        </w:tc>
        <w:tc>
          <w:tcPr>
            <w:tcW w:w="1020" w:type="dxa"/>
            <w:vAlign w:val="bottom"/>
          </w:tcPr>
          <w:p>
            <w:pPr>
              <w:jc w:val="center"/>
              <w:spacing w:after="0"/>
              <w:rPr>
                <w:sz w:val="20"/>
                <w:szCs w:val="20"/>
                <w:color w:val="auto"/>
              </w:rPr>
            </w:pPr>
            <w:r>
              <w:rPr>
                <w:rFonts w:ascii="Arial" w:cs="Arial" w:eastAsia="Arial" w:hAnsi="Arial"/>
                <w:sz w:val="10"/>
                <w:szCs w:val="10"/>
                <w:color w:val="auto"/>
              </w:rPr>
              <w:t>7,518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8,319</w:t>
            </w:r>
          </w:p>
        </w:tc>
        <w:tc>
          <w:tcPr>
            <w:tcW w:w="1280" w:type="dxa"/>
            <w:vAlign w:val="bottom"/>
          </w:tcPr>
          <w:p>
            <w:pPr>
              <w:jc w:val="center"/>
              <w:ind w:right="231"/>
              <w:spacing w:after="0"/>
              <w:rPr>
                <w:sz w:val="20"/>
                <w:szCs w:val="20"/>
                <w:color w:val="auto"/>
              </w:rPr>
            </w:pPr>
            <w:r>
              <w:rPr>
                <w:rFonts w:ascii="Arial" w:cs="Arial" w:eastAsia="Arial" w:hAnsi="Arial"/>
                <w:sz w:val="10"/>
                <w:szCs w:val="10"/>
                <w:color w:val="auto"/>
                <w:w w:val="98"/>
              </w:rPr>
              <w:t>10.7%</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6"/>
              </w:rPr>
              <w:t>-138.9%</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6"/>
              </w:rPr>
              <w:t>(41,058)</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41,991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Others</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176,384</w:t>
            </w:r>
          </w:p>
        </w:tc>
        <w:tc>
          <w:tcPr>
            <w:tcW w:w="1020" w:type="dxa"/>
            <w:vAlign w:val="bottom"/>
          </w:tcPr>
          <w:p>
            <w:pPr>
              <w:jc w:val="center"/>
              <w:spacing w:after="0"/>
              <w:rPr>
                <w:sz w:val="20"/>
                <w:szCs w:val="20"/>
                <w:color w:val="auto"/>
              </w:rPr>
            </w:pPr>
            <w:r>
              <w:rPr>
                <w:rFonts w:ascii="Arial" w:cs="Arial" w:eastAsia="Arial" w:hAnsi="Arial"/>
                <w:sz w:val="10"/>
                <w:szCs w:val="10"/>
                <w:color w:val="auto"/>
                <w:w w:val="97"/>
              </w:rPr>
              <w:t>71,656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132,530</w:t>
            </w:r>
          </w:p>
        </w:tc>
        <w:tc>
          <w:tcPr>
            <w:tcW w:w="1280" w:type="dxa"/>
            <w:vAlign w:val="bottom"/>
          </w:tcPr>
          <w:p>
            <w:pPr>
              <w:jc w:val="center"/>
              <w:ind w:right="231"/>
              <w:spacing w:after="0"/>
              <w:rPr>
                <w:sz w:val="20"/>
                <w:szCs w:val="20"/>
                <w:color w:val="auto"/>
              </w:rPr>
            </w:pPr>
            <w:r>
              <w:rPr>
                <w:rFonts w:ascii="Arial" w:cs="Arial" w:eastAsia="Arial" w:hAnsi="Arial"/>
                <w:sz w:val="10"/>
                <w:szCs w:val="10"/>
                <w:color w:val="auto"/>
                <w:w w:val="98"/>
              </w:rPr>
              <w:t>85.0%</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rPr>
              <w:t>-24.9%</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9"/>
              </w:rPr>
              <w:t>514,779</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9"/>
              </w:rPr>
              <w:t>584,648</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13.6%</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Total other income</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8"/>
              </w:rPr>
              <w:t>1,582,733</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1,654,191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1,799,499</w:t>
            </w:r>
          </w:p>
        </w:tc>
        <w:tc>
          <w:tcPr>
            <w:tcW w:w="1280" w:type="dxa"/>
            <w:vAlign w:val="bottom"/>
          </w:tcPr>
          <w:p>
            <w:pPr>
              <w:jc w:val="center"/>
              <w:ind w:right="211"/>
              <w:spacing w:after="0"/>
              <w:rPr>
                <w:sz w:val="20"/>
                <w:szCs w:val="20"/>
                <w:color w:val="auto"/>
              </w:rPr>
            </w:pPr>
            <w:r>
              <w:rPr>
                <w:rFonts w:ascii="Arial" w:cs="Arial" w:eastAsia="Arial" w:hAnsi="Arial"/>
                <w:sz w:val="10"/>
                <w:szCs w:val="10"/>
                <w:b w:val="1"/>
                <w:bCs w:val="1"/>
                <w:color w:val="auto"/>
                <w:w w:val="96"/>
              </w:rPr>
              <w:t>8.8%</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w w:val="98"/>
              </w:rPr>
              <w:t>13.7%</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6,111,966</w:t>
            </w:r>
          </w:p>
        </w:tc>
        <w:tc>
          <w:tcPr>
            <w:tcW w:w="118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6,821,279</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8"/>
              </w:rPr>
              <w:t>11.6%</w:t>
            </w:r>
          </w:p>
        </w:tc>
        <w:tc>
          <w:tcPr>
            <w:tcW w:w="0" w:type="dxa"/>
            <w:vAlign w:val="bottom"/>
          </w:tcPr>
          <w:p>
            <w:pPr>
              <w:spacing w:after="0"/>
              <w:rPr>
                <w:sz w:val="1"/>
                <w:szCs w:val="1"/>
                <w:color w:val="auto"/>
              </w:rPr>
            </w:pPr>
          </w:p>
        </w:tc>
      </w:tr>
      <w:tr>
        <w:trPr>
          <w:trHeight w:val="124"/>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Insurance underwriting result</w:t>
            </w: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Insurance Service Result</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407,149</w:t>
            </w:r>
          </w:p>
        </w:tc>
        <w:tc>
          <w:tcPr>
            <w:tcW w:w="1020" w:type="dxa"/>
            <w:vAlign w:val="bottom"/>
          </w:tcPr>
          <w:p>
            <w:pPr>
              <w:jc w:val="center"/>
              <w:spacing w:after="0"/>
              <w:rPr>
                <w:sz w:val="20"/>
                <w:szCs w:val="20"/>
                <w:color w:val="auto"/>
              </w:rPr>
            </w:pPr>
            <w:r>
              <w:rPr>
                <w:rFonts w:ascii="Arial" w:cs="Arial" w:eastAsia="Arial" w:hAnsi="Arial"/>
                <w:sz w:val="10"/>
                <w:szCs w:val="10"/>
                <w:color w:val="auto"/>
                <w:w w:val="93"/>
              </w:rPr>
              <w:t>467,467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519,300</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1"/>
              </w:rPr>
              <w:t>11.1%</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27.5%</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8"/>
              </w:rPr>
              <w:t>1,693,617</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8"/>
              </w:rPr>
              <w:t>1,848,025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9.1%</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Reinsurance Result</w:t>
            </w:r>
          </w:p>
        </w:tc>
        <w:tc>
          <w:tcPr>
            <w:tcW w:w="1000" w:type="dxa"/>
            <w:vAlign w:val="bottom"/>
          </w:tcPr>
          <w:p>
            <w:pPr>
              <w:jc w:val="center"/>
              <w:spacing w:after="0"/>
              <w:rPr>
                <w:sz w:val="20"/>
                <w:szCs w:val="20"/>
                <w:color w:val="auto"/>
              </w:rPr>
            </w:pPr>
            <w:r>
              <w:rPr>
                <w:rFonts w:ascii="Arial" w:cs="Arial" w:eastAsia="Arial" w:hAnsi="Arial"/>
                <w:sz w:val="10"/>
                <w:szCs w:val="10"/>
                <w:color w:val="auto"/>
                <w:w w:val="96"/>
              </w:rPr>
              <w:t>(94,467)</w:t>
            </w:r>
          </w:p>
        </w:tc>
        <w:tc>
          <w:tcPr>
            <w:tcW w:w="1020" w:type="dxa"/>
            <w:vAlign w:val="bottom"/>
          </w:tcPr>
          <w:p>
            <w:pPr>
              <w:jc w:val="center"/>
              <w:spacing w:after="0"/>
              <w:rPr>
                <w:sz w:val="20"/>
                <w:szCs w:val="20"/>
                <w:color w:val="auto"/>
              </w:rPr>
            </w:pPr>
            <w:r>
              <w:rPr>
                <w:rFonts w:ascii="Arial" w:cs="Arial" w:eastAsia="Arial" w:hAnsi="Arial"/>
                <w:sz w:val="10"/>
                <w:szCs w:val="10"/>
                <w:color w:val="auto"/>
              </w:rPr>
              <w:t>(79,117)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(198,457)</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rPr>
              <w:t>150.8%</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4"/>
              </w:rPr>
              <w:t>110.1%</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(494,597)</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8"/>
              </w:rPr>
              <w:t>(458,825)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-7.2%</w:t>
            </w:r>
          </w:p>
        </w:tc>
        <w:tc>
          <w:tcPr>
            <w:tcW w:w="0" w:type="dxa"/>
            <w:vAlign w:val="bottom"/>
          </w:tcPr>
          <w:p>
            <w:pPr>
              <w:spacing w:after="0"/>
              <w:rPr>
                <w:sz w:val="1"/>
                <w:szCs w:val="1"/>
                <w:color w:val="auto"/>
              </w:rPr>
            </w:pPr>
          </w:p>
        </w:tc>
      </w:tr>
      <w:tr>
        <w:trPr>
          <w:trHeight w:val="140"/>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Total insurance underwriting result</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9"/>
              </w:rPr>
              <w:t>312,682</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3"/>
              </w:rPr>
              <w:t>388,350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320,843</w:t>
            </w:r>
          </w:p>
        </w:tc>
        <w:tc>
          <w:tcPr>
            <w:tcW w:w="1280" w:type="dxa"/>
            <w:vAlign w:val="bottom"/>
          </w:tcPr>
          <w:p>
            <w:pPr>
              <w:jc w:val="center"/>
              <w:ind w:right="211"/>
              <w:spacing w:after="0"/>
              <w:rPr>
                <w:sz w:val="20"/>
                <w:szCs w:val="20"/>
                <w:color w:val="auto"/>
              </w:rPr>
            </w:pPr>
            <w:r>
              <w:rPr>
                <w:rFonts w:ascii="Arial" w:cs="Arial" w:eastAsia="Arial" w:hAnsi="Arial"/>
                <w:sz w:val="10"/>
                <w:szCs w:val="10"/>
                <w:b w:val="1"/>
                <w:bCs w:val="1"/>
                <w:color w:val="auto"/>
                <w:w w:val="94"/>
              </w:rPr>
              <w:t>-17.4%</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rPr>
              <w:t>2.6%</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1,199,020</w:t>
            </w:r>
          </w:p>
        </w:tc>
        <w:tc>
          <w:tcPr>
            <w:tcW w:w="118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1,389,200</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8"/>
              </w:rPr>
              <w:t>15.9%</w:t>
            </w:r>
          </w:p>
        </w:tc>
        <w:tc>
          <w:tcPr>
            <w:tcW w:w="0" w:type="dxa"/>
            <w:vAlign w:val="bottom"/>
          </w:tcPr>
          <w:p>
            <w:pPr>
              <w:spacing w:after="0"/>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Medical services result</w:t>
            </w: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Sales of medical services</w:t>
            </w:r>
          </w:p>
        </w:tc>
        <w:tc>
          <w:tcPr>
            <w:tcW w:w="1000" w:type="dxa"/>
            <w:vAlign w:val="bottom"/>
          </w:tcPr>
          <w:p>
            <w:pPr>
              <w:jc w:val="center"/>
              <w:spacing w:after="0"/>
              <w:rPr>
                <w:sz w:val="20"/>
                <w:szCs w:val="20"/>
                <w:color w:val="auto"/>
              </w:rPr>
            </w:pPr>
            <w:r>
              <w:rPr>
                <w:rFonts w:ascii="Arial" w:cs="Arial" w:eastAsia="Arial" w:hAnsi="Arial"/>
                <w:sz w:val="10"/>
                <w:szCs w:val="10"/>
                <w:color w:val="auto"/>
              </w:rPr>
              <w:t>-</w:t>
            </w:r>
          </w:p>
        </w:tc>
        <w:tc>
          <w:tcPr>
            <w:tcW w:w="1020" w:type="dxa"/>
            <w:vAlign w:val="bottom"/>
          </w:tcPr>
          <w:p>
            <w:pPr>
              <w:jc w:val="center"/>
              <w:spacing w:after="0"/>
              <w:rPr>
                <w:sz w:val="20"/>
                <w:szCs w:val="20"/>
                <w:color w:val="auto"/>
              </w:rPr>
            </w:pPr>
            <w:r>
              <w:rPr>
                <w:rFonts w:ascii="Arial" w:cs="Arial" w:eastAsia="Arial" w:hAnsi="Arial"/>
                <w:sz w:val="10"/>
                <w:szCs w:val="10"/>
                <w:color w:val="auto"/>
                <w:w w:val="93"/>
              </w:rPr>
              <w:t>421,360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414,114</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9"/>
              </w:rPr>
              <w:t>-1.7%</w:t>
            </w:r>
          </w:p>
        </w:tc>
        <w:tc>
          <w:tcPr>
            <w:tcW w:w="76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n.a.</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8"/>
              </w:rPr>
              <w:t>1,387,341</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Cost of sales of medical services</w:t>
            </w:r>
          </w:p>
        </w:tc>
        <w:tc>
          <w:tcPr>
            <w:tcW w:w="1000" w:type="dxa"/>
            <w:vAlign w:val="bottom"/>
          </w:tcPr>
          <w:p>
            <w:pPr>
              <w:jc w:val="center"/>
              <w:spacing w:after="0"/>
              <w:rPr>
                <w:sz w:val="20"/>
                <w:szCs w:val="20"/>
                <w:color w:val="auto"/>
              </w:rPr>
            </w:pPr>
            <w:r>
              <w:rPr>
                <w:rFonts w:ascii="Arial" w:cs="Arial" w:eastAsia="Arial" w:hAnsi="Arial"/>
                <w:sz w:val="10"/>
                <w:szCs w:val="10"/>
                <w:color w:val="auto"/>
              </w:rPr>
              <w:t>-</w:t>
            </w:r>
          </w:p>
        </w:tc>
        <w:tc>
          <w:tcPr>
            <w:tcW w:w="1020" w:type="dxa"/>
            <w:vAlign w:val="bottom"/>
          </w:tcPr>
          <w:p>
            <w:pPr>
              <w:jc w:val="center"/>
              <w:spacing w:after="0"/>
              <w:rPr>
                <w:sz w:val="20"/>
                <w:szCs w:val="20"/>
                <w:color w:val="auto"/>
              </w:rPr>
            </w:pPr>
            <w:r>
              <w:rPr>
                <w:rFonts w:ascii="Arial" w:cs="Arial" w:eastAsia="Arial" w:hAnsi="Arial"/>
                <w:sz w:val="10"/>
                <w:szCs w:val="10"/>
                <w:color w:val="auto"/>
                <w:w w:val="98"/>
              </w:rPr>
              <w:t>(297,407)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(289,441)</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9"/>
              </w:rPr>
              <w:t>-2.7%</w:t>
            </w:r>
          </w:p>
        </w:tc>
        <w:tc>
          <w:tcPr>
            <w:tcW w:w="76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n.a.</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8"/>
              </w:rPr>
              <w:t>(972,707)</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40"/>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Total medical services result</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3"/>
              </w:rPr>
              <w:t>123,953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124,673</w:t>
            </w:r>
          </w:p>
        </w:tc>
        <w:tc>
          <w:tcPr>
            <w:tcW w:w="1280" w:type="dxa"/>
            <w:vAlign w:val="bottom"/>
          </w:tcPr>
          <w:p>
            <w:pPr>
              <w:jc w:val="center"/>
              <w:ind w:right="211"/>
              <w:spacing w:after="0"/>
              <w:rPr>
                <w:sz w:val="20"/>
                <w:szCs w:val="20"/>
                <w:color w:val="auto"/>
              </w:rPr>
            </w:pPr>
            <w:r>
              <w:rPr>
                <w:rFonts w:ascii="Arial" w:cs="Arial" w:eastAsia="Arial" w:hAnsi="Arial"/>
                <w:sz w:val="10"/>
                <w:szCs w:val="10"/>
                <w:b w:val="1"/>
                <w:bCs w:val="1"/>
                <w:color w:val="auto"/>
                <w:w w:val="96"/>
              </w:rPr>
              <w:t>0.6%</w:t>
            </w:r>
          </w:p>
        </w:tc>
        <w:tc>
          <w:tcPr>
            <w:tcW w:w="760" w:type="dxa"/>
            <w:vAlign w:val="bottom"/>
            <w:tcBorders>
              <w:right w:val="single" w:sz="8" w:color="auto"/>
            </w:tcBorders>
          </w:tcPr>
          <w:p>
            <w:pPr>
              <w:ind w:left="160"/>
              <w:spacing w:after="0"/>
              <w:rPr>
                <w:sz w:val="20"/>
                <w:szCs w:val="20"/>
                <w:color w:val="auto"/>
              </w:rPr>
            </w:pPr>
            <w:r>
              <w:rPr>
                <w:rFonts w:ascii="Arial" w:cs="Arial" w:eastAsia="Arial" w:hAnsi="Arial"/>
                <w:sz w:val="10"/>
                <w:szCs w:val="10"/>
                <w:b w:val="1"/>
                <w:bCs w:val="1"/>
                <w:color w:val="auto"/>
              </w:rPr>
              <w:t>n.a.</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rPr>
              <w:t>-</w:t>
            </w:r>
          </w:p>
        </w:tc>
        <w:tc>
          <w:tcPr>
            <w:tcW w:w="1180" w:type="dxa"/>
            <w:vAlign w:val="bottom"/>
          </w:tcPr>
          <w:p>
            <w:pPr>
              <w:jc w:val="center"/>
              <w:ind w:left="131"/>
              <w:spacing w:after="0"/>
              <w:rPr>
                <w:sz w:val="20"/>
                <w:szCs w:val="20"/>
                <w:color w:val="auto"/>
              </w:rPr>
            </w:pPr>
            <w:r>
              <w:rPr>
                <w:rFonts w:ascii="Arial" w:cs="Arial" w:eastAsia="Arial" w:hAnsi="Arial"/>
                <w:sz w:val="10"/>
                <w:szCs w:val="10"/>
                <w:b w:val="1"/>
                <w:bCs w:val="1"/>
                <w:color w:val="auto"/>
                <w:w w:val="99"/>
              </w:rPr>
              <w:t>414,634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n.a.</w:t>
            </w:r>
          </w:p>
        </w:tc>
        <w:tc>
          <w:tcPr>
            <w:tcW w:w="0" w:type="dxa"/>
            <w:vAlign w:val="bottom"/>
          </w:tcPr>
          <w:p>
            <w:pPr>
              <w:spacing w:after="0"/>
              <w:rPr>
                <w:sz w:val="1"/>
                <w:szCs w:val="1"/>
                <w:color w:val="auto"/>
              </w:rPr>
            </w:pPr>
          </w:p>
        </w:tc>
      </w:tr>
      <w:tr>
        <w:trPr>
          <w:trHeight w:val="227"/>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Total Expenses</w:t>
            </w: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Salaries and employee benefits</w:t>
            </w:r>
          </w:p>
        </w:tc>
        <w:tc>
          <w:tcPr>
            <w:tcW w:w="1000" w:type="dxa"/>
            <w:vAlign w:val="bottom"/>
          </w:tcPr>
          <w:p>
            <w:pPr>
              <w:jc w:val="center"/>
              <w:spacing w:after="0"/>
              <w:rPr>
                <w:sz w:val="20"/>
                <w:szCs w:val="20"/>
                <w:color w:val="auto"/>
              </w:rPr>
            </w:pPr>
            <w:r>
              <w:rPr>
                <w:rFonts w:ascii="Arial" w:cs="Arial" w:eastAsia="Arial" w:hAnsi="Arial"/>
                <w:sz w:val="10"/>
                <w:szCs w:val="10"/>
                <w:color w:val="auto"/>
                <w:w w:val="97"/>
              </w:rPr>
              <w:t>(1,271,578)</w:t>
            </w:r>
          </w:p>
        </w:tc>
        <w:tc>
          <w:tcPr>
            <w:tcW w:w="1020" w:type="dxa"/>
            <w:vAlign w:val="bottom"/>
          </w:tcPr>
          <w:p>
            <w:pPr>
              <w:jc w:val="center"/>
              <w:spacing w:after="0"/>
              <w:rPr>
                <w:sz w:val="20"/>
                <w:szCs w:val="20"/>
                <w:color w:val="auto"/>
              </w:rPr>
            </w:pPr>
            <w:r>
              <w:rPr>
                <w:rFonts w:ascii="Arial" w:cs="Arial" w:eastAsia="Arial" w:hAnsi="Arial"/>
                <w:sz w:val="10"/>
                <w:szCs w:val="10"/>
                <w:color w:val="auto"/>
                <w:w w:val="97"/>
              </w:rPr>
              <w:t>(1,341,137)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(1,428,178)</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6.5%</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12.3%</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(4,676,436)</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(5,435,471)</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16.2%</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Administrative, general and tax expenses</w:t>
            </w:r>
          </w:p>
        </w:tc>
        <w:tc>
          <w:tcPr>
            <w:tcW w:w="1000" w:type="dxa"/>
            <w:vAlign w:val="bottom"/>
          </w:tcPr>
          <w:p>
            <w:pPr>
              <w:jc w:val="center"/>
              <w:spacing w:after="0"/>
              <w:rPr>
                <w:sz w:val="20"/>
                <w:szCs w:val="20"/>
                <w:color w:val="auto"/>
              </w:rPr>
            </w:pPr>
            <w:r>
              <w:rPr>
                <w:rFonts w:ascii="Arial" w:cs="Arial" w:eastAsia="Arial" w:hAnsi="Arial"/>
                <w:sz w:val="10"/>
                <w:szCs w:val="10"/>
                <w:color w:val="auto"/>
                <w:w w:val="97"/>
              </w:rPr>
              <w:t>(1,150,867)</w:t>
            </w:r>
          </w:p>
        </w:tc>
        <w:tc>
          <w:tcPr>
            <w:tcW w:w="1020" w:type="dxa"/>
            <w:vAlign w:val="bottom"/>
          </w:tcPr>
          <w:p>
            <w:pPr>
              <w:jc w:val="center"/>
              <w:spacing w:after="0"/>
              <w:rPr>
                <w:sz w:val="20"/>
                <w:szCs w:val="20"/>
                <w:color w:val="auto"/>
              </w:rPr>
            </w:pPr>
            <w:r>
              <w:rPr>
                <w:rFonts w:ascii="Arial" w:cs="Arial" w:eastAsia="Arial" w:hAnsi="Arial"/>
                <w:sz w:val="10"/>
                <w:szCs w:val="10"/>
                <w:color w:val="auto"/>
                <w:w w:val="97"/>
              </w:rPr>
              <w:t>(1,068,459)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(1,186,497)</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1"/>
              </w:rPr>
              <w:t>11.0%</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rPr>
              <w:t>3.1%</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(3,891,622)</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(4,090,784)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5.1%</w:t>
            </w:r>
          </w:p>
        </w:tc>
        <w:tc>
          <w:tcPr>
            <w:tcW w:w="0" w:type="dxa"/>
            <w:vAlign w:val="bottom"/>
          </w:tcPr>
          <w:p>
            <w:pPr>
              <w:spacing w:after="0"/>
              <w:rPr>
                <w:sz w:val="1"/>
                <w:szCs w:val="1"/>
                <w:color w:val="auto"/>
              </w:rPr>
            </w:pPr>
          </w:p>
        </w:tc>
      </w:tr>
      <w:tr>
        <w:trPr>
          <w:trHeight w:val="12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Depreciation and amortization</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(186,625)</w:t>
            </w:r>
          </w:p>
        </w:tc>
        <w:tc>
          <w:tcPr>
            <w:tcW w:w="1020" w:type="dxa"/>
            <w:vAlign w:val="bottom"/>
          </w:tcPr>
          <w:p>
            <w:pPr>
              <w:jc w:val="center"/>
              <w:spacing w:after="0"/>
              <w:rPr>
                <w:sz w:val="20"/>
                <w:szCs w:val="20"/>
                <w:color w:val="auto"/>
              </w:rPr>
            </w:pPr>
            <w:r>
              <w:rPr>
                <w:rFonts w:ascii="Arial" w:cs="Arial" w:eastAsia="Arial" w:hAnsi="Arial"/>
                <w:sz w:val="10"/>
                <w:szCs w:val="10"/>
                <w:color w:val="auto"/>
                <w:w w:val="98"/>
              </w:rPr>
              <w:t>(219,800)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(256,914)</w:t>
            </w:r>
          </w:p>
        </w:tc>
        <w:tc>
          <w:tcPr>
            <w:tcW w:w="1280" w:type="dxa"/>
            <w:vAlign w:val="bottom"/>
          </w:tcPr>
          <w:p>
            <w:pPr>
              <w:jc w:val="center"/>
              <w:ind w:right="231"/>
              <w:spacing w:after="0"/>
              <w:rPr>
                <w:sz w:val="20"/>
                <w:szCs w:val="20"/>
                <w:color w:val="auto"/>
              </w:rPr>
            </w:pPr>
            <w:r>
              <w:rPr>
                <w:rFonts w:ascii="Arial" w:cs="Arial" w:eastAsia="Arial" w:hAnsi="Arial"/>
                <w:sz w:val="10"/>
                <w:szCs w:val="10"/>
                <w:color w:val="auto"/>
                <w:w w:val="98"/>
              </w:rPr>
              <w:t>16.9%</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37.7%</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(713,470)</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8"/>
              </w:rPr>
              <w:t>(893,142)</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25.2%</w:t>
            </w:r>
          </w:p>
        </w:tc>
        <w:tc>
          <w:tcPr>
            <w:tcW w:w="0" w:type="dxa"/>
            <w:vAlign w:val="bottom"/>
          </w:tcPr>
          <w:p>
            <w:pPr>
              <w:spacing w:after="0"/>
              <w:rPr>
                <w:sz w:val="1"/>
                <w:szCs w:val="1"/>
                <w:color w:val="auto"/>
              </w:rPr>
            </w:pPr>
          </w:p>
        </w:tc>
      </w:tr>
      <w:tr>
        <w:trPr>
          <w:trHeight w:val="12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Impairment loss on goodwill</w:t>
            </w:r>
          </w:p>
        </w:tc>
        <w:tc>
          <w:tcPr>
            <w:tcW w:w="1000" w:type="dxa"/>
            <w:vAlign w:val="bottom"/>
          </w:tcPr>
          <w:p>
            <w:pPr>
              <w:jc w:val="center"/>
              <w:spacing w:after="0"/>
              <w:rPr>
                <w:sz w:val="20"/>
                <w:szCs w:val="20"/>
                <w:color w:val="auto"/>
              </w:rPr>
            </w:pPr>
            <w:r>
              <w:rPr>
                <w:rFonts w:ascii="Arial" w:cs="Arial" w:eastAsia="Arial" w:hAnsi="Arial"/>
                <w:sz w:val="10"/>
                <w:szCs w:val="10"/>
                <w:color w:val="auto"/>
              </w:rPr>
              <w:t>(4,300)</w:t>
            </w:r>
          </w:p>
        </w:tc>
        <w:tc>
          <w:tcPr>
            <w:tcW w:w="10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w:t>
            </w:r>
          </w:p>
        </w:tc>
        <w:tc>
          <w:tcPr>
            <w:tcW w:w="1280" w:type="dxa"/>
            <w:vAlign w:val="bottom"/>
          </w:tcPr>
          <w:p>
            <w:pPr>
              <w:jc w:val="center"/>
              <w:ind w:right="231"/>
              <w:spacing w:after="0"/>
              <w:rPr>
                <w:sz w:val="20"/>
                <w:szCs w:val="20"/>
                <w:color w:val="auto"/>
              </w:rPr>
            </w:pPr>
            <w:r>
              <w:rPr>
                <w:rFonts w:ascii="Arial" w:cs="Arial" w:eastAsia="Arial" w:hAnsi="Arial"/>
                <w:sz w:val="10"/>
                <w:szCs w:val="10"/>
                <w:color w:val="auto"/>
                <w:w w:val="95"/>
              </w:rPr>
              <w:t>n.a.</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6"/>
              </w:rPr>
              <w:t>-100.0%</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6"/>
              </w:rPr>
              <w:t>(27,346)</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Association in participation</w:t>
            </w:r>
          </w:p>
        </w:tc>
        <w:tc>
          <w:tcPr>
            <w:tcW w:w="1000" w:type="dxa"/>
            <w:vAlign w:val="bottom"/>
          </w:tcPr>
          <w:p>
            <w:pPr>
              <w:jc w:val="center"/>
              <w:spacing w:after="0"/>
              <w:rPr>
                <w:sz w:val="20"/>
                <w:szCs w:val="20"/>
                <w:color w:val="auto"/>
              </w:rPr>
            </w:pPr>
            <w:r>
              <w:rPr>
                <w:rFonts w:ascii="Arial" w:cs="Arial" w:eastAsia="Arial" w:hAnsi="Arial"/>
                <w:sz w:val="10"/>
                <w:szCs w:val="10"/>
                <w:color w:val="auto"/>
              </w:rPr>
              <w:t>(3,808)</w:t>
            </w:r>
          </w:p>
        </w:tc>
        <w:tc>
          <w:tcPr>
            <w:tcW w:w="1020" w:type="dxa"/>
            <w:vAlign w:val="bottom"/>
          </w:tcPr>
          <w:p>
            <w:pPr>
              <w:jc w:val="center"/>
              <w:spacing w:after="0"/>
              <w:rPr>
                <w:sz w:val="20"/>
                <w:szCs w:val="20"/>
                <w:color w:val="auto"/>
              </w:rPr>
            </w:pPr>
            <w:r>
              <w:rPr>
                <w:rFonts w:ascii="Arial" w:cs="Arial" w:eastAsia="Arial" w:hAnsi="Arial"/>
                <w:sz w:val="10"/>
                <w:szCs w:val="10"/>
                <w:color w:val="auto"/>
              </w:rPr>
              <w:t>(65)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(120)</w:t>
            </w:r>
          </w:p>
        </w:tc>
        <w:tc>
          <w:tcPr>
            <w:tcW w:w="1280" w:type="dxa"/>
            <w:vAlign w:val="bottom"/>
          </w:tcPr>
          <w:p>
            <w:pPr>
              <w:jc w:val="center"/>
              <w:ind w:right="231"/>
              <w:spacing w:after="0"/>
              <w:rPr>
                <w:sz w:val="20"/>
                <w:szCs w:val="20"/>
                <w:color w:val="auto"/>
              </w:rPr>
            </w:pPr>
            <w:r>
              <w:rPr>
                <w:rFonts w:ascii="Arial" w:cs="Arial" w:eastAsia="Arial" w:hAnsi="Arial"/>
                <w:sz w:val="10"/>
                <w:szCs w:val="10"/>
                <w:color w:val="auto"/>
                <w:w w:val="98"/>
              </w:rPr>
              <w:t>84.6%</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rPr>
              <w:t>-96.8%</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6"/>
              </w:rPr>
              <w:t>(28,269)</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rPr>
              <w:t>(7,355)</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rPr>
              <w:t>-74.0%</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Other expenses</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(409,049)</w:t>
            </w:r>
          </w:p>
        </w:tc>
        <w:tc>
          <w:tcPr>
            <w:tcW w:w="1020" w:type="dxa"/>
            <w:vAlign w:val="bottom"/>
          </w:tcPr>
          <w:p>
            <w:pPr>
              <w:jc w:val="center"/>
              <w:spacing w:after="0"/>
              <w:rPr>
                <w:sz w:val="20"/>
                <w:szCs w:val="20"/>
                <w:color w:val="auto"/>
              </w:rPr>
            </w:pPr>
            <w:r>
              <w:rPr>
                <w:rFonts w:ascii="Arial" w:cs="Arial" w:eastAsia="Arial" w:hAnsi="Arial"/>
                <w:sz w:val="10"/>
                <w:szCs w:val="10"/>
                <w:color w:val="auto"/>
                <w:w w:val="98"/>
              </w:rPr>
              <w:t>(115,181)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(208,248)</w:t>
            </w:r>
          </w:p>
        </w:tc>
        <w:tc>
          <w:tcPr>
            <w:tcW w:w="1280" w:type="dxa"/>
            <w:vAlign w:val="bottom"/>
          </w:tcPr>
          <w:p>
            <w:pPr>
              <w:jc w:val="center"/>
              <w:ind w:right="231"/>
              <w:spacing w:after="0"/>
              <w:rPr>
                <w:sz w:val="20"/>
                <w:szCs w:val="20"/>
                <w:color w:val="auto"/>
              </w:rPr>
            </w:pPr>
            <w:r>
              <w:rPr>
                <w:rFonts w:ascii="Arial" w:cs="Arial" w:eastAsia="Arial" w:hAnsi="Arial"/>
                <w:sz w:val="10"/>
                <w:szCs w:val="10"/>
                <w:color w:val="auto"/>
                <w:w w:val="98"/>
              </w:rPr>
              <w:t>80.8%</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rPr>
              <w:t>-49.1%</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(745,000)</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8"/>
              </w:rPr>
              <w:t>(561,031)</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rPr>
              <w:t>-24.7%</w:t>
            </w:r>
          </w:p>
        </w:tc>
        <w:tc>
          <w:tcPr>
            <w:tcW w:w="0" w:type="dxa"/>
            <w:vAlign w:val="bottom"/>
          </w:tcPr>
          <w:p>
            <w:pPr>
              <w:spacing w:after="0"/>
              <w:rPr>
                <w:sz w:val="1"/>
                <w:szCs w:val="1"/>
                <w:color w:val="auto"/>
              </w:rPr>
            </w:pPr>
          </w:p>
        </w:tc>
      </w:tr>
      <w:tr>
        <w:trPr>
          <w:trHeight w:val="140"/>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Total expenses</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7"/>
              </w:rPr>
              <w:t>(3,026,227)</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(2,744,642)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(3,079,957)</w:t>
            </w:r>
          </w:p>
        </w:tc>
        <w:tc>
          <w:tcPr>
            <w:tcW w:w="1280" w:type="dxa"/>
            <w:vAlign w:val="bottom"/>
          </w:tcPr>
          <w:p>
            <w:pPr>
              <w:jc w:val="center"/>
              <w:ind w:right="231"/>
              <w:spacing w:after="0"/>
              <w:rPr>
                <w:sz w:val="20"/>
                <w:szCs w:val="20"/>
                <w:color w:val="auto"/>
              </w:rPr>
            </w:pPr>
            <w:r>
              <w:rPr>
                <w:rFonts w:ascii="Arial" w:cs="Arial" w:eastAsia="Arial" w:hAnsi="Arial"/>
                <w:sz w:val="10"/>
                <w:szCs w:val="10"/>
                <w:b w:val="1"/>
                <w:bCs w:val="1"/>
                <w:color w:val="auto"/>
                <w:w w:val="98"/>
              </w:rPr>
              <w:t>12.2%</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rPr>
              <w:t>1.8%</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(10,082,143)</w:t>
            </w:r>
          </w:p>
        </w:tc>
        <w:tc>
          <w:tcPr>
            <w:tcW w:w="118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(10,987,783)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9.0%</w:t>
            </w:r>
          </w:p>
        </w:tc>
        <w:tc>
          <w:tcPr>
            <w:tcW w:w="0" w:type="dxa"/>
            <w:vAlign w:val="bottom"/>
          </w:tcPr>
          <w:p>
            <w:pPr>
              <w:spacing w:after="0"/>
              <w:rPr>
                <w:sz w:val="1"/>
                <w:szCs w:val="1"/>
                <w:color w:val="auto"/>
              </w:rPr>
            </w:pPr>
          </w:p>
        </w:tc>
      </w:tr>
      <w:tr>
        <w:trPr>
          <w:trHeight w:val="243"/>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Profit before income tax</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8"/>
              </w:rPr>
              <w:t>1,755,686</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2,506,763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2,360,039</w:t>
            </w:r>
          </w:p>
        </w:tc>
        <w:tc>
          <w:tcPr>
            <w:tcW w:w="1280" w:type="dxa"/>
            <w:vAlign w:val="bottom"/>
          </w:tcPr>
          <w:p>
            <w:pPr>
              <w:jc w:val="center"/>
              <w:ind w:right="211"/>
              <w:spacing w:after="0"/>
              <w:rPr>
                <w:sz w:val="20"/>
                <w:szCs w:val="20"/>
                <w:color w:val="auto"/>
              </w:rPr>
            </w:pPr>
            <w:r>
              <w:rPr>
                <w:rFonts w:ascii="Arial" w:cs="Arial" w:eastAsia="Arial" w:hAnsi="Arial"/>
                <w:sz w:val="10"/>
                <w:szCs w:val="10"/>
                <w:b w:val="1"/>
                <w:bCs w:val="1"/>
                <w:color w:val="auto"/>
                <w:w w:val="99"/>
              </w:rPr>
              <w:t>-5.9%</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w w:val="98"/>
              </w:rPr>
              <w:t>34.4%</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7,824,527</w:t>
            </w:r>
          </w:p>
        </w:tc>
        <w:tc>
          <w:tcPr>
            <w:tcW w:w="118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9,947,553</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8"/>
              </w:rPr>
              <w:t>27.1%</w:t>
            </w:r>
          </w:p>
        </w:tc>
        <w:tc>
          <w:tcPr>
            <w:tcW w:w="0" w:type="dxa"/>
            <w:vAlign w:val="bottom"/>
          </w:tcPr>
          <w:p>
            <w:pPr>
              <w:spacing w:after="0"/>
              <w:rPr>
                <w:sz w:val="1"/>
                <w:szCs w:val="1"/>
                <w:color w:val="auto"/>
              </w:rPr>
            </w:pPr>
          </w:p>
        </w:tc>
      </w:tr>
      <w:tr>
        <w:trPr>
          <w:trHeight w:val="23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Income tax</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(598,348)</w:t>
            </w:r>
          </w:p>
        </w:tc>
        <w:tc>
          <w:tcPr>
            <w:tcW w:w="1020" w:type="dxa"/>
            <w:vAlign w:val="bottom"/>
          </w:tcPr>
          <w:p>
            <w:pPr>
              <w:jc w:val="center"/>
              <w:spacing w:after="0"/>
              <w:rPr>
                <w:sz w:val="20"/>
                <w:szCs w:val="20"/>
                <w:color w:val="auto"/>
              </w:rPr>
            </w:pPr>
            <w:r>
              <w:rPr>
                <w:rFonts w:ascii="Arial" w:cs="Arial" w:eastAsia="Arial" w:hAnsi="Arial"/>
                <w:sz w:val="10"/>
                <w:szCs w:val="10"/>
                <w:color w:val="auto"/>
                <w:w w:val="98"/>
              </w:rPr>
              <w:t>(728,308)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(735,153)</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6"/>
              </w:rPr>
              <w:t>0.9%</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22.9%</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rPr>
              <w:t>(2,201,275)</w:t>
            </w:r>
          </w:p>
        </w:tc>
        <w:tc>
          <w:tcPr>
            <w:tcW w:w="1180" w:type="dxa"/>
            <w:vAlign w:val="bottom"/>
          </w:tcPr>
          <w:p>
            <w:pPr>
              <w:jc w:val="center"/>
              <w:ind w:left="111"/>
              <w:spacing w:after="0"/>
              <w:rPr>
                <w:sz w:val="20"/>
                <w:szCs w:val="20"/>
                <w:color w:val="auto"/>
              </w:rPr>
            </w:pPr>
            <w:r>
              <w:rPr>
                <w:rFonts w:ascii="Arial" w:cs="Arial" w:eastAsia="Arial" w:hAnsi="Arial"/>
                <w:sz w:val="10"/>
                <w:szCs w:val="10"/>
                <w:color w:val="auto"/>
                <w:w w:val="97"/>
              </w:rPr>
              <w:t>(2,864,899)</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30.1%</w:t>
            </w:r>
          </w:p>
        </w:tc>
        <w:tc>
          <w:tcPr>
            <w:tcW w:w="0" w:type="dxa"/>
            <w:vAlign w:val="bottom"/>
          </w:tcPr>
          <w:p>
            <w:pPr>
              <w:spacing w:after="0"/>
              <w:rPr>
                <w:sz w:val="1"/>
                <w:szCs w:val="1"/>
                <w:color w:val="auto"/>
              </w:rPr>
            </w:pPr>
          </w:p>
        </w:tc>
      </w:tr>
      <w:tr>
        <w:trPr>
          <w:trHeight w:val="231"/>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Net profit</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8"/>
              </w:rPr>
              <w:t>1,157,338</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8"/>
              </w:rPr>
              <w:t>1,778,455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1,624,886</w:t>
            </w:r>
          </w:p>
        </w:tc>
        <w:tc>
          <w:tcPr>
            <w:tcW w:w="1280" w:type="dxa"/>
            <w:vAlign w:val="bottom"/>
          </w:tcPr>
          <w:p>
            <w:pPr>
              <w:jc w:val="center"/>
              <w:ind w:right="211"/>
              <w:spacing w:after="0"/>
              <w:rPr>
                <w:sz w:val="20"/>
                <w:szCs w:val="20"/>
                <w:color w:val="auto"/>
              </w:rPr>
            </w:pPr>
            <w:r>
              <w:rPr>
                <w:rFonts w:ascii="Arial" w:cs="Arial" w:eastAsia="Arial" w:hAnsi="Arial"/>
                <w:sz w:val="10"/>
                <w:szCs w:val="10"/>
                <w:b w:val="1"/>
                <w:bCs w:val="1"/>
                <w:color w:val="auto"/>
                <w:w w:val="99"/>
              </w:rPr>
              <w:t>-8.6%</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w w:val="98"/>
              </w:rPr>
              <w:t>40.4%</w:t>
            </w:r>
          </w:p>
        </w:tc>
        <w:tc>
          <w:tcPr>
            <w:tcW w:w="82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5,623,252</w:t>
            </w:r>
          </w:p>
        </w:tc>
        <w:tc>
          <w:tcPr>
            <w:tcW w:w="118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7,082,654</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8"/>
              </w:rPr>
              <w:t>26.0%</w:t>
            </w:r>
          </w:p>
        </w:tc>
        <w:tc>
          <w:tcPr>
            <w:tcW w:w="0" w:type="dxa"/>
            <w:vAlign w:val="bottom"/>
          </w:tcPr>
          <w:p>
            <w:pPr>
              <w:spacing w:after="0"/>
              <w:rPr>
                <w:sz w:val="1"/>
                <w:szCs w:val="1"/>
                <w:color w:val="auto"/>
              </w:rPr>
            </w:pPr>
          </w:p>
        </w:tc>
      </w:tr>
      <w:tr>
        <w:trPr>
          <w:trHeight w:val="119"/>
        </w:trPr>
        <w:tc>
          <w:tcPr>
            <w:tcW w:w="3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Non-controlling interest</w:t>
            </w:r>
          </w:p>
        </w:tc>
        <w:tc>
          <w:tcPr>
            <w:tcW w:w="1000" w:type="dxa"/>
            <w:vAlign w:val="bottom"/>
          </w:tcPr>
          <w:p>
            <w:pPr>
              <w:jc w:val="center"/>
              <w:spacing w:after="0"/>
              <w:rPr>
                <w:sz w:val="20"/>
                <w:szCs w:val="20"/>
                <w:color w:val="auto"/>
              </w:rPr>
            </w:pPr>
            <w:r>
              <w:rPr>
                <w:rFonts w:ascii="Arial" w:cs="Arial" w:eastAsia="Arial" w:hAnsi="Arial"/>
                <w:sz w:val="10"/>
                <w:szCs w:val="10"/>
                <w:color w:val="auto"/>
                <w:w w:val="97"/>
              </w:rPr>
              <w:t>30,625</w:t>
            </w:r>
          </w:p>
        </w:tc>
        <w:tc>
          <w:tcPr>
            <w:tcW w:w="1020" w:type="dxa"/>
            <w:vAlign w:val="bottom"/>
          </w:tcPr>
          <w:p>
            <w:pPr>
              <w:jc w:val="center"/>
              <w:spacing w:after="0"/>
              <w:rPr>
                <w:sz w:val="20"/>
                <w:szCs w:val="20"/>
                <w:color w:val="auto"/>
              </w:rPr>
            </w:pPr>
            <w:r>
              <w:rPr>
                <w:rFonts w:ascii="Arial" w:cs="Arial" w:eastAsia="Arial" w:hAnsi="Arial"/>
                <w:sz w:val="10"/>
                <w:szCs w:val="10"/>
                <w:color w:val="auto"/>
                <w:w w:val="97"/>
              </w:rPr>
              <w:t>39,800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37,876</w:t>
            </w:r>
          </w:p>
        </w:tc>
        <w:tc>
          <w:tcPr>
            <w:tcW w:w="1280" w:type="dxa"/>
            <w:vAlign w:val="bottom"/>
          </w:tcPr>
          <w:p>
            <w:pPr>
              <w:jc w:val="center"/>
              <w:ind w:right="211"/>
              <w:spacing w:after="0"/>
              <w:rPr>
                <w:sz w:val="20"/>
                <w:szCs w:val="20"/>
                <w:color w:val="auto"/>
              </w:rPr>
            </w:pPr>
            <w:r>
              <w:rPr>
                <w:rFonts w:ascii="Arial" w:cs="Arial" w:eastAsia="Arial" w:hAnsi="Arial"/>
                <w:sz w:val="10"/>
                <w:szCs w:val="10"/>
                <w:color w:val="auto"/>
                <w:w w:val="99"/>
              </w:rPr>
              <w:t>-4.8%</w:t>
            </w:r>
          </w:p>
        </w:tc>
        <w:tc>
          <w:tcPr>
            <w:tcW w:w="760" w:type="dxa"/>
            <w:vAlign w:val="bottom"/>
            <w:tcBorders>
              <w:right w:val="single" w:sz="8" w:color="auto"/>
            </w:tcBorders>
          </w:tcPr>
          <w:p>
            <w:pPr>
              <w:jc w:val="center"/>
              <w:ind w:right="231"/>
              <w:spacing w:after="0"/>
              <w:rPr>
                <w:sz w:val="20"/>
                <w:szCs w:val="20"/>
                <w:color w:val="auto"/>
              </w:rPr>
            </w:pPr>
            <w:r>
              <w:rPr>
                <w:rFonts w:ascii="Arial" w:cs="Arial" w:eastAsia="Arial" w:hAnsi="Arial"/>
                <w:sz w:val="10"/>
                <w:szCs w:val="10"/>
                <w:color w:val="auto"/>
                <w:w w:val="98"/>
              </w:rPr>
              <w:t>23.7%</w:t>
            </w:r>
          </w:p>
        </w:tc>
        <w:tc>
          <w:tcPr>
            <w:tcW w:w="820" w:type="dxa"/>
            <w:vAlign w:val="bottom"/>
          </w:tcPr>
          <w:p>
            <w:pPr>
              <w:jc w:val="center"/>
              <w:ind w:left="131"/>
              <w:spacing w:after="0"/>
              <w:rPr>
                <w:sz w:val="20"/>
                <w:szCs w:val="20"/>
                <w:color w:val="auto"/>
              </w:rPr>
            </w:pPr>
            <w:r>
              <w:rPr>
                <w:rFonts w:ascii="Arial" w:cs="Arial" w:eastAsia="Arial" w:hAnsi="Arial"/>
                <w:sz w:val="10"/>
                <w:szCs w:val="10"/>
                <w:color w:val="auto"/>
                <w:w w:val="99"/>
              </w:rPr>
              <w:t>121,998</w:t>
            </w:r>
          </w:p>
        </w:tc>
        <w:tc>
          <w:tcPr>
            <w:tcW w:w="1180" w:type="dxa"/>
            <w:vAlign w:val="bottom"/>
          </w:tcPr>
          <w:p>
            <w:pPr>
              <w:jc w:val="center"/>
              <w:ind w:left="131"/>
              <w:spacing w:after="0"/>
              <w:rPr>
                <w:sz w:val="20"/>
                <w:szCs w:val="20"/>
                <w:color w:val="auto"/>
              </w:rPr>
            </w:pPr>
            <w:r>
              <w:rPr>
                <w:rFonts w:ascii="Arial" w:cs="Arial" w:eastAsia="Arial" w:hAnsi="Arial"/>
                <w:sz w:val="10"/>
                <w:szCs w:val="10"/>
                <w:color w:val="auto"/>
                <w:w w:val="99"/>
              </w:rPr>
              <w:t>157,277</w:t>
            </w:r>
          </w:p>
        </w:tc>
        <w:tc>
          <w:tcPr>
            <w:tcW w:w="1020" w:type="dxa"/>
            <w:vAlign w:val="bottom"/>
            <w:tcBorders>
              <w:right w:val="single" w:sz="8" w:color="auto"/>
            </w:tcBorders>
          </w:tcPr>
          <w:p>
            <w:pPr>
              <w:jc w:val="center"/>
              <w:ind w:right="11"/>
              <w:spacing w:after="0"/>
              <w:rPr>
                <w:sz w:val="20"/>
                <w:szCs w:val="20"/>
                <w:color w:val="auto"/>
              </w:rPr>
            </w:pPr>
            <w:r>
              <w:rPr>
                <w:rFonts w:ascii="Arial" w:cs="Arial" w:eastAsia="Arial" w:hAnsi="Arial"/>
                <w:sz w:val="10"/>
                <w:szCs w:val="10"/>
                <w:color w:val="auto"/>
                <w:w w:val="98"/>
              </w:rPr>
              <w:t>28.9%</w:t>
            </w:r>
          </w:p>
        </w:tc>
        <w:tc>
          <w:tcPr>
            <w:tcW w:w="0" w:type="dxa"/>
            <w:vAlign w:val="bottom"/>
          </w:tcPr>
          <w:p>
            <w:pPr>
              <w:spacing w:after="0"/>
              <w:rPr>
                <w:sz w:val="1"/>
                <w:szCs w:val="1"/>
                <w:color w:val="auto"/>
              </w:rPr>
            </w:pPr>
          </w:p>
        </w:tc>
      </w:tr>
      <w:tr>
        <w:trPr>
          <w:trHeight w:val="131"/>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Net profit attributable to Credicorp</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1,126,713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1,738,655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1,587,010</w:t>
            </w:r>
          </w:p>
        </w:tc>
        <w:tc>
          <w:tcPr>
            <w:tcW w:w="1280" w:type="dxa"/>
            <w:vAlign w:val="bottom"/>
            <w:tcBorders>
              <w:bottom w:val="single" w:sz="8" w:color="auto"/>
            </w:tcBorders>
          </w:tcPr>
          <w:p>
            <w:pPr>
              <w:jc w:val="center"/>
              <w:ind w:right="211"/>
              <w:spacing w:after="0"/>
              <w:rPr>
                <w:sz w:val="20"/>
                <w:szCs w:val="20"/>
                <w:color w:val="auto"/>
              </w:rPr>
            </w:pPr>
            <w:r>
              <w:rPr>
                <w:rFonts w:ascii="Arial" w:cs="Arial" w:eastAsia="Arial" w:hAnsi="Arial"/>
                <w:sz w:val="10"/>
                <w:szCs w:val="10"/>
                <w:b w:val="1"/>
                <w:bCs w:val="1"/>
                <w:color w:val="auto"/>
                <w:w w:val="99"/>
              </w:rPr>
              <w:t>-8.7%</w:t>
            </w:r>
          </w:p>
        </w:tc>
        <w:tc>
          <w:tcPr>
            <w:tcW w:w="760" w:type="dxa"/>
            <w:vAlign w:val="bottom"/>
            <w:tcBorders>
              <w:bottom w:val="single" w:sz="8" w:color="auto"/>
              <w:right w:val="single" w:sz="8" w:color="auto"/>
            </w:tcBorders>
          </w:tcPr>
          <w:p>
            <w:pPr>
              <w:jc w:val="center"/>
              <w:ind w:right="231"/>
              <w:spacing w:after="0"/>
              <w:rPr>
                <w:sz w:val="20"/>
                <w:szCs w:val="20"/>
                <w:color w:val="auto"/>
              </w:rPr>
            </w:pPr>
            <w:r>
              <w:rPr>
                <w:rFonts w:ascii="Arial" w:cs="Arial" w:eastAsia="Arial" w:hAnsi="Arial"/>
                <w:sz w:val="10"/>
                <w:szCs w:val="10"/>
                <w:b w:val="1"/>
                <w:bCs w:val="1"/>
                <w:color w:val="auto"/>
                <w:w w:val="98"/>
              </w:rPr>
              <w:t>40.9%</w:t>
            </w:r>
          </w:p>
        </w:tc>
        <w:tc>
          <w:tcPr>
            <w:tcW w:w="82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b w:val="1"/>
                <w:bCs w:val="1"/>
                <w:color w:val="auto"/>
                <w:w w:val="98"/>
              </w:rPr>
              <w:t>5,501,254</w:t>
            </w:r>
          </w:p>
        </w:tc>
        <w:tc>
          <w:tcPr>
            <w:tcW w:w="118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b w:val="1"/>
                <w:bCs w:val="1"/>
                <w:color w:val="auto"/>
                <w:w w:val="98"/>
              </w:rPr>
              <w:t>6,925,377</w:t>
            </w:r>
          </w:p>
        </w:tc>
        <w:tc>
          <w:tcPr>
            <w:tcW w:w="1020" w:type="dxa"/>
            <w:vAlign w:val="bottom"/>
            <w:tcBorders>
              <w:bottom w:val="single" w:sz="8" w:color="auto"/>
              <w:right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8"/>
              </w:rPr>
              <w:t>25.9%</w:t>
            </w:r>
          </w:p>
        </w:tc>
        <w:tc>
          <w:tcPr>
            <w:tcW w:w="0" w:type="dxa"/>
            <w:vAlign w:val="bottom"/>
          </w:tcPr>
          <w:p>
            <w:pPr>
              <w:spacing w:after="0"/>
              <w:rPr>
                <w:sz w:val="1"/>
                <w:szCs w:val="1"/>
                <w:color w:val="auto"/>
              </w:rPr>
            </w:pPr>
          </w:p>
        </w:tc>
      </w:tr>
      <w:tr>
        <w:trPr>
          <w:trHeight w:val="1283"/>
        </w:trPr>
        <w:tc>
          <w:tcPr>
            <w:tcW w:w="3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-710565</wp:posOffset>
            </wp:positionV>
            <wp:extent cx="6764020" cy="5911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64020" cy="59118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3" w:name="page64"/>
    <w:bookmarkEnd w:id="63"/>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12.7.2. Credicorp Stand-alone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Separate Statement of Financial Position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080" w:type="dxa"/>
            <w:vAlign w:val="bottom"/>
            <w:tcBorders>
              <w:top w:val="single" w:sz="8" w:color="auto"/>
              <w:left w:val="single" w:sz="8" w:color="auto"/>
              <w:right w:val="single" w:sz="8" w:color="auto"/>
            </w:tcBorders>
            <w:shd w:val="clear" w:color="auto" w:fill="2AD2C9"/>
          </w:tcPr>
          <w:p>
            <w:pPr>
              <w:spacing w:after="0"/>
              <w:rPr>
                <w:sz w:val="15"/>
                <w:szCs w:val="15"/>
                <w:color w:val="auto"/>
              </w:rPr>
            </w:pPr>
          </w:p>
        </w:tc>
        <w:tc>
          <w:tcPr>
            <w:tcW w:w="1220" w:type="dxa"/>
            <w:vAlign w:val="bottom"/>
            <w:tcBorders>
              <w:top w:val="single" w:sz="8" w:color="auto"/>
            </w:tcBorders>
            <w:shd w:val="clear" w:color="auto" w:fill="2AD2C9"/>
          </w:tcPr>
          <w:p>
            <w:pPr>
              <w:spacing w:after="0"/>
              <w:rPr>
                <w:sz w:val="15"/>
                <w:szCs w:val="15"/>
                <w:color w:val="auto"/>
              </w:rPr>
            </w:pPr>
          </w:p>
        </w:tc>
        <w:tc>
          <w:tcPr>
            <w:tcW w:w="12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As of</w:t>
            </w:r>
          </w:p>
        </w:tc>
        <w:tc>
          <w:tcPr>
            <w:tcW w:w="1260" w:type="dxa"/>
            <w:vAlign w:val="bottom"/>
            <w:tcBorders>
              <w:top w:val="single" w:sz="8" w:color="auto"/>
              <w:right w:val="single" w:sz="8" w:color="auto"/>
            </w:tcBorders>
            <w:shd w:val="clear" w:color="auto" w:fill="2AD2C9"/>
          </w:tcPr>
          <w:p>
            <w:pPr>
              <w:spacing w:after="0"/>
              <w:rPr>
                <w:sz w:val="15"/>
                <w:szCs w:val="15"/>
                <w:color w:val="auto"/>
              </w:rPr>
            </w:pPr>
          </w:p>
        </w:tc>
        <w:tc>
          <w:tcPr>
            <w:tcW w:w="860" w:type="dxa"/>
            <w:vAlign w:val="bottom"/>
            <w:tcBorders>
              <w:top w:val="single" w:sz="8" w:color="auto"/>
            </w:tcBorders>
            <w:shd w:val="clear" w:color="auto" w:fill="2AD2C9"/>
          </w:tcPr>
          <w:p>
            <w:pPr>
              <w:spacing w:after="0"/>
              <w:rPr>
                <w:sz w:val="15"/>
                <w:szCs w:val="15"/>
                <w:color w:val="auto"/>
              </w:rPr>
            </w:pPr>
          </w:p>
        </w:tc>
        <w:tc>
          <w:tcPr>
            <w:tcW w:w="162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508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220" w:type="dxa"/>
            <w:vAlign w:val="bottom"/>
            <w:tcBorders>
              <w:bottom w:val="single" w:sz="8" w:color="auto"/>
            </w:tcBorders>
            <w:shd w:val="clear" w:color="auto" w:fill="2AD2C9"/>
          </w:tcPr>
          <w:p>
            <w:pPr>
              <w:ind w:left="380"/>
              <w:spacing w:after="0"/>
              <w:rPr>
                <w:sz w:val="20"/>
                <w:szCs w:val="20"/>
                <w:color w:val="auto"/>
              </w:rPr>
            </w:pPr>
            <w:r>
              <w:rPr>
                <w:rFonts w:ascii="Arial" w:cs="Arial" w:eastAsia="Arial" w:hAnsi="Arial"/>
                <w:sz w:val="14"/>
                <w:szCs w:val="14"/>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Sep 25</w:t>
            </w:r>
          </w:p>
        </w:tc>
        <w:tc>
          <w:tcPr>
            <w:tcW w:w="126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14"/>
                <w:szCs w:val="14"/>
                <w:b w:val="1"/>
                <w:bCs w:val="1"/>
                <w:color w:val="FFFFFF"/>
              </w:rPr>
              <w:t>Dec 25</w:t>
            </w:r>
          </w:p>
        </w:tc>
        <w:tc>
          <w:tcPr>
            <w:tcW w:w="860" w:type="dxa"/>
            <w:vAlign w:val="bottom"/>
            <w:tcBorders>
              <w:bottom w:val="single" w:sz="8" w:color="auto"/>
            </w:tcBorders>
            <w:shd w:val="clear" w:color="auto" w:fill="2AD2C9"/>
          </w:tcPr>
          <w:p>
            <w:pPr>
              <w:jc w:val="center"/>
              <w:ind w:left="268"/>
              <w:spacing w:after="0"/>
              <w:rPr>
                <w:sz w:val="20"/>
                <w:szCs w:val="20"/>
                <w:color w:val="auto"/>
              </w:rPr>
            </w:pPr>
            <w:r>
              <w:rPr>
                <w:rFonts w:ascii="Arial" w:cs="Arial" w:eastAsia="Arial" w:hAnsi="Arial"/>
                <w:sz w:val="14"/>
                <w:szCs w:val="14"/>
                <w:b w:val="1"/>
                <w:bCs w:val="1"/>
                <w:color w:val="FFFFFF"/>
              </w:rPr>
              <w:t>QoQ</w:t>
            </w:r>
          </w:p>
        </w:tc>
        <w:tc>
          <w:tcPr>
            <w:tcW w:w="1620" w:type="dxa"/>
            <w:vAlign w:val="bottom"/>
            <w:tcBorders>
              <w:bottom w:val="single" w:sz="8" w:color="auto"/>
              <w:right w:val="single" w:sz="8" w:color="auto"/>
            </w:tcBorders>
            <w:shd w:val="clear" w:color="auto" w:fill="2AD2C9"/>
          </w:tcPr>
          <w:p>
            <w:pPr>
              <w:ind w:left="840"/>
              <w:spacing w:after="0"/>
              <w:rPr>
                <w:sz w:val="20"/>
                <w:szCs w:val="20"/>
                <w:color w:val="auto"/>
              </w:rPr>
            </w:pPr>
            <w:r>
              <w:rPr>
                <w:rFonts w:ascii="Arial" w:cs="Arial" w:eastAsia="Arial" w:hAnsi="Arial"/>
                <w:sz w:val="14"/>
                <w:szCs w:val="14"/>
                <w:b w:val="1"/>
                <w:bCs w:val="1"/>
                <w:color w:val="FFFFFF"/>
              </w:rPr>
              <w:t>YoY</w:t>
            </w:r>
          </w:p>
        </w:tc>
      </w:tr>
      <w:tr>
        <w:trPr>
          <w:trHeight w:val="142"/>
        </w:trPr>
        <w:tc>
          <w:tcPr>
            <w:tcW w:w="5080" w:type="dxa"/>
            <w:vAlign w:val="bottom"/>
            <w:tcBorders>
              <w:left w:val="single" w:sz="8" w:color="auto"/>
              <w:right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ASSETS</w:t>
            </w: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Cash and cash equivalents</w:t>
            </w:r>
          </w:p>
        </w:tc>
        <w:tc>
          <w:tcPr>
            <w:tcW w:w="1220" w:type="dxa"/>
            <w:vAlign w:val="bottom"/>
          </w:tcPr>
          <w:p>
            <w:pPr>
              <w:jc w:val="center"/>
              <w:spacing w:after="0"/>
              <w:rPr>
                <w:sz w:val="20"/>
                <w:szCs w:val="20"/>
                <w:color w:val="auto"/>
              </w:rPr>
            </w:pPr>
            <w:r>
              <w:rPr>
                <w:rFonts w:ascii="Arial" w:cs="Arial" w:eastAsia="Arial" w:hAnsi="Arial"/>
                <w:sz w:val="14"/>
                <w:szCs w:val="14"/>
                <w:color w:val="auto"/>
              </w:rPr>
              <w:t>399,943</w:t>
            </w:r>
          </w:p>
        </w:tc>
        <w:tc>
          <w:tcPr>
            <w:tcW w:w="1240" w:type="dxa"/>
            <w:vAlign w:val="bottom"/>
          </w:tcPr>
          <w:p>
            <w:pPr>
              <w:jc w:val="center"/>
              <w:spacing w:after="0"/>
              <w:rPr>
                <w:sz w:val="20"/>
                <w:szCs w:val="20"/>
                <w:color w:val="auto"/>
              </w:rPr>
            </w:pPr>
            <w:r>
              <w:rPr>
                <w:rFonts w:ascii="Arial" w:cs="Arial" w:eastAsia="Arial" w:hAnsi="Arial"/>
                <w:sz w:val="14"/>
                <w:szCs w:val="14"/>
                <w:color w:val="auto"/>
              </w:rPr>
              <w:t>121,123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320,909</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164.9%</w:t>
            </w:r>
          </w:p>
        </w:tc>
        <w:tc>
          <w:tcPr>
            <w:tcW w:w="162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-19.8%</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At fair value through profit or loss</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n.a.</w:t>
            </w:r>
          </w:p>
        </w:tc>
        <w:tc>
          <w:tcPr>
            <w:tcW w:w="1620" w:type="dxa"/>
            <w:vAlign w:val="bottom"/>
            <w:tcBorders>
              <w:right w:val="single" w:sz="8" w:color="auto"/>
            </w:tcBorders>
          </w:tcPr>
          <w:p>
            <w:pPr>
              <w:ind w:left="860"/>
              <w:spacing w:after="0"/>
              <w:rPr>
                <w:sz w:val="20"/>
                <w:szCs w:val="20"/>
                <w:color w:val="auto"/>
              </w:rPr>
            </w:pPr>
            <w:r>
              <w:rPr>
                <w:rFonts w:ascii="Arial" w:cs="Arial" w:eastAsia="Arial" w:hAnsi="Arial"/>
                <w:sz w:val="14"/>
                <w:szCs w:val="14"/>
                <w:color w:val="auto"/>
              </w:rPr>
              <w:t>n.a.</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Fair value through other comprehensive income investments</w:t>
            </w:r>
          </w:p>
        </w:tc>
        <w:tc>
          <w:tcPr>
            <w:tcW w:w="1220" w:type="dxa"/>
            <w:vAlign w:val="bottom"/>
          </w:tcPr>
          <w:p>
            <w:pPr>
              <w:jc w:val="center"/>
              <w:spacing w:after="0"/>
              <w:rPr>
                <w:sz w:val="20"/>
                <w:szCs w:val="20"/>
                <w:color w:val="auto"/>
              </w:rPr>
            </w:pPr>
            <w:r>
              <w:rPr>
                <w:rFonts w:ascii="Arial" w:cs="Arial" w:eastAsia="Arial" w:hAnsi="Arial"/>
                <w:sz w:val="14"/>
                <w:szCs w:val="14"/>
                <w:color w:val="auto"/>
              </w:rPr>
              <w:t>1,262,327</w:t>
            </w:r>
          </w:p>
        </w:tc>
        <w:tc>
          <w:tcPr>
            <w:tcW w:w="1240" w:type="dxa"/>
            <w:vAlign w:val="bottom"/>
          </w:tcPr>
          <w:p>
            <w:pPr>
              <w:jc w:val="center"/>
              <w:spacing w:after="0"/>
              <w:rPr>
                <w:sz w:val="20"/>
                <w:szCs w:val="20"/>
                <w:color w:val="auto"/>
              </w:rPr>
            </w:pPr>
            <w:r>
              <w:rPr>
                <w:rFonts w:ascii="Arial" w:cs="Arial" w:eastAsia="Arial" w:hAnsi="Arial"/>
                <w:sz w:val="14"/>
                <w:szCs w:val="14"/>
                <w:color w:val="auto"/>
              </w:rPr>
              <w:t>101,222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101,684</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0.5%</w:t>
            </w:r>
          </w:p>
        </w:tc>
        <w:tc>
          <w:tcPr>
            <w:tcW w:w="162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color w:val="auto"/>
              </w:rPr>
              <w:t>-91.9%</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In subsidiaries and associates investments</w:t>
            </w:r>
          </w:p>
        </w:tc>
        <w:tc>
          <w:tcPr>
            <w:tcW w:w="1220" w:type="dxa"/>
            <w:vAlign w:val="bottom"/>
          </w:tcPr>
          <w:p>
            <w:pPr>
              <w:jc w:val="center"/>
              <w:spacing w:after="0"/>
              <w:rPr>
                <w:sz w:val="20"/>
                <w:szCs w:val="20"/>
                <w:color w:val="auto"/>
              </w:rPr>
            </w:pPr>
            <w:r>
              <w:rPr>
                <w:rFonts w:ascii="Arial" w:cs="Arial" w:eastAsia="Arial" w:hAnsi="Arial"/>
                <w:sz w:val="14"/>
                <w:szCs w:val="14"/>
                <w:color w:val="auto"/>
              </w:rPr>
              <w:t>38,291,133</w:t>
            </w:r>
          </w:p>
        </w:tc>
        <w:tc>
          <w:tcPr>
            <w:tcW w:w="1240" w:type="dxa"/>
            <w:vAlign w:val="bottom"/>
          </w:tcPr>
          <w:p>
            <w:pPr>
              <w:jc w:val="center"/>
              <w:spacing w:after="0"/>
              <w:rPr>
                <w:sz w:val="20"/>
                <w:szCs w:val="20"/>
                <w:color w:val="auto"/>
              </w:rPr>
            </w:pPr>
            <w:r>
              <w:rPr>
                <w:rFonts w:ascii="Arial" w:cs="Arial" w:eastAsia="Arial" w:hAnsi="Arial"/>
                <w:sz w:val="14"/>
                <w:szCs w:val="14"/>
                <w:color w:val="auto"/>
              </w:rPr>
              <w:t>40,527,583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42,246,625</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4.2%</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10.3%</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Investments at amortized cost</w:t>
            </w:r>
          </w:p>
        </w:tc>
        <w:tc>
          <w:tcPr>
            <w:tcW w:w="1220" w:type="dxa"/>
            <w:vAlign w:val="bottom"/>
          </w:tcPr>
          <w:p>
            <w:pPr>
              <w:jc w:val="center"/>
              <w:spacing w:after="0"/>
              <w:rPr>
                <w:sz w:val="20"/>
                <w:szCs w:val="20"/>
                <w:color w:val="auto"/>
              </w:rPr>
            </w:pPr>
            <w:r>
              <w:rPr>
                <w:rFonts w:ascii="Arial" w:cs="Arial" w:eastAsia="Arial" w:hAnsi="Arial"/>
                <w:sz w:val="14"/>
                <w:szCs w:val="14"/>
                <w:color w:val="auto"/>
              </w:rPr>
              <w:t>695,652</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n.a.</w:t>
            </w:r>
          </w:p>
        </w:tc>
        <w:tc>
          <w:tcPr>
            <w:tcW w:w="1620" w:type="dxa"/>
            <w:vAlign w:val="bottom"/>
            <w:tcBorders>
              <w:right w:val="single" w:sz="8" w:color="auto"/>
            </w:tcBorders>
          </w:tcPr>
          <w:p>
            <w:pPr>
              <w:ind w:left="860"/>
              <w:spacing w:after="0"/>
              <w:rPr>
                <w:sz w:val="20"/>
                <w:szCs w:val="20"/>
                <w:color w:val="auto"/>
              </w:rPr>
            </w:pPr>
            <w:r>
              <w:rPr>
                <w:rFonts w:ascii="Arial" w:cs="Arial" w:eastAsia="Arial" w:hAnsi="Arial"/>
                <w:sz w:val="14"/>
                <w:szCs w:val="14"/>
                <w:color w:val="auto"/>
              </w:rPr>
              <w:t>n.a.</w:t>
            </w:r>
          </w:p>
        </w:tc>
      </w:tr>
      <w:tr>
        <w:trPr>
          <w:trHeight w:val="16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Other assets</w:t>
            </w:r>
          </w:p>
        </w:tc>
        <w:tc>
          <w:tcPr>
            <w:tcW w:w="1220" w:type="dxa"/>
            <w:vAlign w:val="bottom"/>
          </w:tcPr>
          <w:p>
            <w:pPr>
              <w:jc w:val="center"/>
              <w:spacing w:after="0"/>
              <w:rPr>
                <w:sz w:val="20"/>
                <w:szCs w:val="20"/>
                <w:color w:val="auto"/>
              </w:rPr>
            </w:pPr>
            <w:r>
              <w:rPr>
                <w:rFonts w:ascii="Arial" w:cs="Arial" w:eastAsia="Arial" w:hAnsi="Arial"/>
                <w:sz w:val="14"/>
                <w:szCs w:val="14"/>
                <w:color w:val="auto"/>
              </w:rPr>
              <w:t>6,777</w:t>
            </w:r>
          </w:p>
        </w:tc>
        <w:tc>
          <w:tcPr>
            <w:tcW w:w="1240" w:type="dxa"/>
            <w:vAlign w:val="bottom"/>
          </w:tcPr>
          <w:p>
            <w:pPr>
              <w:jc w:val="center"/>
              <w:spacing w:after="0"/>
              <w:rPr>
                <w:sz w:val="20"/>
                <w:szCs w:val="20"/>
                <w:color w:val="auto"/>
              </w:rPr>
            </w:pPr>
            <w:r>
              <w:rPr>
                <w:rFonts w:ascii="Arial" w:cs="Arial" w:eastAsia="Arial" w:hAnsi="Arial"/>
                <w:sz w:val="14"/>
                <w:szCs w:val="14"/>
                <w:color w:val="auto"/>
              </w:rPr>
              <w:t>9,626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8,836</w:t>
            </w:r>
          </w:p>
        </w:tc>
        <w:tc>
          <w:tcPr>
            <w:tcW w:w="860" w:type="dxa"/>
            <w:vAlign w:val="bottom"/>
          </w:tcPr>
          <w:p>
            <w:pPr>
              <w:jc w:val="center"/>
              <w:ind w:left="288"/>
              <w:spacing w:after="0"/>
              <w:rPr>
                <w:sz w:val="20"/>
                <w:szCs w:val="20"/>
                <w:color w:val="auto"/>
              </w:rPr>
            </w:pPr>
            <w:r>
              <w:rPr>
                <w:rFonts w:ascii="Arial" w:cs="Arial" w:eastAsia="Arial" w:hAnsi="Arial"/>
                <w:sz w:val="14"/>
                <w:szCs w:val="14"/>
                <w:color w:val="auto"/>
              </w:rPr>
              <w:t>-8.2%</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30.4%</w:t>
            </w:r>
          </w:p>
        </w:tc>
      </w:tr>
      <w:tr>
        <w:trPr>
          <w:trHeight w:val="202"/>
        </w:trPr>
        <w:tc>
          <w:tcPr>
            <w:tcW w:w="5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Assets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40,655,832</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40,759,554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42,678,054</w:t>
            </w:r>
          </w:p>
        </w:tc>
        <w:tc>
          <w:tcPr>
            <w:tcW w:w="860" w:type="dxa"/>
            <w:vAlign w:val="bottom"/>
          </w:tcPr>
          <w:p>
            <w:pPr>
              <w:jc w:val="center"/>
              <w:ind w:left="268"/>
              <w:spacing w:after="0"/>
              <w:rPr>
                <w:sz w:val="20"/>
                <w:szCs w:val="20"/>
                <w:color w:val="auto"/>
              </w:rPr>
            </w:pPr>
            <w:r>
              <w:rPr>
                <w:rFonts w:ascii="Arial" w:cs="Arial" w:eastAsia="Arial" w:hAnsi="Arial"/>
                <w:sz w:val="14"/>
                <w:szCs w:val="14"/>
                <w:b w:val="1"/>
                <w:bCs w:val="1"/>
                <w:color w:val="auto"/>
              </w:rPr>
              <w:t>4.7%</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5.0%</w:t>
            </w:r>
          </w:p>
        </w:tc>
      </w:tr>
      <w:tr>
        <w:trPr>
          <w:trHeight w:val="286"/>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LIABILITIES AND NET SHAREHOLDERS’ EQUITY</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Due to banks, correspondents and other entities</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n.a.</w:t>
            </w:r>
          </w:p>
        </w:tc>
        <w:tc>
          <w:tcPr>
            <w:tcW w:w="1620" w:type="dxa"/>
            <w:vAlign w:val="bottom"/>
            <w:tcBorders>
              <w:right w:val="single" w:sz="8" w:color="auto"/>
            </w:tcBorders>
          </w:tcPr>
          <w:p>
            <w:pPr>
              <w:ind w:left="860"/>
              <w:spacing w:after="0"/>
              <w:rPr>
                <w:sz w:val="20"/>
                <w:szCs w:val="20"/>
                <w:color w:val="auto"/>
              </w:rPr>
            </w:pPr>
            <w:r>
              <w:rPr>
                <w:rFonts w:ascii="Arial" w:cs="Arial" w:eastAsia="Arial" w:hAnsi="Arial"/>
                <w:sz w:val="14"/>
                <w:szCs w:val="14"/>
                <w:color w:val="auto"/>
              </w:rPr>
              <w:t>n.a.</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Bonds and notes issued</w:t>
            </w:r>
          </w:p>
        </w:tc>
        <w:tc>
          <w:tcPr>
            <w:tcW w:w="1220" w:type="dxa"/>
            <w:vAlign w:val="bottom"/>
          </w:tcPr>
          <w:p>
            <w:pPr>
              <w:jc w:val="center"/>
              <w:spacing w:after="0"/>
              <w:rPr>
                <w:sz w:val="20"/>
                <w:szCs w:val="20"/>
                <w:color w:val="auto"/>
              </w:rPr>
            </w:pPr>
            <w:r>
              <w:rPr>
                <w:rFonts w:ascii="Arial" w:cs="Arial" w:eastAsia="Arial" w:hAnsi="Arial"/>
                <w:sz w:val="14"/>
                <w:szCs w:val="14"/>
                <w:color w:val="auto"/>
              </w:rPr>
              <w:t>1,829,657</w:t>
            </w:r>
          </w:p>
        </w:tc>
        <w:tc>
          <w:tcPr>
            <w:tcW w:w="12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n.a.</w:t>
            </w:r>
          </w:p>
        </w:tc>
        <w:tc>
          <w:tcPr>
            <w:tcW w:w="1620" w:type="dxa"/>
            <w:vAlign w:val="bottom"/>
            <w:tcBorders>
              <w:right w:val="single" w:sz="8" w:color="auto"/>
            </w:tcBorders>
          </w:tcPr>
          <w:p>
            <w:pPr>
              <w:ind w:left="860"/>
              <w:spacing w:after="0"/>
              <w:rPr>
                <w:sz w:val="20"/>
                <w:szCs w:val="20"/>
                <w:color w:val="auto"/>
              </w:rPr>
            </w:pPr>
            <w:r>
              <w:rPr>
                <w:rFonts w:ascii="Arial" w:cs="Arial" w:eastAsia="Arial" w:hAnsi="Arial"/>
                <w:sz w:val="14"/>
                <w:szCs w:val="14"/>
                <w:color w:val="auto"/>
              </w:rPr>
              <w:t>n.a.</w:t>
            </w:r>
          </w:p>
        </w:tc>
      </w:tr>
      <w:tr>
        <w:trPr>
          <w:trHeight w:val="16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Other liabilities</w:t>
            </w:r>
          </w:p>
        </w:tc>
        <w:tc>
          <w:tcPr>
            <w:tcW w:w="1220" w:type="dxa"/>
            <w:vAlign w:val="bottom"/>
          </w:tcPr>
          <w:p>
            <w:pPr>
              <w:jc w:val="center"/>
              <w:spacing w:after="0"/>
              <w:rPr>
                <w:sz w:val="20"/>
                <w:szCs w:val="20"/>
                <w:color w:val="auto"/>
              </w:rPr>
            </w:pPr>
            <w:r>
              <w:rPr>
                <w:rFonts w:ascii="Arial" w:cs="Arial" w:eastAsia="Arial" w:hAnsi="Arial"/>
                <w:sz w:val="14"/>
                <w:szCs w:val="14"/>
                <w:color w:val="auto"/>
              </w:rPr>
              <w:t>230,660</w:t>
            </w:r>
          </w:p>
        </w:tc>
        <w:tc>
          <w:tcPr>
            <w:tcW w:w="1240" w:type="dxa"/>
            <w:vAlign w:val="bottom"/>
          </w:tcPr>
          <w:p>
            <w:pPr>
              <w:jc w:val="center"/>
              <w:spacing w:after="0"/>
              <w:rPr>
                <w:sz w:val="20"/>
                <w:szCs w:val="20"/>
                <w:color w:val="auto"/>
              </w:rPr>
            </w:pPr>
            <w:r>
              <w:rPr>
                <w:rFonts w:ascii="Arial" w:cs="Arial" w:eastAsia="Arial" w:hAnsi="Arial"/>
                <w:sz w:val="14"/>
                <w:szCs w:val="14"/>
                <w:color w:val="auto"/>
              </w:rPr>
              <w:t>211,103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274,606</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30.1%</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19.1%</w:t>
            </w:r>
          </w:p>
        </w:tc>
      </w:tr>
      <w:tr>
        <w:trPr>
          <w:trHeight w:val="202"/>
        </w:trPr>
        <w:tc>
          <w:tcPr>
            <w:tcW w:w="5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Liabilities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2,060,317</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211,103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274,606</w:t>
            </w:r>
          </w:p>
        </w:tc>
        <w:tc>
          <w:tcPr>
            <w:tcW w:w="860" w:type="dxa"/>
            <w:vAlign w:val="bottom"/>
          </w:tcPr>
          <w:p>
            <w:pPr>
              <w:jc w:val="center"/>
              <w:ind w:left="268"/>
              <w:spacing w:after="0"/>
              <w:rPr>
                <w:sz w:val="20"/>
                <w:szCs w:val="20"/>
                <w:color w:val="auto"/>
              </w:rPr>
            </w:pPr>
            <w:r>
              <w:rPr>
                <w:rFonts w:ascii="Arial" w:cs="Arial" w:eastAsia="Arial" w:hAnsi="Arial"/>
                <w:sz w:val="14"/>
                <w:szCs w:val="14"/>
                <w:b w:val="1"/>
                <w:bCs w:val="1"/>
                <w:color w:val="auto"/>
              </w:rPr>
              <w:t>30.1%</w:t>
            </w:r>
          </w:p>
        </w:tc>
        <w:tc>
          <w:tcPr>
            <w:tcW w:w="1620" w:type="dxa"/>
            <w:vAlign w:val="bottom"/>
            <w:tcBorders>
              <w:right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-86.7%</w:t>
            </w:r>
          </w:p>
        </w:tc>
      </w:tr>
      <w:tr>
        <w:trPr>
          <w:trHeight w:val="286"/>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NET EQUITY</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Capital stock</w:t>
            </w:r>
          </w:p>
        </w:tc>
        <w:tc>
          <w:tcPr>
            <w:tcW w:w="1220" w:type="dxa"/>
            <w:vAlign w:val="bottom"/>
          </w:tcPr>
          <w:p>
            <w:pPr>
              <w:jc w:val="center"/>
              <w:spacing w:after="0"/>
              <w:rPr>
                <w:sz w:val="20"/>
                <w:szCs w:val="20"/>
                <w:color w:val="auto"/>
              </w:rPr>
            </w:pPr>
            <w:r>
              <w:rPr>
                <w:rFonts w:ascii="Arial" w:cs="Arial" w:eastAsia="Arial" w:hAnsi="Arial"/>
                <w:sz w:val="14"/>
                <w:szCs w:val="14"/>
                <w:color w:val="auto"/>
              </w:rPr>
              <w:t>1,318,993</w:t>
            </w:r>
          </w:p>
        </w:tc>
        <w:tc>
          <w:tcPr>
            <w:tcW w:w="1240" w:type="dxa"/>
            <w:vAlign w:val="bottom"/>
          </w:tcPr>
          <w:p>
            <w:pPr>
              <w:jc w:val="center"/>
              <w:spacing w:after="0"/>
              <w:rPr>
                <w:sz w:val="20"/>
                <w:szCs w:val="20"/>
                <w:color w:val="auto"/>
              </w:rPr>
            </w:pPr>
            <w:r>
              <w:rPr>
                <w:rFonts w:ascii="Arial" w:cs="Arial" w:eastAsia="Arial" w:hAnsi="Arial"/>
                <w:sz w:val="14"/>
                <w:szCs w:val="14"/>
                <w:color w:val="auto"/>
              </w:rPr>
              <w:t>1,318,993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1,318,993</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0.0%</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0.0%</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Capital Surplus</w:t>
            </w:r>
          </w:p>
        </w:tc>
        <w:tc>
          <w:tcPr>
            <w:tcW w:w="1220" w:type="dxa"/>
            <w:vAlign w:val="bottom"/>
          </w:tcPr>
          <w:p>
            <w:pPr>
              <w:jc w:val="center"/>
              <w:spacing w:after="0"/>
              <w:rPr>
                <w:sz w:val="20"/>
                <w:szCs w:val="20"/>
                <w:color w:val="auto"/>
              </w:rPr>
            </w:pPr>
            <w:r>
              <w:rPr>
                <w:rFonts w:ascii="Arial" w:cs="Arial" w:eastAsia="Arial" w:hAnsi="Arial"/>
                <w:sz w:val="14"/>
                <w:szCs w:val="14"/>
                <w:color w:val="auto"/>
              </w:rPr>
              <w:t>384,542</w:t>
            </w:r>
          </w:p>
        </w:tc>
        <w:tc>
          <w:tcPr>
            <w:tcW w:w="1240" w:type="dxa"/>
            <w:vAlign w:val="bottom"/>
          </w:tcPr>
          <w:p>
            <w:pPr>
              <w:jc w:val="center"/>
              <w:spacing w:after="0"/>
              <w:rPr>
                <w:sz w:val="20"/>
                <w:szCs w:val="20"/>
                <w:color w:val="auto"/>
              </w:rPr>
            </w:pPr>
            <w:r>
              <w:rPr>
                <w:rFonts w:ascii="Arial" w:cs="Arial" w:eastAsia="Arial" w:hAnsi="Arial"/>
                <w:sz w:val="14"/>
                <w:szCs w:val="14"/>
                <w:color w:val="auto"/>
              </w:rPr>
              <w:t>384,542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384,542</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0.0%</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0.0%</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Reserve</w:t>
            </w:r>
          </w:p>
        </w:tc>
        <w:tc>
          <w:tcPr>
            <w:tcW w:w="1220" w:type="dxa"/>
            <w:vAlign w:val="bottom"/>
          </w:tcPr>
          <w:p>
            <w:pPr>
              <w:jc w:val="center"/>
              <w:spacing w:after="0"/>
              <w:rPr>
                <w:sz w:val="20"/>
                <w:szCs w:val="20"/>
                <w:color w:val="auto"/>
              </w:rPr>
            </w:pPr>
            <w:r>
              <w:rPr>
                <w:rFonts w:ascii="Arial" w:cs="Arial" w:eastAsia="Arial" w:hAnsi="Arial"/>
                <w:sz w:val="14"/>
                <w:szCs w:val="14"/>
                <w:color w:val="auto"/>
              </w:rPr>
              <w:t>26,651,390</w:t>
            </w:r>
          </w:p>
        </w:tc>
        <w:tc>
          <w:tcPr>
            <w:tcW w:w="1240" w:type="dxa"/>
            <w:vAlign w:val="bottom"/>
          </w:tcPr>
          <w:p>
            <w:pPr>
              <w:jc w:val="center"/>
              <w:spacing w:after="0"/>
              <w:rPr>
                <w:sz w:val="20"/>
                <w:szCs w:val="20"/>
                <w:color w:val="auto"/>
              </w:rPr>
            </w:pPr>
            <w:r>
              <w:rPr>
                <w:rFonts w:ascii="Arial" w:cs="Arial" w:eastAsia="Arial" w:hAnsi="Arial"/>
                <w:sz w:val="14"/>
                <w:szCs w:val="14"/>
                <w:color w:val="auto"/>
              </w:rPr>
              <w:t>28,438,904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28,438,708</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0.0%</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6.7%</w:t>
            </w:r>
          </w:p>
        </w:tc>
      </w:tr>
      <w:tr>
        <w:trPr>
          <w:trHeight w:val="162"/>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Unrealized results</w:t>
            </w:r>
          </w:p>
        </w:tc>
        <w:tc>
          <w:tcPr>
            <w:tcW w:w="1220" w:type="dxa"/>
            <w:vAlign w:val="bottom"/>
          </w:tcPr>
          <w:p>
            <w:pPr>
              <w:jc w:val="center"/>
              <w:spacing w:after="0"/>
              <w:rPr>
                <w:sz w:val="20"/>
                <w:szCs w:val="20"/>
                <w:color w:val="auto"/>
              </w:rPr>
            </w:pPr>
            <w:r>
              <w:rPr>
                <w:rFonts w:ascii="Arial" w:cs="Arial" w:eastAsia="Arial" w:hAnsi="Arial"/>
                <w:sz w:val="14"/>
                <w:szCs w:val="14"/>
                <w:color w:val="auto"/>
              </w:rPr>
              <w:t>35,535</w:t>
            </w:r>
          </w:p>
        </w:tc>
        <w:tc>
          <w:tcPr>
            <w:tcW w:w="1240" w:type="dxa"/>
            <w:vAlign w:val="bottom"/>
          </w:tcPr>
          <w:p>
            <w:pPr>
              <w:jc w:val="center"/>
              <w:spacing w:after="0"/>
              <w:rPr>
                <w:sz w:val="20"/>
                <w:szCs w:val="20"/>
                <w:color w:val="auto"/>
              </w:rPr>
            </w:pPr>
            <w:r>
              <w:rPr>
                <w:rFonts w:ascii="Arial" w:cs="Arial" w:eastAsia="Arial" w:hAnsi="Arial"/>
                <w:sz w:val="14"/>
                <w:szCs w:val="14"/>
                <w:color w:val="auto"/>
              </w:rPr>
              <w:t>51,015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275,191</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n.a.</w:t>
            </w:r>
          </w:p>
        </w:tc>
        <w:tc>
          <w:tcPr>
            <w:tcW w:w="1620" w:type="dxa"/>
            <w:vAlign w:val="bottom"/>
            <w:tcBorders>
              <w:right w:val="single" w:sz="8" w:color="auto"/>
            </w:tcBorders>
          </w:tcPr>
          <w:p>
            <w:pPr>
              <w:ind w:left="860"/>
              <w:spacing w:after="0"/>
              <w:rPr>
                <w:sz w:val="20"/>
                <w:szCs w:val="20"/>
                <w:color w:val="auto"/>
              </w:rPr>
            </w:pPr>
            <w:r>
              <w:rPr>
                <w:rFonts w:ascii="Arial" w:cs="Arial" w:eastAsia="Arial" w:hAnsi="Arial"/>
                <w:sz w:val="14"/>
                <w:szCs w:val="14"/>
                <w:color w:val="auto"/>
              </w:rPr>
              <w:t>n.a.</w:t>
            </w:r>
          </w:p>
        </w:tc>
      </w:tr>
      <w:tr>
        <w:trPr>
          <w:trHeight w:val="16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Retained earnings</w:t>
            </w:r>
          </w:p>
        </w:tc>
        <w:tc>
          <w:tcPr>
            <w:tcW w:w="1220" w:type="dxa"/>
            <w:vAlign w:val="bottom"/>
          </w:tcPr>
          <w:p>
            <w:pPr>
              <w:jc w:val="center"/>
              <w:spacing w:after="0"/>
              <w:rPr>
                <w:sz w:val="20"/>
                <w:szCs w:val="20"/>
                <w:color w:val="auto"/>
              </w:rPr>
            </w:pPr>
            <w:r>
              <w:rPr>
                <w:rFonts w:ascii="Arial" w:cs="Arial" w:eastAsia="Arial" w:hAnsi="Arial"/>
                <w:sz w:val="14"/>
                <w:szCs w:val="14"/>
                <w:color w:val="auto"/>
              </w:rPr>
              <w:t>10,205,055</w:t>
            </w:r>
          </w:p>
        </w:tc>
        <w:tc>
          <w:tcPr>
            <w:tcW w:w="1240" w:type="dxa"/>
            <w:vAlign w:val="bottom"/>
          </w:tcPr>
          <w:p>
            <w:pPr>
              <w:jc w:val="center"/>
              <w:spacing w:after="0"/>
              <w:rPr>
                <w:sz w:val="20"/>
                <w:szCs w:val="20"/>
                <w:color w:val="auto"/>
              </w:rPr>
            </w:pPr>
            <w:r>
              <w:rPr>
                <w:rFonts w:ascii="Arial" w:cs="Arial" w:eastAsia="Arial" w:hAnsi="Arial"/>
                <w:sz w:val="14"/>
                <w:szCs w:val="14"/>
                <w:color w:val="auto"/>
              </w:rPr>
              <w:t>10,354,997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11,986,014</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15.8%</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color w:val="auto"/>
              </w:rPr>
              <w:t>17.5%</w:t>
            </w:r>
          </w:p>
        </w:tc>
      </w:tr>
      <w:tr>
        <w:trPr>
          <w:trHeight w:val="202"/>
        </w:trPr>
        <w:tc>
          <w:tcPr>
            <w:tcW w:w="5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net equity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38,595,515</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40,548,451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42,403,448</w:t>
            </w:r>
          </w:p>
        </w:tc>
        <w:tc>
          <w:tcPr>
            <w:tcW w:w="860" w:type="dxa"/>
            <w:vAlign w:val="bottom"/>
          </w:tcPr>
          <w:p>
            <w:pPr>
              <w:jc w:val="center"/>
              <w:ind w:left="268"/>
              <w:spacing w:after="0"/>
              <w:rPr>
                <w:sz w:val="20"/>
                <w:szCs w:val="20"/>
                <w:color w:val="auto"/>
              </w:rPr>
            </w:pPr>
            <w:r>
              <w:rPr>
                <w:rFonts w:ascii="Arial" w:cs="Arial" w:eastAsia="Arial" w:hAnsi="Arial"/>
                <w:sz w:val="14"/>
                <w:szCs w:val="14"/>
                <w:b w:val="1"/>
                <w:bCs w:val="1"/>
                <w:color w:val="auto"/>
              </w:rPr>
              <w:t>4.6%</w:t>
            </w:r>
          </w:p>
        </w:tc>
        <w:tc>
          <w:tcPr>
            <w:tcW w:w="1620" w:type="dxa"/>
            <w:vAlign w:val="bottom"/>
            <w:tcBorders>
              <w:right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9.9%</w:t>
            </w:r>
          </w:p>
        </w:tc>
      </w:tr>
      <w:tr>
        <w:trPr>
          <w:trHeight w:val="299"/>
        </w:trPr>
        <w:tc>
          <w:tcPr>
            <w:tcW w:w="5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Total Liabilities And Equity</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40,655,832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40,759,554</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42,678,054</w:t>
            </w:r>
          </w:p>
        </w:tc>
        <w:tc>
          <w:tcPr>
            <w:tcW w:w="8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4.7%</w:t>
            </w:r>
          </w:p>
        </w:tc>
        <w:tc>
          <w:tcPr>
            <w:tcW w:w="1620" w:type="dxa"/>
            <w:vAlign w:val="bottom"/>
            <w:tcBorders>
              <w:bottom w:val="single" w:sz="8" w:color="auto"/>
              <w:right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5.0%</w:t>
            </w:r>
          </w:p>
        </w:tc>
      </w:tr>
    </w:tbl>
    <w:p>
      <w:pPr>
        <w:spacing w:after="0" w:line="16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Statement of Income</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410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40" w:type="dxa"/>
            <w:vAlign w:val="bottom"/>
            <w:tcBorders>
              <w:top w:val="single" w:sz="8" w:color="auto"/>
              <w:right w:val="single" w:sz="8" w:color="2AD2C9"/>
            </w:tcBorders>
            <w:shd w:val="clear" w:color="auto" w:fill="2AD2C9"/>
          </w:tcPr>
          <w:p>
            <w:pPr>
              <w:spacing w:after="0"/>
              <w:rPr>
                <w:sz w:val="10"/>
                <w:szCs w:val="10"/>
                <w:color w:val="auto"/>
              </w:rPr>
            </w:pPr>
          </w:p>
        </w:tc>
        <w:tc>
          <w:tcPr>
            <w:tcW w:w="1060" w:type="dxa"/>
            <w:vAlign w:val="bottom"/>
            <w:tcBorders>
              <w:top w:val="single" w:sz="8" w:color="auto"/>
            </w:tcBorders>
            <w:shd w:val="clear" w:color="auto" w:fill="2AD2C9"/>
          </w:tcPr>
          <w:p>
            <w:pPr>
              <w:spacing w:after="0"/>
              <w:rPr>
                <w:sz w:val="10"/>
                <w:szCs w:val="10"/>
                <w:color w:val="auto"/>
              </w:rPr>
            </w:pPr>
          </w:p>
        </w:tc>
        <w:tc>
          <w:tcPr>
            <w:tcW w:w="1100" w:type="dxa"/>
            <w:vAlign w:val="bottom"/>
            <w:tcBorders>
              <w:top w:val="single" w:sz="8" w:color="auto"/>
            </w:tcBorders>
            <w:shd w:val="clear" w:color="auto" w:fill="2AD2C9"/>
          </w:tcPr>
          <w:p>
            <w:pPr>
              <w:jc w:val="right"/>
              <w:ind w:right="306"/>
              <w:spacing w:after="0" w:line="118" w:lineRule="exact"/>
              <w:rPr>
                <w:sz w:val="20"/>
                <w:szCs w:val="20"/>
                <w:color w:val="auto"/>
              </w:rPr>
            </w:pPr>
            <w:r>
              <w:rPr>
                <w:rFonts w:ascii="Arial" w:cs="Arial" w:eastAsia="Arial" w:hAnsi="Arial"/>
                <w:sz w:val="11"/>
                <w:szCs w:val="11"/>
                <w:b w:val="1"/>
                <w:bCs w:val="1"/>
                <w:color w:val="FFFFFF"/>
              </w:rPr>
              <w:t>Quarter</w:t>
            </w:r>
          </w:p>
        </w:tc>
        <w:tc>
          <w:tcPr>
            <w:tcW w:w="1140" w:type="dxa"/>
            <w:vAlign w:val="bottom"/>
            <w:tcBorders>
              <w:top w:val="single" w:sz="8" w:color="auto"/>
              <w:right w:val="single" w:sz="8" w:color="auto"/>
            </w:tcBorders>
            <w:shd w:val="clear" w:color="auto" w:fill="2AD2C9"/>
          </w:tcPr>
          <w:p>
            <w:pPr>
              <w:spacing w:after="0"/>
              <w:rPr>
                <w:sz w:val="10"/>
                <w:szCs w:val="10"/>
                <w:color w:val="auto"/>
              </w:rPr>
            </w:pPr>
          </w:p>
        </w:tc>
        <w:tc>
          <w:tcPr>
            <w:tcW w:w="1360" w:type="dxa"/>
            <w:vAlign w:val="bottom"/>
            <w:tcBorders>
              <w:top w:val="single" w:sz="8" w:color="auto"/>
              <w:right w:val="single" w:sz="8" w:color="auto"/>
            </w:tcBorders>
            <w:gridSpan w:val="2"/>
            <w:shd w:val="clear" w:color="auto" w:fill="2AD2C9"/>
          </w:tcPr>
          <w:p>
            <w:pPr>
              <w:ind w:left="380"/>
              <w:spacing w:after="0" w:line="118" w:lineRule="exact"/>
              <w:rPr>
                <w:sz w:val="20"/>
                <w:szCs w:val="20"/>
                <w:color w:val="auto"/>
              </w:rPr>
            </w:pPr>
            <w:r>
              <w:rPr>
                <w:rFonts w:ascii="Arial" w:cs="Arial" w:eastAsia="Arial" w:hAnsi="Arial"/>
                <w:sz w:val="11"/>
                <w:szCs w:val="11"/>
                <w:b w:val="1"/>
                <w:bCs w:val="1"/>
                <w:color w:val="FFFFFF"/>
              </w:rPr>
              <w:t>% Change</w:t>
            </w:r>
          </w:p>
        </w:tc>
        <w:tc>
          <w:tcPr>
            <w:tcW w:w="880" w:type="dxa"/>
            <w:vAlign w:val="bottom"/>
            <w:tcBorders>
              <w:top w:val="single" w:sz="8" w:color="auto"/>
            </w:tcBorders>
            <w:shd w:val="clear" w:color="auto" w:fill="2AD2C9"/>
          </w:tcPr>
          <w:p>
            <w:pPr>
              <w:jc w:val="right"/>
              <w:spacing w:after="0" w:line="118" w:lineRule="exact"/>
              <w:rPr>
                <w:sz w:val="20"/>
                <w:szCs w:val="20"/>
                <w:color w:val="auto"/>
              </w:rPr>
            </w:pPr>
            <w:r>
              <w:rPr>
                <w:rFonts w:ascii="Arial" w:cs="Arial" w:eastAsia="Arial" w:hAnsi="Arial"/>
                <w:sz w:val="11"/>
                <w:szCs w:val="11"/>
                <w:b w:val="1"/>
                <w:bCs w:val="1"/>
                <w:color w:val="FFFFFF"/>
              </w:rPr>
              <w:t>Up to</w:t>
            </w:r>
          </w:p>
        </w:tc>
        <w:tc>
          <w:tcPr>
            <w:tcW w:w="640" w:type="dxa"/>
            <w:vAlign w:val="bottom"/>
            <w:tcBorders>
              <w:top w:val="single" w:sz="8" w:color="auto"/>
              <w:right w:val="single" w:sz="8" w:color="auto"/>
            </w:tcBorders>
            <w:shd w:val="clear" w:color="auto" w:fill="2AD2C9"/>
          </w:tcPr>
          <w:p>
            <w:pPr>
              <w:spacing w:after="0"/>
              <w:rPr>
                <w:sz w:val="10"/>
                <w:szCs w:val="10"/>
                <w:color w:val="auto"/>
              </w:rPr>
            </w:pPr>
          </w:p>
        </w:tc>
        <w:tc>
          <w:tcPr>
            <w:tcW w:w="960" w:type="dxa"/>
            <w:vAlign w:val="bottom"/>
            <w:tcBorders>
              <w:top w:val="single" w:sz="8" w:color="auto"/>
              <w:right w:val="single" w:sz="8" w:color="auto"/>
            </w:tcBorders>
            <w:shd w:val="clear" w:color="auto" w:fill="2AD2C9"/>
          </w:tcPr>
          <w:p>
            <w:pPr>
              <w:jc w:val="center"/>
              <w:spacing w:after="0" w:line="118" w:lineRule="exact"/>
              <w:rPr>
                <w:sz w:val="20"/>
                <w:szCs w:val="20"/>
                <w:color w:val="auto"/>
              </w:rPr>
            </w:pPr>
            <w:r>
              <w:rPr>
                <w:rFonts w:ascii="Arial" w:cs="Arial" w:eastAsia="Arial" w:hAnsi="Arial"/>
                <w:sz w:val="11"/>
                <w:szCs w:val="11"/>
                <w:b w:val="1"/>
                <w:bCs w:val="1"/>
                <w:color w:val="FFFFFF"/>
                <w:w w:val="97"/>
              </w:rPr>
              <w:t>% Change</w:t>
            </w:r>
          </w:p>
        </w:tc>
      </w:tr>
      <w:tr>
        <w:trPr>
          <w:trHeight w:val="139"/>
        </w:trPr>
        <w:tc>
          <w:tcPr>
            <w:tcW w:w="41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40" w:type="dxa"/>
            <w:vAlign w:val="bottom"/>
            <w:tcBorders>
              <w:bottom w:val="single" w:sz="8" w:color="auto"/>
              <w:right w:val="single" w:sz="8" w:color="2AD2C9"/>
            </w:tcBorders>
            <w:shd w:val="clear" w:color="auto" w:fill="2AD2C9"/>
          </w:tcPr>
          <w:p>
            <w:pPr>
              <w:spacing w:after="0"/>
              <w:rPr>
                <w:sz w:val="12"/>
                <w:szCs w:val="12"/>
                <w:color w:val="auto"/>
              </w:rPr>
            </w:pPr>
          </w:p>
        </w:tc>
        <w:tc>
          <w:tcPr>
            <w:tcW w:w="10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4Q24</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3Q25</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4Q25</w:t>
            </w:r>
          </w:p>
        </w:tc>
        <w:tc>
          <w:tcPr>
            <w:tcW w:w="660" w:type="dxa"/>
            <w:vAlign w:val="bottom"/>
            <w:tcBorders>
              <w:bottom w:val="single" w:sz="8" w:color="auto"/>
            </w:tcBorders>
            <w:shd w:val="clear" w:color="auto" w:fill="2AD2C9"/>
          </w:tcPr>
          <w:p>
            <w:pPr>
              <w:jc w:val="center"/>
              <w:ind w:right="6"/>
              <w:spacing w:after="0"/>
              <w:rPr>
                <w:sz w:val="20"/>
                <w:szCs w:val="20"/>
                <w:color w:val="auto"/>
              </w:rPr>
            </w:pPr>
            <w:r>
              <w:rPr>
                <w:rFonts w:ascii="Arial" w:cs="Arial" w:eastAsia="Arial" w:hAnsi="Arial"/>
                <w:sz w:val="11"/>
                <w:szCs w:val="11"/>
                <w:b w:val="1"/>
                <w:bCs w:val="1"/>
                <w:color w:val="FFFFFF"/>
              </w:rPr>
              <w:t>QoQ</w:t>
            </w:r>
          </w:p>
        </w:tc>
        <w:tc>
          <w:tcPr>
            <w:tcW w:w="70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1"/>
                <w:szCs w:val="11"/>
                <w:b w:val="1"/>
                <w:bCs w:val="1"/>
                <w:color w:val="FFFFFF"/>
              </w:rPr>
              <w:t>YoY</w:t>
            </w:r>
          </w:p>
        </w:tc>
        <w:tc>
          <w:tcPr>
            <w:tcW w:w="880" w:type="dxa"/>
            <w:vAlign w:val="bottom"/>
            <w:tcBorders>
              <w:bottom w:val="single" w:sz="8" w:color="auto"/>
            </w:tcBorders>
            <w:shd w:val="clear" w:color="auto" w:fill="2AD2C9"/>
          </w:tcPr>
          <w:p>
            <w:pPr>
              <w:jc w:val="center"/>
              <w:ind w:right="106"/>
              <w:spacing w:after="0"/>
              <w:rPr>
                <w:sz w:val="20"/>
                <w:szCs w:val="20"/>
                <w:color w:val="auto"/>
              </w:rPr>
            </w:pPr>
            <w:r>
              <w:rPr>
                <w:rFonts w:ascii="Arial" w:cs="Arial" w:eastAsia="Arial" w:hAnsi="Arial"/>
                <w:sz w:val="11"/>
                <w:szCs w:val="11"/>
                <w:b w:val="1"/>
                <w:bCs w:val="1"/>
                <w:color w:val="FFFFFF"/>
                <w:w w:val="97"/>
              </w:rPr>
              <w:t>2024</w:t>
            </w:r>
          </w:p>
        </w:tc>
        <w:tc>
          <w:tcPr>
            <w:tcW w:w="640" w:type="dxa"/>
            <w:vAlign w:val="bottom"/>
            <w:tcBorders>
              <w:bottom w:val="single" w:sz="8" w:color="auto"/>
              <w:right w:val="single" w:sz="8" w:color="auto"/>
            </w:tcBorders>
            <w:shd w:val="clear" w:color="auto" w:fill="2AD2C9"/>
          </w:tcPr>
          <w:p>
            <w:pPr>
              <w:jc w:val="center"/>
              <w:ind w:right="66"/>
              <w:spacing w:after="0"/>
              <w:rPr>
                <w:sz w:val="20"/>
                <w:szCs w:val="20"/>
                <w:color w:val="auto"/>
              </w:rPr>
            </w:pPr>
            <w:r>
              <w:rPr>
                <w:rFonts w:ascii="Arial" w:cs="Arial" w:eastAsia="Arial" w:hAnsi="Arial"/>
                <w:sz w:val="11"/>
                <w:szCs w:val="11"/>
                <w:b w:val="1"/>
                <w:bCs w:val="1"/>
                <w:color w:val="FFFFFF"/>
                <w:w w:val="97"/>
              </w:rPr>
              <w:t>2025</w:t>
            </w:r>
          </w:p>
        </w:tc>
        <w:tc>
          <w:tcPr>
            <w:tcW w:w="9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9"/>
              </w:rPr>
              <w:t>2025 / 2024</w:t>
            </w:r>
          </w:p>
        </w:tc>
      </w:tr>
      <w:tr>
        <w:trPr>
          <w:trHeight w:val="98"/>
        </w:trPr>
        <w:tc>
          <w:tcPr>
            <w:tcW w:w="4100" w:type="dxa"/>
            <w:vAlign w:val="bottom"/>
            <w:tcBorders>
              <w:left w:val="single" w:sz="8" w:color="auto"/>
              <w:right w:val="single" w:sz="8" w:color="auto"/>
            </w:tcBorders>
          </w:tcPr>
          <w:p>
            <w:pPr>
              <w:spacing w:after="0" w:line="98" w:lineRule="exact"/>
              <w:rPr>
                <w:sz w:val="20"/>
                <w:szCs w:val="20"/>
                <w:color w:val="auto"/>
              </w:rPr>
            </w:pPr>
            <w:r>
              <w:rPr>
                <w:rFonts w:ascii="Arial" w:cs="Arial" w:eastAsia="Arial" w:hAnsi="Arial"/>
                <w:sz w:val="11"/>
                <w:szCs w:val="11"/>
                <w:b w:val="1"/>
                <w:bCs w:val="1"/>
                <w:color w:val="auto"/>
              </w:rPr>
              <w:t>Interest income</w:t>
            </w: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r>
      <w:tr>
        <w:trPr>
          <w:trHeight w:val="121"/>
        </w:trPr>
        <w:tc>
          <w:tcPr>
            <w:tcW w:w="41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share of the income from investments in subsidiaries and associates</w:t>
            </w:r>
          </w:p>
        </w:tc>
        <w:tc>
          <w:tcPr>
            <w:tcW w:w="11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7"/>
              </w:rPr>
              <w:t>1,121,288</w:t>
            </w:r>
          </w:p>
        </w:tc>
        <w:tc>
          <w:tcPr>
            <w:tcW w:w="1100" w:type="dxa"/>
            <w:vAlign w:val="bottom"/>
          </w:tcPr>
          <w:p>
            <w:pPr>
              <w:jc w:val="center"/>
              <w:spacing w:after="0" w:line="122" w:lineRule="exact"/>
              <w:rPr>
                <w:sz w:val="20"/>
                <w:szCs w:val="20"/>
                <w:color w:val="auto"/>
              </w:rPr>
            </w:pPr>
            <w:r>
              <w:rPr>
                <w:rFonts w:ascii="Arial" w:cs="Arial" w:eastAsia="Arial" w:hAnsi="Arial"/>
                <w:sz w:val="11"/>
                <w:szCs w:val="11"/>
                <w:color w:val="auto"/>
                <w:w w:val="97"/>
              </w:rPr>
              <w:t>1,820,418</w:t>
            </w:r>
          </w:p>
        </w:tc>
        <w:tc>
          <w:tcPr>
            <w:tcW w:w="1140" w:type="dxa"/>
            <w:vAlign w:val="bottom"/>
            <w:tcBorders>
              <w:right w:val="single" w:sz="8" w:color="auto"/>
            </w:tcBorders>
          </w:tcPr>
          <w:p>
            <w:pPr>
              <w:jc w:val="center"/>
              <w:ind w:right="6"/>
              <w:spacing w:after="0" w:line="122" w:lineRule="exact"/>
              <w:rPr>
                <w:sz w:val="20"/>
                <w:szCs w:val="20"/>
                <w:color w:val="auto"/>
              </w:rPr>
            </w:pPr>
            <w:r>
              <w:rPr>
                <w:rFonts w:ascii="Arial" w:cs="Arial" w:eastAsia="Arial" w:hAnsi="Arial"/>
                <w:sz w:val="11"/>
                <w:szCs w:val="11"/>
                <w:color w:val="auto"/>
                <w:w w:val="97"/>
              </w:rPr>
              <w:t>1,700,043</w:t>
            </w:r>
          </w:p>
        </w:tc>
        <w:tc>
          <w:tcPr>
            <w:tcW w:w="660" w:type="dxa"/>
            <w:vAlign w:val="bottom"/>
          </w:tcPr>
          <w:p>
            <w:pPr>
              <w:jc w:val="center"/>
              <w:ind w:right="6"/>
              <w:spacing w:after="0" w:line="122" w:lineRule="exact"/>
              <w:rPr>
                <w:sz w:val="20"/>
                <w:szCs w:val="20"/>
                <w:color w:val="auto"/>
              </w:rPr>
            </w:pPr>
            <w:r>
              <w:rPr>
                <w:rFonts w:ascii="Arial" w:cs="Arial" w:eastAsia="Arial" w:hAnsi="Arial"/>
                <w:sz w:val="11"/>
                <w:szCs w:val="11"/>
                <w:color w:val="auto"/>
                <w:w w:val="97"/>
              </w:rPr>
              <w:t>-6.6%</w:t>
            </w:r>
          </w:p>
        </w:tc>
        <w:tc>
          <w:tcPr>
            <w:tcW w:w="700" w:type="dxa"/>
            <w:vAlign w:val="bottom"/>
            <w:tcBorders>
              <w:right w:val="single" w:sz="8" w:color="auto"/>
            </w:tcBorders>
          </w:tcPr>
          <w:p>
            <w:pPr>
              <w:jc w:val="center"/>
              <w:ind w:right="6"/>
              <w:spacing w:after="0" w:line="122" w:lineRule="exact"/>
              <w:rPr>
                <w:sz w:val="20"/>
                <w:szCs w:val="20"/>
                <w:color w:val="auto"/>
              </w:rPr>
            </w:pPr>
            <w:r>
              <w:rPr>
                <w:rFonts w:ascii="Arial" w:cs="Arial" w:eastAsia="Arial" w:hAnsi="Arial"/>
                <w:sz w:val="11"/>
                <w:szCs w:val="11"/>
                <w:color w:val="auto"/>
              </w:rPr>
              <w:t>51.6%</w:t>
            </w:r>
          </w:p>
        </w:tc>
        <w:tc>
          <w:tcPr>
            <w:tcW w:w="880" w:type="dxa"/>
            <w:vAlign w:val="bottom"/>
          </w:tcPr>
          <w:p>
            <w:pPr>
              <w:jc w:val="center"/>
              <w:ind w:right="106"/>
              <w:spacing w:after="0" w:line="122" w:lineRule="exact"/>
              <w:rPr>
                <w:sz w:val="20"/>
                <w:szCs w:val="20"/>
                <w:color w:val="auto"/>
              </w:rPr>
            </w:pPr>
            <w:r>
              <w:rPr>
                <w:rFonts w:ascii="Arial" w:cs="Arial" w:eastAsia="Arial" w:hAnsi="Arial"/>
                <w:sz w:val="11"/>
                <w:szCs w:val="11"/>
                <w:color w:val="auto"/>
                <w:w w:val="97"/>
              </w:rPr>
              <w:t>6,313,139</w:t>
            </w:r>
          </w:p>
        </w:tc>
        <w:tc>
          <w:tcPr>
            <w:tcW w:w="640" w:type="dxa"/>
            <w:vAlign w:val="bottom"/>
            <w:tcBorders>
              <w:right w:val="single" w:sz="8" w:color="auto"/>
            </w:tcBorders>
          </w:tcPr>
          <w:p>
            <w:pPr>
              <w:jc w:val="center"/>
              <w:ind w:right="66"/>
              <w:spacing w:after="0" w:line="122" w:lineRule="exact"/>
              <w:rPr>
                <w:sz w:val="20"/>
                <w:szCs w:val="20"/>
                <w:color w:val="auto"/>
              </w:rPr>
            </w:pPr>
            <w:r>
              <w:rPr>
                <w:rFonts w:ascii="Arial" w:cs="Arial" w:eastAsia="Arial" w:hAnsi="Arial"/>
                <w:sz w:val="11"/>
                <w:szCs w:val="11"/>
                <w:color w:val="auto"/>
                <w:w w:val="97"/>
              </w:rPr>
              <w:t>7,671,155</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21.5%</w:t>
            </w:r>
          </w:p>
        </w:tc>
      </w:tr>
      <w:tr>
        <w:trPr>
          <w:trHeight w:val="122"/>
        </w:trPr>
        <w:tc>
          <w:tcPr>
            <w:tcW w:w="41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Interest and similar income</w:t>
            </w:r>
          </w:p>
        </w:tc>
        <w:tc>
          <w:tcPr>
            <w:tcW w:w="1100" w:type="dxa"/>
            <w:vAlign w:val="bottom"/>
            <w:gridSpan w:val="2"/>
          </w:tcPr>
          <w:p>
            <w:pPr>
              <w:jc w:val="center"/>
              <w:spacing w:after="0" w:line="122" w:lineRule="exact"/>
              <w:rPr>
                <w:sz w:val="20"/>
                <w:szCs w:val="20"/>
                <w:color w:val="auto"/>
              </w:rPr>
            </w:pPr>
            <w:r>
              <w:rPr>
                <w:rFonts w:ascii="Arial" w:cs="Arial" w:eastAsia="Arial" w:hAnsi="Arial"/>
                <w:sz w:val="11"/>
                <w:szCs w:val="11"/>
                <w:color w:val="auto"/>
              </w:rPr>
              <w:t>24,419</w:t>
            </w:r>
          </w:p>
        </w:tc>
        <w:tc>
          <w:tcPr>
            <w:tcW w:w="1100" w:type="dxa"/>
            <w:vAlign w:val="bottom"/>
          </w:tcPr>
          <w:p>
            <w:pPr>
              <w:jc w:val="center"/>
              <w:spacing w:after="0" w:line="122" w:lineRule="exact"/>
              <w:rPr>
                <w:sz w:val="20"/>
                <w:szCs w:val="20"/>
                <w:color w:val="auto"/>
              </w:rPr>
            </w:pPr>
            <w:r>
              <w:rPr>
                <w:rFonts w:ascii="Arial" w:cs="Arial" w:eastAsia="Arial" w:hAnsi="Arial"/>
                <w:sz w:val="11"/>
                <w:szCs w:val="11"/>
                <w:color w:val="auto"/>
                <w:w w:val="97"/>
              </w:rPr>
              <w:t>300</w:t>
            </w:r>
          </w:p>
        </w:tc>
        <w:tc>
          <w:tcPr>
            <w:tcW w:w="11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298</w:t>
            </w:r>
          </w:p>
        </w:tc>
        <w:tc>
          <w:tcPr>
            <w:tcW w:w="660" w:type="dxa"/>
            <w:vAlign w:val="bottom"/>
          </w:tcPr>
          <w:p>
            <w:pPr>
              <w:jc w:val="center"/>
              <w:ind w:right="6"/>
              <w:spacing w:after="0" w:line="122" w:lineRule="exact"/>
              <w:rPr>
                <w:sz w:val="20"/>
                <w:szCs w:val="20"/>
                <w:color w:val="auto"/>
              </w:rPr>
            </w:pPr>
            <w:r>
              <w:rPr>
                <w:rFonts w:ascii="Arial" w:cs="Arial" w:eastAsia="Arial" w:hAnsi="Arial"/>
                <w:sz w:val="11"/>
                <w:szCs w:val="11"/>
                <w:color w:val="auto"/>
                <w:w w:val="97"/>
              </w:rPr>
              <w:t>-0.7%</w:t>
            </w:r>
          </w:p>
        </w:tc>
        <w:tc>
          <w:tcPr>
            <w:tcW w:w="700" w:type="dxa"/>
            <w:vAlign w:val="bottom"/>
            <w:tcBorders>
              <w:right w:val="single" w:sz="8" w:color="auto"/>
            </w:tcBorders>
          </w:tcPr>
          <w:p>
            <w:pPr>
              <w:jc w:val="center"/>
              <w:ind w:right="26"/>
              <w:spacing w:after="0" w:line="122" w:lineRule="exact"/>
              <w:rPr>
                <w:sz w:val="20"/>
                <w:szCs w:val="20"/>
                <w:color w:val="auto"/>
              </w:rPr>
            </w:pPr>
            <w:r>
              <w:rPr>
                <w:rFonts w:ascii="Arial" w:cs="Arial" w:eastAsia="Arial" w:hAnsi="Arial"/>
                <w:sz w:val="11"/>
                <w:szCs w:val="11"/>
                <w:color w:val="auto"/>
                <w:w w:val="97"/>
              </w:rPr>
              <w:t>-98.8%</w:t>
            </w: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color w:val="auto"/>
              </w:rPr>
              <w:t>93,486</w:t>
            </w:r>
          </w:p>
        </w:tc>
        <w:tc>
          <w:tcPr>
            <w:tcW w:w="640" w:type="dxa"/>
            <w:vAlign w:val="bottom"/>
            <w:tcBorders>
              <w:right w:val="single" w:sz="8" w:color="auto"/>
            </w:tcBorders>
          </w:tcPr>
          <w:p>
            <w:pPr>
              <w:jc w:val="center"/>
              <w:ind w:right="86"/>
              <w:spacing w:after="0" w:line="122" w:lineRule="exact"/>
              <w:rPr>
                <w:sz w:val="20"/>
                <w:szCs w:val="20"/>
                <w:color w:val="auto"/>
              </w:rPr>
            </w:pPr>
            <w:r>
              <w:rPr>
                <w:rFonts w:ascii="Arial" w:cs="Arial" w:eastAsia="Arial" w:hAnsi="Arial"/>
                <w:sz w:val="11"/>
                <w:szCs w:val="11"/>
                <w:color w:val="auto"/>
              </w:rPr>
              <w:t>41,191</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-55.9%</w:t>
            </w:r>
          </w:p>
        </w:tc>
      </w:tr>
      <w:tr>
        <w:trPr>
          <w:trHeight w:val="121"/>
        </w:trPr>
        <w:tc>
          <w:tcPr>
            <w:tcW w:w="41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on financial assets at fair value through profit or loss</w:t>
            </w:r>
          </w:p>
        </w:tc>
        <w:tc>
          <w:tcPr>
            <w:tcW w:w="1100" w:type="dxa"/>
            <w:vAlign w:val="bottom"/>
            <w:gridSpan w:val="2"/>
          </w:tcPr>
          <w:p>
            <w:pPr>
              <w:jc w:val="center"/>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center"/>
              <w:spacing w:after="0" w:line="122" w:lineRule="exact"/>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tcPr>
          <w:p>
            <w:pPr>
              <w:jc w:val="center"/>
              <w:ind w:right="6"/>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97"/>
              </w:rPr>
              <w:t>n.a.</w:t>
            </w:r>
          </w:p>
        </w:tc>
        <w:tc>
          <w:tcPr>
            <w:tcW w:w="700" w:type="dxa"/>
            <w:vAlign w:val="bottom"/>
            <w:tcBorders>
              <w:right w:val="single" w:sz="8" w:color="auto"/>
            </w:tcBorders>
          </w:tcPr>
          <w:p>
            <w:pPr>
              <w:ind w:left="220"/>
              <w:spacing w:after="0" w:line="122" w:lineRule="exact"/>
              <w:rPr>
                <w:sz w:val="20"/>
                <w:szCs w:val="20"/>
                <w:color w:val="auto"/>
              </w:rPr>
            </w:pPr>
            <w:r>
              <w:rPr>
                <w:rFonts w:ascii="Arial" w:cs="Arial" w:eastAsia="Arial" w:hAnsi="Arial"/>
                <w:sz w:val="11"/>
                <w:szCs w:val="11"/>
                <w:color w:val="auto"/>
              </w:rPr>
              <w:t>n.a.</w:t>
            </w: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4"/>
              </w:rPr>
              <w:t>1,234</w:t>
            </w:r>
          </w:p>
        </w:tc>
        <w:tc>
          <w:tcPr>
            <w:tcW w:w="640" w:type="dxa"/>
            <w:vAlign w:val="bottom"/>
            <w:tcBorders>
              <w:right w:val="single" w:sz="8" w:color="auto"/>
            </w:tcBorders>
          </w:tcPr>
          <w:p>
            <w:pPr>
              <w:jc w:val="center"/>
              <w:ind w:right="66"/>
              <w:spacing w:after="0" w:line="122" w:lineRule="exact"/>
              <w:rPr>
                <w:sz w:val="20"/>
                <w:szCs w:val="20"/>
                <w:color w:val="auto"/>
              </w:rPr>
            </w:pPr>
            <w:r>
              <w:rPr>
                <w:rFonts w:ascii="Arial" w:cs="Arial" w:eastAsia="Arial" w:hAnsi="Arial"/>
                <w:sz w:val="11"/>
                <w:szCs w:val="11"/>
                <w:color w:val="auto"/>
              </w:rPr>
              <w:t>-</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n.a.</w:t>
            </w:r>
          </w:p>
        </w:tc>
      </w:tr>
      <w:tr>
        <w:trPr>
          <w:trHeight w:val="152"/>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income</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1,145,707</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7"/>
              </w:rPr>
              <w:t>1,820,718</w:t>
            </w:r>
          </w:p>
        </w:tc>
        <w:tc>
          <w:tcPr>
            <w:tcW w:w="114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1,700,341</w:t>
            </w:r>
          </w:p>
        </w:tc>
        <w:tc>
          <w:tcPr>
            <w:tcW w:w="66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-6.6%</w:t>
            </w:r>
          </w:p>
        </w:tc>
        <w:tc>
          <w:tcPr>
            <w:tcW w:w="70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48.4%</w:t>
            </w: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6,407,859</w:t>
            </w:r>
          </w:p>
        </w:tc>
        <w:tc>
          <w:tcPr>
            <w:tcW w:w="640" w:type="dxa"/>
            <w:vAlign w:val="bottom"/>
            <w:tcBorders>
              <w:right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7,712,346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20.4%</w:t>
            </w:r>
          </w:p>
        </w:tc>
      </w:tr>
      <w:tr>
        <w:trPr>
          <w:trHeight w:val="213"/>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Interest and similar expense</w:t>
            </w:r>
          </w:p>
        </w:tc>
        <w:tc>
          <w:tcPr>
            <w:tcW w:w="1100" w:type="dxa"/>
            <w:vAlign w:val="bottom"/>
            <w:gridSpan w:val="2"/>
          </w:tcPr>
          <w:p>
            <w:pPr>
              <w:jc w:val="center"/>
              <w:spacing w:after="0"/>
              <w:rPr>
                <w:sz w:val="20"/>
                <w:szCs w:val="20"/>
                <w:color w:val="auto"/>
              </w:rPr>
            </w:pPr>
            <w:r>
              <w:rPr>
                <w:rFonts w:ascii="Arial" w:cs="Arial" w:eastAsia="Arial" w:hAnsi="Arial"/>
                <w:sz w:val="11"/>
                <w:szCs w:val="11"/>
                <w:color w:val="auto"/>
                <w:w w:val="97"/>
              </w:rPr>
              <w:t>(13,637)</w:t>
            </w:r>
          </w:p>
        </w:tc>
        <w:tc>
          <w:tcPr>
            <w:tcW w:w="1100" w:type="dxa"/>
            <w:vAlign w:val="bottom"/>
          </w:tcPr>
          <w:p>
            <w:pPr>
              <w:jc w:val="center"/>
              <w:spacing w:after="0"/>
              <w:rPr>
                <w:sz w:val="20"/>
                <w:szCs w:val="20"/>
                <w:color w:val="auto"/>
              </w:rPr>
            </w:pPr>
            <w:r>
              <w:rPr>
                <w:rFonts w:ascii="Arial" w:cs="Arial" w:eastAsia="Arial" w:hAnsi="Arial"/>
                <w:sz w:val="11"/>
                <w:szCs w:val="11"/>
                <w:color w:val="auto"/>
                <w:w w:val="88"/>
              </w:rPr>
              <w:t>(9)</w:t>
            </w:r>
          </w:p>
        </w:tc>
        <w:tc>
          <w:tcPr>
            <w:tcW w:w="114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15</w:t>
            </w:r>
          </w:p>
        </w:tc>
        <w:tc>
          <w:tcPr>
            <w:tcW w:w="660" w:type="dxa"/>
            <w:vAlign w:val="bottom"/>
          </w:tcPr>
          <w:p>
            <w:pPr>
              <w:jc w:val="center"/>
              <w:ind w:right="26"/>
              <w:spacing w:after="0"/>
              <w:rPr>
                <w:sz w:val="20"/>
                <w:szCs w:val="20"/>
                <w:color w:val="auto"/>
              </w:rPr>
            </w:pPr>
            <w:r>
              <w:rPr>
                <w:rFonts w:ascii="Arial" w:cs="Arial" w:eastAsia="Arial" w:hAnsi="Arial"/>
                <w:sz w:val="11"/>
                <w:szCs w:val="11"/>
                <w:color w:val="auto"/>
                <w:w w:val="97"/>
              </w:rPr>
              <w:t>n.a.</w:t>
            </w:r>
          </w:p>
        </w:tc>
        <w:tc>
          <w:tcPr>
            <w:tcW w:w="70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n.a.</w:t>
            </w:r>
          </w:p>
        </w:tc>
        <w:tc>
          <w:tcPr>
            <w:tcW w:w="880" w:type="dxa"/>
            <w:vAlign w:val="bottom"/>
          </w:tcPr>
          <w:p>
            <w:pPr>
              <w:jc w:val="center"/>
              <w:ind w:right="106"/>
              <w:spacing w:after="0"/>
              <w:rPr>
                <w:sz w:val="20"/>
                <w:szCs w:val="20"/>
                <w:color w:val="auto"/>
              </w:rPr>
            </w:pPr>
            <w:r>
              <w:rPr>
                <w:rFonts w:ascii="Arial" w:cs="Arial" w:eastAsia="Arial" w:hAnsi="Arial"/>
                <w:sz w:val="11"/>
                <w:szCs w:val="11"/>
                <w:color w:val="auto"/>
                <w:w w:val="97"/>
              </w:rPr>
              <w:t>(54,237)</w:t>
            </w:r>
          </w:p>
        </w:tc>
        <w:tc>
          <w:tcPr>
            <w:tcW w:w="640" w:type="dxa"/>
            <w:vAlign w:val="bottom"/>
            <w:tcBorders>
              <w:right w:val="single" w:sz="8" w:color="auto"/>
            </w:tcBorders>
          </w:tcPr>
          <w:p>
            <w:pPr>
              <w:jc w:val="center"/>
              <w:ind w:right="66"/>
              <w:spacing w:after="0"/>
              <w:rPr>
                <w:sz w:val="20"/>
                <w:szCs w:val="20"/>
                <w:color w:val="auto"/>
              </w:rPr>
            </w:pPr>
            <w:r>
              <w:rPr>
                <w:rFonts w:ascii="Arial" w:cs="Arial" w:eastAsia="Arial" w:hAnsi="Arial"/>
                <w:sz w:val="11"/>
                <w:szCs w:val="11"/>
                <w:color w:val="auto"/>
                <w:w w:val="97"/>
              </w:rPr>
              <w:t>(24,511)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-54.8%</w:t>
            </w:r>
          </w:p>
        </w:tc>
      </w:tr>
      <w:tr>
        <w:trPr>
          <w:trHeight w:val="122"/>
        </w:trPr>
        <w:tc>
          <w:tcPr>
            <w:tcW w:w="41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Administrative and general expenses</w:t>
            </w:r>
          </w:p>
        </w:tc>
        <w:tc>
          <w:tcPr>
            <w:tcW w:w="11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7"/>
              </w:rPr>
              <w:t>(4,134)</w:t>
            </w:r>
          </w:p>
        </w:tc>
        <w:tc>
          <w:tcPr>
            <w:tcW w:w="1100" w:type="dxa"/>
            <w:vAlign w:val="bottom"/>
          </w:tcPr>
          <w:p>
            <w:pPr>
              <w:jc w:val="center"/>
              <w:spacing w:after="0" w:line="122" w:lineRule="exact"/>
              <w:rPr>
                <w:sz w:val="20"/>
                <w:szCs w:val="20"/>
                <w:color w:val="auto"/>
              </w:rPr>
            </w:pPr>
            <w:r>
              <w:rPr>
                <w:rFonts w:ascii="Arial" w:cs="Arial" w:eastAsia="Arial" w:hAnsi="Arial"/>
                <w:sz w:val="11"/>
                <w:szCs w:val="11"/>
                <w:color w:val="auto"/>
                <w:w w:val="97"/>
              </w:rPr>
              <w:t>(4,435)</w:t>
            </w:r>
          </w:p>
        </w:tc>
        <w:tc>
          <w:tcPr>
            <w:tcW w:w="1140" w:type="dxa"/>
            <w:vAlign w:val="bottom"/>
            <w:tcBorders>
              <w:right w:val="single" w:sz="8" w:color="auto"/>
            </w:tcBorders>
          </w:tcPr>
          <w:p>
            <w:pPr>
              <w:jc w:val="center"/>
              <w:ind w:right="6"/>
              <w:spacing w:after="0" w:line="122" w:lineRule="exact"/>
              <w:rPr>
                <w:sz w:val="20"/>
                <w:szCs w:val="20"/>
                <w:color w:val="auto"/>
              </w:rPr>
            </w:pPr>
            <w:r>
              <w:rPr>
                <w:rFonts w:ascii="Arial" w:cs="Arial" w:eastAsia="Arial" w:hAnsi="Arial"/>
                <w:sz w:val="11"/>
                <w:szCs w:val="11"/>
                <w:color w:val="auto"/>
                <w:w w:val="97"/>
              </w:rPr>
              <w:t>(10,992)</w:t>
            </w:r>
          </w:p>
        </w:tc>
        <w:tc>
          <w:tcPr>
            <w:tcW w:w="660" w:type="dxa"/>
            <w:vAlign w:val="bottom"/>
          </w:tcPr>
          <w:p>
            <w:pPr>
              <w:jc w:val="center"/>
              <w:ind w:right="6"/>
              <w:spacing w:after="0" w:line="122" w:lineRule="exact"/>
              <w:rPr>
                <w:sz w:val="20"/>
                <w:szCs w:val="20"/>
                <w:color w:val="auto"/>
              </w:rPr>
            </w:pPr>
            <w:r>
              <w:rPr>
                <w:rFonts w:ascii="Arial" w:cs="Arial" w:eastAsia="Arial" w:hAnsi="Arial"/>
                <w:sz w:val="11"/>
                <w:szCs w:val="11"/>
                <w:color w:val="auto"/>
                <w:w w:val="96"/>
              </w:rPr>
              <w:t>147.8%</w:t>
            </w:r>
          </w:p>
        </w:tc>
        <w:tc>
          <w:tcPr>
            <w:tcW w:w="700" w:type="dxa"/>
            <w:vAlign w:val="bottom"/>
            <w:tcBorders>
              <w:right w:val="single" w:sz="8" w:color="auto"/>
            </w:tcBorders>
          </w:tcPr>
          <w:p>
            <w:pPr>
              <w:jc w:val="center"/>
              <w:ind w:right="6"/>
              <w:spacing w:after="0" w:line="122" w:lineRule="exact"/>
              <w:rPr>
                <w:sz w:val="20"/>
                <w:szCs w:val="20"/>
                <w:color w:val="auto"/>
              </w:rPr>
            </w:pPr>
            <w:r>
              <w:rPr>
                <w:rFonts w:ascii="Arial" w:cs="Arial" w:eastAsia="Arial" w:hAnsi="Arial"/>
                <w:sz w:val="11"/>
                <w:szCs w:val="11"/>
                <w:color w:val="auto"/>
                <w:w w:val="96"/>
              </w:rPr>
              <w:t>165.9%</w:t>
            </w:r>
          </w:p>
        </w:tc>
        <w:tc>
          <w:tcPr>
            <w:tcW w:w="880" w:type="dxa"/>
            <w:vAlign w:val="bottom"/>
          </w:tcPr>
          <w:p>
            <w:pPr>
              <w:jc w:val="center"/>
              <w:ind w:right="106"/>
              <w:spacing w:after="0" w:line="122" w:lineRule="exact"/>
              <w:rPr>
                <w:sz w:val="20"/>
                <w:szCs w:val="20"/>
                <w:color w:val="auto"/>
              </w:rPr>
            </w:pPr>
            <w:r>
              <w:rPr>
                <w:rFonts w:ascii="Arial" w:cs="Arial" w:eastAsia="Arial" w:hAnsi="Arial"/>
                <w:sz w:val="11"/>
                <w:szCs w:val="11"/>
                <w:color w:val="auto"/>
                <w:w w:val="97"/>
              </w:rPr>
              <w:t>(18,085)</w:t>
            </w:r>
          </w:p>
        </w:tc>
        <w:tc>
          <w:tcPr>
            <w:tcW w:w="640" w:type="dxa"/>
            <w:vAlign w:val="bottom"/>
            <w:tcBorders>
              <w:right w:val="single" w:sz="8" w:color="auto"/>
            </w:tcBorders>
          </w:tcPr>
          <w:p>
            <w:pPr>
              <w:jc w:val="center"/>
              <w:ind w:right="66"/>
              <w:spacing w:after="0" w:line="122" w:lineRule="exact"/>
              <w:rPr>
                <w:sz w:val="20"/>
                <w:szCs w:val="20"/>
                <w:color w:val="auto"/>
              </w:rPr>
            </w:pPr>
            <w:r>
              <w:rPr>
                <w:rFonts w:ascii="Arial" w:cs="Arial" w:eastAsia="Arial" w:hAnsi="Arial"/>
                <w:sz w:val="11"/>
                <w:szCs w:val="11"/>
                <w:color w:val="auto"/>
                <w:w w:val="97"/>
              </w:rPr>
              <w:t>(25,596)</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41.5%</w:t>
            </w:r>
          </w:p>
        </w:tc>
      </w:tr>
      <w:tr>
        <w:trPr>
          <w:trHeight w:val="152"/>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expenses</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(17,771)</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7"/>
              </w:rPr>
              <w:t>(4,444)</w:t>
            </w:r>
          </w:p>
        </w:tc>
        <w:tc>
          <w:tcPr>
            <w:tcW w:w="114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(10,977)</w:t>
            </w:r>
          </w:p>
        </w:tc>
        <w:tc>
          <w:tcPr>
            <w:tcW w:w="660" w:type="dxa"/>
            <w:vAlign w:val="bottom"/>
          </w:tcPr>
          <w:p>
            <w:pPr>
              <w:jc w:val="center"/>
              <w:ind w:right="6"/>
              <w:spacing w:after="0"/>
              <w:rPr>
                <w:sz w:val="20"/>
                <w:szCs w:val="20"/>
                <w:color w:val="auto"/>
              </w:rPr>
            </w:pPr>
            <w:r>
              <w:rPr>
                <w:rFonts w:ascii="Arial" w:cs="Arial" w:eastAsia="Arial" w:hAnsi="Arial"/>
                <w:sz w:val="11"/>
                <w:szCs w:val="11"/>
                <w:b w:val="1"/>
                <w:bCs w:val="1"/>
                <w:color w:val="auto"/>
                <w:w w:val="96"/>
              </w:rPr>
              <w:t>147.0%</w:t>
            </w:r>
          </w:p>
        </w:tc>
        <w:tc>
          <w:tcPr>
            <w:tcW w:w="700" w:type="dxa"/>
            <w:vAlign w:val="bottom"/>
            <w:tcBorders>
              <w:right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7"/>
              </w:rPr>
              <w:t>-38.2%</w:t>
            </w: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(72,322)</w:t>
            </w:r>
          </w:p>
        </w:tc>
        <w:tc>
          <w:tcPr>
            <w:tcW w:w="640" w:type="dxa"/>
            <w:vAlign w:val="bottom"/>
            <w:tcBorders>
              <w:right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(50,107)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-30.7%</w:t>
            </w:r>
          </w:p>
        </w:tc>
      </w:tr>
      <w:tr>
        <w:trPr>
          <w:trHeight w:val="243"/>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Operating income</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1,127,936</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7"/>
              </w:rPr>
              <w:t>1,816,274</w:t>
            </w:r>
          </w:p>
        </w:tc>
        <w:tc>
          <w:tcPr>
            <w:tcW w:w="114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1,689,364</w:t>
            </w:r>
          </w:p>
        </w:tc>
        <w:tc>
          <w:tcPr>
            <w:tcW w:w="66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-7.0%</w:t>
            </w:r>
          </w:p>
        </w:tc>
        <w:tc>
          <w:tcPr>
            <w:tcW w:w="70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49.8%</w:t>
            </w: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6,335,537</w:t>
            </w:r>
          </w:p>
        </w:tc>
        <w:tc>
          <w:tcPr>
            <w:tcW w:w="640" w:type="dxa"/>
            <w:vAlign w:val="bottom"/>
            <w:tcBorders>
              <w:right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7,662,239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20.9%</w:t>
            </w:r>
          </w:p>
        </w:tc>
      </w:tr>
      <w:tr>
        <w:trPr>
          <w:trHeight w:val="213"/>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Results from exchange differences</w:t>
            </w:r>
          </w:p>
        </w:tc>
        <w:tc>
          <w:tcPr>
            <w:tcW w:w="1100" w:type="dxa"/>
            <w:vAlign w:val="bottom"/>
            <w:gridSpan w:val="2"/>
          </w:tcPr>
          <w:p>
            <w:pPr>
              <w:jc w:val="center"/>
              <w:spacing w:after="0"/>
              <w:rPr>
                <w:sz w:val="20"/>
                <w:szCs w:val="20"/>
                <w:color w:val="auto"/>
              </w:rPr>
            </w:pPr>
            <w:r>
              <w:rPr>
                <w:rFonts w:ascii="Arial" w:cs="Arial" w:eastAsia="Arial" w:hAnsi="Arial"/>
                <w:sz w:val="11"/>
                <w:szCs w:val="11"/>
                <w:color w:val="auto"/>
                <w:w w:val="97"/>
              </w:rPr>
              <w:t>175</w:t>
            </w:r>
          </w:p>
        </w:tc>
        <w:tc>
          <w:tcPr>
            <w:tcW w:w="1100" w:type="dxa"/>
            <w:vAlign w:val="bottom"/>
          </w:tcPr>
          <w:p>
            <w:pPr>
              <w:jc w:val="center"/>
              <w:spacing w:after="0"/>
              <w:rPr>
                <w:sz w:val="20"/>
                <w:szCs w:val="20"/>
                <w:color w:val="auto"/>
              </w:rPr>
            </w:pPr>
            <w:r>
              <w:rPr>
                <w:rFonts w:ascii="Arial" w:cs="Arial" w:eastAsia="Arial" w:hAnsi="Arial"/>
                <w:sz w:val="11"/>
                <w:szCs w:val="11"/>
                <w:color w:val="auto"/>
                <w:w w:val="97"/>
              </w:rPr>
              <w:t>67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352</w:t>
            </w:r>
          </w:p>
        </w:tc>
        <w:tc>
          <w:tcPr>
            <w:tcW w:w="660" w:type="dxa"/>
            <w:vAlign w:val="bottom"/>
          </w:tcPr>
          <w:p>
            <w:pPr>
              <w:jc w:val="center"/>
              <w:ind w:right="26"/>
              <w:spacing w:after="0"/>
              <w:rPr>
                <w:sz w:val="20"/>
                <w:szCs w:val="20"/>
                <w:color w:val="auto"/>
              </w:rPr>
            </w:pPr>
            <w:r>
              <w:rPr>
                <w:rFonts w:ascii="Arial" w:cs="Arial" w:eastAsia="Arial" w:hAnsi="Arial"/>
                <w:sz w:val="11"/>
                <w:szCs w:val="11"/>
                <w:color w:val="auto"/>
                <w:w w:val="97"/>
              </w:rPr>
              <w:t>n.a.</w:t>
            </w:r>
          </w:p>
        </w:tc>
        <w:tc>
          <w:tcPr>
            <w:tcW w:w="70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6"/>
              </w:rPr>
              <w:t>101.1%</w:t>
            </w:r>
          </w:p>
        </w:tc>
        <w:tc>
          <w:tcPr>
            <w:tcW w:w="880" w:type="dxa"/>
            <w:vAlign w:val="bottom"/>
          </w:tcPr>
          <w:p>
            <w:pPr>
              <w:jc w:val="center"/>
              <w:ind w:right="86"/>
              <w:spacing w:after="0"/>
              <w:rPr>
                <w:sz w:val="20"/>
                <w:szCs w:val="20"/>
                <w:color w:val="auto"/>
              </w:rPr>
            </w:pPr>
            <w:r>
              <w:rPr>
                <w:rFonts w:ascii="Arial" w:cs="Arial" w:eastAsia="Arial" w:hAnsi="Arial"/>
                <w:sz w:val="11"/>
                <w:szCs w:val="11"/>
                <w:color w:val="auto"/>
                <w:w w:val="97"/>
              </w:rPr>
              <w:t>(2,681)</w:t>
            </w:r>
          </w:p>
        </w:tc>
        <w:tc>
          <w:tcPr>
            <w:tcW w:w="640" w:type="dxa"/>
            <w:vAlign w:val="bottom"/>
            <w:tcBorders>
              <w:right w:val="single" w:sz="8" w:color="auto"/>
            </w:tcBorders>
          </w:tcPr>
          <w:p>
            <w:pPr>
              <w:jc w:val="center"/>
              <w:ind w:right="86"/>
              <w:spacing w:after="0"/>
              <w:rPr>
                <w:sz w:val="20"/>
                <w:szCs w:val="20"/>
                <w:color w:val="auto"/>
              </w:rPr>
            </w:pPr>
            <w:r>
              <w:rPr>
                <w:rFonts w:ascii="Arial" w:cs="Arial" w:eastAsia="Arial" w:hAnsi="Arial"/>
                <w:sz w:val="11"/>
                <w:szCs w:val="11"/>
                <w:color w:val="auto"/>
                <w:w w:val="97"/>
              </w:rPr>
              <w:t>(2,984)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11.3%</w:t>
            </w:r>
          </w:p>
        </w:tc>
      </w:tr>
      <w:tr>
        <w:trPr>
          <w:trHeight w:val="146"/>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Other, net</w:t>
            </w:r>
          </w:p>
        </w:tc>
        <w:tc>
          <w:tcPr>
            <w:tcW w:w="1100" w:type="dxa"/>
            <w:vAlign w:val="bottom"/>
            <w:gridSpan w:val="2"/>
          </w:tcPr>
          <w:p>
            <w:pPr>
              <w:jc w:val="center"/>
              <w:spacing w:after="0"/>
              <w:rPr>
                <w:sz w:val="20"/>
                <w:szCs w:val="20"/>
                <w:color w:val="auto"/>
              </w:rPr>
            </w:pPr>
            <w:r>
              <w:rPr>
                <w:rFonts w:ascii="Arial" w:cs="Arial" w:eastAsia="Arial" w:hAnsi="Arial"/>
                <w:sz w:val="11"/>
                <w:szCs w:val="11"/>
                <w:color w:val="auto"/>
              </w:rPr>
              <w:t>(7)</w:t>
            </w:r>
          </w:p>
        </w:tc>
        <w:tc>
          <w:tcPr>
            <w:tcW w:w="1100" w:type="dxa"/>
            <w:vAlign w:val="bottom"/>
          </w:tcPr>
          <w:p>
            <w:pPr>
              <w:jc w:val="center"/>
              <w:spacing w:after="0"/>
              <w:rPr>
                <w:sz w:val="20"/>
                <w:szCs w:val="20"/>
                <w:color w:val="auto"/>
              </w:rPr>
            </w:pPr>
            <w:r>
              <w:rPr>
                <w:rFonts w:ascii="Arial" w:cs="Arial" w:eastAsia="Arial" w:hAnsi="Arial"/>
                <w:sz w:val="11"/>
                <w:szCs w:val="11"/>
                <w:color w:val="auto"/>
                <w:w w:val="88"/>
              </w:rPr>
              <w:t>(7)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103</w:t>
            </w:r>
          </w:p>
        </w:tc>
        <w:tc>
          <w:tcPr>
            <w:tcW w:w="660" w:type="dxa"/>
            <w:vAlign w:val="bottom"/>
          </w:tcPr>
          <w:p>
            <w:pPr>
              <w:jc w:val="center"/>
              <w:ind w:right="26"/>
              <w:spacing w:after="0"/>
              <w:rPr>
                <w:sz w:val="20"/>
                <w:szCs w:val="20"/>
                <w:color w:val="auto"/>
              </w:rPr>
            </w:pPr>
            <w:r>
              <w:rPr>
                <w:rFonts w:ascii="Arial" w:cs="Arial" w:eastAsia="Arial" w:hAnsi="Arial"/>
                <w:sz w:val="11"/>
                <w:szCs w:val="11"/>
                <w:color w:val="auto"/>
                <w:w w:val="97"/>
              </w:rPr>
              <w:t>n.a.</w:t>
            </w:r>
          </w:p>
        </w:tc>
        <w:tc>
          <w:tcPr>
            <w:tcW w:w="70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n.a.</w:t>
            </w:r>
          </w:p>
        </w:tc>
        <w:tc>
          <w:tcPr>
            <w:tcW w:w="880" w:type="dxa"/>
            <w:vAlign w:val="bottom"/>
          </w:tcPr>
          <w:p>
            <w:pPr>
              <w:jc w:val="center"/>
              <w:ind w:right="86"/>
              <w:spacing w:after="0"/>
              <w:rPr>
                <w:sz w:val="20"/>
                <w:szCs w:val="20"/>
                <w:color w:val="auto"/>
              </w:rPr>
            </w:pPr>
            <w:r>
              <w:rPr>
                <w:rFonts w:ascii="Arial" w:cs="Arial" w:eastAsia="Arial" w:hAnsi="Arial"/>
                <w:sz w:val="11"/>
                <w:szCs w:val="11"/>
                <w:color w:val="auto"/>
              </w:rPr>
              <w:t>(383)</w:t>
            </w:r>
          </w:p>
        </w:tc>
        <w:tc>
          <w:tcPr>
            <w:tcW w:w="640" w:type="dxa"/>
            <w:vAlign w:val="bottom"/>
            <w:tcBorders>
              <w:right w:val="single" w:sz="8" w:color="auto"/>
            </w:tcBorders>
          </w:tcPr>
          <w:p>
            <w:pPr>
              <w:jc w:val="center"/>
              <w:ind w:right="86"/>
              <w:spacing w:after="0"/>
              <w:rPr>
                <w:sz w:val="20"/>
                <w:szCs w:val="20"/>
                <w:color w:val="auto"/>
              </w:rPr>
            </w:pPr>
            <w:r>
              <w:rPr>
                <w:rFonts w:ascii="Arial" w:cs="Arial" w:eastAsia="Arial" w:hAnsi="Arial"/>
                <w:sz w:val="11"/>
                <w:szCs w:val="11"/>
                <w:color w:val="auto"/>
              </w:rPr>
              <w:t>(320)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n.a.</w:t>
            </w:r>
          </w:p>
        </w:tc>
      </w:tr>
      <w:tr>
        <w:trPr>
          <w:trHeight w:val="219"/>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Profit before income tax</w:t>
            </w: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1,128,104</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7"/>
              </w:rPr>
              <w:t>1,816,334</w:t>
            </w:r>
          </w:p>
        </w:tc>
        <w:tc>
          <w:tcPr>
            <w:tcW w:w="114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1,689,819</w:t>
            </w:r>
          </w:p>
        </w:tc>
        <w:tc>
          <w:tcPr>
            <w:tcW w:w="66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-7.0%</w:t>
            </w:r>
          </w:p>
        </w:tc>
        <w:tc>
          <w:tcPr>
            <w:tcW w:w="70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49.8%</w:t>
            </w: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6,332,473</w:t>
            </w:r>
          </w:p>
        </w:tc>
        <w:tc>
          <w:tcPr>
            <w:tcW w:w="640" w:type="dxa"/>
            <w:vAlign w:val="bottom"/>
            <w:tcBorders>
              <w:right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7,658,935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20.9%</w:t>
            </w:r>
          </w:p>
        </w:tc>
      </w:tr>
      <w:tr>
        <w:trPr>
          <w:trHeight w:val="121"/>
        </w:trPr>
        <w:tc>
          <w:tcPr>
            <w:tcW w:w="410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Income tax</w:t>
            </w:r>
          </w:p>
        </w:tc>
        <w:tc>
          <w:tcPr>
            <w:tcW w:w="110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7"/>
              </w:rPr>
              <w:t>(8,612)</w:t>
            </w:r>
          </w:p>
        </w:tc>
        <w:tc>
          <w:tcPr>
            <w:tcW w:w="1100" w:type="dxa"/>
            <w:vAlign w:val="bottom"/>
          </w:tcPr>
          <w:p>
            <w:pPr>
              <w:jc w:val="center"/>
              <w:spacing w:after="0" w:line="122" w:lineRule="exact"/>
              <w:rPr>
                <w:sz w:val="20"/>
                <w:szCs w:val="20"/>
                <w:color w:val="auto"/>
              </w:rPr>
            </w:pPr>
            <w:r>
              <w:rPr>
                <w:rFonts w:ascii="Arial" w:cs="Arial" w:eastAsia="Arial" w:hAnsi="Arial"/>
                <w:sz w:val="11"/>
                <w:szCs w:val="11"/>
                <w:color w:val="auto"/>
                <w:w w:val="97"/>
              </w:rPr>
              <w:t>(60,945)</w:t>
            </w:r>
          </w:p>
        </w:tc>
        <w:tc>
          <w:tcPr>
            <w:tcW w:w="1140" w:type="dxa"/>
            <w:vAlign w:val="bottom"/>
            <w:tcBorders>
              <w:right w:val="single" w:sz="8" w:color="auto"/>
            </w:tcBorders>
          </w:tcPr>
          <w:p>
            <w:pPr>
              <w:jc w:val="center"/>
              <w:ind w:right="6"/>
              <w:spacing w:after="0" w:line="122" w:lineRule="exact"/>
              <w:rPr>
                <w:sz w:val="20"/>
                <w:szCs w:val="20"/>
                <w:color w:val="auto"/>
              </w:rPr>
            </w:pPr>
            <w:r>
              <w:rPr>
                <w:rFonts w:ascii="Arial" w:cs="Arial" w:eastAsia="Arial" w:hAnsi="Arial"/>
                <w:sz w:val="11"/>
                <w:szCs w:val="11"/>
                <w:color w:val="auto"/>
                <w:w w:val="97"/>
              </w:rPr>
              <w:t>(57,526)</w:t>
            </w:r>
          </w:p>
        </w:tc>
        <w:tc>
          <w:tcPr>
            <w:tcW w:w="660" w:type="dxa"/>
            <w:vAlign w:val="bottom"/>
          </w:tcPr>
          <w:p>
            <w:pPr>
              <w:jc w:val="center"/>
              <w:ind w:right="6"/>
              <w:spacing w:after="0" w:line="122" w:lineRule="exact"/>
              <w:rPr>
                <w:sz w:val="20"/>
                <w:szCs w:val="20"/>
                <w:color w:val="auto"/>
              </w:rPr>
            </w:pPr>
            <w:r>
              <w:rPr>
                <w:rFonts w:ascii="Arial" w:cs="Arial" w:eastAsia="Arial" w:hAnsi="Arial"/>
                <w:sz w:val="11"/>
                <w:szCs w:val="11"/>
                <w:color w:val="auto"/>
                <w:w w:val="97"/>
              </w:rPr>
              <w:t>-5.6%</w:t>
            </w:r>
          </w:p>
        </w:tc>
        <w:tc>
          <w:tcPr>
            <w:tcW w:w="700" w:type="dxa"/>
            <w:vAlign w:val="bottom"/>
            <w:tcBorders>
              <w:right w:val="single" w:sz="8" w:color="auto"/>
            </w:tcBorders>
          </w:tcPr>
          <w:p>
            <w:pPr>
              <w:ind w:left="220"/>
              <w:spacing w:after="0" w:line="122" w:lineRule="exact"/>
              <w:rPr>
                <w:sz w:val="20"/>
                <w:szCs w:val="20"/>
                <w:color w:val="auto"/>
              </w:rPr>
            </w:pPr>
            <w:r>
              <w:rPr>
                <w:rFonts w:ascii="Arial" w:cs="Arial" w:eastAsia="Arial" w:hAnsi="Arial"/>
                <w:sz w:val="11"/>
                <w:szCs w:val="11"/>
                <w:color w:val="auto"/>
              </w:rPr>
              <w:t>n.a.</w:t>
            </w:r>
          </w:p>
        </w:tc>
        <w:tc>
          <w:tcPr>
            <w:tcW w:w="880" w:type="dxa"/>
            <w:vAlign w:val="bottom"/>
          </w:tcPr>
          <w:p>
            <w:pPr>
              <w:jc w:val="center"/>
              <w:ind w:right="86"/>
              <w:spacing w:after="0" w:line="122" w:lineRule="exact"/>
              <w:rPr>
                <w:sz w:val="20"/>
                <w:szCs w:val="20"/>
                <w:color w:val="auto"/>
              </w:rPr>
            </w:pPr>
            <w:r>
              <w:rPr>
                <w:rFonts w:ascii="Arial" w:cs="Arial" w:eastAsia="Arial" w:hAnsi="Arial"/>
                <w:sz w:val="11"/>
                <w:szCs w:val="11"/>
                <w:color w:val="auto"/>
                <w:w w:val="97"/>
              </w:rPr>
              <w:t>(146,713)</w:t>
            </w:r>
          </w:p>
        </w:tc>
        <w:tc>
          <w:tcPr>
            <w:tcW w:w="640" w:type="dxa"/>
            <w:vAlign w:val="bottom"/>
            <w:tcBorders>
              <w:right w:val="single" w:sz="8" w:color="auto"/>
            </w:tcBorders>
          </w:tcPr>
          <w:p>
            <w:pPr>
              <w:jc w:val="center"/>
              <w:ind w:right="86"/>
              <w:spacing w:after="0" w:line="122" w:lineRule="exact"/>
              <w:rPr>
                <w:sz w:val="20"/>
                <w:szCs w:val="20"/>
                <w:color w:val="auto"/>
              </w:rPr>
            </w:pPr>
            <w:r>
              <w:rPr>
                <w:rFonts w:ascii="Arial" w:cs="Arial" w:eastAsia="Arial" w:hAnsi="Arial"/>
                <w:sz w:val="11"/>
                <w:szCs w:val="11"/>
                <w:color w:val="auto"/>
                <w:w w:val="97"/>
              </w:rPr>
              <w:t>(215,852)</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47.1%</w:t>
            </w:r>
          </w:p>
        </w:tc>
      </w:tr>
      <w:tr>
        <w:trPr>
          <w:trHeight w:val="139"/>
        </w:trPr>
        <w:tc>
          <w:tcPr>
            <w:tcW w:w="41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income</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7"/>
              </w:rPr>
              <w:t>1,119,492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1,755,389</w:t>
            </w:r>
          </w:p>
        </w:tc>
        <w:tc>
          <w:tcPr>
            <w:tcW w:w="114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1,632,293</w:t>
            </w:r>
          </w:p>
        </w:tc>
        <w:tc>
          <w:tcPr>
            <w:tcW w:w="6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-7.0%</w:t>
            </w:r>
          </w:p>
        </w:tc>
        <w:tc>
          <w:tcPr>
            <w:tcW w:w="70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b w:val="1"/>
                <w:bCs w:val="1"/>
                <w:color w:val="auto"/>
              </w:rPr>
              <w:t>45.8%</w:t>
            </w:r>
          </w:p>
        </w:tc>
        <w:tc>
          <w:tcPr>
            <w:tcW w:w="88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7"/>
              </w:rPr>
              <w:t>6,185,760</w:t>
            </w:r>
          </w:p>
        </w:tc>
        <w:tc>
          <w:tcPr>
            <w:tcW w:w="64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7,443,083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20.3%</w:t>
            </w:r>
          </w:p>
        </w:tc>
      </w:tr>
      <w:tr>
        <w:trPr>
          <w:trHeight w:val="183"/>
        </w:trPr>
        <w:tc>
          <w:tcPr>
            <w:tcW w:w="4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15"/>
        </w:trPr>
        <w:tc>
          <w:tcPr>
            <w:tcW w:w="4100" w:type="dxa"/>
            <w:vAlign w:val="bottom"/>
            <w:tcBorders>
              <w:left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Double Leverage Ratio</w:t>
            </w:r>
          </w:p>
        </w:tc>
        <w:tc>
          <w:tcPr>
            <w:tcW w:w="4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auto"/>
              </w:rPr>
              <w:t>99.2%</w:t>
            </w:r>
          </w:p>
        </w:tc>
        <w:tc>
          <w:tcPr>
            <w:tcW w:w="1100" w:type="dxa"/>
            <w:vAlign w:val="bottom"/>
            <w:tcBorders>
              <w:bottom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auto"/>
              </w:rPr>
              <w:t>99.9%</w:t>
            </w:r>
          </w:p>
        </w:tc>
        <w:tc>
          <w:tcPr>
            <w:tcW w:w="1140" w:type="dxa"/>
            <w:vAlign w:val="bottom"/>
            <w:tcBorders>
              <w:bottom w:val="single" w:sz="8" w:color="auto"/>
              <w:right w:val="single" w:sz="8" w:color="auto"/>
            </w:tcBorders>
          </w:tcPr>
          <w:p>
            <w:pPr>
              <w:jc w:val="right"/>
              <w:ind w:right="346"/>
              <w:spacing w:after="0" w:line="115" w:lineRule="exact"/>
              <w:rPr>
                <w:sz w:val="20"/>
                <w:szCs w:val="20"/>
                <w:color w:val="auto"/>
              </w:rPr>
            </w:pPr>
            <w:r>
              <w:rPr>
                <w:rFonts w:ascii="Arial" w:cs="Arial" w:eastAsia="Arial" w:hAnsi="Arial"/>
                <w:sz w:val="11"/>
                <w:szCs w:val="11"/>
                <w:b w:val="1"/>
                <w:bCs w:val="1"/>
                <w:color w:val="auto"/>
              </w:rPr>
              <w:t>99.6%</w:t>
            </w:r>
          </w:p>
        </w:tc>
        <w:tc>
          <w:tcPr>
            <w:tcW w:w="660" w:type="dxa"/>
            <w:vAlign w:val="bottom"/>
            <w:tcBorders>
              <w:bottom w:val="single" w:sz="8" w:color="auto"/>
            </w:tcBorders>
          </w:tcPr>
          <w:p>
            <w:pPr>
              <w:ind w:left="140"/>
              <w:spacing w:after="0" w:line="115" w:lineRule="exact"/>
              <w:rPr>
                <w:sz w:val="20"/>
                <w:szCs w:val="20"/>
                <w:color w:val="auto"/>
              </w:rPr>
            </w:pPr>
            <w:r>
              <w:rPr>
                <w:rFonts w:ascii="Arial" w:cs="Arial" w:eastAsia="Arial" w:hAnsi="Arial"/>
                <w:sz w:val="11"/>
                <w:szCs w:val="11"/>
                <w:b w:val="1"/>
                <w:bCs w:val="1"/>
                <w:color w:val="auto"/>
              </w:rPr>
              <w:t>-32 bps</w:t>
            </w:r>
          </w:p>
        </w:tc>
        <w:tc>
          <w:tcPr>
            <w:tcW w:w="700" w:type="dxa"/>
            <w:vAlign w:val="bottom"/>
            <w:tcBorders>
              <w:bottom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b w:val="1"/>
                <w:bCs w:val="1"/>
                <w:color w:val="auto"/>
              </w:rPr>
              <w:t>42 bps</w:t>
            </w:r>
          </w:p>
        </w:tc>
        <w:tc>
          <w:tcPr>
            <w:tcW w:w="880" w:type="dxa"/>
            <w:vAlign w:val="bottom"/>
            <w:tcBorders>
              <w:bottom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auto"/>
              </w:rPr>
              <w:t>99.2%</w:t>
            </w:r>
          </w:p>
        </w:tc>
        <w:tc>
          <w:tcPr>
            <w:tcW w:w="640" w:type="dxa"/>
            <w:vAlign w:val="bottom"/>
            <w:tcBorders>
              <w:bottom w:val="single" w:sz="8" w:color="auto"/>
              <w:right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99.6%</w:t>
            </w:r>
          </w:p>
        </w:tc>
        <w:tc>
          <w:tcPr>
            <w:tcW w:w="96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42 bps</w:t>
            </w:r>
          </w:p>
        </w:tc>
      </w:tr>
      <w:tr>
        <w:trPr>
          <w:trHeight w:val="1283"/>
        </w:trPr>
        <w:tc>
          <w:tcPr>
            <w:tcW w:w="4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-710565</wp:posOffset>
            </wp:positionV>
            <wp:extent cx="6789420" cy="5911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89420" cy="59118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4" w:name="page65"/>
    <w:bookmarkEnd w:id="64"/>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12.7.3  BCP Consolidated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508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1220" w:type="dxa"/>
            <w:vAlign w:val="bottom"/>
            <w:tcBorders>
              <w:top w:val="single" w:sz="8" w:color="auto"/>
            </w:tcBorders>
            <w:shd w:val="clear" w:color="auto" w:fill="2AD2C9"/>
          </w:tcPr>
          <w:p>
            <w:pPr>
              <w:spacing w:after="0"/>
              <w:rPr>
                <w:sz w:val="10"/>
                <w:szCs w:val="10"/>
                <w:color w:val="auto"/>
              </w:rPr>
            </w:pPr>
          </w:p>
        </w:tc>
        <w:tc>
          <w:tcPr>
            <w:tcW w:w="1240" w:type="dxa"/>
            <w:vAlign w:val="bottom"/>
            <w:tcBorders>
              <w:top w:val="single" w:sz="8" w:color="auto"/>
            </w:tcBorders>
            <w:shd w:val="clear" w:color="auto" w:fill="2AD2C9"/>
          </w:tcPr>
          <w:p>
            <w:pPr>
              <w:jc w:val="center"/>
              <w:spacing w:after="0" w:line="124" w:lineRule="exact"/>
              <w:rPr>
                <w:sz w:val="20"/>
                <w:szCs w:val="20"/>
                <w:color w:val="auto"/>
              </w:rPr>
            </w:pPr>
            <w:r>
              <w:rPr>
                <w:rFonts w:ascii="Arial" w:cs="Arial" w:eastAsia="Arial" w:hAnsi="Arial"/>
                <w:sz w:val="13"/>
                <w:szCs w:val="13"/>
                <w:b w:val="1"/>
                <w:bCs w:val="1"/>
                <w:color w:val="FFFFFF"/>
                <w:w w:val="98"/>
              </w:rPr>
              <w:t>As of</w:t>
            </w:r>
          </w:p>
        </w:tc>
        <w:tc>
          <w:tcPr>
            <w:tcW w:w="1260" w:type="dxa"/>
            <w:vAlign w:val="bottom"/>
            <w:tcBorders>
              <w:top w:val="single" w:sz="8" w:color="auto"/>
              <w:right w:val="single" w:sz="8" w:color="auto"/>
            </w:tcBorders>
            <w:shd w:val="clear" w:color="auto" w:fill="2AD2C9"/>
          </w:tcPr>
          <w:p>
            <w:pPr>
              <w:spacing w:after="0"/>
              <w:rPr>
                <w:sz w:val="10"/>
                <w:szCs w:val="10"/>
                <w:color w:val="auto"/>
              </w:rPr>
            </w:pPr>
          </w:p>
        </w:tc>
        <w:tc>
          <w:tcPr>
            <w:tcW w:w="860" w:type="dxa"/>
            <w:vAlign w:val="bottom"/>
            <w:tcBorders>
              <w:top w:val="single" w:sz="8" w:color="auto"/>
            </w:tcBorders>
            <w:shd w:val="clear" w:color="auto" w:fill="2AD2C9"/>
          </w:tcPr>
          <w:p>
            <w:pPr>
              <w:spacing w:after="0"/>
              <w:rPr>
                <w:sz w:val="10"/>
                <w:szCs w:val="10"/>
                <w:color w:val="auto"/>
              </w:rPr>
            </w:pPr>
          </w:p>
        </w:tc>
        <w:tc>
          <w:tcPr>
            <w:tcW w:w="1620" w:type="dxa"/>
            <w:vAlign w:val="bottom"/>
            <w:tcBorders>
              <w:top w:val="single" w:sz="8" w:color="auto"/>
              <w:right w:val="single" w:sz="8" w:color="auto"/>
            </w:tcBorders>
            <w:shd w:val="clear" w:color="auto" w:fill="2AD2C9"/>
          </w:tcPr>
          <w:p>
            <w:pPr>
              <w:ind w:left="60"/>
              <w:spacing w:after="0" w:line="124" w:lineRule="exact"/>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59"/>
        </w:trPr>
        <w:tc>
          <w:tcPr>
            <w:tcW w:w="5080" w:type="dxa"/>
            <w:vAlign w:val="bottom"/>
            <w:tcBorders>
              <w:left w:val="single" w:sz="8" w:color="auto"/>
              <w:bottom w:val="single" w:sz="8" w:color="auto"/>
              <w:right w:val="single" w:sz="8" w:color="auto"/>
            </w:tcBorders>
            <w:shd w:val="clear" w:color="auto" w:fill="2AD2C9"/>
          </w:tcPr>
          <w:p>
            <w:pPr>
              <w:spacing w:after="0"/>
              <w:rPr>
                <w:sz w:val="13"/>
                <w:szCs w:val="13"/>
                <w:color w:val="auto"/>
              </w:rPr>
            </w:pPr>
          </w:p>
        </w:tc>
        <w:tc>
          <w:tcPr>
            <w:tcW w:w="122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Dec 24</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5"/>
              </w:rPr>
              <w:t>Sep 25</w:t>
            </w:r>
          </w:p>
        </w:tc>
        <w:tc>
          <w:tcPr>
            <w:tcW w:w="126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3"/>
                <w:szCs w:val="13"/>
                <w:b w:val="1"/>
                <w:bCs w:val="1"/>
                <w:color w:val="FFFFFF"/>
              </w:rPr>
              <w:t>Dec 25</w:t>
            </w:r>
          </w:p>
        </w:tc>
        <w:tc>
          <w:tcPr>
            <w:tcW w:w="860" w:type="dxa"/>
            <w:vAlign w:val="bottom"/>
            <w:tcBorders>
              <w:bottom w:val="single" w:sz="8" w:color="auto"/>
            </w:tcBorders>
            <w:shd w:val="clear" w:color="auto" w:fill="2AD2C9"/>
          </w:tcPr>
          <w:p>
            <w:pPr>
              <w:ind w:left="460"/>
              <w:spacing w:after="0"/>
              <w:rPr>
                <w:sz w:val="20"/>
                <w:szCs w:val="20"/>
                <w:color w:val="auto"/>
              </w:rPr>
            </w:pPr>
            <w:r>
              <w:rPr>
                <w:rFonts w:ascii="Arial" w:cs="Arial" w:eastAsia="Arial" w:hAnsi="Arial"/>
                <w:sz w:val="13"/>
                <w:szCs w:val="13"/>
                <w:b w:val="1"/>
                <w:bCs w:val="1"/>
                <w:color w:val="FFFFFF"/>
              </w:rPr>
              <w:t>QoQ</w:t>
            </w:r>
          </w:p>
        </w:tc>
        <w:tc>
          <w:tcPr>
            <w:tcW w:w="1620" w:type="dxa"/>
            <w:vAlign w:val="bottom"/>
            <w:tcBorders>
              <w:bottom w:val="single" w:sz="8" w:color="auto"/>
              <w:right w:val="single" w:sz="8" w:color="auto"/>
            </w:tcBorders>
            <w:shd w:val="clear" w:color="auto" w:fill="2AD2C9"/>
          </w:tcPr>
          <w:p>
            <w:pPr>
              <w:ind w:left="860"/>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07"/>
        </w:trPr>
        <w:tc>
          <w:tcPr>
            <w:tcW w:w="5080" w:type="dxa"/>
            <w:vAlign w:val="bottom"/>
            <w:tcBorders>
              <w:left w:val="single" w:sz="8" w:color="auto"/>
              <w:right w:val="single" w:sz="8" w:color="auto"/>
            </w:tcBorders>
          </w:tcPr>
          <w:p>
            <w:pPr>
              <w:spacing w:after="0" w:line="107" w:lineRule="exact"/>
              <w:rPr>
                <w:sz w:val="20"/>
                <w:szCs w:val="20"/>
                <w:color w:val="auto"/>
              </w:rPr>
            </w:pPr>
            <w:r>
              <w:rPr>
                <w:rFonts w:ascii="Arial" w:cs="Arial" w:eastAsia="Arial" w:hAnsi="Arial"/>
                <w:sz w:val="12"/>
                <w:szCs w:val="12"/>
                <w:b w:val="1"/>
                <w:bCs w:val="1"/>
                <w:color w:val="auto"/>
              </w:rPr>
              <w:t>ASSETS</w:t>
            </w:r>
          </w:p>
        </w:tc>
        <w:tc>
          <w:tcPr>
            <w:tcW w:w="1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Cash and due from banks</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auto"/>
                <w:w w:val="96"/>
              </w:rPr>
              <w:t>5,430,818</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6"/>
              </w:rPr>
              <w:t>5,571,298</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5,215,104</w:t>
            </w:r>
          </w:p>
        </w:tc>
        <w:tc>
          <w:tcPr>
            <w:tcW w:w="860" w:type="dxa"/>
            <w:vAlign w:val="bottom"/>
            <w:vMerge w:val="restart"/>
          </w:tcPr>
          <w:p>
            <w:pPr>
              <w:jc w:val="center"/>
              <w:ind w:left="277"/>
              <w:spacing w:after="0"/>
              <w:rPr>
                <w:sz w:val="20"/>
                <w:szCs w:val="20"/>
                <w:color w:val="auto"/>
              </w:rPr>
            </w:pPr>
            <w:r>
              <w:rPr>
                <w:rFonts w:ascii="Arial" w:cs="Arial" w:eastAsia="Arial" w:hAnsi="Arial"/>
                <w:sz w:val="13"/>
                <w:szCs w:val="13"/>
                <w:color w:val="auto"/>
                <w:w w:val="94"/>
              </w:rPr>
              <w:t>-6.4%</w:t>
            </w:r>
          </w:p>
        </w:tc>
        <w:tc>
          <w:tcPr>
            <w:tcW w:w="1620" w:type="dxa"/>
            <w:vAlign w:val="bottom"/>
            <w:tcBorders>
              <w:right w:val="single" w:sz="8" w:color="auto"/>
            </w:tcBorders>
            <w:vMerge w:val="restart"/>
          </w:tcPr>
          <w:p>
            <w:pPr>
              <w:jc w:val="center"/>
              <w:ind w:left="277"/>
              <w:spacing w:after="0"/>
              <w:rPr>
                <w:sz w:val="20"/>
                <w:szCs w:val="20"/>
                <w:color w:val="auto"/>
              </w:rPr>
            </w:pPr>
            <w:r>
              <w:rPr>
                <w:rFonts w:ascii="Arial" w:cs="Arial" w:eastAsia="Arial" w:hAnsi="Arial"/>
                <w:sz w:val="13"/>
                <w:szCs w:val="13"/>
                <w:color w:val="auto"/>
                <w:w w:val="94"/>
              </w:rPr>
              <w:t>-4.0%</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Non-interest bearing</w:t>
            </w: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0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Interest bearing</w:t>
            </w:r>
          </w:p>
        </w:tc>
        <w:tc>
          <w:tcPr>
            <w:tcW w:w="1220" w:type="dxa"/>
            <w:vAlign w:val="bottom"/>
          </w:tcPr>
          <w:p>
            <w:pPr>
              <w:jc w:val="center"/>
              <w:spacing w:after="0" w:line="133" w:lineRule="exact"/>
              <w:rPr>
                <w:sz w:val="20"/>
                <w:szCs w:val="20"/>
                <w:color w:val="auto"/>
              </w:rPr>
            </w:pPr>
            <w:r>
              <w:rPr>
                <w:rFonts w:ascii="Arial" w:cs="Arial" w:eastAsia="Arial" w:hAnsi="Arial"/>
                <w:sz w:val="13"/>
                <w:szCs w:val="13"/>
                <w:color w:val="auto"/>
                <w:w w:val="95"/>
              </w:rPr>
              <w:t>39,106,465</w:t>
            </w:r>
          </w:p>
        </w:tc>
        <w:tc>
          <w:tcPr>
            <w:tcW w:w="1240" w:type="dxa"/>
            <w:vAlign w:val="bottom"/>
          </w:tcPr>
          <w:p>
            <w:pPr>
              <w:jc w:val="center"/>
              <w:spacing w:after="0" w:line="133" w:lineRule="exact"/>
              <w:rPr>
                <w:sz w:val="20"/>
                <w:szCs w:val="20"/>
                <w:color w:val="auto"/>
              </w:rPr>
            </w:pPr>
            <w:r>
              <w:rPr>
                <w:rFonts w:ascii="Arial" w:cs="Arial" w:eastAsia="Arial" w:hAnsi="Arial"/>
                <w:sz w:val="13"/>
                <w:szCs w:val="13"/>
                <w:color w:val="auto"/>
                <w:w w:val="98"/>
              </w:rPr>
              <w:t>33,968,802</w:t>
            </w:r>
          </w:p>
        </w:tc>
        <w:tc>
          <w:tcPr>
            <w:tcW w:w="12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8"/>
              </w:rPr>
              <w:t>39,683,584</w:t>
            </w:r>
          </w:p>
        </w:tc>
        <w:tc>
          <w:tcPr>
            <w:tcW w:w="860" w:type="dxa"/>
            <w:vAlign w:val="bottom"/>
          </w:tcPr>
          <w:p>
            <w:pPr>
              <w:jc w:val="center"/>
              <w:ind w:left="277"/>
              <w:spacing w:after="0" w:line="133" w:lineRule="exact"/>
              <w:rPr>
                <w:sz w:val="20"/>
                <w:szCs w:val="20"/>
                <w:color w:val="auto"/>
              </w:rPr>
            </w:pPr>
            <w:r>
              <w:rPr>
                <w:rFonts w:ascii="Arial" w:cs="Arial" w:eastAsia="Arial" w:hAnsi="Arial"/>
                <w:sz w:val="13"/>
                <w:szCs w:val="13"/>
                <w:color w:val="auto"/>
                <w:w w:val="97"/>
              </w:rPr>
              <w:t>16.8%</w:t>
            </w:r>
          </w:p>
        </w:tc>
        <w:tc>
          <w:tcPr>
            <w:tcW w:w="1620" w:type="dxa"/>
            <w:vAlign w:val="bottom"/>
            <w:tcBorders>
              <w:right w:val="single" w:sz="8" w:color="auto"/>
            </w:tcBorders>
          </w:tcPr>
          <w:p>
            <w:pPr>
              <w:jc w:val="center"/>
              <w:ind w:left="277"/>
              <w:spacing w:after="0" w:line="133" w:lineRule="exact"/>
              <w:rPr>
                <w:sz w:val="20"/>
                <w:szCs w:val="20"/>
                <w:color w:val="auto"/>
              </w:rPr>
            </w:pPr>
            <w:r>
              <w:rPr>
                <w:rFonts w:ascii="Arial" w:cs="Arial" w:eastAsia="Arial" w:hAnsi="Arial"/>
                <w:sz w:val="13"/>
                <w:szCs w:val="13"/>
                <w:color w:val="auto"/>
                <w:w w:val="94"/>
              </w:rPr>
              <w:t>1.5%</w:t>
            </w:r>
          </w:p>
        </w:tc>
        <w:tc>
          <w:tcPr>
            <w:tcW w:w="0" w:type="dxa"/>
            <w:vAlign w:val="bottom"/>
          </w:tcPr>
          <w:p>
            <w:pPr>
              <w:spacing w:after="0"/>
              <w:rPr>
                <w:sz w:val="1"/>
                <w:szCs w:val="1"/>
                <w:color w:val="auto"/>
              </w:rPr>
            </w:pPr>
          </w:p>
        </w:tc>
      </w:tr>
      <w:tr>
        <w:trPr>
          <w:trHeight w:val="178"/>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Total cash and due from banks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44,537,283</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8"/>
              </w:rPr>
              <w:t>39,540,100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44,898,688</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7"/>
              </w:rPr>
              <w:t>13.6%</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0.8%</w:t>
            </w:r>
          </w:p>
        </w:tc>
        <w:tc>
          <w:tcPr>
            <w:tcW w:w="0" w:type="dxa"/>
            <w:vAlign w:val="bottom"/>
          </w:tcPr>
          <w:p>
            <w:pPr>
              <w:spacing w:after="0"/>
              <w:rPr>
                <w:sz w:val="1"/>
                <w:szCs w:val="1"/>
                <w:color w:val="auto"/>
              </w:rPr>
            </w:pPr>
          </w:p>
        </w:tc>
      </w:tr>
      <w:tr>
        <w:trPr>
          <w:trHeight w:val="27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Cash collateral, reverse repurchase agreements and securities borrowing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19,151</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1,211,354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852,396</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7"/>
              </w:rPr>
              <w:t>-29.6%</w:t>
            </w:r>
          </w:p>
        </w:tc>
        <w:tc>
          <w:tcPr>
            <w:tcW w:w="1620" w:type="dxa"/>
            <w:vAlign w:val="bottom"/>
            <w:tcBorders>
              <w:right w:val="single" w:sz="8" w:color="auto"/>
            </w:tcBorders>
          </w:tcPr>
          <w:p>
            <w:pPr>
              <w:ind w:left="860"/>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227"/>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Fair value through profit or loss investments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603,635</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7"/>
              </w:rPr>
              <w:t>368,478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641,157</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7"/>
              </w:rPr>
              <w:t>74.0%</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6.2%</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Fair value through other comprehensive income investments</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23,375,769</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21,868,305</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22,839,625</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4"/>
              </w:rPr>
              <w:t>4.4%</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b w:val="1"/>
                <w:bCs w:val="1"/>
                <w:color w:val="auto"/>
                <w:w w:val="94"/>
              </w:rPr>
              <w:t>-2.3%</w:t>
            </w:r>
          </w:p>
        </w:tc>
        <w:tc>
          <w:tcPr>
            <w:tcW w:w="0" w:type="dxa"/>
            <w:vAlign w:val="bottom"/>
          </w:tcPr>
          <w:p>
            <w:pPr>
              <w:spacing w:after="0"/>
              <w:rPr>
                <w:sz w:val="1"/>
                <w:szCs w:val="1"/>
                <w:color w:val="auto"/>
              </w:rPr>
            </w:pPr>
          </w:p>
        </w:tc>
      </w:tr>
      <w:tr>
        <w:trPr>
          <w:trHeight w:val="178"/>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Amortized cost investments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8,277,440</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8,124,785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8,227,850</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1.3%</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-0.6%</w:t>
            </w:r>
          </w:p>
        </w:tc>
        <w:tc>
          <w:tcPr>
            <w:tcW w:w="0" w:type="dxa"/>
            <w:vAlign w:val="bottom"/>
          </w:tcPr>
          <w:p>
            <w:pPr>
              <w:spacing w:after="0"/>
              <w:rPr>
                <w:sz w:val="1"/>
                <w:szCs w:val="1"/>
                <w:color w:val="auto"/>
              </w:rPr>
            </w:pPr>
          </w:p>
        </w:tc>
      </w:tr>
      <w:tr>
        <w:trPr>
          <w:trHeight w:val="229"/>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Loans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132,053,791</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135,408,707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138,303,962</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2.1%</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4.7%</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Current</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6"/>
              </w:rPr>
              <w:t>126,990,918</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6"/>
              </w:rPr>
              <w:t>130,730,717</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133,820,771</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4"/>
              </w:rPr>
              <w:t>2.4%</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4"/>
              </w:rPr>
              <w:t>5.4%</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Internal overdue loans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6"/>
              </w:rPr>
              <w:t>5,062,873</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6"/>
              </w:rPr>
              <w:t>4,677,990</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4,483,191</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4"/>
              </w:rPr>
              <w:t>-4.2%</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7"/>
              </w:rPr>
              <w:t>-11.4%</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Less - allowance for loan losses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9"/>
              </w:rPr>
              <w:t>(7,443,523)</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6"/>
              </w:rPr>
              <w:t>(7,284,860)</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(7,209,280)</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4"/>
              </w:rPr>
              <w:t>-1.0%</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4"/>
              </w:rPr>
              <w:t>-3.1%</w:t>
            </w:r>
          </w:p>
        </w:tc>
        <w:tc>
          <w:tcPr>
            <w:tcW w:w="0" w:type="dxa"/>
            <w:vAlign w:val="bottom"/>
          </w:tcPr>
          <w:p>
            <w:pPr>
              <w:spacing w:after="0"/>
              <w:rPr>
                <w:sz w:val="1"/>
                <w:szCs w:val="1"/>
                <w:color w:val="auto"/>
              </w:rPr>
            </w:pPr>
          </w:p>
        </w:tc>
      </w:tr>
      <w:tr>
        <w:trPr>
          <w:trHeight w:val="17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Loans, net</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124,610,268</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128,123,847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131,094,682</w:t>
            </w:r>
          </w:p>
        </w:tc>
        <w:tc>
          <w:tcPr>
            <w:tcW w:w="860" w:type="dxa"/>
            <w:vAlign w:val="bottom"/>
          </w:tcPr>
          <w:p>
            <w:pPr>
              <w:jc w:val="center"/>
              <w:ind w:left="277"/>
              <w:spacing w:after="0"/>
              <w:rPr>
                <w:sz w:val="20"/>
                <w:szCs w:val="20"/>
                <w:color w:val="auto"/>
              </w:rPr>
            </w:pPr>
            <w:r>
              <w:rPr>
                <w:rFonts w:ascii="Arial" w:cs="Arial" w:eastAsia="Arial" w:hAnsi="Arial"/>
                <w:sz w:val="13"/>
                <w:szCs w:val="13"/>
                <w:color w:val="auto"/>
                <w:w w:val="94"/>
              </w:rPr>
              <w:t>2.3%</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color w:val="auto"/>
                <w:w w:val="94"/>
              </w:rPr>
              <w:t>5.2%</w:t>
            </w:r>
          </w:p>
        </w:tc>
        <w:tc>
          <w:tcPr>
            <w:tcW w:w="0" w:type="dxa"/>
            <w:vAlign w:val="bottom"/>
          </w:tcPr>
          <w:p>
            <w:pPr>
              <w:spacing w:after="0"/>
              <w:rPr>
                <w:sz w:val="1"/>
                <w:szCs w:val="1"/>
                <w:color w:val="auto"/>
              </w:rPr>
            </w:pPr>
          </w:p>
        </w:tc>
      </w:tr>
      <w:tr>
        <w:trPr>
          <w:trHeight w:val="233"/>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 xml:space="preserve">Property, furniture and equipment, net </w:t>
            </w:r>
            <w:r>
              <w:rPr>
                <w:rFonts w:ascii="Arial" w:cs="Arial" w:eastAsia="Arial" w:hAnsi="Arial"/>
                <w:sz w:val="20"/>
                <w:szCs w:val="20"/>
                <w:b w:val="1"/>
                <w:bCs w:val="1"/>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1,496,066</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1,558,842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1,567,598</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0.6%</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4.8%</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Due from customers on acceptances</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528,184</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553,851</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346,540</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7"/>
              </w:rPr>
              <w:t>-37.4%</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b w:val="1"/>
                <w:bCs w:val="1"/>
                <w:color w:val="auto"/>
                <w:w w:val="97"/>
              </w:rPr>
              <w:t>-34.4%</w:t>
            </w:r>
          </w:p>
        </w:tc>
        <w:tc>
          <w:tcPr>
            <w:tcW w:w="0" w:type="dxa"/>
            <w:vAlign w:val="bottom"/>
          </w:tcPr>
          <w:p>
            <w:pPr>
              <w:spacing w:after="0"/>
              <w:rPr>
                <w:sz w:val="1"/>
                <w:szCs w:val="1"/>
                <w:color w:val="auto"/>
              </w:rPr>
            </w:pPr>
          </w:p>
        </w:tc>
      </w:tr>
      <w:tr>
        <w:trPr>
          <w:trHeight w:val="132"/>
        </w:trPr>
        <w:tc>
          <w:tcPr>
            <w:tcW w:w="5080" w:type="dxa"/>
            <w:vAlign w:val="bottom"/>
            <w:tcBorders>
              <w:left w:val="single" w:sz="8" w:color="auto"/>
              <w:right w:val="single" w:sz="8" w:color="auto"/>
            </w:tcBorders>
          </w:tcPr>
          <w:p>
            <w:pPr>
              <w:spacing w:after="0" w:line="132" w:lineRule="exact"/>
              <w:rPr>
                <w:sz w:val="20"/>
                <w:szCs w:val="20"/>
                <w:color w:val="auto"/>
              </w:rPr>
            </w:pPr>
            <w:r>
              <w:rPr>
                <w:rFonts w:ascii="Arial" w:cs="Arial" w:eastAsia="Arial" w:hAnsi="Arial"/>
                <w:sz w:val="13"/>
                <w:szCs w:val="13"/>
                <w:b w:val="1"/>
                <w:bCs w:val="1"/>
                <w:color w:val="auto"/>
              </w:rPr>
              <w:t>Investments in associates</w:t>
            </w:r>
          </w:p>
        </w:tc>
        <w:tc>
          <w:tcPr>
            <w:tcW w:w="12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5"/>
              </w:rPr>
              <w:t>29,368</w:t>
            </w:r>
          </w:p>
        </w:tc>
        <w:tc>
          <w:tcPr>
            <w:tcW w:w="12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5"/>
              </w:rPr>
              <w:t>25,660</w:t>
            </w:r>
          </w:p>
        </w:tc>
        <w:tc>
          <w:tcPr>
            <w:tcW w:w="126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rPr>
              <w:t>30,556</w:t>
            </w:r>
          </w:p>
        </w:tc>
        <w:tc>
          <w:tcPr>
            <w:tcW w:w="860" w:type="dxa"/>
            <w:vAlign w:val="bottom"/>
          </w:tcPr>
          <w:p>
            <w:pPr>
              <w:jc w:val="center"/>
              <w:ind w:left="277"/>
              <w:spacing w:after="0" w:line="132" w:lineRule="exact"/>
              <w:rPr>
                <w:sz w:val="20"/>
                <w:szCs w:val="20"/>
                <w:color w:val="auto"/>
              </w:rPr>
            </w:pPr>
            <w:r>
              <w:rPr>
                <w:rFonts w:ascii="Arial" w:cs="Arial" w:eastAsia="Arial" w:hAnsi="Arial"/>
                <w:sz w:val="13"/>
                <w:szCs w:val="13"/>
                <w:b w:val="1"/>
                <w:bCs w:val="1"/>
                <w:color w:val="auto"/>
                <w:w w:val="97"/>
              </w:rPr>
              <w:t>19.1%</w:t>
            </w:r>
          </w:p>
        </w:tc>
        <w:tc>
          <w:tcPr>
            <w:tcW w:w="1620" w:type="dxa"/>
            <w:vAlign w:val="bottom"/>
            <w:tcBorders>
              <w:right w:val="single" w:sz="8" w:color="auto"/>
            </w:tcBorders>
          </w:tcPr>
          <w:p>
            <w:pPr>
              <w:jc w:val="center"/>
              <w:ind w:left="277"/>
              <w:spacing w:after="0" w:line="132" w:lineRule="exact"/>
              <w:rPr>
                <w:sz w:val="20"/>
                <w:szCs w:val="20"/>
                <w:color w:val="auto"/>
              </w:rPr>
            </w:pPr>
            <w:r>
              <w:rPr>
                <w:rFonts w:ascii="Arial" w:cs="Arial" w:eastAsia="Arial" w:hAnsi="Arial"/>
                <w:sz w:val="13"/>
                <w:szCs w:val="13"/>
                <w:b w:val="1"/>
                <w:bCs w:val="1"/>
                <w:color w:val="auto"/>
                <w:w w:val="94"/>
              </w:rPr>
              <w:t>4.0%</w:t>
            </w:r>
          </w:p>
        </w:tc>
        <w:tc>
          <w:tcPr>
            <w:tcW w:w="0" w:type="dxa"/>
            <w:vAlign w:val="bottom"/>
          </w:tcPr>
          <w:p>
            <w:pPr>
              <w:spacing w:after="0"/>
              <w:rPr>
                <w:sz w:val="1"/>
                <w:szCs w:val="1"/>
                <w:color w:val="auto"/>
              </w:rPr>
            </w:pPr>
          </w:p>
        </w:tc>
      </w:tr>
      <w:tr>
        <w:trPr>
          <w:trHeight w:val="273"/>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 xml:space="preserve">Other assets </w:t>
            </w:r>
            <w:r>
              <w:rPr>
                <w:rFonts w:ascii="Arial" w:cs="Arial" w:eastAsia="Arial" w:hAnsi="Arial"/>
                <w:sz w:val="20"/>
                <w:szCs w:val="20"/>
                <w:b w:val="1"/>
                <w:bCs w:val="1"/>
                <w:color w:val="auto"/>
                <w:vertAlign w:val="superscript"/>
              </w:rPr>
              <w:t>(2)</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7,500,553</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8,135,126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9,423,377</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7"/>
              </w:rPr>
              <w:t>15.8%</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7"/>
              </w:rPr>
              <w:t>25.6%</w:t>
            </w:r>
          </w:p>
        </w:tc>
        <w:tc>
          <w:tcPr>
            <w:tcW w:w="0" w:type="dxa"/>
            <w:vAlign w:val="bottom"/>
          </w:tcPr>
          <w:p>
            <w:pPr>
              <w:spacing w:after="0"/>
              <w:rPr>
                <w:sz w:val="1"/>
                <w:szCs w:val="1"/>
                <w:color w:val="auto"/>
              </w:rPr>
            </w:pPr>
          </w:p>
        </w:tc>
      </w:tr>
      <w:tr>
        <w:trPr>
          <w:trHeight w:val="178"/>
        </w:trPr>
        <w:tc>
          <w:tcPr>
            <w:tcW w:w="5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Assets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210,977,716</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209,510,348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219,922,469</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5.0%</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4.2%</w:t>
            </w:r>
          </w:p>
        </w:tc>
        <w:tc>
          <w:tcPr>
            <w:tcW w:w="0" w:type="dxa"/>
            <w:vAlign w:val="bottom"/>
          </w:tcPr>
          <w:p>
            <w:pPr>
              <w:spacing w:after="0"/>
              <w:rPr>
                <w:sz w:val="1"/>
                <w:szCs w:val="1"/>
                <w:color w:val="auto"/>
              </w:rPr>
            </w:pPr>
          </w:p>
        </w:tc>
      </w:tr>
      <w:tr>
        <w:trPr>
          <w:trHeight w:val="229"/>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Liabilities and Equity</w:t>
            </w: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Deposits and obligations</w:t>
            </w:r>
          </w:p>
        </w:tc>
        <w:tc>
          <w:tcPr>
            <w:tcW w:w="1220" w:type="dxa"/>
            <w:vAlign w:val="bottom"/>
            <w:vMerge w:val="restart"/>
          </w:tcPr>
          <w:p>
            <w:pPr>
              <w:jc w:val="center"/>
              <w:spacing w:after="0"/>
              <w:rPr>
                <w:sz w:val="20"/>
                <w:szCs w:val="20"/>
                <w:color w:val="auto"/>
              </w:rPr>
            </w:pPr>
            <w:r>
              <w:rPr>
                <w:rFonts w:ascii="Arial" w:cs="Arial" w:eastAsia="Arial" w:hAnsi="Arial"/>
                <w:sz w:val="13"/>
                <w:szCs w:val="13"/>
                <w:color w:val="auto"/>
                <w:w w:val="95"/>
              </w:rPr>
              <w:t>44,280,933</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42,835,241</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47,989,475</w:t>
            </w:r>
          </w:p>
        </w:tc>
        <w:tc>
          <w:tcPr>
            <w:tcW w:w="860" w:type="dxa"/>
            <w:vAlign w:val="bottom"/>
            <w:vMerge w:val="restart"/>
          </w:tcPr>
          <w:p>
            <w:pPr>
              <w:jc w:val="center"/>
              <w:ind w:left="277"/>
              <w:spacing w:after="0"/>
              <w:rPr>
                <w:sz w:val="20"/>
                <w:szCs w:val="20"/>
                <w:color w:val="auto"/>
              </w:rPr>
            </w:pPr>
            <w:r>
              <w:rPr>
                <w:rFonts w:ascii="Arial" w:cs="Arial" w:eastAsia="Arial" w:hAnsi="Arial"/>
                <w:sz w:val="13"/>
                <w:szCs w:val="13"/>
                <w:color w:val="auto"/>
                <w:w w:val="97"/>
              </w:rPr>
              <w:t>12.0%</w:t>
            </w:r>
          </w:p>
        </w:tc>
        <w:tc>
          <w:tcPr>
            <w:tcW w:w="1620" w:type="dxa"/>
            <w:vAlign w:val="bottom"/>
            <w:tcBorders>
              <w:right w:val="single" w:sz="8" w:color="auto"/>
            </w:tcBorders>
            <w:vMerge w:val="restart"/>
          </w:tcPr>
          <w:p>
            <w:pPr>
              <w:jc w:val="center"/>
              <w:ind w:left="277"/>
              <w:spacing w:after="0"/>
              <w:rPr>
                <w:sz w:val="20"/>
                <w:szCs w:val="20"/>
                <w:color w:val="auto"/>
              </w:rPr>
            </w:pPr>
            <w:r>
              <w:rPr>
                <w:rFonts w:ascii="Arial" w:cs="Arial" w:eastAsia="Arial" w:hAnsi="Arial"/>
                <w:sz w:val="13"/>
                <w:szCs w:val="13"/>
                <w:color w:val="auto"/>
                <w:w w:val="94"/>
              </w:rPr>
              <w:t>8.4%</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Non-interest bearing</w:t>
            </w: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0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Interest bearing</w:t>
            </w:r>
          </w:p>
        </w:tc>
        <w:tc>
          <w:tcPr>
            <w:tcW w:w="1220" w:type="dxa"/>
            <w:vAlign w:val="bottom"/>
          </w:tcPr>
          <w:p>
            <w:pPr>
              <w:jc w:val="center"/>
              <w:spacing w:after="0" w:line="133" w:lineRule="exact"/>
              <w:rPr>
                <w:sz w:val="20"/>
                <w:szCs w:val="20"/>
                <w:color w:val="auto"/>
              </w:rPr>
            </w:pPr>
            <w:r>
              <w:rPr>
                <w:rFonts w:ascii="Arial" w:cs="Arial" w:eastAsia="Arial" w:hAnsi="Arial"/>
                <w:sz w:val="13"/>
                <w:szCs w:val="13"/>
                <w:color w:val="auto"/>
                <w:w w:val="96"/>
              </w:rPr>
              <w:t>103,434,795</w:t>
            </w:r>
          </w:p>
        </w:tc>
        <w:tc>
          <w:tcPr>
            <w:tcW w:w="1240" w:type="dxa"/>
            <w:vAlign w:val="bottom"/>
          </w:tcPr>
          <w:p>
            <w:pPr>
              <w:jc w:val="center"/>
              <w:spacing w:after="0" w:line="133" w:lineRule="exact"/>
              <w:rPr>
                <w:sz w:val="20"/>
                <w:szCs w:val="20"/>
                <w:color w:val="auto"/>
              </w:rPr>
            </w:pPr>
            <w:r>
              <w:rPr>
                <w:rFonts w:ascii="Arial" w:cs="Arial" w:eastAsia="Arial" w:hAnsi="Arial"/>
                <w:sz w:val="13"/>
                <w:szCs w:val="13"/>
                <w:color w:val="auto"/>
                <w:w w:val="96"/>
              </w:rPr>
              <w:t>104,254,936</w:t>
            </w:r>
          </w:p>
        </w:tc>
        <w:tc>
          <w:tcPr>
            <w:tcW w:w="12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6"/>
              </w:rPr>
              <w:t>109,090,077</w:t>
            </w:r>
          </w:p>
        </w:tc>
        <w:tc>
          <w:tcPr>
            <w:tcW w:w="860" w:type="dxa"/>
            <w:vAlign w:val="bottom"/>
          </w:tcPr>
          <w:p>
            <w:pPr>
              <w:jc w:val="center"/>
              <w:ind w:left="277"/>
              <w:spacing w:after="0" w:line="133" w:lineRule="exact"/>
              <w:rPr>
                <w:sz w:val="20"/>
                <w:szCs w:val="20"/>
                <w:color w:val="auto"/>
              </w:rPr>
            </w:pPr>
            <w:r>
              <w:rPr>
                <w:rFonts w:ascii="Arial" w:cs="Arial" w:eastAsia="Arial" w:hAnsi="Arial"/>
                <w:sz w:val="13"/>
                <w:szCs w:val="13"/>
                <w:color w:val="auto"/>
                <w:w w:val="94"/>
              </w:rPr>
              <w:t>4.6%</w:t>
            </w:r>
          </w:p>
        </w:tc>
        <w:tc>
          <w:tcPr>
            <w:tcW w:w="1620" w:type="dxa"/>
            <w:vAlign w:val="bottom"/>
            <w:tcBorders>
              <w:right w:val="single" w:sz="8" w:color="auto"/>
            </w:tcBorders>
          </w:tcPr>
          <w:p>
            <w:pPr>
              <w:jc w:val="center"/>
              <w:ind w:left="277"/>
              <w:spacing w:after="0" w:line="133" w:lineRule="exact"/>
              <w:rPr>
                <w:sz w:val="20"/>
                <w:szCs w:val="20"/>
                <w:color w:val="auto"/>
              </w:rPr>
            </w:pPr>
            <w:r>
              <w:rPr>
                <w:rFonts w:ascii="Arial" w:cs="Arial" w:eastAsia="Arial" w:hAnsi="Arial"/>
                <w:sz w:val="13"/>
                <w:szCs w:val="13"/>
                <w:color w:val="auto"/>
                <w:w w:val="94"/>
              </w:rPr>
              <w:t>5.5%</w:t>
            </w:r>
          </w:p>
        </w:tc>
        <w:tc>
          <w:tcPr>
            <w:tcW w:w="0" w:type="dxa"/>
            <w:vAlign w:val="bottom"/>
          </w:tcPr>
          <w:p>
            <w:pPr>
              <w:spacing w:after="0"/>
              <w:rPr>
                <w:sz w:val="1"/>
                <w:szCs w:val="1"/>
                <w:color w:val="auto"/>
              </w:rPr>
            </w:pPr>
          </w:p>
        </w:tc>
      </w:tr>
      <w:tr>
        <w:trPr>
          <w:trHeight w:val="178"/>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Total deposits and obligations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147,715,728</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147,090,177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157,079,552</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6.8%</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6.3%</w:t>
            </w:r>
          </w:p>
        </w:tc>
        <w:tc>
          <w:tcPr>
            <w:tcW w:w="0" w:type="dxa"/>
            <w:vAlign w:val="bottom"/>
          </w:tcPr>
          <w:p>
            <w:pPr>
              <w:spacing w:after="0"/>
              <w:rPr>
                <w:sz w:val="1"/>
                <w:szCs w:val="1"/>
                <w:color w:val="auto"/>
              </w:rPr>
            </w:pPr>
          </w:p>
        </w:tc>
      </w:tr>
      <w:tr>
        <w:trPr>
          <w:trHeight w:val="229"/>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Payables from repurchase agreements and securities lending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7,203,885</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7,347,033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6,013,486</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7"/>
              </w:rPr>
              <w:t>-18.2%</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7"/>
              </w:rPr>
              <w:t>-16.5%</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BCRP instruments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6"/>
              </w:rPr>
              <w:t>6,646,830</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6"/>
              </w:rPr>
              <w:t>6,642,780</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4,776,512</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7"/>
              </w:rPr>
              <w:t>-28.1%</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7"/>
              </w:rPr>
              <w:t>-28.1%</w:t>
            </w:r>
          </w:p>
        </w:tc>
        <w:tc>
          <w:tcPr>
            <w:tcW w:w="0" w:type="dxa"/>
            <w:vAlign w:val="bottom"/>
          </w:tcPr>
          <w:p>
            <w:pPr>
              <w:spacing w:after="0"/>
              <w:rPr>
                <w:sz w:val="1"/>
                <w:szCs w:val="1"/>
                <w:color w:val="auto"/>
              </w:rPr>
            </w:pPr>
          </w:p>
        </w:tc>
      </w:tr>
      <w:tr>
        <w:trPr>
          <w:trHeight w:val="17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Repurchase agreements with third parties</w:t>
            </w:r>
          </w:p>
        </w:tc>
        <w:tc>
          <w:tcPr>
            <w:tcW w:w="1220" w:type="dxa"/>
            <w:vAlign w:val="bottom"/>
          </w:tcPr>
          <w:p>
            <w:pPr>
              <w:jc w:val="center"/>
              <w:spacing w:after="0"/>
              <w:rPr>
                <w:sz w:val="20"/>
                <w:szCs w:val="20"/>
                <w:color w:val="auto"/>
              </w:rPr>
            </w:pPr>
            <w:r>
              <w:rPr>
                <w:rFonts w:ascii="Arial" w:cs="Arial" w:eastAsia="Arial" w:hAnsi="Arial"/>
                <w:sz w:val="13"/>
                <w:szCs w:val="13"/>
                <w:color w:val="auto"/>
                <w:w w:val="97"/>
              </w:rPr>
              <w:t>557,055</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704,253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1,236,974</w:t>
            </w:r>
          </w:p>
        </w:tc>
        <w:tc>
          <w:tcPr>
            <w:tcW w:w="860" w:type="dxa"/>
            <w:vAlign w:val="bottom"/>
          </w:tcPr>
          <w:p>
            <w:pPr>
              <w:jc w:val="center"/>
              <w:ind w:left="277"/>
              <w:spacing w:after="0"/>
              <w:rPr>
                <w:sz w:val="20"/>
                <w:szCs w:val="20"/>
                <w:color w:val="auto"/>
              </w:rPr>
            </w:pPr>
            <w:r>
              <w:rPr>
                <w:rFonts w:ascii="Arial" w:cs="Arial" w:eastAsia="Arial" w:hAnsi="Arial"/>
                <w:sz w:val="13"/>
                <w:szCs w:val="13"/>
                <w:color w:val="auto"/>
                <w:w w:val="97"/>
              </w:rPr>
              <w:t>75.6%</w:t>
            </w:r>
          </w:p>
        </w:tc>
        <w:tc>
          <w:tcPr>
            <w:tcW w:w="1620" w:type="dxa"/>
            <w:vAlign w:val="bottom"/>
            <w:tcBorders>
              <w:right w:val="single" w:sz="8" w:color="auto"/>
            </w:tcBorders>
          </w:tcPr>
          <w:p>
            <w:pPr>
              <w:jc w:val="center"/>
              <w:ind w:left="257"/>
              <w:spacing w:after="0"/>
              <w:rPr>
                <w:sz w:val="20"/>
                <w:szCs w:val="20"/>
                <w:color w:val="auto"/>
              </w:rPr>
            </w:pPr>
            <w:r>
              <w:rPr>
                <w:rFonts w:ascii="Arial" w:cs="Arial" w:eastAsia="Arial" w:hAnsi="Arial"/>
                <w:sz w:val="13"/>
                <w:szCs w:val="13"/>
                <w:color w:val="auto"/>
                <w:w w:val="95"/>
              </w:rPr>
              <w:t>122.1%</w:t>
            </w:r>
          </w:p>
        </w:tc>
        <w:tc>
          <w:tcPr>
            <w:tcW w:w="0" w:type="dxa"/>
            <w:vAlign w:val="bottom"/>
          </w:tcPr>
          <w:p>
            <w:pPr>
              <w:spacing w:after="0"/>
              <w:rPr>
                <w:sz w:val="1"/>
                <w:szCs w:val="1"/>
                <w:color w:val="auto"/>
              </w:rPr>
            </w:pPr>
          </w:p>
        </w:tc>
      </w:tr>
      <w:tr>
        <w:trPr>
          <w:trHeight w:val="233"/>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Due to banks and correspondents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10,165,266</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8"/>
              </w:rPr>
              <w:t>10,529,292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9,768,390</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-7.2%</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-3.9%</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Bonds and notes issued</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13,627,208</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10,114,714</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11,675,417</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7"/>
              </w:rPr>
              <w:t>15.4%</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b w:val="1"/>
                <w:bCs w:val="1"/>
                <w:color w:val="auto"/>
                <w:w w:val="97"/>
              </w:rPr>
              <w:t>-14.3%</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b w:val="1"/>
                <w:bCs w:val="1"/>
                <w:color w:val="auto"/>
              </w:rPr>
              <w:t>Banker’s acceptances outstanding</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528,184</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553,851</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346,540</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7"/>
              </w:rPr>
              <w:t>-37.4%</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b w:val="1"/>
                <w:bCs w:val="1"/>
                <w:color w:val="auto"/>
                <w:w w:val="97"/>
              </w:rPr>
              <w:t>-34.4%</w:t>
            </w:r>
          </w:p>
        </w:tc>
        <w:tc>
          <w:tcPr>
            <w:tcW w:w="0" w:type="dxa"/>
            <w:vAlign w:val="bottom"/>
          </w:tcPr>
          <w:p>
            <w:pPr>
              <w:spacing w:after="0"/>
              <w:rPr>
                <w:sz w:val="1"/>
                <w:szCs w:val="1"/>
                <w:color w:val="auto"/>
              </w:rPr>
            </w:pPr>
          </w:p>
        </w:tc>
      </w:tr>
      <w:tr>
        <w:trPr>
          <w:trHeight w:val="132"/>
        </w:trPr>
        <w:tc>
          <w:tcPr>
            <w:tcW w:w="5080" w:type="dxa"/>
            <w:vAlign w:val="bottom"/>
            <w:tcBorders>
              <w:left w:val="single" w:sz="8" w:color="auto"/>
              <w:right w:val="single" w:sz="8" w:color="auto"/>
            </w:tcBorders>
          </w:tcPr>
          <w:p>
            <w:pPr>
              <w:spacing w:after="0" w:line="132" w:lineRule="exact"/>
              <w:rPr>
                <w:sz w:val="20"/>
                <w:szCs w:val="20"/>
                <w:color w:val="auto"/>
              </w:rPr>
            </w:pPr>
            <w:r>
              <w:rPr>
                <w:rFonts w:ascii="Arial" w:cs="Arial" w:eastAsia="Arial" w:hAnsi="Arial"/>
                <w:sz w:val="13"/>
                <w:szCs w:val="13"/>
                <w:b w:val="1"/>
                <w:bCs w:val="1"/>
                <w:color w:val="auto"/>
              </w:rPr>
              <w:t>Financial liabilities at fair value through profit or loss</w:t>
            </w:r>
          </w:p>
        </w:tc>
        <w:tc>
          <w:tcPr>
            <w:tcW w:w="12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1"/>
              </w:rPr>
              <w:t>-</w:t>
            </w:r>
          </w:p>
        </w:tc>
        <w:tc>
          <w:tcPr>
            <w:tcW w:w="12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455,454</w:t>
            </w:r>
          </w:p>
        </w:tc>
        <w:tc>
          <w:tcPr>
            <w:tcW w:w="126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3"/>
              </w:rPr>
              <w:t>578,541</w:t>
            </w:r>
          </w:p>
        </w:tc>
        <w:tc>
          <w:tcPr>
            <w:tcW w:w="860" w:type="dxa"/>
            <w:vAlign w:val="bottom"/>
          </w:tcPr>
          <w:p>
            <w:pPr>
              <w:jc w:val="center"/>
              <w:ind w:left="277"/>
              <w:spacing w:after="0" w:line="132" w:lineRule="exact"/>
              <w:rPr>
                <w:sz w:val="20"/>
                <w:szCs w:val="20"/>
                <w:color w:val="auto"/>
              </w:rPr>
            </w:pPr>
            <w:r>
              <w:rPr>
                <w:rFonts w:ascii="Arial" w:cs="Arial" w:eastAsia="Arial" w:hAnsi="Arial"/>
                <w:sz w:val="13"/>
                <w:szCs w:val="13"/>
                <w:b w:val="1"/>
                <w:bCs w:val="1"/>
                <w:color w:val="auto"/>
                <w:w w:val="97"/>
              </w:rPr>
              <w:t>27.0%</w:t>
            </w:r>
          </w:p>
        </w:tc>
        <w:tc>
          <w:tcPr>
            <w:tcW w:w="1620" w:type="dxa"/>
            <w:vAlign w:val="bottom"/>
            <w:tcBorders>
              <w:right w:val="single" w:sz="8" w:color="auto"/>
            </w:tcBorders>
          </w:tcPr>
          <w:p>
            <w:pPr>
              <w:ind w:left="860"/>
              <w:spacing w:after="0" w:line="132" w:lineRule="exact"/>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38"/>
        </w:trPr>
        <w:tc>
          <w:tcPr>
            <w:tcW w:w="5080" w:type="dxa"/>
            <w:vAlign w:val="bottom"/>
            <w:tcBorders>
              <w:left w:val="single" w:sz="8" w:color="auto"/>
              <w:right w:val="single" w:sz="8" w:color="auto"/>
            </w:tcBorders>
          </w:tcPr>
          <w:p>
            <w:pPr>
              <w:spacing w:after="0" w:line="138" w:lineRule="exact"/>
              <w:rPr>
                <w:sz w:val="20"/>
                <w:szCs w:val="20"/>
                <w:color w:val="auto"/>
              </w:rPr>
            </w:pPr>
            <w:r>
              <w:rPr>
                <w:rFonts w:ascii="Arial" w:cs="Arial" w:eastAsia="Arial" w:hAnsi="Arial"/>
                <w:sz w:val="10"/>
                <w:szCs w:val="10"/>
                <w:b w:val="1"/>
                <w:bCs w:val="1"/>
                <w:color w:val="auto"/>
              </w:rPr>
              <w:t xml:space="preserve">Other liabilities </w:t>
            </w:r>
            <w:r>
              <w:rPr>
                <w:rFonts w:ascii="Arial" w:cs="Arial" w:eastAsia="Arial" w:hAnsi="Arial"/>
                <w:sz w:val="16"/>
                <w:szCs w:val="16"/>
                <w:b w:val="1"/>
                <w:bCs w:val="1"/>
                <w:color w:val="auto"/>
                <w:vertAlign w:val="superscript"/>
              </w:rPr>
              <w:t>(3)</w:t>
            </w:r>
          </w:p>
        </w:tc>
        <w:tc>
          <w:tcPr>
            <w:tcW w:w="12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5,585,850</w:t>
            </w:r>
          </w:p>
        </w:tc>
        <w:tc>
          <w:tcPr>
            <w:tcW w:w="12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6,665,448</w:t>
            </w:r>
          </w:p>
        </w:tc>
        <w:tc>
          <w:tcPr>
            <w:tcW w:w="12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6"/>
              </w:rPr>
              <w:t>6,014,541</w:t>
            </w:r>
          </w:p>
        </w:tc>
        <w:tc>
          <w:tcPr>
            <w:tcW w:w="860" w:type="dxa"/>
            <w:vAlign w:val="bottom"/>
          </w:tcPr>
          <w:p>
            <w:pPr>
              <w:jc w:val="center"/>
              <w:ind w:left="277"/>
              <w:spacing w:after="0" w:line="138" w:lineRule="exact"/>
              <w:rPr>
                <w:sz w:val="20"/>
                <w:szCs w:val="20"/>
                <w:color w:val="auto"/>
              </w:rPr>
            </w:pPr>
            <w:r>
              <w:rPr>
                <w:rFonts w:ascii="Arial" w:cs="Arial" w:eastAsia="Arial" w:hAnsi="Arial"/>
                <w:sz w:val="13"/>
                <w:szCs w:val="13"/>
                <w:b w:val="1"/>
                <w:bCs w:val="1"/>
                <w:color w:val="auto"/>
                <w:w w:val="94"/>
              </w:rPr>
              <w:t>-9.8%</w:t>
            </w:r>
          </w:p>
        </w:tc>
        <w:tc>
          <w:tcPr>
            <w:tcW w:w="1620" w:type="dxa"/>
            <w:vAlign w:val="bottom"/>
            <w:tcBorders>
              <w:right w:val="single" w:sz="8" w:color="auto"/>
            </w:tcBorders>
          </w:tcPr>
          <w:p>
            <w:pPr>
              <w:jc w:val="center"/>
              <w:ind w:left="277"/>
              <w:spacing w:after="0" w:line="138" w:lineRule="exact"/>
              <w:rPr>
                <w:sz w:val="20"/>
                <w:szCs w:val="20"/>
                <w:color w:val="auto"/>
              </w:rPr>
            </w:pPr>
            <w:r>
              <w:rPr>
                <w:rFonts w:ascii="Arial" w:cs="Arial" w:eastAsia="Arial" w:hAnsi="Arial"/>
                <w:sz w:val="13"/>
                <w:szCs w:val="13"/>
                <w:b w:val="1"/>
                <w:bCs w:val="1"/>
                <w:color w:val="auto"/>
                <w:w w:val="94"/>
              </w:rPr>
              <w:t>7.7%</w:t>
            </w:r>
          </w:p>
        </w:tc>
        <w:tc>
          <w:tcPr>
            <w:tcW w:w="0" w:type="dxa"/>
            <w:vAlign w:val="bottom"/>
          </w:tcPr>
          <w:p>
            <w:pPr>
              <w:spacing w:after="0"/>
              <w:rPr>
                <w:sz w:val="1"/>
                <w:szCs w:val="1"/>
                <w:color w:val="auto"/>
              </w:rPr>
            </w:pPr>
          </w:p>
        </w:tc>
      </w:tr>
      <w:tr>
        <w:trPr>
          <w:trHeight w:val="178"/>
        </w:trPr>
        <w:tc>
          <w:tcPr>
            <w:tcW w:w="5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Total Liabilities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184,826,121</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182,755,969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191,476,467</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4.8%</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3.6%</w:t>
            </w:r>
          </w:p>
        </w:tc>
        <w:tc>
          <w:tcPr>
            <w:tcW w:w="0" w:type="dxa"/>
            <w:vAlign w:val="bottom"/>
          </w:tcPr>
          <w:p>
            <w:pPr>
              <w:spacing w:after="0"/>
              <w:rPr>
                <w:sz w:val="1"/>
                <w:szCs w:val="1"/>
                <w:color w:val="auto"/>
              </w:rPr>
            </w:pPr>
          </w:p>
        </w:tc>
      </w:tr>
      <w:tr>
        <w:trPr>
          <w:trHeight w:val="229"/>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Net equity</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26,007,483</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8"/>
              </w:rPr>
              <w:t>26,610,823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28,295,366</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6.3%</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8.8%</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Capital stock</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5"/>
              </w:rPr>
              <w:t>12,679,794</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8"/>
              </w:rPr>
              <w:t>12,679,794</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12,679,794</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4"/>
              </w:rPr>
              <w:t>0.0%</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4"/>
              </w:rPr>
              <w:t>0.0%</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Reserves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6"/>
              </w:rPr>
              <w:t>5,905,440</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6"/>
              </w:rPr>
              <w:t>5,906,590</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5,906,590</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4"/>
              </w:rPr>
              <w:t>0.0%</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4"/>
              </w:rPr>
              <w:t>0.0%</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Unrealized gains and losses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5"/>
              </w:rPr>
              <w:t>82,590</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7"/>
              </w:rPr>
              <w:t>507,687</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638,465</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7"/>
              </w:rPr>
              <w:t>25.8%</w:t>
            </w:r>
          </w:p>
        </w:tc>
        <w:tc>
          <w:tcPr>
            <w:tcW w:w="1620" w:type="dxa"/>
            <w:vAlign w:val="bottom"/>
            <w:tcBorders>
              <w:right w:val="single" w:sz="8" w:color="auto"/>
            </w:tcBorders>
          </w:tcPr>
          <w:p>
            <w:pPr>
              <w:jc w:val="center"/>
              <w:ind w:left="257"/>
              <w:spacing w:after="0" w:line="135" w:lineRule="exact"/>
              <w:rPr>
                <w:sz w:val="20"/>
                <w:szCs w:val="20"/>
                <w:color w:val="auto"/>
              </w:rPr>
            </w:pPr>
            <w:r>
              <w:rPr>
                <w:rFonts w:ascii="Arial" w:cs="Arial" w:eastAsia="Arial" w:hAnsi="Arial"/>
                <w:sz w:val="13"/>
                <w:szCs w:val="13"/>
                <w:color w:val="auto"/>
                <w:w w:val="95"/>
              </w:rPr>
              <w:t>673.1%</w:t>
            </w:r>
          </w:p>
        </w:tc>
        <w:tc>
          <w:tcPr>
            <w:tcW w:w="0" w:type="dxa"/>
            <w:vAlign w:val="bottom"/>
          </w:tcPr>
          <w:p>
            <w:pPr>
              <w:spacing w:after="0"/>
              <w:rPr>
                <w:sz w:val="1"/>
                <w:szCs w:val="1"/>
                <w:color w:val="auto"/>
              </w:rPr>
            </w:pPr>
          </w:p>
        </w:tc>
      </w:tr>
      <w:tr>
        <w:trPr>
          <w:trHeight w:val="170"/>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Retained earnings</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7,339,659</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7,516,752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9,070,517</w:t>
            </w:r>
          </w:p>
        </w:tc>
        <w:tc>
          <w:tcPr>
            <w:tcW w:w="860" w:type="dxa"/>
            <w:vAlign w:val="bottom"/>
          </w:tcPr>
          <w:p>
            <w:pPr>
              <w:jc w:val="center"/>
              <w:ind w:left="277"/>
              <w:spacing w:after="0"/>
              <w:rPr>
                <w:sz w:val="20"/>
                <w:szCs w:val="20"/>
                <w:color w:val="auto"/>
              </w:rPr>
            </w:pPr>
            <w:r>
              <w:rPr>
                <w:rFonts w:ascii="Arial" w:cs="Arial" w:eastAsia="Arial" w:hAnsi="Arial"/>
                <w:sz w:val="13"/>
                <w:szCs w:val="13"/>
                <w:color w:val="auto"/>
                <w:w w:val="97"/>
              </w:rPr>
              <w:t>20.7%</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color w:val="auto"/>
                <w:w w:val="97"/>
              </w:rPr>
              <w:t>23.6%</w:t>
            </w:r>
          </w:p>
        </w:tc>
        <w:tc>
          <w:tcPr>
            <w:tcW w:w="0" w:type="dxa"/>
            <w:vAlign w:val="bottom"/>
          </w:tcPr>
          <w:p>
            <w:pPr>
              <w:spacing w:after="0"/>
              <w:rPr>
                <w:sz w:val="1"/>
                <w:szCs w:val="1"/>
                <w:color w:val="auto"/>
              </w:rPr>
            </w:pPr>
          </w:p>
        </w:tc>
      </w:tr>
      <w:tr>
        <w:trPr>
          <w:trHeight w:val="27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Non-controlling interest</w:t>
            </w:r>
          </w:p>
        </w:tc>
        <w:tc>
          <w:tcPr>
            <w:tcW w:w="1220" w:type="dxa"/>
            <w:vAlign w:val="bottom"/>
          </w:tcPr>
          <w:p>
            <w:pPr>
              <w:jc w:val="center"/>
              <w:spacing w:after="0"/>
              <w:rPr>
                <w:sz w:val="20"/>
                <w:szCs w:val="20"/>
                <w:color w:val="auto"/>
              </w:rPr>
            </w:pPr>
            <w:r>
              <w:rPr>
                <w:rFonts w:ascii="Arial" w:cs="Arial" w:eastAsia="Arial" w:hAnsi="Arial"/>
                <w:sz w:val="13"/>
                <w:szCs w:val="13"/>
                <w:color w:val="auto"/>
                <w:w w:val="97"/>
              </w:rPr>
              <w:t>144,112</w:t>
            </w: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143,556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150,636</w:t>
            </w:r>
          </w:p>
        </w:tc>
        <w:tc>
          <w:tcPr>
            <w:tcW w:w="860" w:type="dxa"/>
            <w:vAlign w:val="bottom"/>
          </w:tcPr>
          <w:p>
            <w:pPr>
              <w:jc w:val="center"/>
              <w:ind w:left="277"/>
              <w:spacing w:after="0"/>
              <w:rPr>
                <w:sz w:val="20"/>
                <w:szCs w:val="20"/>
                <w:color w:val="auto"/>
              </w:rPr>
            </w:pPr>
            <w:r>
              <w:rPr>
                <w:rFonts w:ascii="Arial" w:cs="Arial" w:eastAsia="Arial" w:hAnsi="Arial"/>
                <w:sz w:val="13"/>
                <w:szCs w:val="13"/>
                <w:color w:val="auto"/>
                <w:w w:val="94"/>
              </w:rPr>
              <w:t>4.9%</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color w:val="auto"/>
                <w:w w:val="94"/>
              </w:rPr>
              <w:t>4.5%</w:t>
            </w:r>
          </w:p>
        </w:tc>
        <w:tc>
          <w:tcPr>
            <w:tcW w:w="0" w:type="dxa"/>
            <w:vAlign w:val="bottom"/>
          </w:tcPr>
          <w:p>
            <w:pPr>
              <w:spacing w:after="0"/>
              <w:rPr>
                <w:sz w:val="1"/>
                <w:szCs w:val="1"/>
                <w:color w:val="auto"/>
              </w:rPr>
            </w:pPr>
          </w:p>
        </w:tc>
      </w:tr>
      <w:tr>
        <w:trPr>
          <w:trHeight w:val="276"/>
        </w:trPr>
        <w:tc>
          <w:tcPr>
            <w:tcW w:w="5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Total Net Equity</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5"/>
              </w:rPr>
              <w:t>26,151,595</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8"/>
              </w:rPr>
              <w:t>26,754,379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28,446,002</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6.3%</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8.8%</w:t>
            </w:r>
          </w:p>
        </w:tc>
        <w:tc>
          <w:tcPr>
            <w:tcW w:w="0" w:type="dxa"/>
            <w:vAlign w:val="bottom"/>
          </w:tcPr>
          <w:p>
            <w:pPr>
              <w:spacing w:after="0"/>
              <w:rPr>
                <w:sz w:val="1"/>
                <w:szCs w:val="1"/>
                <w:color w:val="auto"/>
              </w:rPr>
            </w:pPr>
          </w:p>
        </w:tc>
      </w:tr>
      <w:tr>
        <w:trPr>
          <w:trHeight w:val="270"/>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Total liabilities and equity</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210,977,716</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209,510,348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219,922,469</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5.0%</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4.2%</w:t>
            </w:r>
          </w:p>
        </w:tc>
        <w:tc>
          <w:tcPr>
            <w:tcW w:w="0" w:type="dxa"/>
            <w:vAlign w:val="bottom"/>
          </w:tcPr>
          <w:p>
            <w:pPr>
              <w:spacing w:after="0"/>
              <w:rPr>
                <w:sz w:val="1"/>
                <w:szCs w:val="1"/>
                <w:color w:val="auto"/>
              </w:rPr>
            </w:pPr>
          </w:p>
        </w:tc>
      </w:tr>
      <w:tr>
        <w:trPr>
          <w:trHeight w:val="229"/>
        </w:trPr>
        <w:tc>
          <w:tcPr>
            <w:tcW w:w="5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Off-balance sheet</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6"/>
              </w:rPr>
              <w:t>139,066,953</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146,718,825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132,887,977</w:t>
            </w:r>
          </w:p>
        </w:tc>
        <w:tc>
          <w:tcPr>
            <w:tcW w:w="860" w:type="dxa"/>
            <w:vAlign w:val="bottom"/>
          </w:tcPr>
          <w:p>
            <w:pPr>
              <w:jc w:val="center"/>
              <w:ind w:left="277"/>
              <w:spacing w:after="0"/>
              <w:rPr>
                <w:sz w:val="20"/>
                <w:szCs w:val="20"/>
                <w:color w:val="auto"/>
              </w:rPr>
            </w:pPr>
            <w:r>
              <w:rPr>
                <w:rFonts w:ascii="Arial" w:cs="Arial" w:eastAsia="Arial" w:hAnsi="Arial"/>
                <w:sz w:val="13"/>
                <w:szCs w:val="13"/>
                <w:b w:val="1"/>
                <w:bCs w:val="1"/>
                <w:color w:val="auto"/>
                <w:w w:val="94"/>
              </w:rPr>
              <w:t>-9.4%</w:t>
            </w:r>
          </w:p>
        </w:tc>
        <w:tc>
          <w:tcPr>
            <w:tcW w:w="1620" w:type="dxa"/>
            <w:vAlign w:val="bottom"/>
            <w:tcBorders>
              <w:right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4"/>
              </w:rPr>
              <w:t>-4.4%</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Total performance bonds, stand-by and L/Cs.</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5"/>
              </w:rPr>
              <w:t>21,683,478</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8"/>
              </w:rPr>
              <w:t>20,740,429</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20,991,000</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4"/>
              </w:rPr>
              <w:t>1.2%</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4"/>
              </w:rPr>
              <w:t>-3.2%</w:t>
            </w:r>
          </w:p>
        </w:tc>
        <w:tc>
          <w:tcPr>
            <w:tcW w:w="0" w:type="dxa"/>
            <w:vAlign w:val="bottom"/>
          </w:tcPr>
          <w:p>
            <w:pPr>
              <w:spacing w:after="0"/>
              <w:rPr>
                <w:sz w:val="1"/>
                <w:szCs w:val="1"/>
                <w:color w:val="auto"/>
              </w:rPr>
            </w:pPr>
          </w:p>
        </w:tc>
      </w:tr>
      <w:tr>
        <w:trPr>
          <w:trHeight w:val="135"/>
        </w:trPr>
        <w:tc>
          <w:tcPr>
            <w:tcW w:w="5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Undrawn credit lines, advised but not committed</w:t>
            </w:r>
          </w:p>
        </w:tc>
        <w:tc>
          <w:tcPr>
            <w:tcW w:w="1220" w:type="dxa"/>
            <w:vAlign w:val="bottom"/>
          </w:tcPr>
          <w:p>
            <w:pPr>
              <w:jc w:val="center"/>
              <w:spacing w:after="0" w:line="135" w:lineRule="exact"/>
              <w:rPr>
                <w:sz w:val="20"/>
                <w:szCs w:val="20"/>
                <w:color w:val="auto"/>
              </w:rPr>
            </w:pPr>
            <w:r>
              <w:rPr>
                <w:rFonts w:ascii="Arial" w:cs="Arial" w:eastAsia="Arial" w:hAnsi="Arial"/>
                <w:sz w:val="13"/>
                <w:szCs w:val="13"/>
                <w:color w:val="auto"/>
                <w:w w:val="95"/>
              </w:rPr>
              <w:t>74,193,794</w:t>
            </w:r>
          </w:p>
        </w:tc>
        <w:tc>
          <w:tcPr>
            <w:tcW w:w="1240" w:type="dxa"/>
            <w:vAlign w:val="bottom"/>
          </w:tcPr>
          <w:p>
            <w:pPr>
              <w:jc w:val="center"/>
              <w:spacing w:after="0" w:line="135" w:lineRule="exact"/>
              <w:rPr>
                <w:sz w:val="20"/>
                <w:szCs w:val="20"/>
                <w:color w:val="auto"/>
              </w:rPr>
            </w:pPr>
            <w:r>
              <w:rPr>
                <w:rFonts w:ascii="Arial" w:cs="Arial" w:eastAsia="Arial" w:hAnsi="Arial"/>
                <w:sz w:val="13"/>
                <w:szCs w:val="13"/>
                <w:color w:val="auto"/>
                <w:w w:val="98"/>
              </w:rPr>
              <w:t>72,873,063</w:t>
            </w:r>
          </w:p>
        </w:tc>
        <w:tc>
          <w:tcPr>
            <w:tcW w:w="12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71,432,289</w:t>
            </w:r>
          </w:p>
        </w:tc>
        <w:tc>
          <w:tcPr>
            <w:tcW w:w="86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94"/>
              </w:rPr>
              <w:t>-2.0%</w:t>
            </w:r>
          </w:p>
        </w:tc>
        <w:tc>
          <w:tcPr>
            <w:tcW w:w="1620" w:type="dxa"/>
            <w:vAlign w:val="bottom"/>
            <w:tcBorders>
              <w:right w:val="single" w:sz="8" w:color="auto"/>
            </w:tcBorders>
          </w:tcPr>
          <w:p>
            <w:pPr>
              <w:jc w:val="center"/>
              <w:ind w:left="277"/>
              <w:spacing w:after="0" w:line="135" w:lineRule="exact"/>
              <w:rPr>
                <w:sz w:val="20"/>
                <w:szCs w:val="20"/>
                <w:color w:val="auto"/>
              </w:rPr>
            </w:pPr>
            <w:r>
              <w:rPr>
                <w:rFonts w:ascii="Arial" w:cs="Arial" w:eastAsia="Arial" w:hAnsi="Arial"/>
                <w:sz w:val="13"/>
                <w:szCs w:val="13"/>
                <w:color w:val="auto"/>
                <w:w w:val="94"/>
              </w:rPr>
              <w:t>-3.7%</w:t>
            </w:r>
          </w:p>
        </w:tc>
        <w:tc>
          <w:tcPr>
            <w:tcW w:w="0" w:type="dxa"/>
            <w:vAlign w:val="bottom"/>
          </w:tcPr>
          <w:p>
            <w:pPr>
              <w:spacing w:after="0"/>
              <w:rPr>
                <w:sz w:val="1"/>
                <w:szCs w:val="1"/>
                <w:color w:val="auto"/>
              </w:rPr>
            </w:pPr>
          </w:p>
        </w:tc>
      </w:tr>
      <w:tr>
        <w:trPr>
          <w:trHeight w:val="157"/>
        </w:trPr>
        <w:tc>
          <w:tcPr>
            <w:tcW w:w="5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Total derivatives (notional) and others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43,189,681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53,105,333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40,464,688</w:t>
            </w:r>
          </w:p>
        </w:tc>
        <w:tc>
          <w:tcPr>
            <w:tcW w:w="86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color w:val="auto"/>
                <w:w w:val="97"/>
              </w:rPr>
              <w:t>-23.8%</w:t>
            </w:r>
          </w:p>
        </w:tc>
        <w:tc>
          <w:tcPr>
            <w:tcW w:w="1620" w:type="dxa"/>
            <w:vAlign w:val="bottom"/>
            <w:tcBorders>
              <w:bottom w:val="single" w:sz="8" w:color="auto"/>
              <w:right w:val="single" w:sz="8" w:color="auto"/>
            </w:tcBorders>
          </w:tcPr>
          <w:p>
            <w:pPr>
              <w:jc w:val="center"/>
              <w:ind w:left="277"/>
              <w:spacing w:after="0"/>
              <w:rPr>
                <w:sz w:val="20"/>
                <w:szCs w:val="20"/>
                <w:color w:val="auto"/>
              </w:rPr>
            </w:pPr>
            <w:r>
              <w:rPr>
                <w:rFonts w:ascii="Arial" w:cs="Arial" w:eastAsia="Arial" w:hAnsi="Arial"/>
                <w:sz w:val="13"/>
                <w:szCs w:val="13"/>
                <w:color w:val="auto"/>
                <w:w w:val="94"/>
              </w:rPr>
              <w:t>-6.3%</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240" w:hanging="178"/>
        <w:spacing w:after="0"/>
        <w:tabs>
          <w:tab w:leader="none" w:pos="12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Right of use asset of lease contracts is included by application of IFRS 16.</w:t>
      </w:r>
    </w:p>
    <w:p>
      <w:pPr>
        <w:spacing w:after="0" w:line="11" w:lineRule="exact"/>
        <w:rPr>
          <w:rFonts w:ascii="Arial" w:cs="Arial" w:eastAsia="Arial" w:hAnsi="Arial"/>
          <w:sz w:val="12"/>
          <w:szCs w:val="12"/>
          <w:color w:val="auto"/>
        </w:rPr>
      </w:pPr>
    </w:p>
    <w:p>
      <w:pPr>
        <w:ind w:left="1240" w:hanging="178"/>
        <w:spacing w:after="0" w:line="234" w:lineRule="auto"/>
        <w:tabs>
          <w:tab w:leader="none" w:pos="12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Mainly includes intangible assets, other receivable accounts, trading derivatives receivable accounts and tax credit.</w:t>
      </w:r>
    </w:p>
    <w:p>
      <w:pPr>
        <w:ind w:left="1240" w:hanging="178"/>
        <w:spacing w:after="0"/>
        <w:tabs>
          <w:tab w:leader="none" w:pos="12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Mainly includes other payable accounts, trading derivatives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828040</wp:posOffset>
            </wp:positionV>
            <wp:extent cx="71577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99695</wp:posOffset>
            </wp:positionV>
            <wp:extent cx="6780530" cy="6261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80530" cy="626110"/>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5" w:name="page66"/>
    <w:bookmarkEnd w:id="65"/>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510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760" w:type="dxa"/>
            <w:vAlign w:val="bottom"/>
            <w:tcBorders>
              <w:top w:val="single" w:sz="8" w:color="auto"/>
            </w:tcBorders>
            <w:shd w:val="clear" w:color="auto" w:fill="2AD2C9"/>
          </w:tcPr>
          <w:p>
            <w:pPr>
              <w:spacing w:after="0"/>
              <w:rPr>
                <w:sz w:val="11"/>
                <w:szCs w:val="11"/>
                <w:color w:val="auto"/>
              </w:rPr>
            </w:pPr>
          </w:p>
        </w:tc>
        <w:tc>
          <w:tcPr>
            <w:tcW w:w="780" w:type="dxa"/>
            <w:vAlign w:val="bottom"/>
            <w:tcBorders>
              <w:top w:val="single" w:sz="8" w:color="auto"/>
            </w:tcBorders>
            <w:shd w:val="clear" w:color="auto" w:fill="2AD2C9"/>
          </w:tcPr>
          <w:p>
            <w:pPr>
              <w:ind w:left="200"/>
              <w:spacing w:after="0"/>
              <w:rPr>
                <w:sz w:val="20"/>
                <w:szCs w:val="20"/>
                <w:color w:val="auto"/>
              </w:rPr>
            </w:pPr>
            <w:r>
              <w:rPr>
                <w:rFonts w:ascii="Arial" w:cs="Arial" w:eastAsia="Arial" w:hAnsi="Arial"/>
                <w:sz w:val="10"/>
                <w:szCs w:val="10"/>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1"/>
                <w:szCs w:val="11"/>
                <w:color w:val="auto"/>
              </w:rPr>
            </w:pPr>
          </w:p>
        </w:tc>
        <w:tc>
          <w:tcPr>
            <w:tcW w:w="1020" w:type="dxa"/>
            <w:vAlign w:val="bottom"/>
            <w:tcBorders>
              <w:top w:val="single" w:sz="8" w:color="auto"/>
              <w:right w:val="single" w:sz="8" w:color="auto"/>
            </w:tcBorders>
            <w:gridSpan w:val="2"/>
            <w:shd w:val="clear" w:color="auto" w:fill="2AD2C9"/>
          </w:tcPr>
          <w:p>
            <w:pPr>
              <w:ind w:left="260"/>
              <w:spacing w:after="0"/>
              <w:rPr>
                <w:sz w:val="20"/>
                <w:szCs w:val="20"/>
                <w:color w:val="auto"/>
              </w:rPr>
            </w:pPr>
            <w:r>
              <w:rPr>
                <w:rFonts w:ascii="Arial" w:cs="Arial" w:eastAsia="Arial" w:hAnsi="Arial"/>
                <w:sz w:val="10"/>
                <w:szCs w:val="10"/>
                <w:b w:val="1"/>
                <w:bCs w:val="1"/>
                <w:color w:val="FFFFFF"/>
              </w:rPr>
              <w:t>% change</w:t>
            </w:r>
          </w:p>
        </w:tc>
        <w:tc>
          <w:tcPr>
            <w:tcW w:w="740" w:type="dxa"/>
            <w:vAlign w:val="bottom"/>
            <w:tcBorders>
              <w:top w:val="single" w:sz="8" w:color="auto"/>
            </w:tcBorders>
            <w:shd w:val="clear" w:color="auto" w:fill="2AD2C9"/>
          </w:tcPr>
          <w:p>
            <w:pPr>
              <w:spacing w:after="0"/>
              <w:rPr>
                <w:sz w:val="11"/>
                <w:szCs w:val="11"/>
                <w:color w:val="auto"/>
              </w:rPr>
            </w:pPr>
          </w:p>
        </w:tc>
        <w:tc>
          <w:tcPr>
            <w:tcW w:w="110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0"/>
                <w:szCs w:val="10"/>
                <w:b w:val="1"/>
                <w:bCs w:val="1"/>
                <w:color w:val="FFFFFF"/>
              </w:rPr>
              <w:t>Up to</w:t>
            </w:r>
          </w:p>
        </w:tc>
        <w:tc>
          <w:tcPr>
            <w:tcW w:w="10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9"/>
              </w:rPr>
              <w:t>% Change</w:t>
            </w:r>
          </w:p>
        </w:tc>
      </w:tr>
      <w:tr>
        <w:trPr>
          <w:trHeight w:val="122"/>
        </w:trPr>
        <w:tc>
          <w:tcPr>
            <w:tcW w:w="510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4Q24</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3Q25</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4Q25</w:t>
            </w:r>
          </w:p>
        </w:tc>
        <w:tc>
          <w:tcPr>
            <w:tcW w:w="5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QoQ</w:t>
            </w:r>
          </w:p>
        </w:tc>
        <w:tc>
          <w:tcPr>
            <w:tcW w:w="50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0"/>
                <w:szCs w:val="10"/>
                <w:b w:val="1"/>
                <w:bCs w:val="1"/>
                <w:color w:val="FFFFFF"/>
              </w:rPr>
              <w:t>YoY</w:t>
            </w:r>
          </w:p>
        </w:tc>
        <w:tc>
          <w:tcPr>
            <w:tcW w:w="74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0"/>
                <w:szCs w:val="10"/>
                <w:b w:val="1"/>
                <w:bCs w:val="1"/>
                <w:color w:val="FFFFFF"/>
              </w:rPr>
              <w:t>Dec 24</w:t>
            </w:r>
          </w:p>
        </w:tc>
        <w:tc>
          <w:tcPr>
            <w:tcW w:w="1100" w:type="dxa"/>
            <w:vAlign w:val="bottom"/>
            <w:tcBorders>
              <w:bottom w:val="single" w:sz="8" w:color="auto"/>
              <w:right w:val="single" w:sz="8" w:color="auto"/>
            </w:tcBorders>
            <w:shd w:val="clear" w:color="auto" w:fill="2AD2C9"/>
          </w:tcPr>
          <w:p>
            <w:pPr>
              <w:ind w:left="460"/>
              <w:spacing w:after="0"/>
              <w:rPr>
                <w:sz w:val="20"/>
                <w:szCs w:val="20"/>
                <w:color w:val="auto"/>
              </w:rPr>
            </w:pPr>
            <w:r>
              <w:rPr>
                <w:rFonts w:ascii="Arial" w:cs="Arial" w:eastAsia="Arial" w:hAnsi="Arial"/>
                <w:sz w:val="10"/>
                <w:szCs w:val="10"/>
                <w:b w:val="1"/>
                <w:bCs w:val="1"/>
                <w:color w:val="FFFFFF"/>
              </w:rPr>
              <w:t>Dec 25</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8"/>
              </w:rPr>
              <w:t>Dec 25 / Dec 24</w:t>
            </w:r>
          </w:p>
        </w:tc>
      </w:tr>
      <w:tr>
        <w:trPr>
          <w:trHeight w:val="108"/>
        </w:trPr>
        <w:tc>
          <w:tcPr>
            <w:tcW w:w="5100" w:type="dxa"/>
            <w:vAlign w:val="bottom"/>
            <w:tcBorders>
              <w:left w:val="single" w:sz="8" w:color="auto"/>
              <w:right w:val="single" w:sz="8" w:color="auto"/>
            </w:tcBorders>
          </w:tcPr>
          <w:p>
            <w:pPr>
              <w:spacing w:after="0" w:line="108" w:lineRule="exact"/>
              <w:rPr>
                <w:sz w:val="20"/>
                <w:szCs w:val="20"/>
                <w:color w:val="auto"/>
              </w:rPr>
            </w:pPr>
            <w:r>
              <w:rPr>
                <w:rFonts w:ascii="Arial" w:cs="Arial" w:eastAsia="Arial" w:hAnsi="Arial"/>
                <w:sz w:val="10"/>
                <w:szCs w:val="10"/>
                <w:b w:val="1"/>
                <w:bCs w:val="1"/>
                <w:color w:val="auto"/>
              </w:rPr>
              <w:t>Interest income and expense</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111"/>
        </w:trPr>
        <w:tc>
          <w:tcPr>
            <w:tcW w:w="5100" w:type="dxa"/>
            <w:vAlign w:val="bottom"/>
            <w:tcBorders>
              <w:left w:val="single" w:sz="8" w:color="auto"/>
              <w:right w:val="single" w:sz="8" w:color="auto"/>
            </w:tcBorders>
          </w:tcPr>
          <w:p>
            <w:pPr>
              <w:ind w:left="160"/>
              <w:spacing w:after="0" w:line="112" w:lineRule="exact"/>
              <w:rPr>
                <w:sz w:val="20"/>
                <w:szCs w:val="20"/>
                <w:color w:val="auto"/>
              </w:rPr>
            </w:pPr>
            <w:r>
              <w:rPr>
                <w:rFonts w:ascii="Arial" w:cs="Arial" w:eastAsia="Arial" w:hAnsi="Arial"/>
                <w:sz w:val="10"/>
                <w:szCs w:val="10"/>
                <w:color w:val="auto"/>
              </w:rPr>
              <w:t>Interest and similar income</w:t>
            </w:r>
          </w:p>
        </w:tc>
        <w:tc>
          <w:tcPr>
            <w:tcW w:w="760" w:type="dxa"/>
            <w:vAlign w:val="bottom"/>
          </w:tcPr>
          <w:p>
            <w:pPr>
              <w:jc w:val="center"/>
              <w:spacing w:after="0" w:line="112" w:lineRule="exact"/>
              <w:rPr>
                <w:sz w:val="20"/>
                <w:szCs w:val="20"/>
                <w:color w:val="auto"/>
              </w:rPr>
            </w:pPr>
            <w:r>
              <w:rPr>
                <w:rFonts w:ascii="Arial" w:cs="Arial" w:eastAsia="Arial" w:hAnsi="Arial"/>
                <w:sz w:val="10"/>
                <w:szCs w:val="10"/>
                <w:color w:val="auto"/>
                <w:w w:val="98"/>
              </w:rPr>
              <w:t>4,381,994</w:t>
            </w:r>
          </w:p>
        </w:tc>
        <w:tc>
          <w:tcPr>
            <w:tcW w:w="780" w:type="dxa"/>
            <w:vAlign w:val="bottom"/>
          </w:tcPr>
          <w:p>
            <w:pPr>
              <w:jc w:val="center"/>
              <w:spacing w:after="0" w:line="112" w:lineRule="exact"/>
              <w:rPr>
                <w:sz w:val="20"/>
                <w:szCs w:val="20"/>
                <w:color w:val="auto"/>
              </w:rPr>
            </w:pPr>
            <w:r>
              <w:rPr>
                <w:rFonts w:ascii="Arial" w:cs="Arial" w:eastAsia="Arial" w:hAnsi="Arial"/>
                <w:sz w:val="10"/>
                <w:szCs w:val="10"/>
                <w:color w:val="auto"/>
                <w:w w:val="98"/>
              </w:rPr>
              <w:t>4,359,098</w:t>
            </w:r>
          </w:p>
        </w:tc>
        <w:tc>
          <w:tcPr>
            <w:tcW w:w="78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8"/>
              </w:rPr>
              <w:t>4,486,502</w:t>
            </w:r>
          </w:p>
        </w:tc>
        <w:tc>
          <w:tcPr>
            <w:tcW w:w="520" w:type="dxa"/>
            <w:vAlign w:val="bottom"/>
          </w:tcPr>
          <w:p>
            <w:pPr>
              <w:jc w:val="center"/>
              <w:spacing w:after="0" w:line="112" w:lineRule="exact"/>
              <w:rPr>
                <w:sz w:val="20"/>
                <w:szCs w:val="20"/>
                <w:color w:val="auto"/>
              </w:rPr>
            </w:pPr>
            <w:r>
              <w:rPr>
                <w:rFonts w:ascii="Arial" w:cs="Arial" w:eastAsia="Arial" w:hAnsi="Arial"/>
                <w:sz w:val="10"/>
                <w:szCs w:val="10"/>
                <w:color w:val="auto"/>
              </w:rPr>
              <w:t>2.9%</w:t>
            </w:r>
          </w:p>
        </w:tc>
        <w:tc>
          <w:tcPr>
            <w:tcW w:w="5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6"/>
              </w:rPr>
              <w:t>2.4%</w:t>
            </w:r>
          </w:p>
        </w:tc>
        <w:tc>
          <w:tcPr>
            <w:tcW w:w="740" w:type="dxa"/>
            <w:vAlign w:val="bottom"/>
          </w:tcPr>
          <w:p>
            <w:pPr>
              <w:jc w:val="center"/>
              <w:ind w:left="111"/>
              <w:spacing w:after="0" w:line="112" w:lineRule="exact"/>
              <w:rPr>
                <w:sz w:val="20"/>
                <w:szCs w:val="20"/>
                <w:color w:val="auto"/>
              </w:rPr>
            </w:pPr>
            <w:r>
              <w:rPr>
                <w:rFonts w:ascii="Arial" w:cs="Arial" w:eastAsia="Arial" w:hAnsi="Arial"/>
                <w:sz w:val="10"/>
                <w:szCs w:val="10"/>
                <w:color w:val="auto"/>
                <w:w w:val="99"/>
              </w:rPr>
              <w:t>17,346,146</w:t>
            </w:r>
          </w:p>
        </w:tc>
        <w:tc>
          <w:tcPr>
            <w:tcW w:w="1100" w:type="dxa"/>
            <w:vAlign w:val="bottom"/>
            <w:tcBorders>
              <w:right w:val="single" w:sz="8" w:color="auto"/>
            </w:tcBorders>
          </w:tcPr>
          <w:p>
            <w:pPr>
              <w:jc w:val="center"/>
              <w:ind w:left="111"/>
              <w:spacing w:after="0" w:line="112" w:lineRule="exact"/>
              <w:rPr>
                <w:sz w:val="20"/>
                <w:szCs w:val="20"/>
                <w:color w:val="auto"/>
              </w:rPr>
            </w:pPr>
            <w:r>
              <w:rPr>
                <w:rFonts w:ascii="Arial" w:cs="Arial" w:eastAsia="Arial" w:hAnsi="Arial"/>
                <w:sz w:val="10"/>
                <w:szCs w:val="10"/>
                <w:color w:val="auto"/>
                <w:w w:val="99"/>
              </w:rPr>
              <w:t>17,415,907</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6"/>
              </w:rPr>
              <w:t>0.4%</w:t>
            </w:r>
          </w:p>
        </w:tc>
      </w:tr>
      <w:tr>
        <w:trPr>
          <w:trHeight w:val="130"/>
        </w:trPr>
        <w:tc>
          <w:tcPr>
            <w:tcW w:w="5100" w:type="dxa"/>
            <w:vAlign w:val="bottom"/>
            <w:tcBorders>
              <w:left w:val="single" w:sz="8" w:color="auto"/>
              <w:right w:val="single" w:sz="8" w:color="auto"/>
            </w:tcBorders>
          </w:tcPr>
          <w:p>
            <w:pPr>
              <w:ind w:left="160"/>
              <w:spacing w:after="0" w:line="130" w:lineRule="exact"/>
              <w:rPr>
                <w:sz w:val="20"/>
                <w:szCs w:val="20"/>
                <w:color w:val="auto"/>
              </w:rPr>
            </w:pPr>
            <w:r>
              <w:rPr>
                <w:rFonts w:ascii="Arial" w:cs="Arial" w:eastAsia="Arial" w:hAnsi="Arial"/>
                <w:sz w:val="9"/>
                <w:szCs w:val="9"/>
                <w:color w:val="auto"/>
              </w:rPr>
              <w:t xml:space="preserve">Interest and similar expense </w:t>
            </w:r>
            <w:r>
              <w:rPr>
                <w:rFonts w:ascii="Arial" w:cs="Arial" w:eastAsia="Arial" w:hAnsi="Arial"/>
                <w:sz w:val="15"/>
                <w:szCs w:val="15"/>
                <w:color w:val="auto"/>
                <w:vertAlign w:val="superscript"/>
              </w:rPr>
              <w:t>(1)</w:t>
            </w:r>
          </w:p>
        </w:tc>
        <w:tc>
          <w:tcPr>
            <w:tcW w:w="760" w:type="dxa"/>
            <w:vAlign w:val="bottom"/>
          </w:tcPr>
          <w:p>
            <w:pPr>
              <w:jc w:val="center"/>
              <w:spacing w:after="0"/>
              <w:rPr>
                <w:sz w:val="20"/>
                <w:szCs w:val="20"/>
                <w:color w:val="auto"/>
              </w:rPr>
            </w:pPr>
            <w:r>
              <w:rPr>
                <w:rFonts w:ascii="Arial" w:cs="Arial" w:eastAsia="Arial" w:hAnsi="Arial"/>
                <w:sz w:val="10"/>
                <w:szCs w:val="10"/>
                <w:color w:val="auto"/>
              </w:rPr>
              <w:t>(1,025,087)</w:t>
            </w:r>
          </w:p>
        </w:tc>
        <w:tc>
          <w:tcPr>
            <w:tcW w:w="780" w:type="dxa"/>
            <w:vAlign w:val="bottom"/>
          </w:tcPr>
          <w:p>
            <w:pPr>
              <w:jc w:val="center"/>
              <w:spacing w:after="0"/>
              <w:rPr>
                <w:sz w:val="20"/>
                <w:szCs w:val="20"/>
                <w:color w:val="auto"/>
              </w:rPr>
            </w:pPr>
            <w:r>
              <w:rPr>
                <w:rFonts w:ascii="Arial" w:cs="Arial" w:eastAsia="Arial" w:hAnsi="Arial"/>
                <w:sz w:val="10"/>
                <w:szCs w:val="10"/>
                <w:color w:val="auto"/>
                <w:w w:val="98"/>
              </w:rPr>
              <w:t>(930,847)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(937,173)</w:t>
            </w:r>
          </w:p>
        </w:tc>
        <w:tc>
          <w:tcPr>
            <w:tcW w:w="520" w:type="dxa"/>
            <w:vAlign w:val="bottom"/>
          </w:tcPr>
          <w:p>
            <w:pPr>
              <w:jc w:val="center"/>
              <w:spacing w:after="0"/>
              <w:rPr>
                <w:sz w:val="20"/>
                <w:szCs w:val="20"/>
                <w:color w:val="auto"/>
              </w:rPr>
            </w:pPr>
            <w:r>
              <w:rPr>
                <w:rFonts w:ascii="Arial" w:cs="Arial" w:eastAsia="Arial" w:hAnsi="Arial"/>
                <w:sz w:val="10"/>
                <w:szCs w:val="10"/>
                <w:color w:val="auto"/>
              </w:rPr>
              <w:t>0.7%</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-8.6%</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7"/>
              </w:rPr>
              <w:t>(4,286,492)</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7"/>
              </w:rPr>
              <w:t>(3,796,368)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-11.4%</w:t>
            </w:r>
          </w:p>
        </w:tc>
      </w:tr>
      <w:tr>
        <w:trPr>
          <w:trHeight w:val="140"/>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Interest income and expense</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3,356,907</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3,428,251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3,549,329</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rPr>
              <w:t>3.5%</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5.7%</w:t>
            </w:r>
          </w:p>
        </w:tc>
        <w:tc>
          <w:tcPr>
            <w:tcW w:w="740" w:type="dxa"/>
            <w:vAlign w:val="bottom"/>
          </w:tcPr>
          <w:p>
            <w:pPr>
              <w:jc w:val="center"/>
              <w:ind w:left="111"/>
              <w:spacing w:after="0"/>
              <w:rPr>
                <w:sz w:val="20"/>
                <w:szCs w:val="20"/>
                <w:color w:val="auto"/>
              </w:rPr>
            </w:pPr>
            <w:r>
              <w:rPr>
                <w:rFonts w:ascii="Arial" w:cs="Arial" w:eastAsia="Arial" w:hAnsi="Arial"/>
                <w:sz w:val="10"/>
                <w:szCs w:val="10"/>
                <w:b w:val="1"/>
                <w:bCs w:val="1"/>
                <w:color w:val="auto"/>
                <w:w w:val="99"/>
              </w:rPr>
              <w:t>13,059,654</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b w:val="1"/>
                <w:bCs w:val="1"/>
                <w:color w:val="auto"/>
                <w:w w:val="99"/>
              </w:rPr>
              <w:t>13,619,539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4.3%</w:t>
            </w:r>
          </w:p>
        </w:tc>
      </w:tr>
      <w:tr>
        <w:trPr>
          <w:trHeight w:val="227"/>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Provision for credit losses on loan portfolio</w:t>
            </w:r>
          </w:p>
        </w:tc>
        <w:tc>
          <w:tcPr>
            <w:tcW w:w="760" w:type="dxa"/>
            <w:vAlign w:val="bottom"/>
          </w:tcPr>
          <w:p>
            <w:pPr>
              <w:jc w:val="center"/>
              <w:spacing w:after="0"/>
              <w:rPr>
                <w:sz w:val="20"/>
                <w:szCs w:val="20"/>
                <w:color w:val="auto"/>
              </w:rPr>
            </w:pPr>
            <w:r>
              <w:rPr>
                <w:rFonts w:ascii="Arial" w:cs="Arial" w:eastAsia="Arial" w:hAnsi="Arial"/>
                <w:sz w:val="10"/>
                <w:szCs w:val="10"/>
                <w:color w:val="auto"/>
              </w:rPr>
              <w:t>(786,209)</w:t>
            </w:r>
          </w:p>
        </w:tc>
        <w:tc>
          <w:tcPr>
            <w:tcW w:w="780" w:type="dxa"/>
            <w:vAlign w:val="bottom"/>
          </w:tcPr>
          <w:p>
            <w:pPr>
              <w:jc w:val="center"/>
              <w:spacing w:after="0"/>
              <w:rPr>
                <w:sz w:val="20"/>
                <w:szCs w:val="20"/>
                <w:color w:val="auto"/>
              </w:rPr>
            </w:pPr>
            <w:r>
              <w:rPr>
                <w:rFonts w:ascii="Arial" w:cs="Arial" w:eastAsia="Arial" w:hAnsi="Arial"/>
                <w:sz w:val="10"/>
                <w:szCs w:val="10"/>
                <w:color w:val="auto"/>
                <w:w w:val="98"/>
              </w:rPr>
              <w:t>(675,251)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(714,928)</w:t>
            </w:r>
          </w:p>
        </w:tc>
        <w:tc>
          <w:tcPr>
            <w:tcW w:w="520" w:type="dxa"/>
            <w:vAlign w:val="bottom"/>
          </w:tcPr>
          <w:p>
            <w:pPr>
              <w:jc w:val="center"/>
              <w:spacing w:after="0"/>
              <w:rPr>
                <w:sz w:val="20"/>
                <w:szCs w:val="20"/>
                <w:color w:val="auto"/>
              </w:rPr>
            </w:pPr>
            <w:r>
              <w:rPr>
                <w:rFonts w:ascii="Arial" w:cs="Arial" w:eastAsia="Arial" w:hAnsi="Arial"/>
                <w:sz w:val="10"/>
                <w:szCs w:val="10"/>
                <w:color w:val="auto"/>
              </w:rPr>
              <w:t>5.9%</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-9.1%</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7"/>
              </w:rPr>
              <w:t>(3,683,332)</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7"/>
              </w:rPr>
              <w:t>(2,673,049)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-27.4%</w:t>
            </w:r>
          </w:p>
        </w:tc>
      </w:tr>
      <w:tr>
        <w:trPr>
          <w:trHeight w:val="119"/>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Recoveries of written-off loans</w:t>
            </w:r>
          </w:p>
        </w:tc>
        <w:tc>
          <w:tcPr>
            <w:tcW w:w="760" w:type="dxa"/>
            <w:vAlign w:val="bottom"/>
          </w:tcPr>
          <w:p>
            <w:pPr>
              <w:jc w:val="center"/>
              <w:spacing w:after="0"/>
              <w:rPr>
                <w:sz w:val="20"/>
                <w:szCs w:val="20"/>
                <w:color w:val="auto"/>
              </w:rPr>
            </w:pPr>
            <w:r>
              <w:rPr>
                <w:rFonts w:ascii="Arial" w:cs="Arial" w:eastAsia="Arial" w:hAnsi="Arial"/>
                <w:sz w:val="10"/>
                <w:szCs w:val="10"/>
                <w:color w:val="auto"/>
                <w:w w:val="99"/>
              </w:rPr>
              <w:t>108,560</w:t>
            </w:r>
          </w:p>
        </w:tc>
        <w:tc>
          <w:tcPr>
            <w:tcW w:w="780" w:type="dxa"/>
            <w:vAlign w:val="bottom"/>
          </w:tcPr>
          <w:p>
            <w:pPr>
              <w:jc w:val="center"/>
              <w:spacing w:after="0"/>
              <w:rPr>
                <w:sz w:val="20"/>
                <w:szCs w:val="20"/>
                <w:color w:val="auto"/>
              </w:rPr>
            </w:pPr>
            <w:r>
              <w:rPr>
                <w:rFonts w:ascii="Arial" w:cs="Arial" w:eastAsia="Arial" w:hAnsi="Arial"/>
                <w:sz w:val="10"/>
                <w:szCs w:val="10"/>
                <w:color w:val="auto"/>
                <w:w w:val="93"/>
              </w:rPr>
              <w:t>113,472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123,065</w:t>
            </w:r>
          </w:p>
        </w:tc>
        <w:tc>
          <w:tcPr>
            <w:tcW w:w="520" w:type="dxa"/>
            <w:vAlign w:val="bottom"/>
          </w:tcPr>
          <w:p>
            <w:pPr>
              <w:jc w:val="center"/>
              <w:spacing w:after="0"/>
              <w:rPr>
                <w:sz w:val="20"/>
                <w:szCs w:val="20"/>
                <w:color w:val="auto"/>
              </w:rPr>
            </w:pPr>
            <w:r>
              <w:rPr>
                <w:rFonts w:ascii="Arial" w:cs="Arial" w:eastAsia="Arial" w:hAnsi="Arial"/>
                <w:sz w:val="10"/>
                <w:szCs w:val="10"/>
                <w:color w:val="auto"/>
              </w:rPr>
              <w:t>8.5%</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13.4%</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3"/>
              </w:rPr>
              <w:t>402,380</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color w:val="auto"/>
                <w:w w:val="99"/>
              </w:rPr>
              <w:t>450,539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12.0%</w:t>
            </w:r>
          </w:p>
        </w:tc>
      </w:tr>
      <w:tr>
        <w:trPr>
          <w:trHeight w:val="140"/>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Provision for credit losses on loan portfolio, net of recoveries</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(677,649)</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(561,779)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(591,863)</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rPr>
              <w:t>5.4%</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-12.7%</w:t>
            </w:r>
          </w:p>
        </w:tc>
        <w:tc>
          <w:tcPr>
            <w:tcW w:w="740" w:type="dxa"/>
            <w:vAlign w:val="bottom"/>
          </w:tcPr>
          <w:p>
            <w:pPr>
              <w:jc w:val="center"/>
              <w:ind w:left="111"/>
              <w:spacing w:after="0"/>
              <w:rPr>
                <w:sz w:val="20"/>
                <w:szCs w:val="20"/>
                <w:color w:val="auto"/>
              </w:rPr>
            </w:pPr>
            <w:r>
              <w:rPr>
                <w:rFonts w:ascii="Arial" w:cs="Arial" w:eastAsia="Arial" w:hAnsi="Arial"/>
                <w:sz w:val="10"/>
                <w:szCs w:val="10"/>
                <w:b w:val="1"/>
                <w:bCs w:val="1"/>
                <w:color w:val="auto"/>
                <w:w w:val="97"/>
              </w:rPr>
              <w:t>(3,280,952)</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b w:val="1"/>
                <w:bCs w:val="1"/>
                <w:color w:val="auto"/>
                <w:w w:val="97"/>
              </w:rPr>
              <w:t>(2,222,510)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-32.3%</w:t>
            </w:r>
          </w:p>
        </w:tc>
      </w:tr>
      <w:tr>
        <w:trPr>
          <w:trHeight w:val="243"/>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Net interest, similar income and expenses, after provision for credit losses on loan portfolio</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2,679,258</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2,866,472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2,957,466</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rPr>
              <w:t>3.2%</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10.4%</w:t>
            </w:r>
          </w:p>
        </w:tc>
        <w:tc>
          <w:tcPr>
            <w:tcW w:w="74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9,778,702</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b w:val="1"/>
                <w:bCs w:val="1"/>
                <w:color w:val="auto"/>
                <w:w w:val="99"/>
              </w:rPr>
              <w:t>11,397,029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16.5%</w:t>
            </w:r>
          </w:p>
        </w:tc>
      </w:tr>
      <w:tr>
        <w:trPr>
          <w:trHeight w:val="227"/>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Other income</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r>
      <w:tr>
        <w:trPr>
          <w:trHeight w:val="122"/>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Fee income</w:t>
            </w:r>
          </w:p>
        </w:tc>
        <w:tc>
          <w:tcPr>
            <w:tcW w:w="760" w:type="dxa"/>
            <w:vAlign w:val="bottom"/>
          </w:tcPr>
          <w:p>
            <w:pPr>
              <w:jc w:val="center"/>
              <w:spacing w:after="0"/>
              <w:rPr>
                <w:sz w:val="20"/>
                <w:szCs w:val="20"/>
                <w:color w:val="auto"/>
              </w:rPr>
            </w:pPr>
            <w:r>
              <w:rPr>
                <w:rFonts w:ascii="Arial" w:cs="Arial" w:eastAsia="Arial" w:hAnsi="Arial"/>
                <w:sz w:val="10"/>
                <w:szCs w:val="10"/>
                <w:color w:val="auto"/>
                <w:w w:val="99"/>
              </w:rPr>
              <w:t>833,341</w:t>
            </w:r>
          </w:p>
        </w:tc>
        <w:tc>
          <w:tcPr>
            <w:tcW w:w="780" w:type="dxa"/>
            <w:vAlign w:val="bottom"/>
          </w:tcPr>
          <w:p>
            <w:pPr>
              <w:jc w:val="center"/>
              <w:spacing w:after="0"/>
              <w:rPr>
                <w:sz w:val="20"/>
                <w:szCs w:val="20"/>
                <w:color w:val="auto"/>
              </w:rPr>
            </w:pPr>
            <w:r>
              <w:rPr>
                <w:rFonts w:ascii="Arial" w:cs="Arial" w:eastAsia="Arial" w:hAnsi="Arial"/>
                <w:sz w:val="10"/>
                <w:szCs w:val="10"/>
                <w:color w:val="auto"/>
                <w:w w:val="99"/>
              </w:rPr>
              <w:t>902,082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956,996</w:t>
            </w:r>
          </w:p>
        </w:tc>
        <w:tc>
          <w:tcPr>
            <w:tcW w:w="520" w:type="dxa"/>
            <w:vAlign w:val="bottom"/>
          </w:tcPr>
          <w:p>
            <w:pPr>
              <w:jc w:val="center"/>
              <w:spacing w:after="0"/>
              <w:rPr>
                <w:sz w:val="20"/>
                <w:szCs w:val="20"/>
                <w:color w:val="auto"/>
              </w:rPr>
            </w:pPr>
            <w:r>
              <w:rPr>
                <w:rFonts w:ascii="Arial" w:cs="Arial" w:eastAsia="Arial" w:hAnsi="Arial"/>
                <w:sz w:val="10"/>
                <w:szCs w:val="10"/>
                <w:color w:val="auto"/>
              </w:rPr>
              <w:t>6.1%</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14.8%</w:t>
            </w:r>
          </w:p>
        </w:tc>
        <w:tc>
          <w:tcPr>
            <w:tcW w:w="740" w:type="dxa"/>
            <w:vAlign w:val="bottom"/>
          </w:tcPr>
          <w:p>
            <w:pPr>
              <w:jc w:val="center"/>
              <w:ind w:left="131"/>
              <w:spacing w:after="0"/>
              <w:rPr>
                <w:sz w:val="20"/>
                <w:szCs w:val="20"/>
                <w:color w:val="auto"/>
              </w:rPr>
            </w:pPr>
            <w:r>
              <w:rPr>
                <w:rFonts w:ascii="Arial" w:cs="Arial" w:eastAsia="Arial" w:hAnsi="Arial"/>
                <w:sz w:val="10"/>
                <w:szCs w:val="10"/>
                <w:color w:val="auto"/>
                <w:w w:val="98"/>
              </w:rPr>
              <w:t>3,150,264</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color w:val="auto"/>
                <w:w w:val="98"/>
              </w:rPr>
              <w:t>3,601,033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14.3%</w:t>
            </w:r>
          </w:p>
        </w:tc>
      </w:tr>
      <w:tr>
        <w:trPr>
          <w:trHeight w:val="121"/>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gain on foreign exchange transactions</w:t>
            </w:r>
          </w:p>
        </w:tc>
        <w:tc>
          <w:tcPr>
            <w:tcW w:w="760" w:type="dxa"/>
            <w:vAlign w:val="bottom"/>
          </w:tcPr>
          <w:p>
            <w:pPr>
              <w:jc w:val="center"/>
              <w:spacing w:after="0"/>
              <w:rPr>
                <w:sz w:val="20"/>
                <w:szCs w:val="20"/>
                <w:color w:val="auto"/>
              </w:rPr>
            </w:pPr>
            <w:r>
              <w:rPr>
                <w:rFonts w:ascii="Arial" w:cs="Arial" w:eastAsia="Arial" w:hAnsi="Arial"/>
                <w:sz w:val="10"/>
                <w:szCs w:val="10"/>
                <w:color w:val="auto"/>
                <w:w w:val="99"/>
              </w:rPr>
              <w:t>313,538</w:t>
            </w:r>
          </w:p>
        </w:tc>
        <w:tc>
          <w:tcPr>
            <w:tcW w:w="780" w:type="dxa"/>
            <w:vAlign w:val="bottom"/>
          </w:tcPr>
          <w:p>
            <w:pPr>
              <w:jc w:val="center"/>
              <w:spacing w:after="0"/>
              <w:rPr>
                <w:sz w:val="20"/>
                <w:szCs w:val="20"/>
                <w:color w:val="auto"/>
              </w:rPr>
            </w:pPr>
            <w:r>
              <w:rPr>
                <w:rFonts w:ascii="Arial" w:cs="Arial" w:eastAsia="Arial" w:hAnsi="Arial"/>
                <w:sz w:val="10"/>
                <w:szCs w:val="10"/>
                <w:color w:val="auto"/>
                <w:w w:val="99"/>
              </w:rPr>
              <w:t>349,768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374,685</w:t>
            </w:r>
          </w:p>
        </w:tc>
        <w:tc>
          <w:tcPr>
            <w:tcW w:w="520" w:type="dxa"/>
            <w:vAlign w:val="bottom"/>
          </w:tcPr>
          <w:p>
            <w:pPr>
              <w:jc w:val="center"/>
              <w:spacing w:after="0"/>
              <w:rPr>
                <w:sz w:val="20"/>
                <w:szCs w:val="20"/>
                <w:color w:val="auto"/>
              </w:rPr>
            </w:pPr>
            <w:r>
              <w:rPr>
                <w:rFonts w:ascii="Arial" w:cs="Arial" w:eastAsia="Arial" w:hAnsi="Arial"/>
                <w:sz w:val="10"/>
                <w:szCs w:val="10"/>
                <w:color w:val="auto"/>
              </w:rPr>
              <w:t>7.1%</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19.5%</w:t>
            </w:r>
          </w:p>
        </w:tc>
        <w:tc>
          <w:tcPr>
            <w:tcW w:w="740" w:type="dxa"/>
            <w:vAlign w:val="bottom"/>
          </w:tcPr>
          <w:p>
            <w:pPr>
              <w:jc w:val="center"/>
              <w:ind w:left="131"/>
              <w:spacing w:after="0"/>
              <w:rPr>
                <w:sz w:val="20"/>
                <w:szCs w:val="20"/>
                <w:color w:val="auto"/>
              </w:rPr>
            </w:pPr>
            <w:r>
              <w:rPr>
                <w:rFonts w:ascii="Arial" w:cs="Arial" w:eastAsia="Arial" w:hAnsi="Arial"/>
                <w:sz w:val="10"/>
                <w:szCs w:val="10"/>
                <w:color w:val="auto"/>
                <w:w w:val="98"/>
              </w:rPr>
              <w:t>1,166,567</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color w:val="auto"/>
                <w:w w:val="98"/>
              </w:rPr>
              <w:t>1,379,529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18.3%</w:t>
            </w:r>
          </w:p>
        </w:tc>
      </w:tr>
      <w:tr>
        <w:trPr>
          <w:trHeight w:val="122"/>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gain (loss) on securities</w:t>
            </w:r>
          </w:p>
        </w:tc>
        <w:tc>
          <w:tcPr>
            <w:tcW w:w="760" w:type="dxa"/>
            <w:vAlign w:val="bottom"/>
          </w:tcPr>
          <w:p>
            <w:pPr>
              <w:jc w:val="center"/>
              <w:spacing w:after="0"/>
              <w:rPr>
                <w:sz w:val="20"/>
                <w:szCs w:val="20"/>
                <w:color w:val="auto"/>
              </w:rPr>
            </w:pPr>
            <w:r>
              <w:rPr>
                <w:rFonts w:ascii="Arial" w:cs="Arial" w:eastAsia="Arial" w:hAnsi="Arial"/>
                <w:sz w:val="10"/>
                <w:szCs w:val="10"/>
                <w:color w:val="auto"/>
                <w:w w:val="96"/>
              </w:rPr>
              <w:t>(19,571)</w:t>
            </w:r>
          </w:p>
        </w:tc>
        <w:tc>
          <w:tcPr>
            <w:tcW w:w="780" w:type="dxa"/>
            <w:vAlign w:val="bottom"/>
          </w:tcPr>
          <w:p>
            <w:pPr>
              <w:jc w:val="center"/>
              <w:spacing w:after="0"/>
              <w:rPr>
                <w:sz w:val="20"/>
                <w:szCs w:val="20"/>
                <w:color w:val="auto"/>
              </w:rPr>
            </w:pPr>
            <w:r>
              <w:rPr>
                <w:rFonts w:ascii="Arial" w:cs="Arial" w:eastAsia="Arial" w:hAnsi="Arial"/>
                <w:sz w:val="10"/>
                <w:szCs w:val="10"/>
                <w:color w:val="auto"/>
              </w:rPr>
              <w:t>2,683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21,796</w:t>
            </w:r>
          </w:p>
        </w:tc>
        <w:tc>
          <w:tcPr>
            <w:tcW w:w="52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5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n.a.</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7"/>
              </w:rPr>
              <w:t>27,933</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color w:val="auto"/>
                <w:w w:val="99"/>
              </w:rPr>
              <w:t>156,966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n.a.</w:t>
            </w:r>
          </w:p>
        </w:tc>
      </w:tr>
      <w:tr>
        <w:trPr>
          <w:trHeight w:val="122"/>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gain on derivatives held for trading</w:t>
            </w:r>
          </w:p>
        </w:tc>
        <w:tc>
          <w:tcPr>
            <w:tcW w:w="760" w:type="dxa"/>
            <w:vAlign w:val="bottom"/>
          </w:tcPr>
          <w:p>
            <w:pPr>
              <w:jc w:val="center"/>
              <w:spacing w:after="0"/>
              <w:rPr>
                <w:sz w:val="20"/>
                <w:szCs w:val="20"/>
                <w:color w:val="auto"/>
              </w:rPr>
            </w:pPr>
            <w:r>
              <w:rPr>
                <w:rFonts w:ascii="Arial" w:cs="Arial" w:eastAsia="Arial" w:hAnsi="Arial"/>
                <w:sz w:val="10"/>
                <w:szCs w:val="10"/>
                <w:color w:val="auto"/>
              </w:rPr>
              <w:t>24,881</w:t>
            </w:r>
          </w:p>
        </w:tc>
        <w:tc>
          <w:tcPr>
            <w:tcW w:w="780" w:type="dxa"/>
            <w:vAlign w:val="bottom"/>
          </w:tcPr>
          <w:p>
            <w:pPr>
              <w:jc w:val="center"/>
              <w:spacing w:after="0"/>
              <w:rPr>
                <w:sz w:val="20"/>
                <w:szCs w:val="20"/>
                <w:color w:val="auto"/>
              </w:rPr>
            </w:pPr>
            <w:r>
              <w:rPr>
                <w:rFonts w:ascii="Arial" w:cs="Arial" w:eastAsia="Arial" w:hAnsi="Arial"/>
                <w:sz w:val="10"/>
                <w:szCs w:val="10"/>
                <w:color w:val="auto"/>
                <w:w w:val="97"/>
              </w:rPr>
              <w:t>33,178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13,149</w:t>
            </w:r>
          </w:p>
        </w:tc>
        <w:tc>
          <w:tcPr>
            <w:tcW w:w="520" w:type="dxa"/>
            <w:vAlign w:val="bottom"/>
          </w:tcPr>
          <w:p>
            <w:pPr>
              <w:jc w:val="center"/>
              <w:spacing w:after="0"/>
              <w:rPr>
                <w:sz w:val="20"/>
                <w:szCs w:val="20"/>
                <w:color w:val="auto"/>
              </w:rPr>
            </w:pPr>
            <w:r>
              <w:rPr>
                <w:rFonts w:ascii="Arial" w:cs="Arial" w:eastAsia="Arial" w:hAnsi="Arial"/>
                <w:sz w:val="10"/>
                <w:szCs w:val="10"/>
                <w:color w:val="auto"/>
              </w:rPr>
              <w:t>-60.4%</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-47.2%</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7"/>
              </w:rPr>
              <w:t>77,674</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7"/>
              </w:rPr>
              <w:t>91,169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17.4%</w:t>
            </w:r>
          </w:p>
        </w:tc>
      </w:tr>
      <w:tr>
        <w:trPr>
          <w:trHeight w:val="122"/>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Net loss (gain) from exchange differences</w:t>
            </w:r>
          </w:p>
        </w:tc>
        <w:tc>
          <w:tcPr>
            <w:tcW w:w="760" w:type="dxa"/>
            <w:vAlign w:val="bottom"/>
          </w:tcPr>
          <w:p>
            <w:pPr>
              <w:jc w:val="center"/>
              <w:spacing w:after="0"/>
              <w:rPr>
                <w:sz w:val="20"/>
                <w:szCs w:val="20"/>
                <w:color w:val="auto"/>
              </w:rPr>
            </w:pPr>
            <w:r>
              <w:rPr>
                <w:rFonts w:ascii="Arial" w:cs="Arial" w:eastAsia="Arial" w:hAnsi="Arial"/>
                <w:sz w:val="10"/>
                <w:szCs w:val="10"/>
                <w:color w:val="auto"/>
              </w:rPr>
              <w:t>(1,989)</w:t>
            </w:r>
          </w:p>
        </w:tc>
        <w:tc>
          <w:tcPr>
            <w:tcW w:w="780" w:type="dxa"/>
            <w:vAlign w:val="bottom"/>
          </w:tcPr>
          <w:p>
            <w:pPr>
              <w:jc w:val="center"/>
              <w:spacing w:after="0"/>
              <w:rPr>
                <w:sz w:val="20"/>
                <w:szCs w:val="20"/>
                <w:color w:val="auto"/>
              </w:rPr>
            </w:pPr>
            <w:r>
              <w:rPr>
                <w:rFonts w:ascii="Arial" w:cs="Arial" w:eastAsia="Arial" w:hAnsi="Arial"/>
                <w:sz w:val="10"/>
                <w:szCs w:val="10"/>
                <w:color w:val="auto"/>
                <w:w w:val="94"/>
              </w:rPr>
              <w:t>(1,064)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3,372</w:t>
            </w:r>
          </w:p>
        </w:tc>
        <w:tc>
          <w:tcPr>
            <w:tcW w:w="52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500" w:type="dxa"/>
            <w:vAlign w:val="bottom"/>
            <w:tcBorders>
              <w:right w:val="single" w:sz="8" w:color="auto"/>
            </w:tcBorders>
          </w:tcPr>
          <w:p>
            <w:pPr>
              <w:ind w:left="160"/>
              <w:spacing w:after="0"/>
              <w:rPr>
                <w:sz w:val="20"/>
                <w:szCs w:val="20"/>
                <w:color w:val="auto"/>
              </w:rPr>
            </w:pPr>
            <w:r>
              <w:rPr>
                <w:rFonts w:ascii="Arial" w:cs="Arial" w:eastAsia="Arial" w:hAnsi="Arial"/>
                <w:sz w:val="10"/>
                <w:szCs w:val="10"/>
                <w:color w:val="auto"/>
              </w:rPr>
              <w:t>n.a.</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4"/>
              </w:rPr>
              <w:t>(5,455)</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7"/>
              </w:rPr>
              <w:t>10,633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n.a.</w:t>
            </w:r>
          </w:p>
        </w:tc>
      </w:tr>
      <w:tr>
        <w:trPr>
          <w:trHeight w:val="119"/>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Others</w:t>
            </w:r>
          </w:p>
        </w:tc>
        <w:tc>
          <w:tcPr>
            <w:tcW w:w="760" w:type="dxa"/>
            <w:vAlign w:val="bottom"/>
          </w:tcPr>
          <w:p>
            <w:pPr>
              <w:jc w:val="center"/>
              <w:spacing w:after="0"/>
              <w:rPr>
                <w:sz w:val="20"/>
                <w:szCs w:val="20"/>
                <w:color w:val="auto"/>
              </w:rPr>
            </w:pPr>
            <w:r>
              <w:rPr>
                <w:rFonts w:ascii="Arial" w:cs="Arial" w:eastAsia="Arial" w:hAnsi="Arial"/>
                <w:sz w:val="10"/>
                <w:szCs w:val="10"/>
                <w:color w:val="auto"/>
                <w:w w:val="91"/>
              </w:rPr>
              <w:t>95,118</w:t>
            </w:r>
          </w:p>
        </w:tc>
        <w:tc>
          <w:tcPr>
            <w:tcW w:w="780" w:type="dxa"/>
            <w:vAlign w:val="bottom"/>
          </w:tcPr>
          <w:p>
            <w:pPr>
              <w:jc w:val="center"/>
              <w:spacing w:after="0"/>
              <w:rPr>
                <w:sz w:val="20"/>
                <w:szCs w:val="20"/>
                <w:color w:val="auto"/>
              </w:rPr>
            </w:pPr>
            <w:r>
              <w:rPr>
                <w:rFonts w:ascii="Arial" w:cs="Arial" w:eastAsia="Arial" w:hAnsi="Arial"/>
                <w:sz w:val="10"/>
                <w:szCs w:val="10"/>
                <w:color w:val="auto"/>
                <w:w w:val="97"/>
              </w:rPr>
              <w:t>28,774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58,303</w:t>
            </w:r>
          </w:p>
        </w:tc>
        <w:tc>
          <w:tcPr>
            <w:tcW w:w="520" w:type="dxa"/>
            <w:vAlign w:val="bottom"/>
          </w:tcPr>
          <w:p>
            <w:pPr>
              <w:jc w:val="center"/>
              <w:spacing w:after="0"/>
              <w:rPr>
                <w:sz w:val="20"/>
                <w:szCs w:val="20"/>
                <w:color w:val="auto"/>
              </w:rPr>
            </w:pPr>
            <w:r>
              <w:rPr>
                <w:rFonts w:ascii="Arial" w:cs="Arial" w:eastAsia="Arial" w:hAnsi="Arial"/>
                <w:sz w:val="10"/>
                <w:szCs w:val="10"/>
                <w:color w:val="auto"/>
                <w:w w:val="94"/>
              </w:rPr>
              <w:t>102.6%</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-38.7%</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3"/>
              </w:rPr>
              <w:t>246,098</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color w:val="auto"/>
                <w:w w:val="99"/>
              </w:rPr>
              <w:t>141,476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-42.5%</w:t>
            </w:r>
          </w:p>
        </w:tc>
      </w:tr>
      <w:tr>
        <w:trPr>
          <w:trHeight w:val="140"/>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Total other income</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1,245,318</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1,315,421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1,428,301</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rPr>
              <w:t>8.6%</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14.7%</w:t>
            </w:r>
          </w:p>
        </w:tc>
        <w:tc>
          <w:tcPr>
            <w:tcW w:w="74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4,663,081</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b w:val="1"/>
                <w:bCs w:val="1"/>
                <w:color w:val="auto"/>
                <w:w w:val="98"/>
              </w:rPr>
              <w:t>5,380,806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15.4%</w:t>
            </w:r>
          </w:p>
        </w:tc>
      </w:tr>
      <w:tr>
        <w:trPr>
          <w:trHeight w:val="227"/>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Total expenses</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r>
      <w:tr>
        <w:trPr>
          <w:trHeight w:val="122"/>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Salaries and employee benefits</w:t>
            </w:r>
          </w:p>
        </w:tc>
        <w:tc>
          <w:tcPr>
            <w:tcW w:w="760" w:type="dxa"/>
            <w:vAlign w:val="bottom"/>
          </w:tcPr>
          <w:p>
            <w:pPr>
              <w:jc w:val="center"/>
              <w:spacing w:after="0"/>
              <w:rPr>
                <w:sz w:val="20"/>
                <w:szCs w:val="20"/>
                <w:color w:val="auto"/>
              </w:rPr>
            </w:pPr>
            <w:r>
              <w:rPr>
                <w:rFonts w:ascii="Arial" w:cs="Arial" w:eastAsia="Arial" w:hAnsi="Arial"/>
                <w:sz w:val="10"/>
                <w:szCs w:val="10"/>
                <w:color w:val="auto"/>
              </w:rPr>
              <w:t>(973,566)</w:t>
            </w:r>
          </w:p>
        </w:tc>
        <w:tc>
          <w:tcPr>
            <w:tcW w:w="780" w:type="dxa"/>
            <w:vAlign w:val="bottom"/>
          </w:tcPr>
          <w:p>
            <w:pPr>
              <w:jc w:val="center"/>
              <w:spacing w:after="0"/>
              <w:rPr>
                <w:sz w:val="20"/>
                <w:szCs w:val="20"/>
                <w:color w:val="auto"/>
              </w:rPr>
            </w:pPr>
            <w:r>
              <w:rPr>
                <w:rFonts w:ascii="Arial" w:cs="Arial" w:eastAsia="Arial" w:hAnsi="Arial"/>
                <w:sz w:val="10"/>
                <w:szCs w:val="10"/>
                <w:color w:val="auto"/>
                <w:w w:val="98"/>
              </w:rPr>
              <w:t>(958,832)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(1,016,716)</w:t>
            </w:r>
          </w:p>
        </w:tc>
        <w:tc>
          <w:tcPr>
            <w:tcW w:w="520" w:type="dxa"/>
            <w:vAlign w:val="bottom"/>
          </w:tcPr>
          <w:p>
            <w:pPr>
              <w:jc w:val="center"/>
              <w:spacing w:after="0"/>
              <w:rPr>
                <w:sz w:val="20"/>
                <w:szCs w:val="20"/>
                <w:color w:val="auto"/>
              </w:rPr>
            </w:pPr>
            <w:r>
              <w:rPr>
                <w:rFonts w:ascii="Arial" w:cs="Arial" w:eastAsia="Arial" w:hAnsi="Arial"/>
                <w:sz w:val="10"/>
                <w:szCs w:val="10"/>
                <w:color w:val="auto"/>
              </w:rPr>
              <w:t>6.0%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4.4%</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7"/>
              </w:rPr>
              <w:t>(3,441,259)</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7"/>
              </w:rPr>
              <w:t>(3,906,793)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13.5%</w:t>
            </w:r>
          </w:p>
        </w:tc>
      </w:tr>
      <w:tr>
        <w:trPr>
          <w:trHeight w:val="111"/>
        </w:trPr>
        <w:tc>
          <w:tcPr>
            <w:tcW w:w="5100" w:type="dxa"/>
            <w:vAlign w:val="bottom"/>
            <w:tcBorders>
              <w:left w:val="single" w:sz="8" w:color="auto"/>
              <w:right w:val="single" w:sz="8" w:color="auto"/>
            </w:tcBorders>
          </w:tcPr>
          <w:p>
            <w:pPr>
              <w:ind w:left="160"/>
              <w:spacing w:after="0" w:line="112" w:lineRule="exact"/>
              <w:rPr>
                <w:sz w:val="20"/>
                <w:szCs w:val="20"/>
                <w:color w:val="auto"/>
              </w:rPr>
            </w:pPr>
            <w:r>
              <w:rPr>
                <w:rFonts w:ascii="Arial" w:cs="Arial" w:eastAsia="Arial" w:hAnsi="Arial"/>
                <w:sz w:val="10"/>
                <w:szCs w:val="10"/>
                <w:color w:val="auto"/>
              </w:rPr>
              <w:t>Administrative expenses</w:t>
            </w:r>
          </w:p>
        </w:tc>
        <w:tc>
          <w:tcPr>
            <w:tcW w:w="760" w:type="dxa"/>
            <w:vAlign w:val="bottom"/>
          </w:tcPr>
          <w:p>
            <w:pPr>
              <w:jc w:val="center"/>
              <w:spacing w:after="0" w:line="112" w:lineRule="exact"/>
              <w:rPr>
                <w:sz w:val="20"/>
                <w:szCs w:val="20"/>
                <w:color w:val="auto"/>
              </w:rPr>
            </w:pPr>
            <w:r>
              <w:rPr>
                <w:rFonts w:ascii="Arial" w:cs="Arial" w:eastAsia="Arial" w:hAnsi="Arial"/>
                <w:sz w:val="10"/>
                <w:szCs w:val="10"/>
                <w:color w:val="auto"/>
              </w:rPr>
              <w:t>(899,653)</w:t>
            </w:r>
          </w:p>
        </w:tc>
        <w:tc>
          <w:tcPr>
            <w:tcW w:w="780" w:type="dxa"/>
            <w:vAlign w:val="bottom"/>
          </w:tcPr>
          <w:p>
            <w:pPr>
              <w:jc w:val="center"/>
              <w:spacing w:after="0" w:line="112" w:lineRule="exact"/>
              <w:rPr>
                <w:sz w:val="20"/>
                <w:szCs w:val="20"/>
                <w:color w:val="auto"/>
              </w:rPr>
            </w:pPr>
            <w:r>
              <w:rPr>
                <w:rFonts w:ascii="Arial" w:cs="Arial" w:eastAsia="Arial" w:hAnsi="Arial"/>
                <w:sz w:val="10"/>
                <w:szCs w:val="10"/>
                <w:color w:val="auto"/>
                <w:w w:val="98"/>
              </w:rPr>
              <w:t>(805,053)</w:t>
            </w:r>
          </w:p>
        </w:tc>
        <w:tc>
          <w:tcPr>
            <w:tcW w:w="78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8"/>
              </w:rPr>
              <w:t>(936,160)</w:t>
            </w:r>
          </w:p>
        </w:tc>
        <w:tc>
          <w:tcPr>
            <w:tcW w:w="520" w:type="dxa"/>
            <w:vAlign w:val="bottom"/>
          </w:tcPr>
          <w:p>
            <w:pPr>
              <w:jc w:val="center"/>
              <w:spacing w:after="0" w:line="112" w:lineRule="exact"/>
              <w:rPr>
                <w:sz w:val="20"/>
                <w:szCs w:val="20"/>
                <w:color w:val="auto"/>
              </w:rPr>
            </w:pPr>
            <w:r>
              <w:rPr>
                <w:rFonts w:ascii="Arial" w:cs="Arial" w:eastAsia="Arial" w:hAnsi="Arial"/>
                <w:sz w:val="10"/>
                <w:szCs w:val="10"/>
                <w:color w:val="auto"/>
                <w:w w:val="98"/>
              </w:rPr>
              <w:t>16.3%</w:t>
            </w:r>
          </w:p>
        </w:tc>
        <w:tc>
          <w:tcPr>
            <w:tcW w:w="5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6"/>
              </w:rPr>
              <w:t>4.1%</w:t>
            </w:r>
          </w:p>
        </w:tc>
        <w:tc>
          <w:tcPr>
            <w:tcW w:w="740" w:type="dxa"/>
            <w:vAlign w:val="bottom"/>
          </w:tcPr>
          <w:p>
            <w:pPr>
              <w:jc w:val="center"/>
              <w:ind w:left="111"/>
              <w:spacing w:after="0" w:line="112" w:lineRule="exact"/>
              <w:rPr>
                <w:sz w:val="20"/>
                <w:szCs w:val="20"/>
                <w:color w:val="auto"/>
              </w:rPr>
            </w:pPr>
            <w:r>
              <w:rPr>
                <w:rFonts w:ascii="Arial" w:cs="Arial" w:eastAsia="Arial" w:hAnsi="Arial"/>
                <w:sz w:val="10"/>
                <w:szCs w:val="10"/>
                <w:color w:val="auto"/>
                <w:w w:val="97"/>
              </w:rPr>
              <w:t>(2,968,543)</w:t>
            </w:r>
          </w:p>
        </w:tc>
        <w:tc>
          <w:tcPr>
            <w:tcW w:w="1100" w:type="dxa"/>
            <w:vAlign w:val="bottom"/>
            <w:tcBorders>
              <w:right w:val="single" w:sz="8" w:color="auto"/>
            </w:tcBorders>
          </w:tcPr>
          <w:p>
            <w:pPr>
              <w:jc w:val="center"/>
              <w:ind w:left="111"/>
              <w:spacing w:after="0" w:line="112" w:lineRule="exact"/>
              <w:rPr>
                <w:sz w:val="20"/>
                <w:szCs w:val="20"/>
                <w:color w:val="auto"/>
              </w:rPr>
            </w:pPr>
            <w:r>
              <w:rPr>
                <w:rFonts w:ascii="Arial" w:cs="Arial" w:eastAsia="Arial" w:hAnsi="Arial"/>
                <w:sz w:val="10"/>
                <w:szCs w:val="10"/>
                <w:color w:val="auto"/>
                <w:w w:val="97"/>
              </w:rPr>
              <w:t>(3,102,808)</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6"/>
              </w:rPr>
              <w:t>4.5%</w:t>
            </w:r>
          </w:p>
        </w:tc>
      </w:tr>
      <w:tr>
        <w:trPr>
          <w:trHeight w:val="132"/>
        </w:trPr>
        <w:tc>
          <w:tcPr>
            <w:tcW w:w="5100" w:type="dxa"/>
            <w:vAlign w:val="bottom"/>
            <w:tcBorders>
              <w:left w:val="single" w:sz="8" w:color="auto"/>
              <w:right w:val="single" w:sz="8" w:color="auto"/>
            </w:tcBorders>
          </w:tcPr>
          <w:p>
            <w:pPr>
              <w:ind w:left="160"/>
              <w:spacing w:after="0" w:line="132" w:lineRule="exact"/>
              <w:rPr>
                <w:sz w:val="20"/>
                <w:szCs w:val="20"/>
                <w:color w:val="auto"/>
              </w:rPr>
            </w:pPr>
            <w:r>
              <w:rPr>
                <w:rFonts w:ascii="Arial" w:cs="Arial" w:eastAsia="Arial" w:hAnsi="Arial"/>
                <w:sz w:val="9"/>
                <w:szCs w:val="9"/>
                <w:color w:val="auto"/>
              </w:rPr>
              <w:t xml:space="preserve">Depreciation and amortization </w:t>
            </w:r>
            <w:r>
              <w:rPr>
                <w:rFonts w:ascii="Arial" w:cs="Arial" w:eastAsia="Arial" w:hAnsi="Arial"/>
                <w:sz w:val="15"/>
                <w:szCs w:val="15"/>
                <w:color w:val="auto"/>
                <w:vertAlign w:val="superscript"/>
              </w:rPr>
              <w:t>(2)</w:t>
            </w:r>
          </w:p>
        </w:tc>
        <w:tc>
          <w:tcPr>
            <w:tcW w:w="760" w:type="dxa"/>
            <w:vAlign w:val="bottom"/>
          </w:tcPr>
          <w:p>
            <w:pPr>
              <w:jc w:val="center"/>
              <w:spacing w:after="0"/>
              <w:rPr>
                <w:sz w:val="20"/>
                <w:szCs w:val="20"/>
                <w:color w:val="auto"/>
              </w:rPr>
            </w:pPr>
            <w:r>
              <w:rPr>
                <w:rFonts w:ascii="Arial" w:cs="Arial" w:eastAsia="Arial" w:hAnsi="Arial"/>
                <w:sz w:val="10"/>
                <w:szCs w:val="10"/>
                <w:color w:val="auto"/>
              </w:rPr>
              <w:t>(154,731)</w:t>
            </w:r>
          </w:p>
        </w:tc>
        <w:tc>
          <w:tcPr>
            <w:tcW w:w="780" w:type="dxa"/>
            <w:vAlign w:val="bottom"/>
          </w:tcPr>
          <w:p>
            <w:pPr>
              <w:jc w:val="center"/>
              <w:spacing w:after="0"/>
              <w:rPr>
                <w:sz w:val="20"/>
                <w:szCs w:val="20"/>
                <w:color w:val="auto"/>
              </w:rPr>
            </w:pPr>
            <w:r>
              <w:rPr>
                <w:rFonts w:ascii="Arial" w:cs="Arial" w:eastAsia="Arial" w:hAnsi="Arial"/>
                <w:sz w:val="10"/>
                <w:szCs w:val="10"/>
                <w:color w:val="auto"/>
                <w:w w:val="98"/>
              </w:rPr>
              <w:t>(181,978)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(186,914)</w:t>
            </w:r>
          </w:p>
        </w:tc>
        <w:tc>
          <w:tcPr>
            <w:tcW w:w="520" w:type="dxa"/>
            <w:vAlign w:val="bottom"/>
          </w:tcPr>
          <w:p>
            <w:pPr>
              <w:jc w:val="center"/>
              <w:spacing w:after="0"/>
              <w:rPr>
                <w:sz w:val="20"/>
                <w:szCs w:val="20"/>
                <w:color w:val="auto"/>
              </w:rPr>
            </w:pPr>
            <w:r>
              <w:rPr>
                <w:rFonts w:ascii="Arial" w:cs="Arial" w:eastAsia="Arial" w:hAnsi="Arial"/>
                <w:sz w:val="10"/>
                <w:szCs w:val="10"/>
                <w:color w:val="auto"/>
              </w:rPr>
              <w:t>2.7%</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20.8%</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8"/>
              </w:rPr>
              <w:t>(583,990)</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8"/>
              </w:rPr>
              <w:t>(713,048)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22.1%</w:t>
            </w:r>
          </w:p>
        </w:tc>
      </w:tr>
      <w:tr>
        <w:trPr>
          <w:trHeight w:val="119"/>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Other expenses</w:t>
            </w:r>
          </w:p>
        </w:tc>
        <w:tc>
          <w:tcPr>
            <w:tcW w:w="760" w:type="dxa"/>
            <w:vAlign w:val="bottom"/>
          </w:tcPr>
          <w:p>
            <w:pPr>
              <w:jc w:val="center"/>
              <w:spacing w:after="0"/>
              <w:rPr>
                <w:sz w:val="20"/>
                <w:szCs w:val="20"/>
                <w:color w:val="auto"/>
              </w:rPr>
            </w:pPr>
            <w:r>
              <w:rPr>
                <w:rFonts w:ascii="Arial" w:cs="Arial" w:eastAsia="Arial" w:hAnsi="Arial"/>
                <w:sz w:val="10"/>
                <w:szCs w:val="10"/>
                <w:color w:val="auto"/>
              </w:rPr>
              <w:t>(104,374)</w:t>
            </w:r>
          </w:p>
        </w:tc>
        <w:tc>
          <w:tcPr>
            <w:tcW w:w="780" w:type="dxa"/>
            <w:vAlign w:val="bottom"/>
          </w:tcPr>
          <w:p>
            <w:pPr>
              <w:jc w:val="center"/>
              <w:spacing w:after="0"/>
              <w:rPr>
                <w:sz w:val="20"/>
                <w:szCs w:val="20"/>
                <w:color w:val="auto"/>
              </w:rPr>
            </w:pPr>
            <w:r>
              <w:rPr>
                <w:rFonts w:ascii="Arial" w:cs="Arial" w:eastAsia="Arial" w:hAnsi="Arial"/>
                <w:sz w:val="10"/>
                <w:szCs w:val="10"/>
                <w:color w:val="auto"/>
              </w:rPr>
              <w:t>(55,223)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(71,464)</w:t>
            </w:r>
          </w:p>
        </w:tc>
        <w:tc>
          <w:tcPr>
            <w:tcW w:w="520" w:type="dxa"/>
            <w:vAlign w:val="bottom"/>
          </w:tcPr>
          <w:p>
            <w:pPr>
              <w:jc w:val="center"/>
              <w:spacing w:after="0"/>
              <w:rPr>
                <w:sz w:val="20"/>
                <w:szCs w:val="20"/>
                <w:color w:val="auto"/>
              </w:rPr>
            </w:pPr>
            <w:r>
              <w:rPr>
                <w:rFonts w:ascii="Arial" w:cs="Arial" w:eastAsia="Arial" w:hAnsi="Arial"/>
                <w:sz w:val="10"/>
                <w:szCs w:val="10"/>
                <w:color w:val="auto"/>
                <w:w w:val="98"/>
              </w:rPr>
              <w:t>29.4%</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-31.5%</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8"/>
              </w:rPr>
              <w:t>(283,169)</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8"/>
              </w:rPr>
              <w:t>(237,305)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-16.2%</w:t>
            </w:r>
          </w:p>
        </w:tc>
      </w:tr>
      <w:tr>
        <w:trPr>
          <w:trHeight w:val="140"/>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Total expenses</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(2,132,324)</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7"/>
              </w:rPr>
              <w:t>(2,001,086)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(2,211,254)</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8"/>
              </w:rPr>
              <w:t>10.5%</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3.7%</w:t>
            </w:r>
          </w:p>
        </w:tc>
        <w:tc>
          <w:tcPr>
            <w:tcW w:w="740" w:type="dxa"/>
            <w:vAlign w:val="bottom"/>
          </w:tcPr>
          <w:p>
            <w:pPr>
              <w:jc w:val="center"/>
              <w:ind w:left="111"/>
              <w:spacing w:after="0"/>
              <w:rPr>
                <w:sz w:val="20"/>
                <w:szCs w:val="20"/>
                <w:color w:val="auto"/>
              </w:rPr>
            </w:pPr>
            <w:r>
              <w:rPr>
                <w:rFonts w:ascii="Arial" w:cs="Arial" w:eastAsia="Arial" w:hAnsi="Arial"/>
                <w:sz w:val="10"/>
                <w:szCs w:val="10"/>
                <w:b w:val="1"/>
                <w:bCs w:val="1"/>
                <w:color w:val="auto"/>
                <w:w w:val="97"/>
              </w:rPr>
              <w:t>(7,276,961)</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b w:val="1"/>
                <w:bCs w:val="1"/>
                <w:color w:val="auto"/>
                <w:w w:val="97"/>
              </w:rPr>
              <w:t>(7,959,954)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9.4%</w:t>
            </w:r>
          </w:p>
        </w:tc>
      </w:tr>
      <w:tr>
        <w:trPr>
          <w:trHeight w:val="243"/>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Profit before income tax</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1,792,252</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98"/>
              </w:rPr>
              <w:t>2,180,807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2,174,513</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9"/>
              </w:rPr>
              <w:t>-0.3%</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21.3%</w:t>
            </w:r>
          </w:p>
        </w:tc>
        <w:tc>
          <w:tcPr>
            <w:tcW w:w="74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7,164,822</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b w:val="1"/>
                <w:bCs w:val="1"/>
                <w:color w:val="auto"/>
                <w:w w:val="98"/>
              </w:rPr>
              <w:t>8,817,881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23.1%</w:t>
            </w:r>
          </w:p>
        </w:tc>
      </w:tr>
      <w:tr>
        <w:trPr>
          <w:trHeight w:val="239"/>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Income tax</w:t>
            </w:r>
          </w:p>
        </w:tc>
        <w:tc>
          <w:tcPr>
            <w:tcW w:w="760" w:type="dxa"/>
            <w:vAlign w:val="bottom"/>
          </w:tcPr>
          <w:p>
            <w:pPr>
              <w:jc w:val="center"/>
              <w:spacing w:after="0"/>
              <w:rPr>
                <w:sz w:val="20"/>
                <w:szCs w:val="20"/>
                <w:color w:val="auto"/>
              </w:rPr>
            </w:pPr>
            <w:r>
              <w:rPr>
                <w:rFonts w:ascii="Arial" w:cs="Arial" w:eastAsia="Arial" w:hAnsi="Arial"/>
                <w:sz w:val="10"/>
                <w:szCs w:val="10"/>
                <w:color w:val="auto"/>
              </w:rPr>
              <w:t>(517,677)</w:t>
            </w:r>
          </w:p>
        </w:tc>
        <w:tc>
          <w:tcPr>
            <w:tcW w:w="780" w:type="dxa"/>
            <w:vAlign w:val="bottom"/>
          </w:tcPr>
          <w:p>
            <w:pPr>
              <w:jc w:val="center"/>
              <w:spacing w:after="0"/>
              <w:rPr>
                <w:sz w:val="20"/>
                <w:szCs w:val="20"/>
                <w:color w:val="auto"/>
              </w:rPr>
            </w:pPr>
            <w:r>
              <w:rPr>
                <w:rFonts w:ascii="Arial" w:cs="Arial" w:eastAsia="Arial" w:hAnsi="Arial"/>
                <w:sz w:val="10"/>
                <w:szCs w:val="10"/>
                <w:color w:val="auto"/>
                <w:w w:val="98"/>
              </w:rPr>
              <w:t>(577,612)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(613,892)</w:t>
            </w:r>
          </w:p>
        </w:tc>
        <w:tc>
          <w:tcPr>
            <w:tcW w:w="520" w:type="dxa"/>
            <w:vAlign w:val="bottom"/>
          </w:tcPr>
          <w:p>
            <w:pPr>
              <w:jc w:val="center"/>
              <w:spacing w:after="0"/>
              <w:rPr>
                <w:sz w:val="20"/>
                <w:szCs w:val="20"/>
                <w:color w:val="auto"/>
              </w:rPr>
            </w:pPr>
            <w:r>
              <w:rPr>
                <w:rFonts w:ascii="Arial" w:cs="Arial" w:eastAsia="Arial" w:hAnsi="Arial"/>
                <w:sz w:val="10"/>
                <w:szCs w:val="10"/>
                <w:color w:val="auto"/>
              </w:rPr>
              <w:t>6.3%</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18.6%</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7"/>
              </w:rPr>
              <w:t>(1,853,018)</w:t>
            </w:r>
          </w:p>
        </w:tc>
        <w:tc>
          <w:tcPr>
            <w:tcW w:w="1100" w:type="dxa"/>
            <w:vAlign w:val="bottom"/>
            <w:tcBorders>
              <w:right w:val="single" w:sz="8" w:color="auto"/>
            </w:tcBorders>
          </w:tcPr>
          <w:p>
            <w:pPr>
              <w:jc w:val="center"/>
              <w:ind w:left="111"/>
              <w:spacing w:after="0"/>
              <w:rPr>
                <w:sz w:val="20"/>
                <w:szCs w:val="20"/>
                <w:color w:val="auto"/>
              </w:rPr>
            </w:pPr>
            <w:r>
              <w:rPr>
                <w:rFonts w:ascii="Arial" w:cs="Arial" w:eastAsia="Arial" w:hAnsi="Arial"/>
                <w:sz w:val="10"/>
                <w:szCs w:val="10"/>
                <w:color w:val="auto"/>
                <w:w w:val="97"/>
              </w:rPr>
              <w:t>(2,317,311)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25.1%</w:t>
            </w:r>
          </w:p>
        </w:tc>
      </w:tr>
      <w:tr>
        <w:trPr>
          <w:trHeight w:val="231"/>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Net profit</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1,274,575</w:t>
            </w:r>
          </w:p>
        </w:tc>
        <w:tc>
          <w:tcPr>
            <w:tcW w:w="780" w:type="dxa"/>
            <w:vAlign w:val="bottom"/>
          </w:tcPr>
          <w:p>
            <w:pPr>
              <w:jc w:val="center"/>
              <w:spacing w:after="0"/>
              <w:rPr>
                <w:sz w:val="20"/>
                <w:szCs w:val="20"/>
                <w:color w:val="auto"/>
              </w:rPr>
            </w:pPr>
            <w:r>
              <w:rPr>
                <w:rFonts w:ascii="Arial" w:cs="Arial" w:eastAsia="Arial" w:hAnsi="Arial"/>
                <w:sz w:val="10"/>
                <w:szCs w:val="10"/>
                <w:color w:val="auto"/>
                <w:w w:val="98"/>
              </w:rPr>
              <w:t>1,603,195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1,560,621</w:t>
            </w:r>
          </w:p>
        </w:tc>
        <w:tc>
          <w:tcPr>
            <w:tcW w:w="520" w:type="dxa"/>
            <w:vAlign w:val="bottom"/>
          </w:tcPr>
          <w:p>
            <w:pPr>
              <w:jc w:val="center"/>
              <w:spacing w:after="0"/>
              <w:rPr>
                <w:sz w:val="20"/>
                <w:szCs w:val="20"/>
                <w:color w:val="auto"/>
              </w:rPr>
            </w:pPr>
            <w:r>
              <w:rPr>
                <w:rFonts w:ascii="Arial" w:cs="Arial" w:eastAsia="Arial" w:hAnsi="Arial"/>
                <w:sz w:val="10"/>
                <w:szCs w:val="10"/>
                <w:color w:val="auto"/>
                <w:w w:val="99"/>
              </w:rPr>
              <w:t>-2.7%</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22.4%</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w w:val="94"/>
              </w:rPr>
              <w:t>5,311,804</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color w:val="auto"/>
                <w:w w:val="98"/>
              </w:rPr>
              <w:t>6,500,570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22.4%</w:t>
            </w:r>
          </w:p>
        </w:tc>
      </w:tr>
      <w:tr>
        <w:trPr>
          <w:trHeight w:val="119"/>
        </w:trPr>
        <w:tc>
          <w:tcPr>
            <w:tcW w:w="5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0"/>
                <w:szCs w:val="10"/>
                <w:color w:val="auto"/>
              </w:rPr>
              <w:t>Non-controlling interest</w:t>
            </w:r>
          </w:p>
        </w:tc>
        <w:tc>
          <w:tcPr>
            <w:tcW w:w="760" w:type="dxa"/>
            <w:vAlign w:val="bottom"/>
          </w:tcPr>
          <w:p>
            <w:pPr>
              <w:jc w:val="center"/>
              <w:spacing w:after="0"/>
              <w:rPr>
                <w:sz w:val="20"/>
                <w:szCs w:val="20"/>
                <w:color w:val="auto"/>
              </w:rPr>
            </w:pPr>
            <w:r>
              <w:rPr>
                <w:rFonts w:ascii="Arial" w:cs="Arial" w:eastAsia="Arial" w:hAnsi="Arial"/>
                <w:sz w:val="10"/>
                <w:szCs w:val="10"/>
                <w:color w:val="auto"/>
              </w:rPr>
              <w:t>(5,867)</w:t>
            </w:r>
          </w:p>
        </w:tc>
        <w:tc>
          <w:tcPr>
            <w:tcW w:w="780" w:type="dxa"/>
            <w:vAlign w:val="bottom"/>
          </w:tcPr>
          <w:p>
            <w:pPr>
              <w:jc w:val="center"/>
              <w:spacing w:after="0"/>
              <w:rPr>
                <w:sz w:val="20"/>
                <w:szCs w:val="20"/>
                <w:color w:val="auto"/>
              </w:rPr>
            </w:pPr>
            <w:r>
              <w:rPr>
                <w:rFonts w:ascii="Arial" w:cs="Arial" w:eastAsia="Arial" w:hAnsi="Arial"/>
                <w:sz w:val="10"/>
                <w:szCs w:val="10"/>
                <w:color w:val="auto"/>
                <w:w w:val="94"/>
              </w:rPr>
              <w:t>(6,114)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(6,856)</w:t>
            </w:r>
          </w:p>
        </w:tc>
        <w:tc>
          <w:tcPr>
            <w:tcW w:w="520" w:type="dxa"/>
            <w:vAlign w:val="bottom"/>
          </w:tcPr>
          <w:p>
            <w:pPr>
              <w:jc w:val="center"/>
              <w:spacing w:after="0"/>
              <w:rPr>
                <w:sz w:val="20"/>
                <w:szCs w:val="20"/>
                <w:color w:val="auto"/>
              </w:rPr>
            </w:pPr>
            <w:r>
              <w:rPr>
                <w:rFonts w:ascii="Arial" w:cs="Arial" w:eastAsia="Arial" w:hAnsi="Arial"/>
                <w:sz w:val="10"/>
                <w:szCs w:val="10"/>
                <w:color w:val="auto"/>
                <w:w w:val="98"/>
              </w:rPr>
              <w:t>12.1%</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16.9%</w:t>
            </w:r>
          </w:p>
        </w:tc>
        <w:tc>
          <w:tcPr>
            <w:tcW w:w="740" w:type="dxa"/>
            <w:vAlign w:val="bottom"/>
          </w:tcPr>
          <w:p>
            <w:pPr>
              <w:jc w:val="center"/>
              <w:ind w:left="111"/>
              <w:spacing w:after="0"/>
              <w:rPr>
                <w:sz w:val="20"/>
                <w:szCs w:val="20"/>
                <w:color w:val="auto"/>
              </w:rPr>
            </w:pPr>
            <w:r>
              <w:rPr>
                <w:rFonts w:ascii="Arial" w:cs="Arial" w:eastAsia="Arial" w:hAnsi="Arial"/>
                <w:sz w:val="10"/>
                <w:szCs w:val="10"/>
                <w:color w:val="auto"/>
              </w:rPr>
              <w:t>(15,418)</w:t>
            </w:r>
          </w:p>
        </w:tc>
        <w:tc>
          <w:tcPr>
            <w:tcW w:w="1100" w:type="dxa"/>
            <w:vAlign w:val="bottom"/>
            <w:tcBorders>
              <w:right w:val="single" w:sz="8" w:color="auto"/>
            </w:tcBorders>
          </w:tcPr>
          <w:p>
            <w:pPr>
              <w:jc w:val="center"/>
              <w:ind w:left="91"/>
              <w:spacing w:after="0"/>
              <w:rPr>
                <w:sz w:val="20"/>
                <w:szCs w:val="20"/>
                <w:color w:val="auto"/>
              </w:rPr>
            </w:pPr>
            <w:r>
              <w:rPr>
                <w:rFonts w:ascii="Arial" w:cs="Arial" w:eastAsia="Arial" w:hAnsi="Arial"/>
                <w:sz w:val="10"/>
                <w:szCs w:val="10"/>
                <w:color w:val="auto"/>
                <w:w w:val="96"/>
              </w:rPr>
              <w:t>(22,826)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48.0%</w:t>
            </w:r>
          </w:p>
        </w:tc>
      </w:tr>
      <w:tr>
        <w:trPr>
          <w:trHeight w:val="131"/>
        </w:trPr>
        <w:tc>
          <w:tcPr>
            <w:tcW w:w="51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Net profit attributable to BCP Consolidated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1,268,708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1,597,081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1,553,765</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-2.7%</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22.5%</w:t>
            </w:r>
          </w:p>
        </w:tc>
        <w:tc>
          <w:tcPr>
            <w:tcW w:w="74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b w:val="1"/>
                <w:bCs w:val="1"/>
                <w:color w:val="auto"/>
                <w:w w:val="98"/>
              </w:rPr>
              <w:t>5,296,386</w:t>
            </w:r>
          </w:p>
        </w:tc>
        <w:tc>
          <w:tcPr>
            <w:tcW w:w="1100" w:type="dxa"/>
            <w:vAlign w:val="bottom"/>
            <w:tcBorders>
              <w:bottom w:val="single" w:sz="8" w:color="auto"/>
              <w:right w:val="single" w:sz="8" w:color="auto"/>
            </w:tcBorders>
          </w:tcPr>
          <w:p>
            <w:pPr>
              <w:jc w:val="center"/>
              <w:ind w:left="91"/>
              <w:spacing w:after="0"/>
              <w:rPr>
                <w:sz w:val="20"/>
                <w:szCs w:val="20"/>
                <w:color w:val="auto"/>
              </w:rPr>
            </w:pPr>
            <w:r>
              <w:rPr>
                <w:rFonts w:ascii="Arial" w:cs="Arial" w:eastAsia="Arial" w:hAnsi="Arial"/>
                <w:sz w:val="10"/>
                <w:szCs w:val="10"/>
                <w:b w:val="1"/>
                <w:bCs w:val="1"/>
                <w:color w:val="auto"/>
                <w:w w:val="98"/>
              </w:rPr>
              <w:t>6,477,744</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22.3%</w:t>
            </w:r>
          </w:p>
        </w:tc>
      </w:tr>
    </w:tbl>
    <w:p>
      <w:pPr>
        <w:ind w:left="1300" w:hanging="173"/>
        <w:spacing w:after="0"/>
        <w:tabs>
          <w:tab w:leader="none" w:pos="13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Financing expenses related to lease agreements are included according to the application of IFRS 16.</w:t>
      </w:r>
    </w:p>
    <w:p>
      <w:pPr>
        <w:ind w:left="1300" w:hanging="173"/>
        <w:spacing w:after="0"/>
        <w:tabs>
          <w:tab w:leader="none" w:pos="13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effect of the application of IFRS 16 is included, which corresponds to a greater depreciation for the asset for right-of-use”.</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Selected Financial Indicators</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98"/>
        </w:trPr>
        <w:tc>
          <w:tcPr>
            <w:tcW w:w="394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900" w:type="dxa"/>
            <w:vAlign w:val="bottom"/>
            <w:tcBorders>
              <w:top w:val="single" w:sz="8" w:color="auto"/>
            </w:tcBorders>
            <w:shd w:val="clear" w:color="auto" w:fill="2AD2C9"/>
          </w:tcPr>
          <w:p>
            <w:pPr>
              <w:spacing w:after="0"/>
              <w:rPr>
                <w:sz w:val="8"/>
                <w:szCs w:val="8"/>
                <w:color w:val="auto"/>
              </w:rPr>
            </w:pPr>
          </w:p>
        </w:tc>
        <w:tc>
          <w:tcPr>
            <w:tcW w:w="940" w:type="dxa"/>
            <w:vAlign w:val="bottom"/>
            <w:tcBorders>
              <w:top w:val="single" w:sz="8" w:color="auto"/>
            </w:tcBorders>
            <w:shd w:val="clear" w:color="auto" w:fill="2AD2C9"/>
          </w:tcPr>
          <w:p>
            <w:pPr>
              <w:ind w:left="280"/>
              <w:spacing w:after="0" w:line="98" w:lineRule="exact"/>
              <w:rPr>
                <w:sz w:val="20"/>
                <w:szCs w:val="20"/>
                <w:color w:val="auto"/>
              </w:rPr>
            </w:pPr>
            <w:r>
              <w:rPr>
                <w:rFonts w:ascii="Arial" w:cs="Arial" w:eastAsia="Arial" w:hAnsi="Arial"/>
                <w:sz w:val="11"/>
                <w:szCs w:val="11"/>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8"/>
                <w:szCs w:val="8"/>
                <w:color w:val="auto"/>
              </w:rPr>
            </w:pPr>
          </w:p>
        </w:tc>
        <w:tc>
          <w:tcPr>
            <w:tcW w:w="660" w:type="dxa"/>
            <w:vAlign w:val="bottom"/>
            <w:tcBorders>
              <w:top w:val="single" w:sz="8" w:color="auto"/>
            </w:tcBorders>
            <w:shd w:val="clear" w:color="auto" w:fill="2AD2C9"/>
          </w:tcPr>
          <w:p>
            <w:pPr>
              <w:spacing w:after="0"/>
              <w:rPr>
                <w:sz w:val="8"/>
                <w:szCs w:val="8"/>
                <w:color w:val="auto"/>
              </w:rPr>
            </w:pPr>
          </w:p>
        </w:tc>
        <w:tc>
          <w:tcPr>
            <w:tcW w:w="1140" w:type="dxa"/>
            <w:vAlign w:val="bottom"/>
            <w:tcBorders>
              <w:top w:val="single" w:sz="8" w:color="auto"/>
              <w:right w:val="single" w:sz="8" w:color="auto"/>
            </w:tcBorders>
            <w:shd w:val="clear" w:color="auto" w:fill="2AD2C9"/>
          </w:tcPr>
          <w:p>
            <w:pPr>
              <w:ind w:left="20"/>
              <w:spacing w:after="0" w:line="98" w:lineRule="exact"/>
              <w:rPr>
                <w:sz w:val="20"/>
                <w:szCs w:val="20"/>
                <w:color w:val="auto"/>
              </w:rPr>
            </w:pPr>
            <w:r>
              <w:rPr>
                <w:rFonts w:ascii="Arial" w:cs="Arial" w:eastAsia="Arial" w:hAnsi="Arial"/>
                <w:sz w:val="11"/>
                <w:szCs w:val="11"/>
                <w:b w:val="1"/>
                <w:bCs w:val="1"/>
                <w:color w:val="FFFFFF"/>
              </w:rPr>
              <w:t>Change</w:t>
            </w:r>
          </w:p>
        </w:tc>
        <w:tc>
          <w:tcPr>
            <w:tcW w:w="700" w:type="dxa"/>
            <w:vAlign w:val="bottom"/>
            <w:tcBorders>
              <w:top w:val="single" w:sz="8" w:color="auto"/>
            </w:tcBorders>
            <w:shd w:val="clear" w:color="auto" w:fill="2AD2C9"/>
          </w:tcPr>
          <w:p>
            <w:pPr>
              <w:spacing w:after="0"/>
              <w:rPr>
                <w:sz w:val="8"/>
                <w:szCs w:val="8"/>
                <w:color w:val="auto"/>
              </w:rPr>
            </w:pPr>
          </w:p>
        </w:tc>
        <w:tc>
          <w:tcPr>
            <w:tcW w:w="1140" w:type="dxa"/>
            <w:vAlign w:val="bottom"/>
            <w:tcBorders>
              <w:top w:val="single" w:sz="8" w:color="auto"/>
              <w:right w:val="single" w:sz="8" w:color="auto"/>
            </w:tcBorders>
            <w:shd w:val="clear" w:color="auto" w:fill="2AD2C9"/>
          </w:tcPr>
          <w:p>
            <w:pPr>
              <w:ind w:left="60"/>
              <w:spacing w:after="0" w:line="98" w:lineRule="exact"/>
              <w:rPr>
                <w:sz w:val="20"/>
                <w:szCs w:val="20"/>
                <w:color w:val="auto"/>
              </w:rPr>
            </w:pPr>
            <w:r>
              <w:rPr>
                <w:rFonts w:ascii="Arial" w:cs="Arial" w:eastAsia="Arial" w:hAnsi="Arial"/>
                <w:sz w:val="11"/>
                <w:szCs w:val="11"/>
                <w:b w:val="1"/>
                <w:bCs w:val="1"/>
                <w:color w:val="FFFFFF"/>
              </w:rPr>
              <w:t>Up to</w:t>
            </w:r>
          </w:p>
        </w:tc>
        <w:tc>
          <w:tcPr>
            <w:tcW w:w="920" w:type="dxa"/>
            <w:vAlign w:val="bottom"/>
            <w:tcBorders>
              <w:top w:val="single" w:sz="8" w:color="auto"/>
              <w:right w:val="single" w:sz="8" w:color="auto"/>
            </w:tcBorders>
            <w:shd w:val="clear" w:color="auto" w:fill="2AD2C9"/>
          </w:tcPr>
          <w:p>
            <w:pPr>
              <w:jc w:val="center"/>
              <w:spacing w:after="0" w:line="98" w:lineRule="exact"/>
              <w:rPr>
                <w:sz w:val="20"/>
                <w:szCs w:val="20"/>
                <w:color w:val="auto"/>
              </w:rPr>
            </w:pPr>
            <w:r>
              <w:rPr>
                <w:rFonts w:ascii="Arial" w:cs="Arial" w:eastAsia="Arial" w:hAnsi="Arial"/>
                <w:sz w:val="11"/>
                <w:szCs w:val="11"/>
                <w:b w:val="1"/>
                <w:bCs w:val="1"/>
                <w:color w:val="FFFFFF"/>
                <w:w w:val="99"/>
              </w:rPr>
              <w:t>Change</w:t>
            </w:r>
          </w:p>
        </w:tc>
      </w:tr>
      <w:tr>
        <w:trPr>
          <w:trHeight w:val="139"/>
        </w:trPr>
        <w:tc>
          <w:tcPr>
            <w:tcW w:w="394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4Q24</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3Q25</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4Q25</w:t>
            </w:r>
          </w:p>
        </w:tc>
        <w:tc>
          <w:tcPr>
            <w:tcW w:w="660" w:type="dxa"/>
            <w:vAlign w:val="bottom"/>
            <w:tcBorders>
              <w:bottom w:val="single" w:sz="8" w:color="auto"/>
            </w:tcBorders>
            <w:shd w:val="clear" w:color="auto" w:fill="2AD2C9"/>
          </w:tcPr>
          <w:p>
            <w:pPr>
              <w:jc w:val="center"/>
              <w:ind w:left="166"/>
              <w:spacing w:after="0"/>
              <w:rPr>
                <w:sz w:val="20"/>
                <w:szCs w:val="20"/>
                <w:color w:val="auto"/>
              </w:rPr>
            </w:pPr>
            <w:r>
              <w:rPr>
                <w:rFonts w:ascii="Arial" w:cs="Arial" w:eastAsia="Arial" w:hAnsi="Arial"/>
                <w:sz w:val="11"/>
                <w:szCs w:val="11"/>
                <w:b w:val="1"/>
                <w:bCs w:val="1"/>
                <w:color w:val="FFFFFF"/>
              </w:rPr>
              <w:t>QoQ</w:t>
            </w:r>
          </w:p>
        </w:tc>
        <w:tc>
          <w:tcPr>
            <w:tcW w:w="1140" w:type="dxa"/>
            <w:vAlign w:val="bottom"/>
            <w:tcBorders>
              <w:bottom w:val="single" w:sz="8" w:color="auto"/>
              <w:right w:val="single" w:sz="8" w:color="auto"/>
            </w:tcBorders>
            <w:shd w:val="clear" w:color="auto" w:fill="2AD2C9"/>
          </w:tcPr>
          <w:p>
            <w:pPr>
              <w:jc w:val="center"/>
              <w:ind w:left="166"/>
              <w:spacing w:after="0"/>
              <w:rPr>
                <w:sz w:val="20"/>
                <w:szCs w:val="20"/>
                <w:color w:val="auto"/>
              </w:rPr>
            </w:pPr>
            <w:r>
              <w:rPr>
                <w:rFonts w:ascii="Arial" w:cs="Arial" w:eastAsia="Arial" w:hAnsi="Arial"/>
                <w:sz w:val="11"/>
                <w:szCs w:val="11"/>
                <w:b w:val="1"/>
                <w:bCs w:val="1"/>
                <w:color w:val="FFFFFF"/>
                <w:w w:val="93"/>
              </w:rPr>
              <w:t>YoY</w:t>
            </w:r>
          </w:p>
        </w:tc>
        <w:tc>
          <w:tcPr>
            <w:tcW w:w="700" w:type="dxa"/>
            <w:vAlign w:val="bottom"/>
            <w:tcBorders>
              <w:bottom w:val="single" w:sz="8" w:color="auto"/>
            </w:tcBorders>
            <w:shd w:val="clear" w:color="auto" w:fill="2AD2C9"/>
          </w:tcPr>
          <w:p>
            <w:pPr>
              <w:jc w:val="center"/>
              <w:ind w:left="126"/>
              <w:spacing w:after="0"/>
              <w:rPr>
                <w:sz w:val="20"/>
                <w:szCs w:val="20"/>
                <w:color w:val="auto"/>
              </w:rPr>
            </w:pPr>
            <w:r>
              <w:rPr>
                <w:rFonts w:ascii="Arial" w:cs="Arial" w:eastAsia="Arial" w:hAnsi="Arial"/>
                <w:sz w:val="11"/>
                <w:szCs w:val="11"/>
                <w:b w:val="1"/>
                <w:bCs w:val="1"/>
                <w:color w:val="FFFFFF"/>
                <w:w w:val="97"/>
              </w:rPr>
              <w:t>2024</w:t>
            </w:r>
          </w:p>
        </w:tc>
        <w:tc>
          <w:tcPr>
            <w:tcW w:w="1140" w:type="dxa"/>
            <w:vAlign w:val="bottom"/>
            <w:tcBorders>
              <w:bottom w:val="single" w:sz="8" w:color="auto"/>
              <w:right w:val="single" w:sz="8" w:color="auto"/>
            </w:tcBorders>
            <w:shd w:val="clear" w:color="auto" w:fill="2AD2C9"/>
          </w:tcPr>
          <w:p>
            <w:pPr>
              <w:jc w:val="center"/>
              <w:ind w:left="126"/>
              <w:spacing w:after="0"/>
              <w:rPr>
                <w:sz w:val="20"/>
                <w:szCs w:val="20"/>
                <w:color w:val="auto"/>
              </w:rPr>
            </w:pPr>
            <w:r>
              <w:rPr>
                <w:rFonts w:ascii="Arial" w:cs="Arial" w:eastAsia="Arial" w:hAnsi="Arial"/>
                <w:sz w:val="11"/>
                <w:szCs w:val="11"/>
                <w:b w:val="1"/>
                <w:bCs w:val="1"/>
                <w:color w:val="FFFFFF"/>
                <w:w w:val="97"/>
              </w:rPr>
              <w:t>2025</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2025 / 2024</w:t>
            </w:r>
          </w:p>
        </w:tc>
      </w:tr>
      <w:tr>
        <w:trPr>
          <w:trHeight w:val="91"/>
        </w:trPr>
        <w:tc>
          <w:tcPr>
            <w:tcW w:w="3940" w:type="dxa"/>
            <w:vAlign w:val="bottom"/>
            <w:tcBorders>
              <w:left w:val="single" w:sz="8" w:color="auto"/>
              <w:right w:val="single" w:sz="8" w:color="auto"/>
            </w:tcBorders>
          </w:tcPr>
          <w:p>
            <w:pPr>
              <w:spacing w:after="0" w:line="92" w:lineRule="exact"/>
              <w:rPr>
                <w:sz w:val="20"/>
                <w:szCs w:val="20"/>
                <w:color w:val="auto"/>
              </w:rPr>
            </w:pPr>
            <w:r>
              <w:rPr>
                <w:rFonts w:ascii="Arial" w:cs="Arial" w:eastAsia="Arial" w:hAnsi="Arial"/>
                <w:sz w:val="10"/>
                <w:szCs w:val="10"/>
                <w:b w:val="1"/>
                <w:bCs w:val="1"/>
                <w:color w:val="auto"/>
              </w:rPr>
              <w:t>Profitability</w:t>
            </w: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r>
      <w:tr>
        <w:trPr>
          <w:trHeight w:val="122"/>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4"/>
                <w:szCs w:val="14"/>
                <w:color w:val="auto"/>
                <w:vertAlign w:val="subscript"/>
              </w:rPr>
              <w:t>ROAA</w:t>
            </w:r>
            <w:r>
              <w:rPr>
                <w:rFonts w:ascii="Arial" w:cs="Arial" w:eastAsia="Arial" w:hAnsi="Arial"/>
                <w:sz w:val="7"/>
                <w:szCs w:val="7"/>
                <w:color w:val="auto"/>
              </w:rPr>
              <w:t xml:space="preserve"> (1)(2)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2.4%</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5"/>
              </w:rPr>
              <w:t>3.1%</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2.9%</w:t>
            </w:r>
          </w:p>
        </w:tc>
        <w:tc>
          <w:tcPr>
            <w:tcW w:w="66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7"/>
              </w:rPr>
              <w:t>-18 bps</w:t>
            </w:r>
          </w:p>
        </w:tc>
        <w:tc>
          <w:tcPr>
            <w:tcW w:w="1140" w:type="dxa"/>
            <w:vAlign w:val="bottom"/>
            <w:tcBorders>
              <w:right w:val="single" w:sz="8" w:color="auto"/>
            </w:tcBorders>
          </w:tcPr>
          <w:p>
            <w:pPr>
              <w:jc w:val="center"/>
              <w:ind w:left="166"/>
              <w:spacing w:after="0" w:line="122" w:lineRule="exact"/>
              <w:rPr>
                <w:sz w:val="20"/>
                <w:szCs w:val="20"/>
                <w:color w:val="auto"/>
              </w:rPr>
            </w:pPr>
            <w:r>
              <w:rPr>
                <w:rFonts w:ascii="Arial" w:cs="Arial" w:eastAsia="Arial" w:hAnsi="Arial"/>
                <w:sz w:val="11"/>
                <w:szCs w:val="11"/>
                <w:color w:val="auto"/>
                <w:w w:val="96"/>
              </w:rPr>
              <w:t>45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5"/>
              </w:rPr>
              <w:t>2.6%</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5"/>
              </w:rPr>
              <w:t>3.0%</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39 bps</w:t>
            </w:r>
          </w:p>
        </w:tc>
      </w:tr>
      <w:tr>
        <w:trPr>
          <w:trHeight w:val="121"/>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4"/>
                <w:szCs w:val="14"/>
                <w:color w:val="auto"/>
                <w:vertAlign w:val="subscript"/>
              </w:rPr>
              <w:t>ROAE</w:t>
            </w:r>
            <w:r>
              <w:rPr>
                <w:rFonts w:ascii="Arial" w:cs="Arial" w:eastAsia="Arial" w:hAnsi="Arial"/>
                <w:sz w:val="7"/>
                <w:szCs w:val="7"/>
                <w:color w:val="auto"/>
              </w:rPr>
              <w:t xml:space="preserve"> (1)(2)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19.8%</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24.9%</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22.6%</w:t>
            </w:r>
          </w:p>
        </w:tc>
        <w:tc>
          <w:tcPr>
            <w:tcW w:w="66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98"/>
              </w:rPr>
              <w:t>-222 bps</w:t>
            </w:r>
          </w:p>
        </w:tc>
        <w:tc>
          <w:tcPr>
            <w:tcW w:w="1140" w:type="dxa"/>
            <w:vAlign w:val="bottom"/>
            <w:tcBorders>
              <w:right w:val="single" w:sz="8" w:color="auto"/>
            </w:tcBorders>
          </w:tcPr>
          <w:p>
            <w:pPr>
              <w:jc w:val="center"/>
              <w:ind w:left="146"/>
              <w:spacing w:after="0" w:line="122" w:lineRule="exact"/>
              <w:rPr>
                <w:sz w:val="20"/>
                <w:szCs w:val="20"/>
                <w:color w:val="auto"/>
              </w:rPr>
            </w:pPr>
            <w:r>
              <w:rPr>
                <w:rFonts w:ascii="Arial" w:cs="Arial" w:eastAsia="Arial" w:hAnsi="Arial"/>
                <w:sz w:val="11"/>
                <w:szCs w:val="11"/>
                <w:color w:val="auto"/>
                <w:w w:val="96"/>
              </w:rPr>
              <w:t>287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20.8%</w:t>
            </w:r>
          </w:p>
        </w:tc>
        <w:tc>
          <w:tcPr>
            <w:tcW w:w="114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6"/>
              </w:rPr>
              <w:t>23.9%</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309 bps</w:t>
            </w:r>
          </w:p>
        </w:tc>
      </w:tr>
      <w:tr>
        <w:trPr>
          <w:trHeight w:val="122"/>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9"/>
                <w:szCs w:val="9"/>
                <w:color w:val="auto"/>
              </w:rPr>
              <w:t xml:space="preserve">Net interest margin </w:t>
            </w:r>
            <w:r>
              <w:rPr>
                <w:rFonts w:ascii="Arial" w:cs="Arial" w:eastAsia="Arial" w:hAnsi="Arial"/>
                <w:sz w:val="14"/>
                <w:szCs w:val="14"/>
                <w:color w:val="auto"/>
                <w:vertAlign w:val="superscript"/>
              </w:rPr>
              <w:t>(1)(2)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6.70%</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6.89%</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6.90%</w:t>
            </w:r>
          </w:p>
        </w:tc>
        <w:tc>
          <w:tcPr>
            <w:tcW w:w="660" w:type="dxa"/>
            <w:vAlign w:val="bottom"/>
          </w:tcPr>
          <w:p>
            <w:pPr>
              <w:jc w:val="center"/>
              <w:ind w:left="166"/>
              <w:spacing w:after="0" w:line="122" w:lineRule="exact"/>
              <w:rPr>
                <w:sz w:val="20"/>
                <w:szCs w:val="20"/>
                <w:color w:val="auto"/>
              </w:rPr>
            </w:pPr>
            <w:r>
              <w:rPr>
                <w:rFonts w:ascii="Arial" w:cs="Arial" w:eastAsia="Arial" w:hAnsi="Arial"/>
                <w:sz w:val="11"/>
                <w:szCs w:val="11"/>
                <w:color w:val="auto"/>
              </w:rPr>
              <w:t>1 bps</w:t>
            </w:r>
          </w:p>
        </w:tc>
        <w:tc>
          <w:tcPr>
            <w:tcW w:w="1140" w:type="dxa"/>
            <w:vAlign w:val="bottom"/>
            <w:tcBorders>
              <w:right w:val="single" w:sz="8" w:color="auto"/>
            </w:tcBorders>
          </w:tcPr>
          <w:p>
            <w:pPr>
              <w:jc w:val="center"/>
              <w:ind w:left="166"/>
              <w:spacing w:after="0" w:line="122" w:lineRule="exact"/>
              <w:rPr>
                <w:sz w:val="20"/>
                <w:szCs w:val="20"/>
                <w:color w:val="auto"/>
              </w:rPr>
            </w:pPr>
            <w:r>
              <w:rPr>
                <w:rFonts w:ascii="Arial" w:cs="Arial" w:eastAsia="Arial" w:hAnsi="Arial"/>
                <w:sz w:val="11"/>
                <w:szCs w:val="11"/>
                <w:color w:val="auto"/>
                <w:w w:val="96"/>
              </w:rPr>
              <w:t>20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6.69%</w:t>
            </w:r>
          </w:p>
        </w:tc>
        <w:tc>
          <w:tcPr>
            <w:tcW w:w="114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6"/>
              </w:rPr>
              <w:t>6.58%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-11 bps</w:t>
            </w:r>
          </w:p>
        </w:tc>
      </w:tr>
      <w:tr>
        <w:trPr>
          <w:trHeight w:val="121"/>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9"/>
                <w:szCs w:val="9"/>
                <w:color w:val="auto"/>
              </w:rPr>
              <w:t xml:space="preserve">Risk-adjusted Net interest margin </w:t>
            </w:r>
            <w:r>
              <w:rPr>
                <w:rFonts w:ascii="Arial" w:cs="Arial" w:eastAsia="Arial" w:hAnsi="Arial"/>
                <w:sz w:val="14"/>
                <w:szCs w:val="14"/>
                <w:color w:val="auto"/>
                <w:vertAlign w:val="superscript"/>
              </w:rPr>
              <w:t>(1)(2)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5.35%</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5.76%</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5.75%</w:t>
            </w:r>
          </w:p>
        </w:tc>
        <w:tc>
          <w:tcPr>
            <w:tcW w:w="66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97"/>
              </w:rPr>
              <w:t>-1 bps</w:t>
            </w:r>
          </w:p>
        </w:tc>
        <w:tc>
          <w:tcPr>
            <w:tcW w:w="1140" w:type="dxa"/>
            <w:vAlign w:val="bottom"/>
            <w:tcBorders>
              <w:right w:val="single" w:sz="8" w:color="auto"/>
            </w:tcBorders>
          </w:tcPr>
          <w:p>
            <w:pPr>
              <w:jc w:val="center"/>
              <w:ind w:left="166"/>
              <w:spacing w:after="0" w:line="122" w:lineRule="exact"/>
              <w:rPr>
                <w:sz w:val="20"/>
                <w:szCs w:val="20"/>
                <w:color w:val="auto"/>
              </w:rPr>
            </w:pPr>
            <w:r>
              <w:rPr>
                <w:rFonts w:ascii="Arial" w:cs="Arial" w:eastAsia="Arial" w:hAnsi="Arial"/>
                <w:sz w:val="11"/>
                <w:szCs w:val="11"/>
                <w:color w:val="auto"/>
                <w:w w:val="96"/>
              </w:rPr>
              <w:t>40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5.01%</w:t>
            </w:r>
          </w:p>
        </w:tc>
        <w:tc>
          <w:tcPr>
            <w:tcW w:w="114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6"/>
              </w:rPr>
              <w:t>5.51%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50 bps</w:t>
            </w:r>
          </w:p>
        </w:tc>
      </w:tr>
      <w:tr>
        <w:trPr>
          <w:trHeight w:val="241"/>
        </w:trPr>
        <w:tc>
          <w:tcPr>
            <w:tcW w:w="3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 xml:space="preserve">Funding cost </w:t>
            </w:r>
            <w:r>
              <w:rPr>
                <w:rFonts w:ascii="Arial" w:cs="Arial" w:eastAsia="Arial" w:hAnsi="Arial"/>
                <w:sz w:val="17"/>
                <w:szCs w:val="17"/>
                <w:color w:val="auto"/>
                <w:vertAlign w:val="superscript"/>
              </w:rPr>
              <w:t>(1)(2)(3)</w:t>
            </w:r>
          </w:p>
        </w:tc>
        <w:tc>
          <w:tcPr>
            <w:tcW w:w="900" w:type="dxa"/>
            <w:vAlign w:val="bottom"/>
          </w:tcPr>
          <w:p>
            <w:pPr>
              <w:jc w:val="center"/>
              <w:spacing w:after="0"/>
              <w:rPr>
                <w:sz w:val="20"/>
                <w:szCs w:val="20"/>
                <w:color w:val="auto"/>
              </w:rPr>
            </w:pPr>
            <w:r>
              <w:rPr>
                <w:rFonts w:ascii="Arial" w:cs="Arial" w:eastAsia="Arial" w:hAnsi="Arial"/>
                <w:sz w:val="11"/>
                <w:szCs w:val="11"/>
                <w:color w:val="auto"/>
              </w:rPr>
              <w:t>2.34%</w:t>
            </w:r>
          </w:p>
        </w:tc>
        <w:tc>
          <w:tcPr>
            <w:tcW w:w="940" w:type="dxa"/>
            <w:vAlign w:val="bottom"/>
          </w:tcPr>
          <w:p>
            <w:pPr>
              <w:jc w:val="center"/>
              <w:spacing w:after="0"/>
              <w:rPr>
                <w:sz w:val="20"/>
                <w:szCs w:val="20"/>
                <w:color w:val="auto"/>
              </w:rPr>
            </w:pPr>
            <w:r>
              <w:rPr>
                <w:rFonts w:ascii="Arial" w:cs="Arial" w:eastAsia="Arial" w:hAnsi="Arial"/>
                <w:sz w:val="11"/>
                <w:szCs w:val="11"/>
                <w:color w:val="auto"/>
              </w:rPr>
              <w:t>2.14%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2.08%</w:t>
            </w:r>
          </w:p>
        </w:tc>
        <w:tc>
          <w:tcPr>
            <w:tcW w:w="660" w:type="dxa"/>
            <w:vAlign w:val="bottom"/>
          </w:tcPr>
          <w:p>
            <w:pPr>
              <w:jc w:val="center"/>
              <w:ind w:left="146"/>
              <w:spacing w:after="0"/>
              <w:rPr>
                <w:sz w:val="20"/>
                <w:szCs w:val="20"/>
                <w:color w:val="auto"/>
              </w:rPr>
            </w:pPr>
            <w:r>
              <w:rPr>
                <w:rFonts w:ascii="Arial" w:cs="Arial" w:eastAsia="Arial" w:hAnsi="Arial"/>
                <w:sz w:val="11"/>
                <w:szCs w:val="11"/>
                <w:color w:val="auto"/>
                <w:w w:val="97"/>
              </w:rPr>
              <w:t>-5 bps</w:t>
            </w:r>
          </w:p>
        </w:tc>
        <w:tc>
          <w:tcPr>
            <w:tcW w:w="11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-25 bps</w:t>
            </w:r>
          </w:p>
        </w:tc>
        <w:tc>
          <w:tcPr>
            <w:tcW w:w="700" w:type="dxa"/>
            <w:vAlign w:val="bottom"/>
          </w:tcPr>
          <w:p>
            <w:pPr>
              <w:jc w:val="center"/>
              <w:ind w:left="126"/>
              <w:spacing w:after="0"/>
              <w:rPr>
                <w:sz w:val="20"/>
                <w:szCs w:val="20"/>
                <w:color w:val="auto"/>
              </w:rPr>
            </w:pPr>
            <w:r>
              <w:rPr>
                <w:rFonts w:ascii="Arial" w:cs="Arial" w:eastAsia="Arial" w:hAnsi="Arial"/>
                <w:sz w:val="11"/>
                <w:szCs w:val="11"/>
                <w:color w:val="auto"/>
              </w:rPr>
              <w:t>2.51%</w:t>
            </w:r>
          </w:p>
        </w:tc>
        <w:tc>
          <w:tcPr>
            <w:tcW w:w="114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color w:val="auto"/>
                <w:w w:val="96"/>
              </w:rPr>
              <w:t>2.09%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-42 bps</w:t>
            </w:r>
          </w:p>
        </w:tc>
      </w:tr>
      <w:tr>
        <w:trPr>
          <w:trHeight w:val="130"/>
        </w:trPr>
        <w:tc>
          <w:tcPr>
            <w:tcW w:w="3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Loan portfolio quality</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22"/>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Internal overdue ratio</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3.8%</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5"/>
              </w:rPr>
              <w:t>3.5%</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3.2%</w:t>
            </w:r>
          </w:p>
        </w:tc>
        <w:tc>
          <w:tcPr>
            <w:tcW w:w="66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7"/>
              </w:rPr>
              <w:t>-21 bps</w:t>
            </w:r>
          </w:p>
        </w:tc>
        <w:tc>
          <w:tcPr>
            <w:tcW w:w="1140" w:type="dxa"/>
            <w:vAlign w:val="bottom"/>
            <w:tcBorders>
              <w:right w:val="single" w:sz="8" w:color="auto"/>
            </w:tcBorders>
          </w:tcPr>
          <w:p>
            <w:pPr>
              <w:jc w:val="center"/>
              <w:ind w:left="166"/>
              <w:spacing w:after="0" w:line="122" w:lineRule="exact"/>
              <w:rPr>
                <w:sz w:val="20"/>
                <w:szCs w:val="20"/>
                <w:color w:val="auto"/>
              </w:rPr>
            </w:pPr>
            <w:r>
              <w:rPr>
                <w:rFonts w:ascii="Arial" w:cs="Arial" w:eastAsia="Arial" w:hAnsi="Arial"/>
                <w:sz w:val="11"/>
                <w:szCs w:val="11"/>
                <w:color w:val="auto"/>
                <w:w w:val="97"/>
              </w:rPr>
              <w:t>-59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5"/>
              </w:rPr>
              <w:t>3.8%</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5"/>
              </w:rPr>
              <w:t>3.2%</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-59 bps</w:t>
            </w:r>
          </w:p>
        </w:tc>
      </w:tr>
      <w:tr>
        <w:trPr>
          <w:trHeight w:val="121"/>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NPL ratio</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5.5%</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5"/>
              </w:rPr>
              <w:t>4.9%</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4.6%</w:t>
            </w:r>
          </w:p>
        </w:tc>
        <w:tc>
          <w:tcPr>
            <w:tcW w:w="66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7"/>
              </w:rPr>
              <w:t>-27 bps</w:t>
            </w:r>
          </w:p>
        </w:tc>
        <w:tc>
          <w:tcPr>
            <w:tcW w:w="1140" w:type="dxa"/>
            <w:vAlign w:val="bottom"/>
            <w:tcBorders>
              <w:right w:val="single" w:sz="8" w:color="auto"/>
            </w:tcBorders>
          </w:tcPr>
          <w:p>
            <w:pPr>
              <w:jc w:val="center"/>
              <w:ind w:left="166"/>
              <w:spacing w:after="0" w:line="122" w:lineRule="exact"/>
              <w:rPr>
                <w:sz w:val="20"/>
                <w:szCs w:val="20"/>
                <w:color w:val="auto"/>
              </w:rPr>
            </w:pPr>
            <w:r>
              <w:rPr>
                <w:rFonts w:ascii="Arial" w:cs="Arial" w:eastAsia="Arial" w:hAnsi="Arial"/>
                <w:sz w:val="11"/>
                <w:szCs w:val="11"/>
                <w:color w:val="auto"/>
                <w:w w:val="97"/>
              </w:rPr>
              <w:t>-88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5"/>
              </w:rPr>
              <w:t>5.5%</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5"/>
              </w:rPr>
              <w:t>4.6%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-88 bps</w:t>
            </w:r>
          </w:p>
        </w:tc>
      </w:tr>
      <w:tr>
        <w:trPr>
          <w:trHeight w:val="122"/>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Coverage ratio of IOLs</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6"/>
              </w:rPr>
              <w:t>147.0%</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w w:val="96"/>
              </w:rPr>
              <w:t>155.7%</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160.8%</w:t>
            </w:r>
          </w:p>
        </w:tc>
        <w:tc>
          <w:tcPr>
            <w:tcW w:w="660" w:type="dxa"/>
            <w:vAlign w:val="bottom"/>
          </w:tcPr>
          <w:p>
            <w:pPr>
              <w:jc w:val="center"/>
              <w:ind w:left="166"/>
              <w:spacing w:after="0" w:line="122" w:lineRule="exact"/>
              <w:rPr>
                <w:sz w:val="20"/>
                <w:szCs w:val="20"/>
                <w:color w:val="auto"/>
              </w:rPr>
            </w:pPr>
            <w:r>
              <w:rPr>
                <w:rFonts w:ascii="Arial" w:cs="Arial" w:eastAsia="Arial" w:hAnsi="Arial"/>
                <w:sz w:val="11"/>
                <w:szCs w:val="11"/>
                <w:color w:val="auto"/>
              </w:rPr>
              <w:t>508 bps</w:t>
            </w:r>
          </w:p>
        </w:tc>
        <w:tc>
          <w:tcPr>
            <w:tcW w:w="1140" w:type="dxa"/>
            <w:vAlign w:val="bottom"/>
            <w:tcBorders>
              <w:right w:val="single" w:sz="8" w:color="auto"/>
            </w:tcBorders>
          </w:tcPr>
          <w:p>
            <w:pPr>
              <w:jc w:val="center"/>
              <w:ind w:left="166"/>
              <w:spacing w:after="0" w:line="122" w:lineRule="exact"/>
              <w:rPr>
                <w:sz w:val="20"/>
                <w:szCs w:val="20"/>
                <w:color w:val="auto"/>
              </w:rPr>
            </w:pPr>
            <w:r>
              <w:rPr>
                <w:rFonts w:ascii="Arial" w:cs="Arial" w:eastAsia="Arial" w:hAnsi="Arial"/>
                <w:sz w:val="11"/>
                <w:szCs w:val="11"/>
                <w:color w:val="auto"/>
                <w:w w:val="97"/>
              </w:rPr>
              <w:t>1379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6"/>
              </w:rPr>
              <w:t>147.0%</w:t>
            </w:r>
          </w:p>
        </w:tc>
        <w:tc>
          <w:tcPr>
            <w:tcW w:w="114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rPr>
              <w:t>160.8%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1379 bps</w:t>
            </w:r>
          </w:p>
        </w:tc>
      </w:tr>
      <w:tr>
        <w:trPr>
          <w:trHeight w:val="115"/>
        </w:trPr>
        <w:tc>
          <w:tcPr>
            <w:tcW w:w="3940" w:type="dxa"/>
            <w:vAlign w:val="bottom"/>
            <w:tcBorders>
              <w:left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Coverage ratio of NPLs</w:t>
            </w:r>
          </w:p>
        </w:tc>
        <w:tc>
          <w:tcPr>
            <w:tcW w:w="900" w:type="dxa"/>
            <w:vAlign w:val="bottom"/>
          </w:tcPr>
          <w:p>
            <w:pPr>
              <w:jc w:val="center"/>
              <w:spacing w:after="0" w:line="115" w:lineRule="exact"/>
              <w:rPr>
                <w:sz w:val="20"/>
                <w:szCs w:val="20"/>
                <w:color w:val="auto"/>
              </w:rPr>
            </w:pPr>
            <w:r>
              <w:rPr>
                <w:rFonts w:ascii="Arial" w:cs="Arial" w:eastAsia="Arial" w:hAnsi="Arial"/>
                <w:sz w:val="11"/>
                <w:szCs w:val="11"/>
                <w:color w:val="auto"/>
                <w:w w:val="96"/>
              </w:rPr>
              <w:t>103.2%</w:t>
            </w:r>
          </w:p>
        </w:tc>
        <w:tc>
          <w:tcPr>
            <w:tcW w:w="940" w:type="dxa"/>
            <w:vAlign w:val="bottom"/>
          </w:tcPr>
          <w:p>
            <w:pPr>
              <w:jc w:val="center"/>
              <w:spacing w:after="0" w:line="115" w:lineRule="exact"/>
              <w:rPr>
                <w:sz w:val="20"/>
                <w:szCs w:val="20"/>
                <w:color w:val="auto"/>
              </w:rPr>
            </w:pPr>
            <w:r>
              <w:rPr>
                <w:rFonts w:ascii="Arial" w:cs="Arial" w:eastAsia="Arial" w:hAnsi="Arial"/>
                <w:sz w:val="11"/>
                <w:szCs w:val="11"/>
                <w:color w:val="auto"/>
                <w:w w:val="96"/>
              </w:rPr>
              <w:t>110.9%</w:t>
            </w:r>
          </w:p>
        </w:tc>
        <w:tc>
          <w:tcPr>
            <w:tcW w:w="9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6"/>
              </w:rPr>
              <w:t>113.8%</w:t>
            </w:r>
          </w:p>
        </w:tc>
        <w:tc>
          <w:tcPr>
            <w:tcW w:w="660" w:type="dxa"/>
            <w:vAlign w:val="bottom"/>
          </w:tcPr>
          <w:p>
            <w:pPr>
              <w:jc w:val="center"/>
              <w:ind w:left="166"/>
              <w:spacing w:after="0" w:line="115" w:lineRule="exact"/>
              <w:rPr>
                <w:sz w:val="20"/>
                <w:szCs w:val="20"/>
                <w:color w:val="auto"/>
              </w:rPr>
            </w:pPr>
            <w:r>
              <w:rPr>
                <w:rFonts w:ascii="Arial" w:cs="Arial" w:eastAsia="Arial" w:hAnsi="Arial"/>
                <w:sz w:val="11"/>
                <w:szCs w:val="11"/>
                <w:color w:val="auto"/>
              </w:rPr>
              <w:t>299 bps</w:t>
            </w:r>
          </w:p>
        </w:tc>
        <w:tc>
          <w:tcPr>
            <w:tcW w:w="1140" w:type="dxa"/>
            <w:vAlign w:val="bottom"/>
            <w:tcBorders>
              <w:right w:val="single" w:sz="8" w:color="auto"/>
            </w:tcBorders>
          </w:tcPr>
          <w:p>
            <w:pPr>
              <w:jc w:val="center"/>
              <w:ind w:left="166"/>
              <w:spacing w:after="0" w:line="115" w:lineRule="exact"/>
              <w:rPr>
                <w:sz w:val="20"/>
                <w:szCs w:val="20"/>
                <w:color w:val="auto"/>
              </w:rPr>
            </w:pPr>
            <w:r>
              <w:rPr>
                <w:rFonts w:ascii="Arial" w:cs="Arial" w:eastAsia="Arial" w:hAnsi="Arial"/>
                <w:sz w:val="11"/>
                <w:szCs w:val="11"/>
                <w:color w:val="auto"/>
                <w:w w:val="97"/>
              </w:rPr>
              <w:t>1062 bps</w:t>
            </w:r>
          </w:p>
        </w:tc>
        <w:tc>
          <w:tcPr>
            <w:tcW w:w="700" w:type="dxa"/>
            <w:vAlign w:val="bottom"/>
          </w:tcPr>
          <w:p>
            <w:pPr>
              <w:jc w:val="center"/>
              <w:ind w:left="126"/>
              <w:spacing w:after="0" w:line="115" w:lineRule="exact"/>
              <w:rPr>
                <w:sz w:val="20"/>
                <w:szCs w:val="20"/>
                <w:color w:val="auto"/>
              </w:rPr>
            </w:pPr>
            <w:r>
              <w:rPr>
                <w:rFonts w:ascii="Arial" w:cs="Arial" w:eastAsia="Arial" w:hAnsi="Arial"/>
                <w:sz w:val="11"/>
                <w:szCs w:val="11"/>
                <w:color w:val="auto"/>
                <w:w w:val="96"/>
              </w:rPr>
              <w:t>103.2%</w:t>
            </w:r>
          </w:p>
        </w:tc>
        <w:tc>
          <w:tcPr>
            <w:tcW w:w="1140" w:type="dxa"/>
            <w:vAlign w:val="bottom"/>
            <w:tcBorders>
              <w:right w:val="single" w:sz="8" w:color="auto"/>
            </w:tcBorders>
          </w:tcPr>
          <w:p>
            <w:pPr>
              <w:jc w:val="center"/>
              <w:ind w:left="126"/>
              <w:spacing w:after="0" w:line="115" w:lineRule="exact"/>
              <w:rPr>
                <w:sz w:val="20"/>
                <w:szCs w:val="20"/>
                <w:color w:val="auto"/>
              </w:rPr>
            </w:pPr>
            <w:r>
              <w:rPr>
                <w:rFonts w:ascii="Arial" w:cs="Arial" w:eastAsia="Arial" w:hAnsi="Arial"/>
                <w:sz w:val="11"/>
                <w:szCs w:val="11"/>
                <w:color w:val="auto"/>
                <w:w w:val="96"/>
              </w:rPr>
              <w:t>113.8%</w:t>
            </w:r>
          </w:p>
        </w:tc>
        <w:tc>
          <w:tcPr>
            <w:tcW w:w="9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1062 bps</w:t>
            </w:r>
          </w:p>
        </w:tc>
      </w:tr>
      <w:tr>
        <w:trPr>
          <w:trHeight w:val="241"/>
        </w:trPr>
        <w:tc>
          <w:tcPr>
            <w:tcW w:w="39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 xml:space="preserve">Cost of risk </w:t>
            </w:r>
            <w:r>
              <w:rPr>
                <w:rFonts w:ascii="Arial" w:cs="Arial" w:eastAsia="Arial" w:hAnsi="Arial"/>
                <w:sz w:val="17"/>
                <w:szCs w:val="17"/>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1"/>
                <w:szCs w:val="11"/>
                <w:color w:val="auto"/>
                <w:w w:val="95"/>
              </w:rPr>
              <w:t>2.1%</w:t>
            </w:r>
          </w:p>
        </w:tc>
        <w:tc>
          <w:tcPr>
            <w:tcW w:w="940" w:type="dxa"/>
            <w:vAlign w:val="bottom"/>
          </w:tcPr>
          <w:p>
            <w:pPr>
              <w:jc w:val="center"/>
              <w:spacing w:after="0"/>
              <w:rPr>
                <w:sz w:val="20"/>
                <w:szCs w:val="20"/>
                <w:color w:val="auto"/>
              </w:rPr>
            </w:pPr>
            <w:r>
              <w:rPr>
                <w:rFonts w:ascii="Arial" w:cs="Arial" w:eastAsia="Arial" w:hAnsi="Arial"/>
                <w:sz w:val="11"/>
                <w:szCs w:val="11"/>
                <w:color w:val="auto"/>
                <w:w w:val="95"/>
              </w:rPr>
              <w:t>1.7%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1.7%</w:t>
            </w:r>
          </w:p>
        </w:tc>
        <w:tc>
          <w:tcPr>
            <w:tcW w:w="660" w:type="dxa"/>
            <w:vAlign w:val="bottom"/>
          </w:tcPr>
          <w:p>
            <w:pPr>
              <w:jc w:val="center"/>
              <w:ind w:left="166"/>
              <w:spacing w:after="0"/>
              <w:rPr>
                <w:sz w:val="20"/>
                <w:szCs w:val="20"/>
                <w:color w:val="auto"/>
              </w:rPr>
            </w:pPr>
            <w:r>
              <w:rPr>
                <w:rFonts w:ascii="Arial" w:cs="Arial" w:eastAsia="Arial" w:hAnsi="Arial"/>
                <w:sz w:val="11"/>
                <w:szCs w:val="11"/>
                <w:color w:val="auto"/>
              </w:rPr>
              <w:t>6 bps</w:t>
            </w:r>
          </w:p>
        </w:tc>
        <w:tc>
          <w:tcPr>
            <w:tcW w:w="114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-35 bps</w:t>
            </w:r>
          </w:p>
        </w:tc>
        <w:tc>
          <w:tcPr>
            <w:tcW w:w="700" w:type="dxa"/>
            <w:vAlign w:val="bottom"/>
          </w:tcPr>
          <w:p>
            <w:pPr>
              <w:jc w:val="center"/>
              <w:ind w:left="126"/>
              <w:spacing w:after="0"/>
              <w:rPr>
                <w:sz w:val="20"/>
                <w:szCs w:val="20"/>
                <w:color w:val="auto"/>
              </w:rPr>
            </w:pPr>
            <w:r>
              <w:rPr>
                <w:rFonts w:ascii="Arial" w:cs="Arial" w:eastAsia="Arial" w:hAnsi="Arial"/>
                <w:sz w:val="11"/>
                <w:szCs w:val="11"/>
                <w:color w:val="auto"/>
                <w:w w:val="95"/>
              </w:rPr>
              <w:t>2.5%</w:t>
            </w:r>
          </w:p>
        </w:tc>
        <w:tc>
          <w:tcPr>
            <w:tcW w:w="114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5"/>
              </w:rPr>
              <w:t>1.6%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-84 bps</w:t>
            </w:r>
          </w:p>
        </w:tc>
      </w:tr>
      <w:tr>
        <w:trPr>
          <w:trHeight w:val="123"/>
        </w:trPr>
        <w:tc>
          <w:tcPr>
            <w:tcW w:w="3940" w:type="dxa"/>
            <w:vAlign w:val="bottom"/>
            <w:tcBorders>
              <w:left w:val="single" w:sz="8" w:color="auto"/>
              <w:right w:val="single" w:sz="8" w:color="auto"/>
            </w:tcBorders>
          </w:tcPr>
          <w:p>
            <w:pPr>
              <w:spacing w:after="0" w:line="123" w:lineRule="exact"/>
              <w:rPr>
                <w:sz w:val="20"/>
                <w:szCs w:val="20"/>
                <w:color w:val="auto"/>
              </w:rPr>
            </w:pPr>
            <w:r>
              <w:rPr>
                <w:rFonts w:ascii="Arial" w:cs="Arial" w:eastAsia="Arial" w:hAnsi="Arial"/>
                <w:sz w:val="11"/>
                <w:szCs w:val="11"/>
                <w:b w:val="1"/>
                <w:bCs w:val="1"/>
                <w:color w:val="auto"/>
              </w:rPr>
              <w:t>Operating efficiency</w:t>
            </w: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22"/>
        </w:trPr>
        <w:tc>
          <w:tcPr>
            <w:tcW w:w="394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9"/>
                <w:szCs w:val="9"/>
                <w:color w:val="auto"/>
              </w:rPr>
              <w:t xml:space="preserve">Operating expenses / Total income </w:t>
            </w:r>
            <w:r>
              <w:rPr>
                <w:rFonts w:ascii="Arial" w:cs="Arial" w:eastAsia="Arial" w:hAnsi="Arial"/>
                <w:sz w:val="14"/>
                <w:szCs w:val="14"/>
                <w:color w:val="auto"/>
                <w:vertAlign w:val="superscript"/>
              </w:rPr>
              <w:t>(5)</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44.8%</w:t>
            </w:r>
          </w:p>
        </w:tc>
        <w:tc>
          <w:tcPr>
            <w:tcW w:w="940" w:type="dxa"/>
            <w:vAlign w:val="bottom"/>
          </w:tcPr>
          <w:p>
            <w:pPr>
              <w:jc w:val="center"/>
              <w:spacing w:after="0" w:line="122" w:lineRule="exact"/>
              <w:rPr>
                <w:sz w:val="20"/>
                <w:szCs w:val="20"/>
                <w:color w:val="auto"/>
              </w:rPr>
            </w:pPr>
            <w:r>
              <w:rPr>
                <w:rFonts w:ascii="Arial" w:cs="Arial" w:eastAsia="Arial" w:hAnsi="Arial"/>
                <w:sz w:val="11"/>
                <w:szCs w:val="11"/>
                <w:color w:val="auto"/>
              </w:rPr>
              <w:t>41.3%</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43.7%</w:t>
            </w:r>
          </w:p>
        </w:tc>
        <w:tc>
          <w:tcPr>
            <w:tcW w:w="660" w:type="dxa"/>
            <w:vAlign w:val="bottom"/>
          </w:tcPr>
          <w:p>
            <w:pPr>
              <w:jc w:val="center"/>
              <w:ind w:left="166"/>
              <w:spacing w:after="0" w:line="122" w:lineRule="exact"/>
              <w:rPr>
                <w:sz w:val="20"/>
                <w:szCs w:val="20"/>
                <w:color w:val="auto"/>
              </w:rPr>
            </w:pPr>
            <w:r>
              <w:rPr>
                <w:rFonts w:ascii="Arial" w:cs="Arial" w:eastAsia="Arial" w:hAnsi="Arial"/>
                <w:sz w:val="11"/>
                <w:szCs w:val="11"/>
                <w:color w:val="auto"/>
              </w:rPr>
              <w:t>240 bps</w:t>
            </w:r>
          </w:p>
        </w:tc>
        <w:tc>
          <w:tcPr>
            <w:tcW w:w="1140" w:type="dxa"/>
            <w:vAlign w:val="bottom"/>
            <w:tcBorders>
              <w:right w:val="single" w:sz="8" w:color="auto"/>
            </w:tcBorders>
          </w:tcPr>
          <w:p>
            <w:pPr>
              <w:jc w:val="center"/>
              <w:ind w:left="166"/>
              <w:spacing w:after="0" w:line="122" w:lineRule="exact"/>
              <w:rPr>
                <w:sz w:val="20"/>
                <w:szCs w:val="20"/>
                <w:color w:val="auto"/>
              </w:rPr>
            </w:pPr>
            <w:r>
              <w:rPr>
                <w:rFonts w:ascii="Arial" w:cs="Arial" w:eastAsia="Arial" w:hAnsi="Arial"/>
                <w:sz w:val="11"/>
                <w:szCs w:val="11"/>
                <w:color w:val="auto"/>
                <w:w w:val="93"/>
              </w:rPr>
              <w:t>-111 bps</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40.1%</w:t>
            </w:r>
          </w:p>
        </w:tc>
        <w:tc>
          <w:tcPr>
            <w:tcW w:w="114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6"/>
              </w:rPr>
              <w:t>41.3%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121 bps</w:t>
            </w:r>
          </w:p>
        </w:tc>
      </w:tr>
      <w:tr>
        <w:trPr>
          <w:trHeight w:val="145"/>
        </w:trPr>
        <w:tc>
          <w:tcPr>
            <w:tcW w:w="3940" w:type="dxa"/>
            <w:vAlign w:val="bottom"/>
            <w:tcBorders>
              <w:left w:val="single" w:sz="8" w:color="auto"/>
              <w:bottom w:val="single" w:sz="8" w:color="auto"/>
              <w:right w:val="single" w:sz="8" w:color="auto"/>
            </w:tcBorders>
          </w:tcPr>
          <w:p>
            <w:pPr>
              <w:ind w:left="160"/>
              <w:spacing w:after="0" w:line="145" w:lineRule="exact"/>
              <w:rPr>
                <w:sz w:val="20"/>
                <w:szCs w:val="20"/>
                <w:color w:val="auto"/>
              </w:rPr>
            </w:pPr>
            <w:r>
              <w:rPr>
                <w:rFonts w:ascii="Arial" w:cs="Arial" w:eastAsia="Arial" w:hAnsi="Arial"/>
                <w:sz w:val="10"/>
                <w:szCs w:val="10"/>
                <w:color w:val="auto"/>
              </w:rPr>
              <w:t xml:space="preserve">Operating expenses / Total average assets </w:t>
            </w:r>
            <w:r>
              <w:rPr>
                <w:rFonts w:ascii="Arial" w:cs="Arial" w:eastAsia="Arial" w:hAnsi="Arial"/>
                <w:sz w:val="16"/>
                <w:szCs w:val="16"/>
                <w:color w:val="auto"/>
                <w:vertAlign w:val="superscript"/>
              </w:rPr>
              <w:t>(1)(2)(5)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3.9%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3.7%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4.0%</w:t>
            </w:r>
          </w:p>
        </w:tc>
        <w:tc>
          <w:tcPr>
            <w:tcW w:w="66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color w:val="auto"/>
                <w:w w:val="96"/>
              </w:rPr>
              <w:t>24 bps</w:t>
            </w:r>
          </w:p>
        </w:tc>
        <w:tc>
          <w:tcPr>
            <w:tcW w:w="1140" w:type="dxa"/>
            <w:vAlign w:val="bottom"/>
            <w:tcBorders>
              <w:bottom w:val="single" w:sz="8" w:color="auto"/>
              <w:right w:val="single" w:sz="8" w:color="auto"/>
            </w:tcBorders>
          </w:tcPr>
          <w:p>
            <w:pPr>
              <w:jc w:val="center"/>
              <w:ind w:left="146"/>
              <w:spacing w:after="0"/>
              <w:rPr>
                <w:sz w:val="20"/>
                <w:szCs w:val="20"/>
                <w:color w:val="auto"/>
              </w:rPr>
            </w:pPr>
            <w:r>
              <w:rPr>
                <w:rFonts w:ascii="Arial" w:cs="Arial" w:eastAsia="Arial" w:hAnsi="Arial"/>
                <w:sz w:val="11"/>
                <w:szCs w:val="11"/>
                <w:color w:val="auto"/>
                <w:w w:val="96"/>
              </w:rPr>
              <w:t>9 bps</w:t>
            </w:r>
          </w:p>
        </w:tc>
        <w:tc>
          <w:tcPr>
            <w:tcW w:w="70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color w:val="auto"/>
                <w:w w:val="95"/>
              </w:rPr>
              <w:t>3.5%</w:t>
            </w:r>
          </w:p>
        </w:tc>
        <w:tc>
          <w:tcPr>
            <w:tcW w:w="114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color w:val="auto"/>
                <w:w w:val="95"/>
              </w:rPr>
              <w:t>3.6%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13 bps</w:t>
            </w:r>
          </w:p>
        </w:tc>
      </w:tr>
    </w:tbl>
    <w:p>
      <w:pPr>
        <w:spacing w:after="0" w:line="191" w:lineRule="exact"/>
        <w:rPr>
          <w:sz w:val="20"/>
          <w:szCs w:val="20"/>
          <w:color w:val="auto"/>
        </w:rPr>
      </w:pPr>
    </w:p>
    <w:p>
      <w:pPr>
        <w:ind w:left="1300" w:hanging="173"/>
        <w:spacing w:after="0"/>
        <w:tabs>
          <w:tab w:leader="none" w:pos="13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Ratios are annualized.</w:t>
      </w:r>
    </w:p>
    <w:p>
      <w:pPr>
        <w:spacing w:after="0" w:line="11" w:lineRule="exact"/>
        <w:rPr>
          <w:rFonts w:ascii="Arial" w:cs="Arial" w:eastAsia="Arial" w:hAnsi="Arial"/>
          <w:sz w:val="12"/>
          <w:szCs w:val="12"/>
          <w:color w:val="auto"/>
        </w:rPr>
      </w:pPr>
    </w:p>
    <w:p>
      <w:pPr>
        <w:ind w:left="1300" w:hanging="173"/>
        <w:spacing w:after="0" w:line="234" w:lineRule="auto"/>
        <w:tabs>
          <w:tab w:leader="none" w:pos="13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ind w:left="1120" w:right="260" w:firstLine="7"/>
        <w:spacing w:after="0" w:line="234" w:lineRule="auto"/>
        <w:tabs>
          <w:tab w:leader="none" w:pos="1293"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1300" w:hanging="173"/>
        <w:spacing w:after="0" w:line="234" w:lineRule="auto"/>
        <w:tabs>
          <w:tab w:leader="none" w:pos="13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Cost of risk: Annualized provision for loan losses / Average total loans.</w:t>
      </w:r>
    </w:p>
    <w:p>
      <w:pPr>
        <w:ind w:left="1120" w:right="360" w:firstLine="7"/>
        <w:spacing w:after="0" w:line="241" w:lineRule="auto"/>
        <w:tabs>
          <w:tab w:leader="none" w:pos="1293"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782955</wp:posOffset>
            </wp:positionV>
            <wp:extent cx="71577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80010</wp:posOffset>
            </wp:positionV>
            <wp:extent cx="6780530" cy="6000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80530" cy="60007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6" w:name="page67"/>
    <w:bookmarkEnd w:id="66"/>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12.7.4. BCP Stand-alone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6080" w:type="dxa"/>
            <w:vAlign w:val="bottom"/>
            <w:tcBorders>
              <w:top w:val="single" w:sz="8" w:color="auto"/>
              <w:left w:val="single" w:sz="8" w:color="auto"/>
              <w:right w:val="single" w:sz="8" w:color="auto"/>
            </w:tcBorders>
            <w:shd w:val="clear" w:color="auto" w:fill="2AD2C9"/>
          </w:tcPr>
          <w:p>
            <w:pPr>
              <w:spacing w:after="0"/>
              <w:rPr>
                <w:sz w:val="12"/>
                <w:szCs w:val="12"/>
                <w:color w:val="auto"/>
              </w:rPr>
            </w:pPr>
          </w:p>
        </w:tc>
        <w:tc>
          <w:tcPr>
            <w:tcW w:w="1120" w:type="dxa"/>
            <w:vAlign w:val="bottom"/>
            <w:tcBorders>
              <w:top w:val="single" w:sz="8" w:color="auto"/>
            </w:tcBorders>
            <w:shd w:val="clear" w:color="auto" w:fill="2AD2C9"/>
          </w:tcPr>
          <w:p>
            <w:pPr>
              <w:spacing w:after="0"/>
              <w:rPr>
                <w:sz w:val="12"/>
                <w:szCs w:val="12"/>
                <w:color w:val="auto"/>
              </w:rPr>
            </w:pPr>
          </w:p>
        </w:tc>
        <w:tc>
          <w:tcPr>
            <w:tcW w:w="112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As of</w:t>
            </w:r>
          </w:p>
        </w:tc>
        <w:tc>
          <w:tcPr>
            <w:tcW w:w="1160" w:type="dxa"/>
            <w:vAlign w:val="bottom"/>
            <w:tcBorders>
              <w:top w:val="single" w:sz="8" w:color="auto"/>
              <w:right w:val="single" w:sz="8" w:color="auto"/>
            </w:tcBorders>
            <w:shd w:val="clear" w:color="auto" w:fill="2AD2C9"/>
          </w:tcPr>
          <w:p>
            <w:pPr>
              <w:spacing w:after="0"/>
              <w:rPr>
                <w:sz w:val="12"/>
                <w:szCs w:val="12"/>
                <w:color w:val="auto"/>
              </w:rPr>
            </w:pPr>
          </w:p>
        </w:tc>
        <w:tc>
          <w:tcPr>
            <w:tcW w:w="1800" w:type="dxa"/>
            <w:vAlign w:val="bottom"/>
            <w:tcBorders>
              <w:top w:val="single" w:sz="8" w:color="auto"/>
              <w:right w:val="single" w:sz="8" w:color="auto"/>
            </w:tcBorders>
            <w:gridSpan w:val="2"/>
            <w:shd w:val="clear" w:color="auto" w:fill="2AD2C9"/>
          </w:tcPr>
          <w:p>
            <w:pPr>
              <w:ind w:left="600"/>
              <w:spacing w:after="0"/>
              <w:rPr>
                <w:sz w:val="20"/>
                <w:szCs w:val="20"/>
                <w:color w:val="auto"/>
              </w:rPr>
            </w:pPr>
            <w:r>
              <w:rPr>
                <w:rFonts w:ascii="Arial" w:cs="Arial" w:eastAsia="Arial" w:hAnsi="Arial"/>
                <w:sz w:val="12"/>
                <w:szCs w:val="12"/>
                <w:b w:val="1"/>
                <w:bCs w:val="1"/>
                <w:color w:val="FFFFFF"/>
              </w:rPr>
              <w:t>% change</w:t>
            </w:r>
          </w:p>
        </w:tc>
      </w:tr>
      <w:tr>
        <w:trPr>
          <w:trHeight w:val="135"/>
        </w:trPr>
        <w:tc>
          <w:tcPr>
            <w:tcW w:w="608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1120" w:type="dxa"/>
            <w:vAlign w:val="bottom"/>
            <w:tcBorders>
              <w:bottom w:val="single" w:sz="8" w:color="auto"/>
            </w:tcBorders>
            <w:shd w:val="clear" w:color="auto" w:fill="2AD2C9"/>
          </w:tcPr>
          <w:p>
            <w:pPr>
              <w:ind w:left="380"/>
              <w:spacing w:after="0" w:line="135" w:lineRule="exact"/>
              <w:rPr>
                <w:sz w:val="20"/>
                <w:szCs w:val="20"/>
                <w:color w:val="auto"/>
              </w:rPr>
            </w:pPr>
            <w:r>
              <w:rPr>
                <w:rFonts w:ascii="Arial" w:cs="Arial" w:eastAsia="Arial" w:hAnsi="Arial"/>
                <w:sz w:val="12"/>
                <w:szCs w:val="12"/>
                <w:b w:val="1"/>
                <w:bCs w:val="1"/>
                <w:color w:val="FFFFFF"/>
              </w:rPr>
              <w:t>Dec 24</w:t>
            </w:r>
          </w:p>
        </w:tc>
        <w:tc>
          <w:tcPr>
            <w:tcW w:w="112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8"/>
              </w:rPr>
              <w:t>Sep 25</w:t>
            </w:r>
          </w:p>
        </w:tc>
        <w:tc>
          <w:tcPr>
            <w:tcW w:w="1160" w:type="dxa"/>
            <w:vAlign w:val="bottom"/>
            <w:tcBorders>
              <w:bottom w:val="single" w:sz="8" w:color="auto"/>
              <w:right w:val="single" w:sz="8" w:color="auto"/>
            </w:tcBorders>
            <w:shd w:val="clear" w:color="auto" w:fill="2AD2C9"/>
          </w:tcPr>
          <w:p>
            <w:pPr>
              <w:ind w:left="380"/>
              <w:spacing w:after="0" w:line="135" w:lineRule="exact"/>
              <w:rPr>
                <w:sz w:val="20"/>
                <w:szCs w:val="20"/>
                <w:color w:val="auto"/>
              </w:rPr>
            </w:pPr>
            <w:r>
              <w:rPr>
                <w:rFonts w:ascii="Arial" w:cs="Arial" w:eastAsia="Arial" w:hAnsi="Arial"/>
                <w:sz w:val="12"/>
                <w:szCs w:val="12"/>
                <w:b w:val="1"/>
                <w:bCs w:val="1"/>
                <w:color w:val="FFFFFF"/>
              </w:rPr>
              <w:t>Dec 25</w:t>
            </w:r>
          </w:p>
        </w:tc>
        <w:tc>
          <w:tcPr>
            <w:tcW w:w="880" w:type="dxa"/>
            <w:vAlign w:val="bottom"/>
            <w:tcBorders>
              <w:bottom w:val="single" w:sz="8" w:color="auto"/>
            </w:tcBorders>
            <w:shd w:val="clear" w:color="auto" w:fill="2AD2C9"/>
          </w:tcPr>
          <w:p>
            <w:pPr>
              <w:ind w:left="300"/>
              <w:spacing w:after="0" w:line="135" w:lineRule="exact"/>
              <w:rPr>
                <w:sz w:val="20"/>
                <w:szCs w:val="20"/>
                <w:color w:val="auto"/>
              </w:rPr>
            </w:pPr>
            <w:r>
              <w:rPr>
                <w:rFonts w:ascii="Arial" w:cs="Arial" w:eastAsia="Arial" w:hAnsi="Arial"/>
                <w:sz w:val="12"/>
                <w:szCs w:val="12"/>
                <w:b w:val="1"/>
                <w:bCs w:val="1"/>
                <w:color w:val="FFFFFF"/>
              </w:rPr>
              <w:t>QoQ</w:t>
            </w:r>
          </w:p>
        </w:tc>
        <w:tc>
          <w:tcPr>
            <w:tcW w:w="920" w:type="dxa"/>
            <w:vAlign w:val="bottom"/>
            <w:tcBorders>
              <w:bottom w:val="single" w:sz="8" w:color="auto"/>
              <w:right w:val="single" w:sz="8" w:color="auto"/>
            </w:tcBorders>
            <w:shd w:val="clear" w:color="auto" w:fill="2AD2C9"/>
          </w:tcPr>
          <w:p>
            <w:pPr>
              <w:ind w:left="340"/>
              <w:spacing w:after="0" w:line="135" w:lineRule="exact"/>
              <w:rPr>
                <w:sz w:val="20"/>
                <w:szCs w:val="20"/>
                <w:color w:val="auto"/>
              </w:rPr>
            </w:pPr>
            <w:r>
              <w:rPr>
                <w:rFonts w:ascii="Arial" w:cs="Arial" w:eastAsia="Arial" w:hAnsi="Arial"/>
                <w:sz w:val="12"/>
                <w:szCs w:val="12"/>
                <w:b w:val="1"/>
                <w:bCs w:val="1"/>
                <w:color w:val="FFFFFF"/>
              </w:rPr>
              <w:t>YoY</w:t>
            </w:r>
          </w:p>
        </w:tc>
      </w:tr>
      <w:tr>
        <w:trPr>
          <w:trHeight w:val="115"/>
        </w:trPr>
        <w:tc>
          <w:tcPr>
            <w:tcW w:w="6080" w:type="dxa"/>
            <w:vAlign w:val="bottom"/>
            <w:tcBorders>
              <w:left w:val="single" w:sz="8" w:color="auto"/>
              <w:right w:val="single" w:sz="8" w:color="auto"/>
            </w:tcBorders>
          </w:tcPr>
          <w:p>
            <w:pPr>
              <w:spacing w:after="0" w:line="115" w:lineRule="exact"/>
              <w:rPr>
                <w:sz w:val="20"/>
                <w:szCs w:val="20"/>
                <w:color w:val="auto"/>
              </w:rPr>
            </w:pPr>
            <w:r>
              <w:rPr>
                <w:rFonts w:ascii="Arial" w:cs="Arial" w:eastAsia="Arial" w:hAnsi="Arial"/>
                <w:sz w:val="12"/>
                <w:szCs w:val="12"/>
                <w:b w:val="1"/>
                <w:bCs w:val="1"/>
                <w:color w:val="auto"/>
              </w:rPr>
              <w:t>ASSETS</w:t>
            </w: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r>
      <w:tr>
        <w:trPr>
          <w:trHeight w:val="137"/>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Cash and due from banks</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Non-interest bearing</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4,792,810</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4,968,923</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4,504,068</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5"/>
              </w:rPr>
              <w:t>-9.4%</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-6.0%</w:t>
            </w:r>
          </w:p>
        </w:tc>
      </w:tr>
      <w:tr>
        <w:trPr>
          <w:trHeight w:val="133"/>
        </w:trPr>
        <w:tc>
          <w:tcPr>
            <w:tcW w:w="6080" w:type="dxa"/>
            <w:vAlign w:val="bottom"/>
            <w:tcBorders>
              <w:left w:val="single" w:sz="8" w:color="auto"/>
              <w:right w:val="single" w:sz="8" w:color="auto"/>
            </w:tcBorders>
          </w:tcPr>
          <w:p>
            <w:pPr>
              <w:ind w:left="160"/>
              <w:spacing w:after="0" w:line="133" w:lineRule="exact"/>
              <w:rPr>
                <w:sz w:val="20"/>
                <w:szCs w:val="20"/>
                <w:color w:val="auto"/>
              </w:rPr>
            </w:pPr>
            <w:r>
              <w:rPr>
                <w:rFonts w:ascii="Arial" w:cs="Arial" w:eastAsia="Arial" w:hAnsi="Arial"/>
                <w:sz w:val="12"/>
                <w:szCs w:val="12"/>
                <w:color w:val="auto"/>
              </w:rPr>
              <w:t>Interest bearing</w:t>
            </w:r>
          </w:p>
        </w:tc>
        <w:tc>
          <w:tcPr>
            <w:tcW w:w="1120" w:type="dxa"/>
            <w:vAlign w:val="bottom"/>
          </w:tcPr>
          <w:p>
            <w:pPr>
              <w:jc w:val="center"/>
              <w:spacing w:after="0" w:line="133" w:lineRule="exact"/>
              <w:rPr>
                <w:sz w:val="20"/>
                <w:szCs w:val="20"/>
                <w:color w:val="auto"/>
              </w:rPr>
            </w:pPr>
            <w:r>
              <w:rPr>
                <w:rFonts w:ascii="Arial" w:cs="Arial" w:eastAsia="Arial" w:hAnsi="Arial"/>
                <w:sz w:val="12"/>
                <w:szCs w:val="12"/>
                <w:color w:val="auto"/>
                <w:w w:val="96"/>
              </w:rPr>
              <w:t>38,063,318</w:t>
            </w:r>
          </w:p>
        </w:tc>
        <w:tc>
          <w:tcPr>
            <w:tcW w:w="1120" w:type="dxa"/>
            <w:vAlign w:val="bottom"/>
          </w:tcPr>
          <w:p>
            <w:pPr>
              <w:jc w:val="center"/>
              <w:spacing w:after="0" w:line="133" w:lineRule="exact"/>
              <w:rPr>
                <w:sz w:val="20"/>
                <w:szCs w:val="20"/>
                <w:color w:val="auto"/>
              </w:rPr>
            </w:pPr>
            <w:r>
              <w:rPr>
                <w:rFonts w:ascii="Arial" w:cs="Arial" w:eastAsia="Arial" w:hAnsi="Arial"/>
                <w:sz w:val="12"/>
                <w:szCs w:val="12"/>
                <w:color w:val="auto"/>
                <w:w w:val="96"/>
              </w:rPr>
              <w:t>32,541,803</w:t>
            </w:r>
          </w:p>
        </w:tc>
        <w:tc>
          <w:tcPr>
            <w:tcW w:w="11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38,567,869</w:t>
            </w: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auto"/>
                <w:w w:val="99"/>
              </w:rPr>
              <w:t>18.5%</w:t>
            </w:r>
          </w:p>
        </w:tc>
        <w:tc>
          <w:tcPr>
            <w:tcW w:w="9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1.3%</w:t>
            </w:r>
          </w:p>
        </w:tc>
      </w:tr>
      <w:tr>
        <w:trPr>
          <w:trHeight w:val="164"/>
        </w:trPr>
        <w:tc>
          <w:tcPr>
            <w:tcW w:w="6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cash and due from banks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42,856,128</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37,510,726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43,071,937</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14.8%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0.5%</w:t>
            </w:r>
          </w:p>
        </w:tc>
      </w:tr>
      <w:tr>
        <w:trPr>
          <w:trHeight w:val="270"/>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Cash collateral, reverse repurchase agreements and securities borrowing</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19,151</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3"/>
              </w:rPr>
              <w:t>1,211,354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852,396</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-29.6%</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2"/>
                <w:szCs w:val="12"/>
                <w:b w:val="1"/>
                <w:bCs w:val="1"/>
                <w:color w:val="auto"/>
              </w:rPr>
              <w:t>n.a.</w:t>
            </w:r>
          </w:p>
        </w:tc>
      </w:tr>
      <w:tr>
        <w:trPr>
          <w:trHeight w:val="241"/>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Fair value through profit or loss investments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603,635</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368,478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641,157</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74.0%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6.2%</w:t>
            </w:r>
          </w:p>
        </w:tc>
      </w:tr>
      <w:tr>
        <w:trPr>
          <w:trHeight w:val="135"/>
        </w:trPr>
        <w:tc>
          <w:tcPr>
            <w:tcW w:w="6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Fair value through other comprehensive income investments</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20,521,337</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19,479,618</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20,080,093</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3.1%</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5"/>
              </w:rPr>
              <w:t>-2.2%</w:t>
            </w:r>
          </w:p>
        </w:tc>
      </w:tr>
      <w:tr>
        <w:trPr>
          <w:trHeight w:val="164"/>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Amortized cost investments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8,214,476</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8,025,196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8,126,661</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-1.1%</w:t>
            </w:r>
          </w:p>
        </w:tc>
      </w:tr>
      <w:tr>
        <w:trPr>
          <w:trHeight w:val="243"/>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120,571,109</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123,089,317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125,200,572</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1.7%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3.8%</w:t>
            </w: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Current</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5"/>
              </w:rPr>
              <w:t>116,314,563</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5"/>
              </w:rPr>
              <w:t>119,030,125</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121,306,169</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4"/>
              </w:rPr>
              <w:t>1.9%</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4.3%</w:t>
            </w: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Internal overdue loans</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4,256,546</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4,059,192</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3,894,403</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5"/>
              </w:rPr>
              <w:t>-4.1%</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-8.5%</w:t>
            </w:r>
          </w:p>
        </w:tc>
      </w:tr>
      <w:tr>
        <w:trPr>
          <w:trHeight w:val="133"/>
        </w:trPr>
        <w:tc>
          <w:tcPr>
            <w:tcW w:w="6080" w:type="dxa"/>
            <w:vAlign w:val="bottom"/>
            <w:tcBorders>
              <w:left w:val="single" w:sz="8" w:color="auto"/>
              <w:right w:val="single" w:sz="8" w:color="auto"/>
            </w:tcBorders>
          </w:tcPr>
          <w:p>
            <w:pPr>
              <w:ind w:left="160"/>
              <w:spacing w:after="0" w:line="133" w:lineRule="exact"/>
              <w:rPr>
                <w:sz w:val="20"/>
                <w:szCs w:val="20"/>
                <w:color w:val="auto"/>
              </w:rPr>
            </w:pPr>
            <w:r>
              <w:rPr>
                <w:rFonts w:ascii="Arial" w:cs="Arial" w:eastAsia="Arial" w:hAnsi="Arial"/>
                <w:sz w:val="12"/>
                <w:szCs w:val="12"/>
                <w:color w:val="auto"/>
              </w:rPr>
              <w:t>Less - allowance for loan losses</w:t>
            </w:r>
          </w:p>
        </w:tc>
        <w:tc>
          <w:tcPr>
            <w:tcW w:w="1120" w:type="dxa"/>
            <w:vAlign w:val="bottom"/>
          </w:tcPr>
          <w:p>
            <w:pPr>
              <w:jc w:val="center"/>
              <w:spacing w:after="0" w:line="133" w:lineRule="exact"/>
              <w:rPr>
                <w:sz w:val="20"/>
                <w:szCs w:val="20"/>
                <w:color w:val="auto"/>
              </w:rPr>
            </w:pPr>
            <w:r>
              <w:rPr>
                <w:rFonts w:ascii="Arial" w:cs="Arial" w:eastAsia="Arial" w:hAnsi="Arial"/>
                <w:sz w:val="12"/>
                <w:szCs w:val="12"/>
                <w:color w:val="auto"/>
                <w:w w:val="97"/>
              </w:rPr>
              <w:t>(6,513,398)</w:t>
            </w:r>
          </w:p>
        </w:tc>
        <w:tc>
          <w:tcPr>
            <w:tcW w:w="1120" w:type="dxa"/>
            <w:vAlign w:val="bottom"/>
          </w:tcPr>
          <w:p>
            <w:pPr>
              <w:jc w:val="center"/>
              <w:spacing w:after="0" w:line="133" w:lineRule="exact"/>
              <w:rPr>
                <w:sz w:val="20"/>
                <w:szCs w:val="20"/>
                <w:color w:val="auto"/>
              </w:rPr>
            </w:pPr>
            <w:r>
              <w:rPr>
                <w:rFonts w:ascii="Arial" w:cs="Arial" w:eastAsia="Arial" w:hAnsi="Arial"/>
                <w:sz w:val="12"/>
                <w:szCs w:val="12"/>
                <w:color w:val="auto"/>
                <w:w w:val="97"/>
              </w:rPr>
              <w:t>(6,378,494)</w:t>
            </w:r>
          </w:p>
        </w:tc>
        <w:tc>
          <w:tcPr>
            <w:tcW w:w="11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(6,294,039)</w:t>
            </w: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auto"/>
                <w:w w:val="95"/>
              </w:rPr>
              <w:t>-1.3%</w:t>
            </w:r>
          </w:p>
        </w:tc>
        <w:tc>
          <w:tcPr>
            <w:tcW w:w="9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5"/>
              </w:rPr>
              <w:t>-3.4%</w:t>
            </w:r>
          </w:p>
        </w:tc>
      </w:tr>
      <w:tr>
        <w:trPr>
          <w:trHeight w:val="164"/>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Loans, net</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5"/>
              </w:rPr>
              <w:t>114,057,711</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116,710,823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118,906,533</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1.9%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4.3%</w:t>
            </w:r>
          </w:p>
        </w:tc>
      </w:tr>
      <w:tr>
        <w:trPr>
          <w:trHeight w:val="241"/>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 xml:space="preserve">Property, furniture and equipment, net </w:t>
            </w:r>
            <w:r>
              <w:rPr>
                <w:rFonts w:ascii="Arial" w:cs="Arial" w:eastAsia="Arial" w:hAnsi="Arial"/>
                <w:sz w:val="19"/>
                <w:szCs w:val="19"/>
                <w:b w:val="1"/>
                <w:bCs w:val="1"/>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1,271,219</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1,358,608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1,375,263</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1.2%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8.2%</w:t>
            </w:r>
          </w:p>
        </w:tc>
      </w:tr>
      <w:tr>
        <w:trPr>
          <w:trHeight w:val="135"/>
        </w:trPr>
        <w:tc>
          <w:tcPr>
            <w:tcW w:w="6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Due from customers on acceptances</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528,184</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553,851</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346,540</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-37.4%</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4"/>
              </w:rPr>
              <w:t>-34.4%</w:t>
            </w:r>
          </w:p>
        </w:tc>
      </w:tr>
      <w:tr>
        <w:trPr>
          <w:trHeight w:val="130"/>
        </w:trPr>
        <w:tc>
          <w:tcPr>
            <w:tcW w:w="6080" w:type="dxa"/>
            <w:vAlign w:val="bottom"/>
            <w:tcBorders>
              <w:left w:val="single" w:sz="8" w:color="auto"/>
              <w:right w:val="single" w:sz="8" w:color="auto"/>
            </w:tcBorders>
          </w:tcPr>
          <w:p>
            <w:pPr>
              <w:spacing w:after="0" w:line="130" w:lineRule="exact"/>
              <w:rPr>
                <w:sz w:val="20"/>
                <w:szCs w:val="20"/>
                <w:color w:val="auto"/>
              </w:rPr>
            </w:pPr>
            <w:r>
              <w:rPr>
                <w:rFonts w:ascii="Arial" w:cs="Arial" w:eastAsia="Arial" w:hAnsi="Arial"/>
                <w:sz w:val="12"/>
                <w:szCs w:val="12"/>
                <w:b w:val="1"/>
                <w:bCs w:val="1"/>
                <w:color w:val="auto"/>
              </w:rPr>
              <w:t>Investments in associates</w:t>
            </w: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2,612,080</w:t>
            </w: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2,601,973</w:t>
            </w:r>
          </w:p>
        </w:tc>
        <w:tc>
          <w:tcPr>
            <w:tcW w:w="11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7"/>
              </w:rPr>
              <w:t>2,740,803</w:t>
            </w:r>
          </w:p>
        </w:tc>
        <w:tc>
          <w:tcPr>
            <w:tcW w:w="8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4"/>
              </w:rPr>
              <w:t>5.3%</w:t>
            </w:r>
          </w:p>
        </w:tc>
        <w:tc>
          <w:tcPr>
            <w:tcW w:w="9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4"/>
              </w:rPr>
              <w:t>4.9%</w:t>
            </w:r>
          </w:p>
        </w:tc>
      </w:tr>
      <w:tr>
        <w:trPr>
          <w:trHeight w:val="269"/>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 xml:space="preserve">Other assets </w:t>
            </w:r>
            <w:r>
              <w:rPr>
                <w:rFonts w:ascii="Arial" w:cs="Arial" w:eastAsia="Arial" w:hAnsi="Arial"/>
                <w:sz w:val="19"/>
                <w:szCs w:val="19"/>
                <w:b w:val="1"/>
                <w:bCs w:val="1"/>
                <w:color w:val="auto"/>
                <w:vertAlign w:val="superscript"/>
              </w:rPr>
              <w:t>(2)</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6,788,659</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7,555,427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8,750,924</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15.8%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28.9%</w:t>
            </w:r>
          </w:p>
        </w:tc>
      </w:tr>
      <w:tr>
        <w:trPr>
          <w:trHeight w:val="171"/>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Total Assets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197,472,580</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195,376,054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204,892,307</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4.9%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3.8%</w:t>
            </w:r>
          </w:p>
        </w:tc>
      </w:tr>
      <w:tr>
        <w:trPr>
          <w:trHeight w:val="241"/>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Liabilities and Equity</w:t>
            </w: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137"/>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Deposits and obligations</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Non-interest bearing</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44,267,223</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42,813,340</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47,965,701</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9"/>
              </w:rPr>
              <w:t>12.0%</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8.4%</w:t>
            </w:r>
          </w:p>
        </w:tc>
      </w:tr>
      <w:tr>
        <w:trPr>
          <w:trHeight w:val="133"/>
        </w:trPr>
        <w:tc>
          <w:tcPr>
            <w:tcW w:w="6080" w:type="dxa"/>
            <w:vAlign w:val="bottom"/>
            <w:tcBorders>
              <w:left w:val="single" w:sz="8" w:color="auto"/>
              <w:right w:val="single" w:sz="8" w:color="auto"/>
            </w:tcBorders>
          </w:tcPr>
          <w:p>
            <w:pPr>
              <w:ind w:left="160"/>
              <w:spacing w:after="0" w:line="133" w:lineRule="exact"/>
              <w:rPr>
                <w:sz w:val="20"/>
                <w:szCs w:val="20"/>
                <w:color w:val="auto"/>
              </w:rPr>
            </w:pPr>
            <w:r>
              <w:rPr>
                <w:rFonts w:ascii="Arial" w:cs="Arial" w:eastAsia="Arial" w:hAnsi="Arial"/>
                <w:sz w:val="12"/>
                <w:szCs w:val="12"/>
                <w:color w:val="auto"/>
              </w:rPr>
              <w:t>Interest bearing</w:t>
            </w:r>
          </w:p>
        </w:tc>
        <w:tc>
          <w:tcPr>
            <w:tcW w:w="1120" w:type="dxa"/>
            <w:vAlign w:val="bottom"/>
          </w:tcPr>
          <w:p>
            <w:pPr>
              <w:jc w:val="center"/>
              <w:spacing w:after="0" w:line="133" w:lineRule="exact"/>
              <w:rPr>
                <w:sz w:val="20"/>
                <w:szCs w:val="20"/>
                <w:color w:val="auto"/>
              </w:rPr>
            </w:pPr>
            <w:r>
              <w:rPr>
                <w:rFonts w:ascii="Arial" w:cs="Arial" w:eastAsia="Arial" w:hAnsi="Arial"/>
                <w:sz w:val="12"/>
                <w:szCs w:val="12"/>
                <w:color w:val="auto"/>
                <w:w w:val="96"/>
              </w:rPr>
              <w:t>92,516,659</w:t>
            </w:r>
          </w:p>
        </w:tc>
        <w:tc>
          <w:tcPr>
            <w:tcW w:w="1120" w:type="dxa"/>
            <w:vAlign w:val="bottom"/>
          </w:tcPr>
          <w:p>
            <w:pPr>
              <w:jc w:val="center"/>
              <w:spacing w:after="0" w:line="133" w:lineRule="exact"/>
              <w:rPr>
                <w:sz w:val="20"/>
                <w:szCs w:val="20"/>
                <w:color w:val="auto"/>
              </w:rPr>
            </w:pPr>
            <w:r>
              <w:rPr>
                <w:rFonts w:ascii="Arial" w:cs="Arial" w:eastAsia="Arial" w:hAnsi="Arial"/>
                <w:sz w:val="12"/>
                <w:szCs w:val="12"/>
                <w:color w:val="auto"/>
                <w:w w:val="96"/>
              </w:rPr>
              <w:t>93,468,558</w:t>
            </w:r>
          </w:p>
        </w:tc>
        <w:tc>
          <w:tcPr>
            <w:tcW w:w="11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6"/>
              </w:rPr>
              <w:t>98,156,445</w:t>
            </w: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auto"/>
                <w:w w:val="94"/>
              </w:rPr>
              <w:t>5.0%</w:t>
            </w:r>
          </w:p>
        </w:tc>
        <w:tc>
          <w:tcPr>
            <w:tcW w:w="9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6.1%</w:t>
            </w:r>
          </w:p>
        </w:tc>
      </w:tr>
      <w:tr>
        <w:trPr>
          <w:trHeight w:val="164"/>
        </w:trPr>
        <w:tc>
          <w:tcPr>
            <w:tcW w:w="6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deposits and obligations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136,783,882</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136,281,898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146,122,146</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7.2%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6.8%</w:t>
            </w:r>
          </w:p>
        </w:tc>
      </w:tr>
      <w:tr>
        <w:trPr>
          <w:trHeight w:val="243"/>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Payables from repurchase agreements and securities lending</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6,711,406</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6,850,850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5,012,782</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-26.8%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-25.3%</w:t>
            </w: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BCRP instruments</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6,154,351</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6,146,597</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3,775,808</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9"/>
              </w:rPr>
              <w:t>-38.6%</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-38.6%</w:t>
            </w:r>
          </w:p>
        </w:tc>
      </w:tr>
      <w:tr>
        <w:trPr>
          <w:trHeight w:val="156"/>
        </w:trPr>
        <w:tc>
          <w:tcPr>
            <w:tcW w:w="6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Repurchase agreements with third parties</w:t>
            </w:r>
          </w:p>
        </w:tc>
        <w:tc>
          <w:tcPr>
            <w:tcW w:w="1120" w:type="dxa"/>
            <w:vAlign w:val="bottom"/>
          </w:tcPr>
          <w:p>
            <w:pPr>
              <w:jc w:val="center"/>
              <w:spacing w:after="0"/>
              <w:rPr>
                <w:sz w:val="20"/>
                <w:szCs w:val="20"/>
                <w:color w:val="auto"/>
              </w:rPr>
            </w:pPr>
            <w:r>
              <w:rPr>
                <w:rFonts w:ascii="Arial" w:cs="Arial" w:eastAsia="Arial" w:hAnsi="Arial"/>
                <w:sz w:val="12"/>
                <w:szCs w:val="12"/>
                <w:color w:val="auto"/>
                <w:w w:val="96"/>
              </w:rPr>
              <w:t>557,055</w:t>
            </w:r>
          </w:p>
        </w:tc>
        <w:tc>
          <w:tcPr>
            <w:tcW w:w="1120" w:type="dxa"/>
            <w:vAlign w:val="bottom"/>
          </w:tcPr>
          <w:p>
            <w:pPr>
              <w:jc w:val="center"/>
              <w:spacing w:after="0"/>
              <w:rPr>
                <w:sz w:val="20"/>
                <w:szCs w:val="20"/>
                <w:color w:val="auto"/>
              </w:rPr>
            </w:pPr>
            <w:r>
              <w:rPr>
                <w:rFonts w:ascii="Arial" w:cs="Arial" w:eastAsia="Arial" w:hAnsi="Arial"/>
                <w:sz w:val="12"/>
                <w:szCs w:val="12"/>
                <w:color w:val="auto"/>
                <w:w w:val="96"/>
              </w:rPr>
              <w:t>704,253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1,236,974</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75.6%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122.1%</w:t>
            </w:r>
          </w:p>
        </w:tc>
      </w:tr>
      <w:tr>
        <w:trPr>
          <w:trHeight w:val="247"/>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Due to banks and correspondents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8,962,379</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8,904,033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8,025,742</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-9.9%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-10.5%</w:t>
            </w:r>
          </w:p>
        </w:tc>
      </w:tr>
      <w:tr>
        <w:trPr>
          <w:trHeight w:val="135"/>
        </w:trPr>
        <w:tc>
          <w:tcPr>
            <w:tcW w:w="6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Bonds and notes issued</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13,317,657</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9,508,030</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11,004,111</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15.7%</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4"/>
              </w:rPr>
              <w:t>-17.4%</w:t>
            </w:r>
          </w:p>
        </w:tc>
      </w:tr>
      <w:tr>
        <w:trPr>
          <w:trHeight w:val="135"/>
        </w:trPr>
        <w:tc>
          <w:tcPr>
            <w:tcW w:w="6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Due from customers on acceptances</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528,184</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553,851</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6"/>
              </w:rPr>
              <w:t>346,540</w:t>
            </w:r>
          </w:p>
        </w:tc>
        <w:tc>
          <w:tcPr>
            <w:tcW w:w="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-37.4%</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94"/>
              </w:rPr>
              <w:t>-34.4%</w:t>
            </w:r>
          </w:p>
        </w:tc>
      </w:tr>
      <w:tr>
        <w:trPr>
          <w:trHeight w:val="130"/>
        </w:trPr>
        <w:tc>
          <w:tcPr>
            <w:tcW w:w="6080" w:type="dxa"/>
            <w:vAlign w:val="bottom"/>
            <w:tcBorders>
              <w:left w:val="single" w:sz="8" w:color="auto"/>
              <w:right w:val="single" w:sz="8" w:color="auto"/>
            </w:tcBorders>
          </w:tcPr>
          <w:p>
            <w:pPr>
              <w:spacing w:after="0" w:line="130" w:lineRule="exact"/>
              <w:rPr>
                <w:sz w:val="20"/>
                <w:szCs w:val="20"/>
                <w:color w:val="auto"/>
              </w:rPr>
            </w:pPr>
            <w:r>
              <w:rPr>
                <w:rFonts w:ascii="Arial" w:cs="Arial" w:eastAsia="Arial" w:hAnsi="Arial"/>
                <w:sz w:val="12"/>
                <w:szCs w:val="12"/>
                <w:b w:val="1"/>
                <w:bCs w:val="1"/>
                <w:color w:val="auto"/>
              </w:rPr>
              <w:t>Financial liabilities at fair value through profit or loss</w:t>
            </w: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w:t>
            </w: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6"/>
              </w:rPr>
              <w:t>455,454</w:t>
            </w:r>
          </w:p>
        </w:tc>
        <w:tc>
          <w:tcPr>
            <w:tcW w:w="11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6"/>
              </w:rPr>
              <w:t>578,541</w:t>
            </w:r>
          </w:p>
        </w:tc>
        <w:tc>
          <w:tcPr>
            <w:tcW w:w="8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27.0%</w:t>
            </w:r>
          </w:p>
        </w:tc>
        <w:tc>
          <w:tcPr>
            <w:tcW w:w="920" w:type="dxa"/>
            <w:vAlign w:val="bottom"/>
            <w:tcBorders>
              <w:right w:val="single" w:sz="8" w:color="auto"/>
            </w:tcBorders>
          </w:tcPr>
          <w:p>
            <w:pPr>
              <w:ind w:left="340"/>
              <w:spacing w:after="0" w:line="130" w:lineRule="exact"/>
              <w:rPr>
                <w:sz w:val="20"/>
                <w:szCs w:val="20"/>
                <w:color w:val="auto"/>
              </w:rPr>
            </w:pPr>
            <w:r>
              <w:rPr>
                <w:rFonts w:ascii="Arial" w:cs="Arial" w:eastAsia="Arial" w:hAnsi="Arial"/>
                <w:sz w:val="12"/>
                <w:szCs w:val="12"/>
                <w:b w:val="1"/>
                <w:bCs w:val="1"/>
                <w:color w:val="auto"/>
              </w:rPr>
              <w:t>n.a.</w:t>
            </w:r>
          </w:p>
        </w:tc>
      </w:tr>
      <w:tr>
        <w:trPr>
          <w:trHeight w:val="140"/>
        </w:trPr>
        <w:tc>
          <w:tcPr>
            <w:tcW w:w="6080" w:type="dxa"/>
            <w:vAlign w:val="bottom"/>
            <w:tcBorders>
              <w:left w:val="single" w:sz="8" w:color="auto"/>
              <w:right w:val="single" w:sz="8" w:color="auto"/>
            </w:tcBorders>
          </w:tcPr>
          <w:p>
            <w:pPr>
              <w:spacing w:after="0" w:line="141" w:lineRule="exact"/>
              <w:rPr>
                <w:sz w:val="20"/>
                <w:szCs w:val="20"/>
                <w:color w:val="auto"/>
              </w:rPr>
            </w:pPr>
            <w:r>
              <w:rPr>
                <w:rFonts w:ascii="Arial" w:cs="Arial" w:eastAsia="Arial" w:hAnsi="Arial"/>
                <w:sz w:val="10"/>
                <w:szCs w:val="10"/>
                <w:b w:val="1"/>
                <w:bCs w:val="1"/>
                <w:color w:val="auto"/>
              </w:rPr>
              <w:t xml:space="preserve">Other liabilities </w:t>
            </w:r>
            <w:r>
              <w:rPr>
                <w:rFonts w:ascii="Arial" w:cs="Arial" w:eastAsia="Arial" w:hAnsi="Arial"/>
                <w:sz w:val="16"/>
                <w:szCs w:val="16"/>
                <w:b w:val="1"/>
                <w:bCs w:val="1"/>
                <w:color w:val="auto"/>
                <w:vertAlign w:val="superscript"/>
              </w:rPr>
              <w:t>(3)</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5,157,194</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6,206,153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5,501,938</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-11.3%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6.7%</w:t>
            </w:r>
          </w:p>
        </w:tc>
      </w:tr>
      <w:tr>
        <w:trPr>
          <w:trHeight w:val="164"/>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Total Liabilities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171,460,702</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168,760,269</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176,591,800</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4.6%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3.0%</w:t>
            </w:r>
          </w:p>
        </w:tc>
      </w:tr>
      <w:tr>
        <w:trPr>
          <w:trHeight w:val="243"/>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equity</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26,011,878</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26,615,785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28,300,507</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6.3%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8.8%</w:t>
            </w: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Capital stock</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12,679,794</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12,679,794</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12,679,794</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4"/>
              </w:rPr>
              <w:t>0.0%</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0.0%</w:t>
            </w: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Reserves</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5,905,440</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5,906,590</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5,906,590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4"/>
              </w:rPr>
              <w:t>0.0%</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0.0%</w:t>
            </w:r>
          </w:p>
        </w:tc>
      </w:tr>
      <w:tr>
        <w:trPr>
          <w:trHeight w:val="135"/>
        </w:trPr>
        <w:tc>
          <w:tcPr>
            <w:tcW w:w="608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2"/>
                <w:szCs w:val="12"/>
                <w:color w:val="auto"/>
              </w:rPr>
              <w:t>Unrealized gains and losses</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7"/>
              </w:rPr>
              <w:t>81,399</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505,339</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636,199</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9"/>
              </w:rPr>
              <w:t>25.9%</w:t>
            </w:r>
          </w:p>
        </w:tc>
        <w:tc>
          <w:tcPr>
            <w:tcW w:w="920" w:type="dxa"/>
            <w:vAlign w:val="bottom"/>
            <w:tcBorders>
              <w:right w:val="single" w:sz="8" w:color="auto"/>
            </w:tcBorders>
          </w:tcPr>
          <w:p>
            <w:pPr>
              <w:ind w:left="340"/>
              <w:spacing w:after="0" w:line="135" w:lineRule="exact"/>
              <w:rPr>
                <w:sz w:val="20"/>
                <w:szCs w:val="20"/>
                <w:color w:val="auto"/>
              </w:rPr>
            </w:pPr>
            <w:r>
              <w:rPr>
                <w:rFonts w:ascii="Arial" w:cs="Arial" w:eastAsia="Arial" w:hAnsi="Arial"/>
                <w:sz w:val="12"/>
                <w:szCs w:val="12"/>
                <w:color w:val="auto"/>
              </w:rPr>
              <w:t>n.a.</w:t>
            </w:r>
          </w:p>
        </w:tc>
      </w:tr>
      <w:tr>
        <w:trPr>
          <w:trHeight w:val="156"/>
        </w:trPr>
        <w:tc>
          <w:tcPr>
            <w:tcW w:w="6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Retained earnings</w:t>
            </w:r>
          </w:p>
        </w:tc>
        <w:tc>
          <w:tcPr>
            <w:tcW w:w="1120" w:type="dxa"/>
            <w:vAlign w:val="bottom"/>
          </w:tcPr>
          <w:p>
            <w:pPr>
              <w:jc w:val="center"/>
              <w:spacing w:after="0"/>
              <w:rPr>
                <w:sz w:val="20"/>
                <w:szCs w:val="20"/>
                <w:color w:val="auto"/>
              </w:rPr>
            </w:pPr>
            <w:r>
              <w:rPr>
                <w:rFonts w:ascii="Arial" w:cs="Arial" w:eastAsia="Arial" w:hAnsi="Arial"/>
                <w:sz w:val="12"/>
                <w:szCs w:val="12"/>
                <w:color w:val="auto"/>
                <w:w w:val="97"/>
              </w:rPr>
              <w:t>7,345,245</w:t>
            </w:r>
          </w:p>
        </w:tc>
        <w:tc>
          <w:tcPr>
            <w:tcW w:w="1120" w:type="dxa"/>
            <w:vAlign w:val="bottom"/>
          </w:tcPr>
          <w:p>
            <w:pPr>
              <w:jc w:val="center"/>
              <w:spacing w:after="0"/>
              <w:rPr>
                <w:sz w:val="20"/>
                <w:szCs w:val="20"/>
                <w:color w:val="auto"/>
              </w:rPr>
            </w:pPr>
            <w:r>
              <w:rPr>
                <w:rFonts w:ascii="Arial" w:cs="Arial" w:eastAsia="Arial" w:hAnsi="Arial"/>
                <w:sz w:val="12"/>
                <w:szCs w:val="12"/>
                <w:color w:val="auto"/>
                <w:w w:val="97"/>
              </w:rPr>
              <w:t>7,524,062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9,077,924</w:t>
            </w: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20.7%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23.6%</w:t>
            </w:r>
          </w:p>
        </w:tc>
      </w:tr>
      <w:tr>
        <w:trPr>
          <w:trHeight w:val="411"/>
        </w:trPr>
        <w:tc>
          <w:tcPr>
            <w:tcW w:w="6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Total Net Equity</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26,011,878</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26,615,785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28,300,507</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6.3%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8.8%</w:t>
            </w:r>
          </w:p>
        </w:tc>
      </w:tr>
      <w:tr>
        <w:trPr>
          <w:trHeight w:val="270"/>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Total liabilities and equity</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197,472,580</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195,376,054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204,892,307</w:t>
            </w:r>
          </w:p>
        </w:tc>
        <w:tc>
          <w:tcPr>
            <w:tcW w:w="880" w:type="dxa"/>
            <w:vAlign w:val="bottom"/>
          </w:tcPr>
          <w:p>
            <w:pPr>
              <w:jc w:val="center"/>
              <w:spacing w:after="0"/>
              <w:rPr>
                <w:sz w:val="20"/>
                <w:szCs w:val="20"/>
                <w:color w:val="auto"/>
              </w:rPr>
            </w:pPr>
            <w:r>
              <w:rPr>
                <w:rFonts w:ascii="Arial" w:cs="Arial" w:eastAsia="Arial" w:hAnsi="Arial"/>
                <w:sz w:val="12"/>
                <w:szCs w:val="12"/>
                <w:color w:val="auto"/>
                <w:w w:val="94"/>
              </w:rPr>
              <w:t>4.9%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4"/>
              </w:rPr>
              <w:t>3.8%</w:t>
            </w:r>
          </w:p>
        </w:tc>
      </w:tr>
      <w:tr>
        <w:trPr>
          <w:trHeight w:val="243"/>
        </w:trPr>
        <w:tc>
          <w:tcPr>
            <w:tcW w:w="6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Off-balance sheet</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135,041,209</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8"/>
              </w:rPr>
              <w:t>143,063,117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129,206,284</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-9.7%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-4.3%</w:t>
            </w:r>
          </w:p>
        </w:tc>
      </w:tr>
      <w:tr>
        <w:trPr>
          <w:trHeight w:val="135"/>
        </w:trPr>
        <w:tc>
          <w:tcPr>
            <w:tcW w:w="6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Total performance bonds, stand-by and L/Cs.</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21,683,478</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20,740,429</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20,991,000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4"/>
              </w:rPr>
              <w:t>1.2%</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-3.2%</w:t>
            </w:r>
          </w:p>
        </w:tc>
      </w:tr>
      <w:tr>
        <w:trPr>
          <w:trHeight w:val="135"/>
        </w:trPr>
        <w:tc>
          <w:tcPr>
            <w:tcW w:w="60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Undrawn credit lines, advised but not committed</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71,516,643</w:t>
            </w:r>
          </w:p>
        </w:tc>
        <w:tc>
          <w:tcPr>
            <w:tcW w:w="1120" w:type="dxa"/>
            <w:vAlign w:val="bottom"/>
          </w:tcPr>
          <w:p>
            <w:pPr>
              <w:jc w:val="center"/>
              <w:spacing w:after="0" w:line="135" w:lineRule="exact"/>
              <w:rPr>
                <w:sz w:val="20"/>
                <w:szCs w:val="20"/>
                <w:color w:val="auto"/>
              </w:rPr>
            </w:pPr>
            <w:r>
              <w:rPr>
                <w:rFonts w:ascii="Arial" w:cs="Arial" w:eastAsia="Arial" w:hAnsi="Arial"/>
                <w:sz w:val="12"/>
                <w:szCs w:val="12"/>
                <w:color w:val="auto"/>
                <w:w w:val="96"/>
              </w:rPr>
              <w:t>69,365,422</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67,739,850</w:t>
            </w:r>
          </w:p>
        </w:tc>
        <w:tc>
          <w:tcPr>
            <w:tcW w:w="880" w:type="dxa"/>
            <w:vAlign w:val="bottom"/>
          </w:tcPr>
          <w:p>
            <w:pPr>
              <w:jc w:val="center"/>
              <w:spacing w:after="0" w:line="135" w:lineRule="exact"/>
              <w:rPr>
                <w:sz w:val="20"/>
                <w:szCs w:val="20"/>
                <w:color w:val="auto"/>
              </w:rPr>
            </w:pPr>
            <w:r>
              <w:rPr>
                <w:rFonts w:ascii="Arial" w:cs="Arial" w:eastAsia="Arial" w:hAnsi="Arial"/>
                <w:sz w:val="12"/>
                <w:szCs w:val="12"/>
                <w:color w:val="auto"/>
                <w:w w:val="95"/>
              </w:rPr>
              <w:t>-2.3%</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5"/>
              </w:rPr>
              <w:t>-5.3%</w:t>
            </w:r>
          </w:p>
        </w:tc>
      </w:tr>
      <w:tr>
        <w:trPr>
          <w:trHeight w:val="147"/>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Total derivatives (notional) and others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41,841,088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52,957,266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40,475,434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-23.6%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-3.3%</w:t>
            </w:r>
          </w:p>
        </w:tc>
      </w:tr>
    </w:tbl>
    <w:p>
      <w:pPr>
        <w:ind w:left="1300" w:hanging="173"/>
        <w:spacing w:after="0"/>
        <w:tabs>
          <w:tab w:leader="none" w:pos="13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Right of use asset of lease contracts is included by application of IFRS 16.</w:t>
      </w:r>
    </w:p>
    <w:p>
      <w:pPr>
        <w:ind w:left="1300" w:hanging="173"/>
        <w:spacing w:after="0" w:line="234" w:lineRule="auto"/>
        <w:tabs>
          <w:tab w:leader="none" w:pos="13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Mainly includes intangible assets, other receivable accounts, trading derivatives receivable accounts and tax credit.</w:t>
      </w:r>
    </w:p>
    <w:p>
      <w:pPr>
        <w:ind w:left="1300" w:hanging="173"/>
        <w:spacing w:after="0"/>
        <w:tabs>
          <w:tab w:leader="none" w:pos="13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Mainly includes other payable accounts, trading derivatives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785495</wp:posOffset>
            </wp:positionV>
            <wp:extent cx="71577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125095</wp:posOffset>
            </wp:positionV>
            <wp:extent cx="6789420" cy="5575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89420" cy="557530"/>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7" w:name="page68"/>
    <w:bookmarkEnd w:id="67"/>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4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Statement of Income</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512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780" w:type="dxa"/>
            <w:vAlign w:val="bottom"/>
            <w:tcBorders>
              <w:top w:val="single" w:sz="8" w:color="auto"/>
            </w:tcBorders>
            <w:shd w:val="clear" w:color="auto" w:fill="2AD2C9"/>
          </w:tcPr>
          <w:p>
            <w:pPr>
              <w:spacing w:after="0"/>
              <w:rPr>
                <w:sz w:val="10"/>
                <w:szCs w:val="10"/>
                <w:color w:val="auto"/>
              </w:rPr>
            </w:pPr>
          </w:p>
        </w:tc>
        <w:tc>
          <w:tcPr>
            <w:tcW w:w="780" w:type="dxa"/>
            <w:vAlign w:val="bottom"/>
            <w:tcBorders>
              <w:top w:val="single" w:sz="8" w:color="auto"/>
            </w:tcBorders>
            <w:shd w:val="clear" w:color="auto" w:fill="2AD2C9"/>
          </w:tcPr>
          <w:p>
            <w:pPr>
              <w:ind w:left="180"/>
              <w:spacing w:after="0" w:line="118" w:lineRule="exact"/>
              <w:rPr>
                <w:sz w:val="20"/>
                <w:szCs w:val="20"/>
                <w:color w:val="auto"/>
              </w:rPr>
            </w:pPr>
            <w:r>
              <w:rPr>
                <w:rFonts w:ascii="Arial" w:cs="Arial" w:eastAsia="Arial" w:hAnsi="Arial"/>
                <w:sz w:val="11"/>
                <w:szCs w:val="11"/>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0"/>
                <w:szCs w:val="10"/>
                <w:color w:val="auto"/>
              </w:rPr>
            </w:pPr>
          </w:p>
        </w:tc>
        <w:tc>
          <w:tcPr>
            <w:tcW w:w="1080" w:type="dxa"/>
            <w:vAlign w:val="bottom"/>
            <w:tcBorders>
              <w:top w:val="single" w:sz="8" w:color="auto"/>
              <w:right w:val="single" w:sz="8" w:color="auto"/>
            </w:tcBorders>
            <w:gridSpan w:val="2"/>
            <w:shd w:val="clear" w:color="auto" w:fill="2AD2C9"/>
          </w:tcPr>
          <w:p>
            <w:pPr>
              <w:ind w:left="280"/>
              <w:spacing w:after="0" w:line="118" w:lineRule="exact"/>
              <w:rPr>
                <w:sz w:val="20"/>
                <w:szCs w:val="20"/>
                <w:color w:val="auto"/>
              </w:rPr>
            </w:pPr>
            <w:r>
              <w:rPr>
                <w:rFonts w:ascii="Arial" w:cs="Arial" w:eastAsia="Arial" w:hAnsi="Arial"/>
                <w:sz w:val="11"/>
                <w:szCs w:val="11"/>
                <w:b w:val="1"/>
                <w:bCs w:val="1"/>
                <w:color w:val="FFFFFF"/>
              </w:rPr>
              <w:t>% Change</w:t>
            </w:r>
          </w:p>
        </w:tc>
        <w:tc>
          <w:tcPr>
            <w:tcW w:w="740" w:type="dxa"/>
            <w:vAlign w:val="bottom"/>
            <w:tcBorders>
              <w:top w:val="single" w:sz="8" w:color="auto"/>
            </w:tcBorders>
            <w:shd w:val="clear" w:color="auto" w:fill="2AD2C9"/>
          </w:tcPr>
          <w:p>
            <w:pPr>
              <w:spacing w:after="0"/>
              <w:rPr>
                <w:sz w:val="10"/>
                <w:szCs w:val="10"/>
                <w:color w:val="auto"/>
              </w:rPr>
            </w:pPr>
          </w:p>
        </w:tc>
        <w:tc>
          <w:tcPr>
            <w:tcW w:w="1080" w:type="dxa"/>
            <w:vAlign w:val="bottom"/>
            <w:tcBorders>
              <w:top w:val="single" w:sz="8" w:color="auto"/>
              <w:right w:val="single" w:sz="8" w:color="auto"/>
            </w:tcBorders>
            <w:shd w:val="clear" w:color="auto" w:fill="2AD2C9"/>
          </w:tcPr>
          <w:p>
            <w:pPr>
              <w:ind w:left="20"/>
              <w:spacing w:after="0" w:line="118" w:lineRule="exact"/>
              <w:rPr>
                <w:sz w:val="20"/>
                <w:szCs w:val="20"/>
                <w:color w:val="auto"/>
              </w:rPr>
            </w:pPr>
            <w:r>
              <w:rPr>
                <w:rFonts w:ascii="Arial" w:cs="Arial" w:eastAsia="Arial" w:hAnsi="Arial"/>
                <w:sz w:val="11"/>
                <w:szCs w:val="11"/>
                <w:b w:val="1"/>
                <w:bCs w:val="1"/>
                <w:color w:val="FFFFFF"/>
              </w:rPr>
              <w:t>Up to</w:t>
            </w:r>
          </w:p>
        </w:tc>
        <w:tc>
          <w:tcPr>
            <w:tcW w:w="920" w:type="dxa"/>
            <w:vAlign w:val="bottom"/>
            <w:tcBorders>
              <w:top w:val="single" w:sz="8" w:color="auto"/>
              <w:right w:val="single" w:sz="8" w:color="auto"/>
            </w:tcBorders>
            <w:shd w:val="clear" w:color="auto" w:fill="2AD2C9"/>
          </w:tcPr>
          <w:p>
            <w:pPr>
              <w:jc w:val="center"/>
              <w:spacing w:after="0" w:line="118" w:lineRule="exact"/>
              <w:rPr>
                <w:sz w:val="20"/>
                <w:szCs w:val="20"/>
                <w:color w:val="auto"/>
              </w:rPr>
            </w:pPr>
            <w:r>
              <w:rPr>
                <w:rFonts w:ascii="Arial" w:cs="Arial" w:eastAsia="Arial" w:hAnsi="Arial"/>
                <w:sz w:val="11"/>
                <w:szCs w:val="11"/>
                <w:b w:val="1"/>
                <w:bCs w:val="1"/>
                <w:color w:val="FFFFFF"/>
                <w:w w:val="97"/>
              </w:rPr>
              <w:t>% Change</w:t>
            </w:r>
          </w:p>
        </w:tc>
      </w:tr>
      <w:tr>
        <w:trPr>
          <w:trHeight w:val="139"/>
        </w:trPr>
        <w:tc>
          <w:tcPr>
            <w:tcW w:w="512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4Q24</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3Q25</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4Q25</w:t>
            </w:r>
          </w:p>
        </w:tc>
        <w:tc>
          <w:tcPr>
            <w:tcW w:w="56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1"/>
                <w:szCs w:val="11"/>
                <w:b w:val="1"/>
                <w:bCs w:val="1"/>
                <w:color w:val="FFFFFF"/>
              </w:rPr>
              <w:t>QoQ</w:t>
            </w:r>
          </w:p>
        </w:tc>
        <w:tc>
          <w:tcPr>
            <w:tcW w:w="52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1"/>
                <w:szCs w:val="11"/>
                <w:b w:val="1"/>
                <w:bCs w:val="1"/>
                <w:color w:val="FFFFFF"/>
              </w:rPr>
              <w:t>YoY</w:t>
            </w:r>
          </w:p>
        </w:tc>
        <w:tc>
          <w:tcPr>
            <w:tcW w:w="7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1"/>
                <w:szCs w:val="11"/>
                <w:b w:val="1"/>
                <w:bCs w:val="1"/>
                <w:color w:val="FFFFFF"/>
              </w:rPr>
              <w:t>Dec 24</w:t>
            </w:r>
          </w:p>
        </w:tc>
        <w:tc>
          <w:tcPr>
            <w:tcW w:w="108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Arial" w:cs="Arial" w:eastAsia="Arial" w:hAnsi="Arial"/>
                <w:sz w:val="11"/>
                <w:szCs w:val="11"/>
                <w:b w:val="1"/>
                <w:bCs w:val="1"/>
                <w:color w:val="FFFFFF"/>
              </w:rPr>
              <w:t>Dec 25</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Dec 25 / Dec 24</w:t>
            </w:r>
          </w:p>
        </w:tc>
      </w:tr>
      <w:tr>
        <w:trPr>
          <w:trHeight w:val="98"/>
        </w:trPr>
        <w:tc>
          <w:tcPr>
            <w:tcW w:w="5120" w:type="dxa"/>
            <w:vAlign w:val="bottom"/>
            <w:tcBorders>
              <w:left w:val="single" w:sz="8" w:color="auto"/>
              <w:right w:val="single" w:sz="8" w:color="auto"/>
            </w:tcBorders>
          </w:tcPr>
          <w:p>
            <w:pPr>
              <w:spacing w:after="0" w:line="98" w:lineRule="exact"/>
              <w:rPr>
                <w:sz w:val="20"/>
                <w:szCs w:val="20"/>
                <w:color w:val="auto"/>
              </w:rPr>
            </w:pPr>
            <w:r>
              <w:rPr>
                <w:rFonts w:ascii="Arial" w:cs="Arial" w:eastAsia="Arial" w:hAnsi="Arial"/>
                <w:sz w:val="11"/>
                <w:szCs w:val="11"/>
                <w:b w:val="1"/>
                <w:bCs w:val="1"/>
                <w:color w:val="auto"/>
              </w:rPr>
              <w:t>Interest income and expense</w:t>
            </w: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r>
      <w:tr>
        <w:trPr>
          <w:trHeight w:val="115"/>
        </w:trPr>
        <w:tc>
          <w:tcPr>
            <w:tcW w:w="5120" w:type="dxa"/>
            <w:vAlign w:val="bottom"/>
            <w:tcBorders>
              <w:left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Interest and similar income</w:t>
            </w:r>
          </w:p>
        </w:tc>
        <w:tc>
          <w:tcPr>
            <w:tcW w:w="780" w:type="dxa"/>
            <w:vAlign w:val="bottom"/>
          </w:tcPr>
          <w:p>
            <w:pPr>
              <w:jc w:val="center"/>
              <w:spacing w:after="0" w:line="115" w:lineRule="exact"/>
              <w:rPr>
                <w:sz w:val="20"/>
                <w:szCs w:val="20"/>
                <w:color w:val="auto"/>
              </w:rPr>
            </w:pPr>
            <w:r>
              <w:rPr>
                <w:rFonts w:ascii="Arial" w:cs="Arial" w:eastAsia="Arial" w:hAnsi="Arial"/>
                <w:sz w:val="11"/>
                <w:szCs w:val="11"/>
                <w:color w:val="auto"/>
                <w:w w:val="97"/>
              </w:rPr>
              <w:t>3,639,485</w:t>
            </w:r>
          </w:p>
        </w:tc>
        <w:tc>
          <w:tcPr>
            <w:tcW w:w="780" w:type="dxa"/>
            <w:vAlign w:val="bottom"/>
          </w:tcPr>
          <w:p>
            <w:pPr>
              <w:jc w:val="center"/>
              <w:spacing w:after="0" w:line="115" w:lineRule="exact"/>
              <w:rPr>
                <w:sz w:val="20"/>
                <w:szCs w:val="20"/>
                <w:color w:val="auto"/>
              </w:rPr>
            </w:pPr>
            <w:r>
              <w:rPr>
                <w:rFonts w:ascii="Arial" w:cs="Arial" w:eastAsia="Arial" w:hAnsi="Arial"/>
                <w:sz w:val="11"/>
                <w:szCs w:val="11"/>
                <w:color w:val="auto"/>
                <w:w w:val="97"/>
              </w:rPr>
              <w:t>3,570,917</w:t>
            </w:r>
          </w:p>
        </w:tc>
        <w:tc>
          <w:tcPr>
            <w:tcW w:w="78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3,663,268</w:t>
            </w:r>
          </w:p>
        </w:tc>
        <w:tc>
          <w:tcPr>
            <w:tcW w:w="560" w:type="dxa"/>
            <w:vAlign w:val="bottom"/>
          </w:tcPr>
          <w:p>
            <w:pPr>
              <w:jc w:val="center"/>
              <w:spacing w:after="0" w:line="115" w:lineRule="exact"/>
              <w:rPr>
                <w:sz w:val="20"/>
                <w:szCs w:val="20"/>
                <w:color w:val="auto"/>
              </w:rPr>
            </w:pPr>
            <w:r>
              <w:rPr>
                <w:rFonts w:ascii="Arial" w:cs="Arial" w:eastAsia="Arial" w:hAnsi="Arial"/>
                <w:sz w:val="11"/>
                <w:szCs w:val="11"/>
                <w:color w:val="auto"/>
                <w:w w:val="95"/>
              </w:rPr>
              <w:t>2.6%</w:t>
            </w:r>
          </w:p>
        </w:tc>
        <w:tc>
          <w:tcPr>
            <w:tcW w:w="5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0.7%</w:t>
            </w:r>
          </w:p>
        </w:tc>
        <w:tc>
          <w:tcPr>
            <w:tcW w:w="740" w:type="dxa"/>
            <w:vAlign w:val="bottom"/>
          </w:tcPr>
          <w:p>
            <w:pPr>
              <w:jc w:val="center"/>
              <w:ind w:left="106"/>
              <w:spacing w:after="0" w:line="115" w:lineRule="exact"/>
              <w:rPr>
                <w:sz w:val="20"/>
                <w:szCs w:val="20"/>
                <w:color w:val="auto"/>
              </w:rPr>
            </w:pPr>
            <w:r>
              <w:rPr>
                <w:rFonts w:ascii="Arial" w:cs="Arial" w:eastAsia="Arial" w:hAnsi="Arial"/>
                <w:sz w:val="11"/>
                <w:szCs w:val="11"/>
                <w:color w:val="auto"/>
                <w:w w:val="98"/>
              </w:rPr>
              <w:t>14,345,027</w:t>
            </w:r>
          </w:p>
        </w:tc>
        <w:tc>
          <w:tcPr>
            <w:tcW w:w="1080" w:type="dxa"/>
            <w:vAlign w:val="bottom"/>
            <w:tcBorders>
              <w:right w:val="single" w:sz="8" w:color="auto"/>
            </w:tcBorders>
          </w:tcPr>
          <w:p>
            <w:pPr>
              <w:jc w:val="center"/>
              <w:ind w:left="86"/>
              <w:spacing w:after="0" w:line="115" w:lineRule="exact"/>
              <w:rPr>
                <w:sz w:val="20"/>
                <w:szCs w:val="20"/>
                <w:color w:val="auto"/>
              </w:rPr>
            </w:pPr>
            <w:r>
              <w:rPr>
                <w:rFonts w:ascii="Arial" w:cs="Arial" w:eastAsia="Arial" w:hAnsi="Arial"/>
                <w:sz w:val="11"/>
                <w:szCs w:val="11"/>
                <w:color w:val="auto"/>
                <w:w w:val="98"/>
              </w:rPr>
              <w:t>14,288,399</w:t>
            </w:r>
          </w:p>
        </w:tc>
        <w:tc>
          <w:tcPr>
            <w:tcW w:w="9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-0.4%</w:t>
            </w:r>
          </w:p>
        </w:tc>
      </w:tr>
      <w:tr>
        <w:trPr>
          <w:trHeight w:val="128"/>
        </w:trPr>
        <w:tc>
          <w:tcPr>
            <w:tcW w:w="512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9"/>
                <w:szCs w:val="9"/>
                <w:color w:val="auto"/>
              </w:rPr>
              <w:t xml:space="preserve">Interest and similar expenses </w:t>
            </w:r>
            <w:r>
              <w:rPr>
                <w:rFonts w:ascii="Arial" w:cs="Arial" w:eastAsia="Arial" w:hAnsi="Arial"/>
                <w:sz w:val="14"/>
                <w:szCs w:val="14"/>
                <w:color w:val="auto"/>
                <w:vertAlign w:val="superscript"/>
              </w:rPr>
              <w:t>(1)</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(857,707)</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(776,188)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(776,688)</w:t>
            </w:r>
          </w:p>
        </w:tc>
        <w:tc>
          <w:tcPr>
            <w:tcW w:w="560" w:type="dxa"/>
            <w:vAlign w:val="bottom"/>
          </w:tcPr>
          <w:p>
            <w:pPr>
              <w:jc w:val="center"/>
              <w:spacing w:after="0"/>
              <w:rPr>
                <w:sz w:val="20"/>
                <w:szCs w:val="20"/>
                <w:color w:val="auto"/>
              </w:rPr>
            </w:pPr>
            <w:r>
              <w:rPr>
                <w:rFonts w:ascii="Arial" w:cs="Arial" w:eastAsia="Arial" w:hAnsi="Arial"/>
                <w:sz w:val="11"/>
                <w:szCs w:val="11"/>
                <w:color w:val="auto"/>
                <w:w w:val="95"/>
              </w:rPr>
              <w:t>0.1%</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-9.4%</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5"/>
              </w:rPr>
              <w:t>(3,529,865)</w:t>
            </w:r>
          </w:p>
        </w:tc>
        <w:tc>
          <w:tcPr>
            <w:tcW w:w="108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color w:val="auto"/>
                <w:w w:val="99"/>
              </w:rPr>
              <w:t>(3,151,080)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-10.7%</w:t>
            </w:r>
          </w:p>
        </w:tc>
      </w:tr>
      <w:tr>
        <w:trPr>
          <w:trHeight w:val="152"/>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Interest income and expense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2,781,778</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2,794,729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2,886,580</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3.3%</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3.8%</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8"/>
              </w:rPr>
              <w:t>10,815,162</w:t>
            </w:r>
          </w:p>
        </w:tc>
        <w:tc>
          <w:tcPr>
            <w:tcW w:w="1080" w:type="dxa"/>
            <w:vAlign w:val="bottom"/>
            <w:tcBorders>
              <w:right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8"/>
              </w:rPr>
              <w:t>11,137,319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3.0%</w:t>
            </w:r>
          </w:p>
        </w:tc>
      </w:tr>
      <w:tr>
        <w:trPr>
          <w:trHeight w:val="213"/>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Provision for credit losses on loan portfolio</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(616,654)</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(484,000)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(532,683)</w:t>
            </w:r>
          </w:p>
        </w:tc>
        <w:tc>
          <w:tcPr>
            <w:tcW w:w="560" w:type="dxa"/>
            <w:vAlign w:val="bottom"/>
          </w:tcPr>
          <w:p>
            <w:pPr>
              <w:jc w:val="center"/>
              <w:spacing w:after="0"/>
              <w:rPr>
                <w:sz w:val="20"/>
                <w:szCs w:val="20"/>
                <w:color w:val="auto"/>
              </w:rPr>
            </w:pPr>
            <w:r>
              <w:rPr>
                <w:rFonts w:ascii="Arial" w:cs="Arial" w:eastAsia="Arial" w:hAnsi="Arial"/>
                <w:sz w:val="11"/>
                <w:szCs w:val="11"/>
                <w:color w:val="auto"/>
                <w:w w:val="96"/>
              </w:rPr>
              <w:t>10.1%</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-13.6%</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5"/>
              </w:rPr>
              <w:t>(2,832,738)</w:t>
            </w:r>
          </w:p>
        </w:tc>
        <w:tc>
          <w:tcPr>
            <w:tcW w:w="108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color w:val="auto"/>
                <w:w w:val="99"/>
              </w:rPr>
              <w:t>(1,924,706)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-32.1%</w:t>
            </w:r>
          </w:p>
        </w:tc>
      </w:tr>
      <w:tr>
        <w:trPr>
          <w:trHeight w:val="122"/>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Recoveries of written-off loans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80,396</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89,802</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99,511</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6"/>
              </w:rPr>
              <w:t>10.8%</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23.8%</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5"/>
              </w:rPr>
              <w:t>279,687</w:t>
            </w:r>
          </w:p>
        </w:tc>
        <w:tc>
          <w:tcPr>
            <w:tcW w:w="108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5"/>
              </w:rPr>
              <w:t>355,410</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27.1%</w:t>
            </w:r>
          </w:p>
        </w:tc>
      </w:tr>
      <w:tr>
        <w:trPr>
          <w:trHeight w:val="152"/>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(536,258)</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(394,198)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(433,172)</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9.9%</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-19.2%</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(2,553,051)</w:t>
            </w:r>
          </w:p>
        </w:tc>
        <w:tc>
          <w:tcPr>
            <w:tcW w:w="108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9"/>
              </w:rPr>
              <w:t>(1,569,296)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-38.5%</w:t>
            </w:r>
          </w:p>
        </w:tc>
      </w:tr>
      <w:tr>
        <w:trPr>
          <w:trHeight w:val="243"/>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interest, similar income and expenses, after provision for credit losses on loan portfolio</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2,245,520</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2,400,531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2,453,408</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2.2%</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9.3%</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3"/>
              </w:rPr>
              <w:t>8,262,111</w:t>
            </w:r>
          </w:p>
        </w:tc>
        <w:tc>
          <w:tcPr>
            <w:tcW w:w="108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7"/>
              </w:rPr>
              <w:t>9,568,023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15.8%</w:t>
            </w:r>
          </w:p>
        </w:tc>
      </w:tr>
      <w:tr>
        <w:trPr>
          <w:trHeight w:val="213"/>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Other income</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122"/>
        </w:trPr>
        <w:tc>
          <w:tcPr>
            <w:tcW w:w="512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Fee income</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5"/>
              </w:rPr>
              <w:t>809,060</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5"/>
              </w:rPr>
              <w:t>873,187</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924,682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5"/>
              </w:rPr>
              <w:t>5.9%</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14.3%</w:t>
            </w:r>
          </w:p>
        </w:tc>
        <w:tc>
          <w:tcPr>
            <w:tcW w:w="74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7"/>
              </w:rPr>
              <w:t>3,060,101</w:t>
            </w:r>
          </w:p>
        </w:tc>
        <w:tc>
          <w:tcPr>
            <w:tcW w:w="108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7"/>
              </w:rPr>
              <w:t>3,483,016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13.8%</w:t>
            </w:r>
          </w:p>
        </w:tc>
      </w:tr>
      <w:tr>
        <w:trPr>
          <w:trHeight w:val="122"/>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on foreign exchange transactions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5"/>
              </w:rPr>
              <w:t>311,657</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5"/>
              </w:rPr>
              <w:t>347,104</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371,917</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5"/>
              </w:rPr>
              <w:t>7.1%</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19.3%</w:t>
            </w:r>
          </w:p>
        </w:tc>
        <w:tc>
          <w:tcPr>
            <w:tcW w:w="74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7"/>
              </w:rPr>
              <w:t>1,157,575</w:t>
            </w:r>
          </w:p>
        </w:tc>
        <w:tc>
          <w:tcPr>
            <w:tcW w:w="108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7"/>
              </w:rPr>
              <w:t>1,369,791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18.3%</w:t>
            </w:r>
          </w:p>
        </w:tc>
      </w:tr>
      <w:tr>
        <w:trPr>
          <w:trHeight w:val="122"/>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on securities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88,641</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5"/>
              </w:rPr>
              <w:t>117,414</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150,134</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6"/>
              </w:rPr>
              <w:t>27.9%</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69.4%</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5"/>
              </w:rPr>
              <w:t>305,786</w:t>
            </w:r>
          </w:p>
        </w:tc>
        <w:tc>
          <w:tcPr>
            <w:tcW w:w="108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5"/>
              </w:rPr>
              <w:t>583,436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90.8%</w:t>
            </w:r>
          </w:p>
        </w:tc>
      </w:tr>
      <w:tr>
        <w:trPr>
          <w:trHeight w:val="121"/>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(loss) from associates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88</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4"/>
              </w:rPr>
              <w:t>1,137</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1,413</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6"/>
              </w:rPr>
              <w:t>24.3%</w:t>
            </w:r>
          </w:p>
        </w:tc>
        <w:tc>
          <w:tcPr>
            <w:tcW w:w="520" w:type="dxa"/>
            <w:vAlign w:val="bottom"/>
            <w:tcBorders>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n.a.</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4"/>
              </w:rPr>
              <w:t>5,278</w:t>
            </w:r>
          </w:p>
        </w:tc>
        <w:tc>
          <w:tcPr>
            <w:tcW w:w="108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4"/>
              </w:rPr>
              <w:t>5,411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2.5%</w:t>
            </w:r>
          </w:p>
        </w:tc>
      </w:tr>
      <w:tr>
        <w:trPr>
          <w:trHeight w:val="122"/>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gain on derivatives held for trading</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23,551</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36,289</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17,605</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-51.5%</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-25.2%</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color w:val="auto"/>
              </w:rPr>
              <w:t>73,326</w:t>
            </w:r>
          </w:p>
        </w:tc>
        <w:tc>
          <w:tcPr>
            <w:tcW w:w="108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5"/>
              </w:rPr>
              <w:t>103,591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41.3%</w:t>
            </w:r>
          </w:p>
        </w:tc>
      </w:tr>
      <w:tr>
        <w:trPr>
          <w:trHeight w:val="122"/>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Net loss (gain) from exchange differences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(1,525)</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(4,779)</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(1,847)</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-61.4%</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21.1%</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4"/>
              </w:rPr>
              <w:t>3,248</w:t>
            </w:r>
          </w:p>
        </w:tc>
        <w:tc>
          <w:tcPr>
            <w:tcW w:w="108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7"/>
              </w:rPr>
              <w:t>(3,455)</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n.a.</w:t>
            </w:r>
          </w:p>
        </w:tc>
      </w:tr>
      <w:tr>
        <w:trPr>
          <w:trHeight w:val="122"/>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b w:val="1"/>
                <w:bCs w:val="1"/>
                <w:color w:val="auto"/>
              </w:rPr>
              <w:t>Others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94,340</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27,933</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58,607</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6"/>
              </w:rPr>
              <w:t>109.8%</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-37.9%</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95"/>
              </w:rPr>
              <w:t>229,387</w:t>
            </w:r>
          </w:p>
        </w:tc>
        <w:tc>
          <w:tcPr>
            <w:tcW w:w="108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b w:val="1"/>
                <w:bCs w:val="1"/>
                <w:color w:val="auto"/>
                <w:w w:val="95"/>
              </w:rPr>
              <w:t>137,688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7"/>
              </w:rPr>
              <w:t>-40.0%</w:t>
            </w:r>
          </w:p>
        </w:tc>
      </w:tr>
      <w:tr>
        <w:trPr>
          <w:trHeight w:val="152"/>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other income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1,325,812</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1,398,285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1,522,511</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5"/>
              </w:rPr>
              <w:t>8.9%</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14.8%</w:t>
            </w:r>
          </w:p>
        </w:tc>
        <w:tc>
          <w:tcPr>
            <w:tcW w:w="740" w:type="dxa"/>
            <w:vAlign w:val="bottom"/>
          </w:tcPr>
          <w:p>
            <w:pPr>
              <w:jc w:val="center"/>
              <w:ind w:left="126"/>
              <w:spacing w:after="0"/>
              <w:rPr>
                <w:sz w:val="20"/>
                <w:szCs w:val="20"/>
                <w:color w:val="auto"/>
              </w:rPr>
            </w:pPr>
            <w:r>
              <w:rPr>
                <w:rFonts w:ascii="Arial" w:cs="Arial" w:eastAsia="Arial" w:hAnsi="Arial"/>
                <w:sz w:val="11"/>
                <w:szCs w:val="11"/>
                <w:color w:val="auto"/>
                <w:w w:val="97"/>
              </w:rPr>
              <w:t>4,834,701</w:t>
            </w:r>
          </w:p>
        </w:tc>
        <w:tc>
          <w:tcPr>
            <w:tcW w:w="108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color w:val="auto"/>
                <w:w w:val="97"/>
              </w:rPr>
              <w:t>5,679,478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17.5%</w:t>
            </w:r>
          </w:p>
        </w:tc>
      </w:tr>
      <w:tr>
        <w:trPr>
          <w:trHeight w:val="213"/>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expenses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122"/>
        </w:trPr>
        <w:tc>
          <w:tcPr>
            <w:tcW w:w="512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Salaries and employee benefits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(762,850)</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(728,954)</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(790,252)</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5"/>
              </w:rPr>
              <w:t>8.4%</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3.6%</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5"/>
              </w:rPr>
              <w:t>(2,615,512)</w:t>
            </w:r>
          </w:p>
        </w:tc>
        <w:tc>
          <w:tcPr>
            <w:tcW w:w="108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9"/>
              </w:rPr>
              <w:t>(2,987,036)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14.2%</w:t>
            </w:r>
          </w:p>
        </w:tc>
      </w:tr>
      <w:tr>
        <w:trPr>
          <w:trHeight w:val="115"/>
        </w:trPr>
        <w:tc>
          <w:tcPr>
            <w:tcW w:w="5120" w:type="dxa"/>
            <w:vAlign w:val="bottom"/>
            <w:tcBorders>
              <w:left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Administrative expenses</w:t>
            </w:r>
          </w:p>
        </w:tc>
        <w:tc>
          <w:tcPr>
            <w:tcW w:w="780" w:type="dxa"/>
            <w:vAlign w:val="bottom"/>
          </w:tcPr>
          <w:p>
            <w:pPr>
              <w:jc w:val="center"/>
              <w:spacing w:after="0" w:line="115" w:lineRule="exact"/>
              <w:rPr>
                <w:sz w:val="20"/>
                <w:szCs w:val="20"/>
                <w:color w:val="auto"/>
              </w:rPr>
            </w:pPr>
            <w:r>
              <w:rPr>
                <w:rFonts w:ascii="Arial" w:cs="Arial" w:eastAsia="Arial" w:hAnsi="Arial"/>
                <w:sz w:val="11"/>
                <w:szCs w:val="11"/>
                <w:color w:val="auto"/>
                <w:w w:val="97"/>
              </w:rPr>
              <w:t>(820,565)</w:t>
            </w:r>
          </w:p>
        </w:tc>
        <w:tc>
          <w:tcPr>
            <w:tcW w:w="780" w:type="dxa"/>
            <w:vAlign w:val="bottom"/>
          </w:tcPr>
          <w:p>
            <w:pPr>
              <w:jc w:val="center"/>
              <w:spacing w:after="0" w:line="115" w:lineRule="exact"/>
              <w:rPr>
                <w:sz w:val="20"/>
                <w:szCs w:val="20"/>
                <w:color w:val="auto"/>
              </w:rPr>
            </w:pPr>
            <w:r>
              <w:rPr>
                <w:rFonts w:ascii="Arial" w:cs="Arial" w:eastAsia="Arial" w:hAnsi="Arial"/>
                <w:sz w:val="11"/>
                <w:szCs w:val="11"/>
                <w:color w:val="auto"/>
                <w:w w:val="97"/>
              </w:rPr>
              <w:t>(729,297)</w:t>
            </w:r>
          </w:p>
        </w:tc>
        <w:tc>
          <w:tcPr>
            <w:tcW w:w="78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(840,548)</w:t>
            </w:r>
          </w:p>
        </w:tc>
        <w:tc>
          <w:tcPr>
            <w:tcW w:w="560" w:type="dxa"/>
            <w:vAlign w:val="bottom"/>
          </w:tcPr>
          <w:p>
            <w:pPr>
              <w:jc w:val="center"/>
              <w:spacing w:after="0" w:line="115" w:lineRule="exact"/>
              <w:rPr>
                <w:sz w:val="20"/>
                <w:szCs w:val="20"/>
                <w:color w:val="auto"/>
              </w:rPr>
            </w:pPr>
            <w:r>
              <w:rPr>
                <w:rFonts w:ascii="Arial" w:cs="Arial" w:eastAsia="Arial" w:hAnsi="Arial"/>
                <w:sz w:val="11"/>
                <w:szCs w:val="11"/>
                <w:color w:val="auto"/>
                <w:w w:val="96"/>
              </w:rPr>
              <w:t>15.3%</w:t>
            </w:r>
          </w:p>
        </w:tc>
        <w:tc>
          <w:tcPr>
            <w:tcW w:w="5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2.4%</w:t>
            </w:r>
          </w:p>
        </w:tc>
        <w:tc>
          <w:tcPr>
            <w:tcW w:w="740" w:type="dxa"/>
            <w:vAlign w:val="bottom"/>
          </w:tcPr>
          <w:p>
            <w:pPr>
              <w:jc w:val="center"/>
              <w:ind w:left="106"/>
              <w:spacing w:after="0" w:line="115" w:lineRule="exact"/>
              <w:rPr>
                <w:sz w:val="20"/>
                <w:szCs w:val="20"/>
                <w:color w:val="auto"/>
              </w:rPr>
            </w:pPr>
            <w:r>
              <w:rPr>
                <w:rFonts w:ascii="Arial" w:cs="Arial" w:eastAsia="Arial" w:hAnsi="Arial"/>
                <w:sz w:val="11"/>
                <w:szCs w:val="11"/>
                <w:color w:val="auto"/>
                <w:w w:val="95"/>
              </w:rPr>
              <w:t>(2,658,025)</w:t>
            </w:r>
          </w:p>
        </w:tc>
        <w:tc>
          <w:tcPr>
            <w:tcW w:w="1080" w:type="dxa"/>
            <w:vAlign w:val="bottom"/>
            <w:tcBorders>
              <w:right w:val="single" w:sz="8" w:color="auto"/>
            </w:tcBorders>
          </w:tcPr>
          <w:p>
            <w:pPr>
              <w:jc w:val="center"/>
              <w:ind w:left="106"/>
              <w:spacing w:after="0" w:line="115" w:lineRule="exact"/>
              <w:rPr>
                <w:sz w:val="20"/>
                <w:szCs w:val="20"/>
                <w:color w:val="auto"/>
              </w:rPr>
            </w:pPr>
            <w:r>
              <w:rPr>
                <w:rFonts w:ascii="Arial" w:cs="Arial" w:eastAsia="Arial" w:hAnsi="Arial"/>
                <w:sz w:val="11"/>
                <w:szCs w:val="11"/>
                <w:color w:val="auto"/>
                <w:w w:val="99"/>
              </w:rPr>
              <w:t>(2,788,281)</w:t>
            </w:r>
          </w:p>
        </w:tc>
        <w:tc>
          <w:tcPr>
            <w:tcW w:w="9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5"/>
              </w:rPr>
              <w:t>4.9%</w:t>
            </w:r>
          </w:p>
        </w:tc>
      </w:tr>
      <w:tr>
        <w:trPr>
          <w:trHeight w:val="128"/>
        </w:trPr>
        <w:tc>
          <w:tcPr>
            <w:tcW w:w="512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9"/>
                <w:szCs w:val="9"/>
                <w:color w:val="auto"/>
              </w:rPr>
              <w:t xml:space="preserve">Depreciation and amortization </w:t>
            </w:r>
            <w:r>
              <w:rPr>
                <w:rFonts w:ascii="Arial" w:cs="Arial" w:eastAsia="Arial" w:hAnsi="Arial"/>
                <w:sz w:val="14"/>
                <w:szCs w:val="14"/>
                <w:color w:val="auto"/>
                <w:vertAlign w:val="superscript"/>
              </w:rPr>
              <w:t>(2)</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(131,376)</w:t>
            </w:r>
          </w:p>
        </w:tc>
        <w:tc>
          <w:tcPr>
            <w:tcW w:w="780" w:type="dxa"/>
            <w:vAlign w:val="bottom"/>
          </w:tcPr>
          <w:p>
            <w:pPr>
              <w:jc w:val="center"/>
              <w:spacing w:after="0"/>
              <w:rPr>
                <w:sz w:val="20"/>
                <w:szCs w:val="20"/>
                <w:color w:val="auto"/>
              </w:rPr>
            </w:pPr>
            <w:r>
              <w:rPr>
                <w:rFonts w:ascii="Arial" w:cs="Arial" w:eastAsia="Arial" w:hAnsi="Arial"/>
                <w:sz w:val="11"/>
                <w:szCs w:val="11"/>
                <w:color w:val="auto"/>
                <w:w w:val="97"/>
              </w:rPr>
              <w:t>(158,769)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(164,073)</w:t>
            </w:r>
          </w:p>
        </w:tc>
        <w:tc>
          <w:tcPr>
            <w:tcW w:w="560" w:type="dxa"/>
            <w:vAlign w:val="bottom"/>
          </w:tcPr>
          <w:p>
            <w:pPr>
              <w:jc w:val="center"/>
              <w:spacing w:after="0"/>
              <w:rPr>
                <w:sz w:val="20"/>
                <w:szCs w:val="20"/>
                <w:color w:val="auto"/>
              </w:rPr>
            </w:pPr>
            <w:r>
              <w:rPr>
                <w:rFonts w:ascii="Arial" w:cs="Arial" w:eastAsia="Arial" w:hAnsi="Arial"/>
                <w:sz w:val="11"/>
                <w:szCs w:val="11"/>
                <w:color w:val="auto"/>
                <w:w w:val="95"/>
              </w:rPr>
              <w:t>3.3%</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24.9%</w:t>
            </w:r>
          </w:p>
        </w:tc>
        <w:tc>
          <w:tcPr>
            <w:tcW w:w="740" w:type="dxa"/>
            <w:vAlign w:val="bottom"/>
          </w:tcPr>
          <w:p>
            <w:pPr>
              <w:jc w:val="center"/>
              <w:ind w:left="106"/>
              <w:spacing w:after="0"/>
              <w:rPr>
                <w:sz w:val="20"/>
                <w:szCs w:val="20"/>
                <w:color w:val="auto"/>
              </w:rPr>
            </w:pPr>
            <w:r>
              <w:rPr>
                <w:rFonts w:ascii="Arial" w:cs="Arial" w:eastAsia="Arial" w:hAnsi="Arial"/>
                <w:sz w:val="11"/>
                <w:szCs w:val="11"/>
                <w:color w:val="auto"/>
                <w:w w:val="97"/>
              </w:rPr>
              <w:t>(491,360)</w:t>
            </w:r>
          </w:p>
        </w:tc>
        <w:tc>
          <w:tcPr>
            <w:tcW w:w="1080" w:type="dxa"/>
            <w:vAlign w:val="bottom"/>
            <w:tcBorders>
              <w:right w:val="single" w:sz="8" w:color="auto"/>
            </w:tcBorders>
          </w:tcPr>
          <w:p>
            <w:pPr>
              <w:jc w:val="center"/>
              <w:ind w:left="86"/>
              <w:spacing w:after="0"/>
              <w:rPr>
                <w:sz w:val="20"/>
                <w:szCs w:val="20"/>
                <w:color w:val="auto"/>
              </w:rPr>
            </w:pPr>
            <w:r>
              <w:rPr>
                <w:rFonts w:ascii="Arial" w:cs="Arial" w:eastAsia="Arial" w:hAnsi="Arial"/>
                <w:sz w:val="11"/>
                <w:szCs w:val="11"/>
                <w:color w:val="auto"/>
                <w:w w:val="97"/>
              </w:rPr>
              <w:t>(620,654)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26.3%</w:t>
            </w:r>
          </w:p>
        </w:tc>
      </w:tr>
      <w:tr>
        <w:trPr>
          <w:trHeight w:val="121"/>
        </w:trPr>
        <w:tc>
          <w:tcPr>
            <w:tcW w:w="512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Other expenses</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(106,339)</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rPr>
              <w:t>(49,126)</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(64,624)</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6"/>
              </w:rPr>
              <w:t>31.5%</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-39.2%</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97"/>
              </w:rPr>
              <w:t>(266,982)</w:t>
            </w:r>
          </w:p>
        </w:tc>
        <w:tc>
          <w:tcPr>
            <w:tcW w:w="108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b w:val="1"/>
                <w:bCs w:val="1"/>
                <w:color w:val="auto"/>
                <w:w w:val="97"/>
              </w:rPr>
              <w:t>(213,694)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7"/>
              </w:rPr>
              <w:t>-20.0%</w:t>
            </w:r>
          </w:p>
        </w:tc>
      </w:tr>
      <w:tr>
        <w:trPr>
          <w:trHeight w:val="152"/>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expenses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5"/>
              </w:rPr>
              <w:t>(1,821,130)</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5"/>
              </w:rPr>
              <w:t>(1,666,146)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(1,859,497)</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6"/>
              </w:rPr>
              <w:t>11.6%</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2.1%</w:t>
            </w:r>
          </w:p>
        </w:tc>
        <w:tc>
          <w:tcPr>
            <w:tcW w:w="7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(6,031,879)</w:t>
            </w:r>
          </w:p>
        </w:tc>
        <w:tc>
          <w:tcPr>
            <w:tcW w:w="108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9"/>
              </w:rPr>
              <w:t>(6,609,665)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9.6%</w:t>
            </w:r>
          </w:p>
        </w:tc>
      </w:tr>
      <w:tr>
        <w:trPr>
          <w:trHeight w:val="213"/>
        </w:trPr>
        <w:tc>
          <w:tcPr>
            <w:tcW w:w="512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Profit before income tax</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1,750,202</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2,132,670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2,116,422</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7"/>
              </w:rPr>
              <w:t>-0.8%</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20.9%</w:t>
            </w:r>
          </w:p>
        </w:tc>
        <w:tc>
          <w:tcPr>
            <w:tcW w:w="740" w:type="dxa"/>
            <w:vAlign w:val="bottom"/>
          </w:tcPr>
          <w:p>
            <w:pPr>
              <w:jc w:val="center"/>
              <w:ind w:left="126"/>
              <w:spacing w:after="0"/>
              <w:rPr>
                <w:sz w:val="20"/>
                <w:szCs w:val="20"/>
                <w:color w:val="auto"/>
              </w:rPr>
            </w:pPr>
            <w:r>
              <w:rPr>
                <w:rFonts w:ascii="Arial" w:cs="Arial" w:eastAsia="Arial" w:hAnsi="Arial"/>
                <w:sz w:val="11"/>
                <w:szCs w:val="11"/>
                <w:color w:val="auto"/>
                <w:w w:val="97"/>
              </w:rPr>
              <w:t>7,064,933</w:t>
            </w:r>
          </w:p>
        </w:tc>
        <w:tc>
          <w:tcPr>
            <w:tcW w:w="1080" w:type="dxa"/>
            <w:vAlign w:val="bottom"/>
            <w:tcBorders>
              <w:right w:val="single" w:sz="8" w:color="auto"/>
            </w:tcBorders>
          </w:tcPr>
          <w:p>
            <w:pPr>
              <w:jc w:val="center"/>
              <w:ind w:left="106"/>
              <w:spacing w:after="0"/>
              <w:rPr>
                <w:sz w:val="20"/>
                <w:szCs w:val="20"/>
                <w:color w:val="auto"/>
              </w:rPr>
            </w:pPr>
            <w:r>
              <w:rPr>
                <w:rFonts w:ascii="Arial" w:cs="Arial" w:eastAsia="Arial" w:hAnsi="Arial"/>
                <w:sz w:val="11"/>
                <w:szCs w:val="11"/>
                <w:color w:val="auto"/>
                <w:w w:val="97"/>
              </w:rPr>
              <w:t>8,637,836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22.3%</w:t>
            </w:r>
          </w:p>
        </w:tc>
      </w:tr>
      <w:tr>
        <w:trPr>
          <w:trHeight w:val="122"/>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Income tax</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(481,509)</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(535,124)</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(562,559)</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5"/>
              </w:rPr>
              <w:t>5.1%</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16.8%</w:t>
            </w:r>
          </w:p>
        </w:tc>
        <w:tc>
          <w:tcPr>
            <w:tcW w:w="74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5"/>
              </w:rPr>
              <w:t>(1,767,305)</w:t>
            </w:r>
          </w:p>
        </w:tc>
        <w:tc>
          <w:tcPr>
            <w:tcW w:w="108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9"/>
              </w:rPr>
              <w:t>(2,158,272)</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22.1%</w:t>
            </w:r>
          </w:p>
        </w:tc>
      </w:tr>
      <w:tr>
        <w:trPr>
          <w:trHeight w:val="121"/>
        </w:trPr>
        <w:tc>
          <w:tcPr>
            <w:tcW w:w="512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b w:val="1"/>
                <w:bCs w:val="1"/>
                <w:color w:val="auto"/>
              </w:rPr>
              <w:t>Net profit</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1,268,693</w:t>
            </w:r>
          </w:p>
        </w:tc>
        <w:tc>
          <w:tcPr>
            <w:tcW w:w="780" w:type="dxa"/>
            <w:vAlign w:val="bottom"/>
          </w:tcPr>
          <w:p>
            <w:pPr>
              <w:jc w:val="center"/>
              <w:spacing w:after="0" w:line="122" w:lineRule="exact"/>
              <w:rPr>
                <w:sz w:val="20"/>
                <w:szCs w:val="20"/>
                <w:color w:val="auto"/>
              </w:rPr>
            </w:pPr>
            <w:r>
              <w:rPr>
                <w:rFonts w:ascii="Arial" w:cs="Arial" w:eastAsia="Arial" w:hAnsi="Arial"/>
                <w:sz w:val="11"/>
                <w:szCs w:val="11"/>
                <w:color w:val="auto"/>
                <w:w w:val="97"/>
              </w:rPr>
              <w:t>1,597,546</w:t>
            </w:r>
          </w:p>
        </w:tc>
        <w:tc>
          <w:tcPr>
            <w:tcW w:w="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1,553,863</w:t>
            </w:r>
          </w:p>
        </w:tc>
        <w:tc>
          <w:tcPr>
            <w:tcW w:w="560" w:type="dxa"/>
            <w:vAlign w:val="bottom"/>
          </w:tcPr>
          <w:p>
            <w:pPr>
              <w:jc w:val="center"/>
              <w:spacing w:after="0" w:line="122" w:lineRule="exact"/>
              <w:rPr>
                <w:sz w:val="20"/>
                <w:szCs w:val="20"/>
                <w:color w:val="auto"/>
              </w:rPr>
            </w:pPr>
            <w:r>
              <w:rPr>
                <w:rFonts w:ascii="Arial" w:cs="Arial" w:eastAsia="Arial" w:hAnsi="Arial"/>
                <w:sz w:val="11"/>
                <w:szCs w:val="11"/>
                <w:color w:val="auto"/>
                <w:w w:val="97"/>
              </w:rPr>
              <w:t>-2.7%</w:t>
            </w:r>
          </w:p>
        </w:tc>
        <w:tc>
          <w:tcPr>
            <w:tcW w:w="5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22.5%</w:t>
            </w:r>
          </w:p>
        </w:tc>
        <w:tc>
          <w:tcPr>
            <w:tcW w:w="74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7"/>
              </w:rPr>
              <w:t>5,297,628</w:t>
            </w:r>
          </w:p>
        </w:tc>
        <w:tc>
          <w:tcPr>
            <w:tcW w:w="1080" w:type="dxa"/>
            <w:vAlign w:val="bottom"/>
            <w:tcBorders>
              <w:right w:val="single" w:sz="8" w:color="auto"/>
            </w:tcBorders>
          </w:tcPr>
          <w:p>
            <w:pPr>
              <w:jc w:val="center"/>
              <w:ind w:left="106"/>
              <w:spacing w:after="0" w:line="122" w:lineRule="exact"/>
              <w:rPr>
                <w:sz w:val="20"/>
                <w:szCs w:val="20"/>
                <w:color w:val="auto"/>
              </w:rPr>
            </w:pPr>
            <w:r>
              <w:rPr>
                <w:rFonts w:ascii="Arial" w:cs="Arial" w:eastAsia="Arial" w:hAnsi="Arial"/>
                <w:sz w:val="11"/>
                <w:szCs w:val="11"/>
                <w:color w:val="auto"/>
                <w:w w:val="97"/>
              </w:rPr>
              <w:t>6,479,564</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22.3%</w:t>
            </w:r>
          </w:p>
        </w:tc>
      </w:tr>
      <w:tr>
        <w:trPr>
          <w:trHeight w:val="122"/>
        </w:trPr>
        <w:tc>
          <w:tcPr>
            <w:tcW w:w="512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Non-controlling interest</w:t>
            </w: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r>
      <w:tr>
        <w:trPr>
          <w:trHeight w:val="139"/>
        </w:trPr>
        <w:tc>
          <w:tcPr>
            <w:tcW w:w="51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profit attributable to BCP</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1,268,693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1,597,546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1,553,863</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-2.7%</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22.5%</w:t>
            </w:r>
          </w:p>
        </w:tc>
        <w:tc>
          <w:tcPr>
            <w:tcW w:w="74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w w:val="97"/>
              </w:rPr>
              <w:t>5,297,628</w:t>
            </w:r>
          </w:p>
        </w:tc>
        <w:tc>
          <w:tcPr>
            <w:tcW w:w="1080" w:type="dxa"/>
            <w:vAlign w:val="bottom"/>
            <w:tcBorders>
              <w:bottom w:val="single" w:sz="8" w:color="auto"/>
              <w:right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7"/>
              </w:rPr>
              <w:t>6,479,564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22.3%</w:t>
            </w:r>
          </w:p>
        </w:tc>
      </w:tr>
    </w:tbl>
    <w:p>
      <w:pPr>
        <w:spacing w:after="0" w:line="177" w:lineRule="exact"/>
        <w:rPr>
          <w:sz w:val="20"/>
          <w:szCs w:val="20"/>
          <w:color w:val="auto"/>
        </w:rPr>
      </w:pPr>
    </w:p>
    <w:p>
      <w:pPr>
        <w:ind w:left="1300" w:hanging="173"/>
        <w:spacing w:after="0"/>
        <w:tabs>
          <w:tab w:leader="none" w:pos="13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Financing expenses related to lease agreements are included according to the application of IFRS 16.</w:t>
      </w:r>
    </w:p>
    <w:p>
      <w:pPr>
        <w:spacing w:after="0" w:line="11" w:lineRule="exact"/>
        <w:rPr>
          <w:rFonts w:ascii="Arial" w:cs="Arial" w:eastAsia="Arial" w:hAnsi="Arial"/>
          <w:sz w:val="12"/>
          <w:szCs w:val="12"/>
          <w:color w:val="auto"/>
        </w:rPr>
      </w:pPr>
    </w:p>
    <w:p>
      <w:pPr>
        <w:ind w:left="1300" w:hanging="173"/>
        <w:spacing w:after="0"/>
        <w:tabs>
          <w:tab w:leader="none" w:pos="13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effect of the application of IFRS 16 is included, which corresponds to a greater depreciation for the asset for right-of-use”.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Indicators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408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900" w:type="dxa"/>
            <w:vAlign w:val="bottom"/>
            <w:tcBorders>
              <w:top w:val="single" w:sz="8" w:color="auto"/>
            </w:tcBorders>
            <w:shd w:val="clear" w:color="auto" w:fill="2AD2C9"/>
          </w:tcPr>
          <w:p>
            <w:pPr>
              <w:spacing w:after="0"/>
              <w:rPr>
                <w:sz w:val="10"/>
                <w:szCs w:val="10"/>
                <w:color w:val="auto"/>
              </w:rPr>
            </w:pPr>
          </w:p>
        </w:tc>
        <w:tc>
          <w:tcPr>
            <w:tcW w:w="900" w:type="dxa"/>
            <w:vAlign w:val="bottom"/>
            <w:tcBorders>
              <w:top w:val="single" w:sz="8" w:color="auto"/>
            </w:tcBorders>
            <w:shd w:val="clear" w:color="auto" w:fill="2AD2C9"/>
          </w:tcPr>
          <w:p>
            <w:pPr>
              <w:ind w:left="260"/>
              <w:spacing w:after="0" w:line="118" w:lineRule="exact"/>
              <w:rPr>
                <w:sz w:val="20"/>
                <w:szCs w:val="20"/>
                <w:color w:val="auto"/>
              </w:rPr>
            </w:pPr>
            <w:r>
              <w:rPr>
                <w:rFonts w:ascii="Arial" w:cs="Arial" w:eastAsia="Arial" w:hAnsi="Arial"/>
                <w:sz w:val="11"/>
                <w:szCs w:val="11"/>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0"/>
                <w:szCs w:val="10"/>
                <w:color w:val="auto"/>
              </w:rPr>
            </w:pPr>
          </w:p>
        </w:tc>
        <w:tc>
          <w:tcPr>
            <w:tcW w:w="680" w:type="dxa"/>
            <w:vAlign w:val="bottom"/>
            <w:tcBorders>
              <w:top w:val="single" w:sz="8" w:color="auto"/>
            </w:tcBorders>
            <w:shd w:val="clear" w:color="auto" w:fill="2AD2C9"/>
          </w:tcPr>
          <w:p>
            <w:pPr>
              <w:spacing w:after="0"/>
              <w:rPr>
                <w:sz w:val="10"/>
                <w:szCs w:val="10"/>
                <w:color w:val="auto"/>
              </w:rPr>
            </w:pPr>
          </w:p>
        </w:tc>
        <w:tc>
          <w:tcPr>
            <w:tcW w:w="1140" w:type="dxa"/>
            <w:vAlign w:val="bottom"/>
            <w:tcBorders>
              <w:top w:val="single" w:sz="8" w:color="auto"/>
              <w:right w:val="single" w:sz="8" w:color="auto"/>
            </w:tcBorders>
            <w:shd w:val="clear" w:color="auto" w:fill="2AD2C9"/>
          </w:tcPr>
          <w:p>
            <w:pPr>
              <w:ind w:left="20"/>
              <w:spacing w:after="0" w:line="118" w:lineRule="exact"/>
              <w:rPr>
                <w:sz w:val="20"/>
                <w:szCs w:val="20"/>
                <w:color w:val="auto"/>
              </w:rPr>
            </w:pPr>
            <w:r>
              <w:rPr>
                <w:rFonts w:ascii="Arial" w:cs="Arial" w:eastAsia="Arial" w:hAnsi="Arial"/>
                <w:sz w:val="11"/>
                <w:szCs w:val="11"/>
                <w:b w:val="1"/>
                <w:bCs w:val="1"/>
                <w:color w:val="FFFFFF"/>
              </w:rPr>
              <w:t>Change</w:t>
            </w:r>
          </w:p>
        </w:tc>
        <w:tc>
          <w:tcPr>
            <w:tcW w:w="680" w:type="dxa"/>
            <w:vAlign w:val="bottom"/>
            <w:tcBorders>
              <w:top w:val="single" w:sz="8" w:color="auto"/>
            </w:tcBorders>
            <w:shd w:val="clear" w:color="auto" w:fill="2AD2C9"/>
          </w:tcPr>
          <w:p>
            <w:pPr>
              <w:spacing w:after="0"/>
              <w:rPr>
                <w:sz w:val="10"/>
                <w:szCs w:val="10"/>
                <w:color w:val="auto"/>
              </w:rPr>
            </w:pPr>
          </w:p>
        </w:tc>
        <w:tc>
          <w:tcPr>
            <w:tcW w:w="1120" w:type="dxa"/>
            <w:vAlign w:val="bottom"/>
            <w:tcBorders>
              <w:top w:val="single" w:sz="8" w:color="auto"/>
              <w:right w:val="single" w:sz="8" w:color="auto"/>
            </w:tcBorders>
            <w:shd w:val="clear" w:color="auto" w:fill="2AD2C9"/>
          </w:tcPr>
          <w:p>
            <w:pPr>
              <w:ind w:left="60"/>
              <w:spacing w:after="0" w:line="118" w:lineRule="exact"/>
              <w:rPr>
                <w:sz w:val="20"/>
                <w:szCs w:val="20"/>
                <w:color w:val="auto"/>
              </w:rPr>
            </w:pPr>
            <w:r>
              <w:rPr>
                <w:rFonts w:ascii="Arial" w:cs="Arial" w:eastAsia="Arial" w:hAnsi="Arial"/>
                <w:sz w:val="11"/>
                <w:szCs w:val="11"/>
                <w:b w:val="1"/>
                <w:bCs w:val="1"/>
                <w:color w:val="FFFFFF"/>
              </w:rPr>
              <w:t>Up to</w:t>
            </w:r>
          </w:p>
        </w:tc>
        <w:tc>
          <w:tcPr>
            <w:tcW w:w="860" w:type="dxa"/>
            <w:vAlign w:val="bottom"/>
            <w:tcBorders>
              <w:top w:val="single" w:sz="8" w:color="auto"/>
              <w:right w:val="single" w:sz="8" w:color="auto"/>
            </w:tcBorders>
            <w:shd w:val="clear" w:color="auto" w:fill="2AD2C9"/>
          </w:tcPr>
          <w:p>
            <w:pPr>
              <w:jc w:val="center"/>
              <w:spacing w:after="0" w:line="118" w:lineRule="exact"/>
              <w:rPr>
                <w:sz w:val="20"/>
                <w:szCs w:val="20"/>
                <w:color w:val="auto"/>
              </w:rPr>
            </w:pPr>
            <w:r>
              <w:rPr>
                <w:rFonts w:ascii="Arial" w:cs="Arial" w:eastAsia="Arial" w:hAnsi="Arial"/>
                <w:sz w:val="11"/>
                <w:szCs w:val="11"/>
                <w:b w:val="1"/>
                <w:bCs w:val="1"/>
                <w:color w:val="FFFFFF"/>
                <w:w w:val="99"/>
              </w:rPr>
              <w:t>Change</w:t>
            </w:r>
          </w:p>
        </w:tc>
      </w:tr>
      <w:tr>
        <w:trPr>
          <w:trHeight w:val="139"/>
        </w:trPr>
        <w:tc>
          <w:tcPr>
            <w:tcW w:w="408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4Q24</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3Q25</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4Q25</w:t>
            </w:r>
          </w:p>
        </w:tc>
        <w:tc>
          <w:tcPr>
            <w:tcW w:w="680" w:type="dxa"/>
            <w:vAlign w:val="bottom"/>
            <w:tcBorders>
              <w:bottom w:val="single" w:sz="8" w:color="auto"/>
            </w:tcBorders>
            <w:shd w:val="clear" w:color="auto" w:fill="2AD2C9"/>
          </w:tcPr>
          <w:p>
            <w:pPr>
              <w:jc w:val="center"/>
              <w:ind w:left="146"/>
              <w:spacing w:after="0"/>
              <w:rPr>
                <w:sz w:val="20"/>
                <w:szCs w:val="20"/>
                <w:color w:val="auto"/>
              </w:rPr>
            </w:pPr>
            <w:r>
              <w:rPr>
                <w:rFonts w:ascii="Arial" w:cs="Arial" w:eastAsia="Arial" w:hAnsi="Arial"/>
                <w:sz w:val="11"/>
                <w:szCs w:val="11"/>
                <w:b w:val="1"/>
                <w:bCs w:val="1"/>
                <w:color w:val="FFFFFF"/>
              </w:rPr>
              <w:t>QoQ</w:t>
            </w:r>
          </w:p>
        </w:tc>
        <w:tc>
          <w:tcPr>
            <w:tcW w:w="1140" w:type="dxa"/>
            <w:vAlign w:val="bottom"/>
            <w:tcBorders>
              <w:bottom w:val="single" w:sz="8" w:color="auto"/>
              <w:right w:val="single" w:sz="8" w:color="auto"/>
            </w:tcBorders>
            <w:shd w:val="clear" w:color="auto" w:fill="2AD2C9"/>
          </w:tcPr>
          <w:p>
            <w:pPr>
              <w:jc w:val="center"/>
              <w:ind w:left="126"/>
              <w:spacing w:after="0"/>
              <w:rPr>
                <w:sz w:val="20"/>
                <w:szCs w:val="20"/>
                <w:color w:val="auto"/>
              </w:rPr>
            </w:pPr>
            <w:r>
              <w:rPr>
                <w:rFonts w:ascii="Arial" w:cs="Arial" w:eastAsia="Arial" w:hAnsi="Arial"/>
                <w:sz w:val="11"/>
                <w:szCs w:val="11"/>
                <w:b w:val="1"/>
                <w:bCs w:val="1"/>
                <w:color w:val="FFFFFF"/>
                <w:w w:val="93"/>
              </w:rPr>
              <w:t>YoY</w:t>
            </w:r>
          </w:p>
        </w:tc>
        <w:tc>
          <w:tcPr>
            <w:tcW w:w="680" w:type="dxa"/>
            <w:vAlign w:val="bottom"/>
            <w:tcBorders>
              <w:bottom w:val="single" w:sz="8" w:color="auto"/>
            </w:tcBorders>
            <w:shd w:val="clear" w:color="auto" w:fill="2AD2C9"/>
          </w:tcPr>
          <w:p>
            <w:pPr>
              <w:jc w:val="center"/>
              <w:ind w:left="106"/>
              <w:spacing w:after="0"/>
              <w:rPr>
                <w:sz w:val="20"/>
                <w:szCs w:val="20"/>
                <w:color w:val="auto"/>
              </w:rPr>
            </w:pPr>
            <w:r>
              <w:rPr>
                <w:rFonts w:ascii="Arial" w:cs="Arial" w:eastAsia="Arial" w:hAnsi="Arial"/>
                <w:sz w:val="11"/>
                <w:szCs w:val="11"/>
                <w:b w:val="1"/>
                <w:bCs w:val="1"/>
                <w:color w:val="FFFFFF"/>
                <w:w w:val="97"/>
              </w:rPr>
              <w:t>2024</w:t>
            </w:r>
          </w:p>
        </w:tc>
        <w:tc>
          <w:tcPr>
            <w:tcW w:w="1120" w:type="dxa"/>
            <w:vAlign w:val="bottom"/>
            <w:tcBorders>
              <w:bottom w:val="single" w:sz="8" w:color="auto"/>
              <w:right w:val="single" w:sz="8" w:color="auto"/>
            </w:tcBorders>
            <w:shd w:val="clear" w:color="auto" w:fill="2AD2C9"/>
          </w:tcPr>
          <w:p>
            <w:pPr>
              <w:jc w:val="center"/>
              <w:ind w:left="106"/>
              <w:spacing w:after="0"/>
              <w:rPr>
                <w:sz w:val="20"/>
                <w:szCs w:val="20"/>
                <w:color w:val="auto"/>
              </w:rPr>
            </w:pPr>
            <w:r>
              <w:rPr>
                <w:rFonts w:ascii="Arial" w:cs="Arial" w:eastAsia="Arial" w:hAnsi="Arial"/>
                <w:sz w:val="11"/>
                <w:szCs w:val="11"/>
                <w:b w:val="1"/>
                <w:bCs w:val="1"/>
                <w:color w:val="FFFFFF"/>
                <w:w w:val="97"/>
              </w:rPr>
              <w:t>2025</w:t>
            </w:r>
          </w:p>
        </w:tc>
        <w:tc>
          <w:tcPr>
            <w:tcW w:w="8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9"/>
              </w:rPr>
              <w:t>2025 / 2024</w:t>
            </w:r>
          </w:p>
        </w:tc>
      </w:tr>
      <w:tr>
        <w:trPr>
          <w:trHeight w:val="91"/>
        </w:trPr>
        <w:tc>
          <w:tcPr>
            <w:tcW w:w="4080" w:type="dxa"/>
            <w:vAlign w:val="bottom"/>
            <w:tcBorders>
              <w:left w:val="single" w:sz="8" w:color="auto"/>
              <w:right w:val="single" w:sz="8" w:color="auto"/>
            </w:tcBorders>
          </w:tcPr>
          <w:p>
            <w:pPr>
              <w:ind w:left="40"/>
              <w:spacing w:after="0" w:line="92" w:lineRule="exact"/>
              <w:rPr>
                <w:sz w:val="20"/>
                <w:szCs w:val="20"/>
                <w:color w:val="auto"/>
              </w:rPr>
            </w:pPr>
            <w:r>
              <w:rPr>
                <w:rFonts w:ascii="Arial" w:cs="Arial" w:eastAsia="Arial" w:hAnsi="Arial"/>
                <w:sz w:val="10"/>
                <w:szCs w:val="10"/>
                <w:b w:val="1"/>
                <w:bCs w:val="1"/>
                <w:color w:val="auto"/>
              </w:rPr>
              <w:t>Profitability</w:t>
            </w: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r>
      <w:tr>
        <w:trPr>
          <w:trHeight w:val="121"/>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4"/>
                <w:szCs w:val="14"/>
                <w:color w:val="auto"/>
                <w:vertAlign w:val="subscript"/>
              </w:rPr>
              <w:t>ROAA</w:t>
            </w:r>
            <w:r>
              <w:rPr>
                <w:rFonts w:ascii="Arial" w:cs="Arial" w:eastAsia="Arial" w:hAnsi="Arial"/>
                <w:sz w:val="7"/>
                <w:szCs w:val="7"/>
                <w:color w:val="auto"/>
              </w:rPr>
              <w:t xml:space="preserve"> (1)(2)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2.6%</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3.3%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3.1%</w:t>
            </w:r>
          </w:p>
        </w:tc>
        <w:tc>
          <w:tcPr>
            <w:tcW w:w="68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97"/>
              </w:rPr>
              <w:t>-20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6"/>
              </w:rPr>
              <w:t>50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2.8%</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rPr>
              <w:t>3.2%</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42 bps</w:t>
            </w:r>
          </w:p>
        </w:tc>
      </w:tr>
      <w:tr>
        <w:trPr>
          <w:trHeight w:val="122"/>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4"/>
                <w:szCs w:val="14"/>
                <w:color w:val="auto"/>
                <w:vertAlign w:val="subscript"/>
              </w:rPr>
              <w:t>ROAE</w:t>
            </w:r>
            <w:r>
              <w:rPr>
                <w:rFonts w:ascii="Arial" w:cs="Arial" w:eastAsia="Arial" w:hAnsi="Arial"/>
                <w:sz w:val="7"/>
                <w:szCs w:val="7"/>
                <w:color w:val="auto"/>
              </w:rPr>
              <w:t xml:space="preserve"> (1)(2)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19.8%</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6"/>
              </w:rPr>
              <w:t>24.9%</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22.6%</w:t>
            </w:r>
          </w:p>
        </w:tc>
        <w:tc>
          <w:tcPr>
            <w:tcW w:w="68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8"/>
              </w:rPr>
              <w:t>-222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rPr>
              <w:t>288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6"/>
              </w:rPr>
              <w:t>20.8%</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6"/>
              </w:rPr>
              <w:t>23.9%</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309 bps</w:t>
            </w:r>
          </w:p>
        </w:tc>
      </w:tr>
      <w:tr>
        <w:trPr>
          <w:trHeight w:val="121"/>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9"/>
                <w:szCs w:val="9"/>
                <w:color w:val="auto"/>
              </w:rPr>
              <w:t xml:space="preserve">Net interest margin </w:t>
            </w:r>
            <w:r>
              <w:rPr>
                <w:rFonts w:ascii="Arial" w:cs="Arial" w:eastAsia="Arial" w:hAnsi="Arial"/>
                <w:sz w:val="14"/>
                <w:szCs w:val="14"/>
                <w:color w:val="auto"/>
                <w:vertAlign w:val="superscript"/>
              </w:rPr>
              <w:t>(1)(2)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6.01%</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6"/>
              </w:rPr>
              <w:t>6.11%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6.11%</w:t>
            </w:r>
          </w:p>
        </w:tc>
        <w:tc>
          <w:tcPr>
            <w:tcW w:w="68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6"/>
              </w:rPr>
              <w:t>0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6"/>
              </w:rPr>
              <w:t>10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6"/>
              </w:rPr>
              <w:t>6.00%</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6"/>
              </w:rPr>
              <w:t>5.84%</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-16 bps</w:t>
            </w:r>
          </w:p>
        </w:tc>
      </w:tr>
      <w:tr>
        <w:trPr>
          <w:trHeight w:val="122"/>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9"/>
                <w:szCs w:val="9"/>
                <w:color w:val="auto"/>
              </w:rPr>
              <w:t xml:space="preserve">Risk-adjusted Net interest margin </w:t>
            </w:r>
            <w:r>
              <w:rPr>
                <w:rFonts w:ascii="Arial" w:cs="Arial" w:eastAsia="Arial" w:hAnsi="Arial"/>
                <w:sz w:val="14"/>
                <w:szCs w:val="14"/>
                <w:color w:val="auto"/>
                <w:vertAlign w:val="superscript"/>
              </w:rPr>
              <w:t>(1)(2)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4.85%</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6"/>
              </w:rPr>
              <w:t>5.25%</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5.19%</w:t>
            </w:r>
          </w:p>
        </w:tc>
        <w:tc>
          <w:tcPr>
            <w:tcW w:w="68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7"/>
              </w:rPr>
              <w:t>-6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6"/>
              </w:rPr>
              <w:t>34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6"/>
              </w:rPr>
              <w:t>4.59%</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6"/>
              </w:rPr>
              <w:t>5.02%</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43 bps</w:t>
            </w:r>
          </w:p>
        </w:tc>
      </w:tr>
      <w:tr>
        <w:trPr>
          <w:trHeight w:val="241"/>
        </w:trPr>
        <w:tc>
          <w:tcPr>
            <w:tcW w:w="4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 xml:space="preserve">Funding cost </w:t>
            </w:r>
            <w:r>
              <w:rPr>
                <w:rFonts w:ascii="Arial" w:cs="Arial" w:eastAsia="Arial" w:hAnsi="Arial"/>
                <w:sz w:val="17"/>
                <w:szCs w:val="17"/>
                <w:color w:val="auto"/>
                <w:vertAlign w:val="superscript"/>
              </w:rPr>
              <w:t>(1)(2)(3)</w:t>
            </w: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2.11%</w:t>
            </w:r>
          </w:p>
        </w:tc>
        <w:tc>
          <w:tcPr>
            <w:tcW w:w="900" w:type="dxa"/>
            <w:vAlign w:val="bottom"/>
          </w:tcPr>
          <w:p>
            <w:pPr>
              <w:jc w:val="center"/>
              <w:spacing w:after="0"/>
              <w:rPr>
                <w:sz w:val="20"/>
                <w:szCs w:val="20"/>
                <w:color w:val="auto"/>
              </w:rPr>
            </w:pPr>
            <w:r>
              <w:rPr>
                <w:rFonts w:ascii="Arial" w:cs="Arial" w:eastAsia="Arial" w:hAnsi="Arial"/>
                <w:sz w:val="11"/>
                <w:szCs w:val="11"/>
                <w:color w:val="auto"/>
                <w:w w:val="96"/>
              </w:rPr>
              <w:t>1.93%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1.87%</w:t>
            </w:r>
          </w:p>
        </w:tc>
        <w:tc>
          <w:tcPr>
            <w:tcW w:w="680" w:type="dxa"/>
            <w:vAlign w:val="bottom"/>
          </w:tcPr>
          <w:p>
            <w:pPr>
              <w:jc w:val="center"/>
              <w:ind w:left="166"/>
              <w:spacing w:after="0"/>
              <w:rPr>
                <w:sz w:val="20"/>
                <w:szCs w:val="20"/>
                <w:color w:val="auto"/>
              </w:rPr>
            </w:pPr>
            <w:r>
              <w:rPr>
                <w:rFonts w:ascii="Arial" w:cs="Arial" w:eastAsia="Arial" w:hAnsi="Arial"/>
                <w:sz w:val="11"/>
                <w:szCs w:val="11"/>
                <w:color w:val="auto"/>
                <w:w w:val="97"/>
              </w:rPr>
              <w:t>-6 bps</w:t>
            </w:r>
          </w:p>
        </w:tc>
        <w:tc>
          <w:tcPr>
            <w:tcW w:w="114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7"/>
              </w:rPr>
              <w:t>-23 bps</w:t>
            </w:r>
          </w:p>
        </w:tc>
        <w:tc>
          <w:tcPr>
            <w:tcW w:w="680" w:type="dxa"/>
            <w:vAlign w:val="bottom"/>
          </w:tcPr>
          <w:p>
            <w:pPr>
              <w:jc w:val="center"/>
              <w:ind w:left="126"/>
              <w:spacing w:after="0"/>
              <w:rPr>
                <w:sz w:val="20"/>
                <w:szCs w:val="20"/>
                <w:color w:val="auto"/>
              </w:rPr>
            </w:pPr>
            <w:r>
              <w:rPr>
                <w:rFonts w:ascii="Arial" w:cs="Arial" w:eastAsia="Arial" w:hAnsi="Arial"/>
                <w:sz w:val="11"/>
                <w:szCs w:val="11"/>
                <w:color w:val="auto"/>
                <w:w w:val="96"/>
              </w:rPr>
              <w:t>2.23%</w:t>
            </w:r>
          </w:p>
        </w:tc>
        <w:tc>
          <w:tcPr>
            <w:tcW w:w="11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6"/>
              </w:rPr>
              <w:t>1.88%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-35 bps</w:t>
            </w:r>
          </w:p>
        </w:tc>
      </w:tr>
      <w:tr>
        <w:trPr>
          <w:trHeight w:val="130"/>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Loan portfolio quality</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r>
      <w:tr>
        <w:trPr>
          <w:trHeight w:val="121"/>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Internal overdue ratio</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3.5%</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3.3%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3.1%</w:t>
            </w:r>
          </w:p>
        </w:tc>
        <w:tc>
          <w:tcPr>
            <w:tcW w:w="68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97"/>
              </w:rPr>
              <w:t>-19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7"/>
              </w:rPr>
              <w:t>-42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3.5%</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rPr>
              <w:t>3.1%</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-42 bps</w:t>
            </w:r>
          </w:p>
        </w:tc>
      </w:tr>
      <w:tr>
        <w:trPr>
          <w:trHeight w:val="122"/>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NPL ratio</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5.2%</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5"/>
              </w:rPr>
              <w:t>4.7%</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4.5%</w:t>
            </w:r>
          </w:p>
        </w:tc>
        <w:tc>
          <w:tcPr>
            <w:tcW w:w="680" w:type="dxa"/>
            <w:vAlign w:val="bottom"/>
          </w:tcPr>
          <w:p>
            <w:pPr>
              <w:jc w:val="center"/>
              <w:ind w:left="146"/>
              <w:spacing w:after="0" w:line="122" w:lineRule="exact"/>
              <w:rPr>
                <w:sz w:val="20"/>
                <w:szCs w:val="20"/>
                <w:color w:val="auto"/>
              </w:rPr>
            </w:pPr>
            <w:r>
              <w:rPr>
                <w:rFonts w:ascii="Arial" w:cs="Arial" w:eastAsia="Arial" w:hAnsi="Arial"/>
                <w:sz w:val="11"/>
                <w:szCs w:val="11"/>
                <w:color w:val="auto"/>
                <w:w w:val="97"/>
              </w:rPr>
              <w:t>-25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7"/>
              </w:rPr>
              <w:t>-74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5.2%</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rPr>
              <w:t>4.5%</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-74 bps</w:t>
            </w:r>
          </w:p>
        </w:tc>
      </w:tr>
      <w:tr>
        <w:trPr>
          <w:trHeight w:val="121"/>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1"/>
                <w:szCs w:val="11"/>
                <w:color w:val="auto"/>
              </w:rPr>
              <w:t>Coverage ratio of IOLs</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6"/>
              </w:rPr>
              <w:t>153.0%</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6"/>
              </w:rPr>
              <w:t>157.1%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161.6%</w:t>
            </w:r>
          </w:p>
        </w:tc>
        <w:tc>
          <w:tcPr>
            <w:tcW w:w="68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6"/>
              </w:rPr>
              <w:t>448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rPr>
              <w:t>860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rPr>
              <w:t>153.0%</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rPr>
              <w:t>161.6%</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860 bps</w:t>
            </w:r>
          </w:p>
        </w:tc>
      </w:tr>
      <w:tr>
        <w:trPr>
          <w:trHeight w:val="115"/>
        </w:trPr>
        <w:tc>
          <w:tcPr>
            <w:tcW w:w="4080" w:type="dxa"/>
            <w:vAlign w:val="bottom"/>
            <w:tcBorders>
              <w:left w:val="single" w:sz="8" w:color="auto"/>
              <w:right w:val="single" w:sz="8" w:color="auto"/>
            </w:tcBorders>
          </w:tcPr>
          <w:p>
            <w:pPr>
              <w:ind w:left="160"/>
              <w:spacing w:after="0" w:line="115" w:lineRule="exact"/>
              <w:rPr>
                <w:sz w:val="20"/>
                <w:szCs w:val="20"/>
                <w:color w:val="auto"/>
              </w:rPr>
            </w:pPr>
            <w:r>
              <w:rPr>
                <w:rFonts w:ascii="Arial" w:cs="Arial" w:eastAsia="Arial" w:hAnsi="Arial"/>
                <w:sz w:val="11"/>
                <w:szCs w:val="11"/>
                <w:color w:val="auto"/>
              </w:rPr>
              <w:t>Coverage ratio of NPLs</w:t>
            </w:r>
          </w:p>
        </w:tc>
        <w:tc>
          <w:tcPr>
            <w:tcW w:w="900" w:type="dxa"/>
            <w:vAlign w:val="bottom"/>
          </w:tcPr>
          <w:p>
            <w:pPr>
              <w:jc w:val="center"/>
              <w:spacing w:after="0" w:line="115" w:lineRule="exact"/>
              <w:rPr>
                <w:sz w:val="20"/>
                <w:szCs w:val="20"/>
                <w:color w:val="auto"/>
              </w:rPr>
            </w:pPr>
            <w:r>
              <w:rPr>
                <w:rFonts w:ascii="Arial" w:cs="Arial" w:eastAsia="Arial" w:hAnsi="Arial"/>
                <w:sz w:val="11"/>
                <w:szCs w:val="11"/>
                <w:color w:val="auto"/>
                <w:w w:val="96"/>
              </w:rPr>
              <w:t>103.5%</w:t>
            </w:r>
          </w:p>
        </w:tc>
        <w:tc>
          <w:tcPr>
            <w:tcW w:w="900" w:type="dxa"/>
            <w:vAlign w:val="bottom"/>
          </w:tcPr>
          <w:p>
            <w:pPr>
              <w:jc w:val="center"/>
              <w:spacing w:after="0" w:line="115" w:lineRule="exact"/>
              <w:rPr>
                <w:sz w:val="20"/>
                <w:szCs w:val="20"/>
                <w:color w:val="auto"/>
              </w:rPr>
            </w:pPr>
            <w:r>
              <w:rPr>
                <w:rFonts w:ascii="Arial" w:cs="Arial" w:eastAsia="Arial" w:hAnsi="Arial"/>
                <w:sz w:val="11"/>
                <w:szCs w:val="11"/>
                <w:color w:val="auto"/>
                <w:w w:val="96"/>
              </w:rPr>
              <w:t>109.6%</w:t>
            </w:r>
          </w:p>
        </w:tc>
        <w:tc>
          <w:tcPr>
            <w:tcW w:w="92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6"/>
              </w:rPr>
              <w:t>112.2%</w:t>
            </w:r>
          </w:p>
        </w:tc>
        <w:tc>
          <w:tcPr>
            <w:tcW w:w="680" w:type="dxa"/>
            <w:vAlign w:val="bottom"/>
          </w:tcPr>
          <w:p>
            <w:pPr>
              <w:jc w:val="center"/>
              <w:ind w:left="166"/>
              <w:spacing w:after="0" w:line="115" w:lineRule="exact"/>
              <w:rPr>
                <w:sz w:val="20"/>
                <w:szCs w:val="20"/>
                <w:color w:val="auto"/>
              </w:rPr>
            </w:pPr>
            <w:r>
              <w:rPr>
                <w:rFonts w:ascii="Arial" w:cs="Arial" w:eastAsia="Arial" w:hAnsi="Arial"/>
                <w:sz w:val="11"/>
                <w:szCs w:val="11"/>
                <w:color w:val="auto"/>
                <w:w w:val="96"/>
              </w:rPr>
              <w:t>260 bps</w:t>
            </w:r>
          </w:p>
        </w:tc>
        <w:tc>
          <w:tcPr>
            <w:tcW w:w="1140" w:type="dxa"/>
            <w:vAlign w:val="bottom"/>
            <w:tcBorders>
              <w:right w:val="single" w:sz="8" w:color="auto"/>
            </w:tcBorders>
          </w:tcPr>
          <w:p>
            <w:pPr>
              <w:jc w:val="center"/>
              <w:ind w:left="126"/>
              <w:spacing w:after="0" w:line="115" w:lineRule="exact"/>
              <w:rPr>
                <w:sz w:val="20"/>
                <w:szCs w:val="20"/>
                <w:color w:val="auto"/>
              </w:rPr>
            </w:pPr>
            <w:r>
              <w:rPr>
                <w:rFonts w:ascii="Arial" w:cs="Arial" w:eastAsia="Arial" w:hAnsi="Arial"/>
                <w:sz w:val="11"/>
                <w:szCs w:val="11"/>
                <w:color w:val="auto"/>
              </w:rPr>
              <w:t>872 bps</w:t>
            </w:r>
          </w:p>
        </w:tc>
        <w:tc>
          <w:tcPr>
            <w:tcW w:w="680" w:type="dxa"/>
            <w:vAlign w:val="bottom"/>
          </w:tcPr>
          <w:p>
            <w:pPr>
              <w:jc w:val="center"/>
              <w:ind w:left="126"/>
              <w:spacing w:after="0" w:line="115" w:lineRule="exact"/>
              <w:rPr>
                <w:sz w:val="20"/>
                <w:szCs w:val="20"/>
                <w:color w:val="auto"/>
              </w:rPr>
            </w:pPr>
            <w:r>
              <w:rPr>
                <w:rFonts w:ascii="Arial" w:cs="Arial" w:eastAsia="Arial" w:hAnsi="Arial"/>
                <w:sz w:val="11"/>
                <w:szCs w:val="11"/>
                <w:color w:val="auto"/>
              </w:rPr>
              <w:t>103.5%</w:t>
            </w:r>
          </w:p>
        </w:tc>
        <w:tc>
          <w:tcPr>
            <w:tcW w:w="1120" w:type="dxa"/>
            <w:vAlign w:val="bottom"/>
            <w:tcBorders>
              <w:right w:val="single" w:sz="8" w:color="auto"/>
            </w:tcBorders>
          </w:tcPr>
          <w:p>
            <w:pPr>
              <w:jc w:val="center"/>
              <w:ind w:left="106"/>
              <w:spacing w:after="0" w:line="115" w:lineRule="exact"/>
              <w:rPr>
                <w:sz w:val="20"/>
                <w:szCs w:val="20"/>
                <w:color w:val="auto"/>
              </w:rPr>
            </w:pPr>
            <w:r>
              <w:rPr>
                <w:rFonts w:ascii="Arial" w:cs="Arial" w:eastAsia="Arial" w:hAnsi="Arial"/>
                <w:sz w:val="11"/>
                <w:szCs w:val="11"/>
                <w:color w:val="auto"/>
                <w:w w:val="96"/>
              </w:rPr>
              <w:t>112.2%</w:t>
            </w:r>
          </w:p>
        </w:tc>
        <w:tc>
          <w:tcPr>
            <w:tcW w:w="86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6"/>
              </w:rPr>
              <w:t>872 bps</w:t>
            </w:r>
          </w:p>
        </w:tc>
      </w:tr>
      <w:tr>
        <w:trPr>
          <w:trHeight w:val="241"/>
        </w:trPr>
        <w:tc>
          <w:tcPr>
            <w:tcW w:w="4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 xml:space="preserve">Cost of risk </w:t>
            </w:r>
            <w:r>
              <w:rPr>
                <w:rFonts w:ascii="Arial" w:cs="Arial" w:eastAsia="Arial" w:hAnsi="Arial"/>
                <w:sz w:val="17"/>
                <w:szCs w:val="17"/>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1"/>
                <w:szCs w:val="11"/>
                <w:color w:val="auto"/>
                <w:w w:val="95"/>
              </w:rPr>
              <w:t>1.8%</w:t>
            </w:r>
          </w:p>
        </w:tc>
        <w:tc>
          <w:tcPr>
            <w:tcW w:w="900" w:type="dxa"/>
            <w:vAlign w:val="bottom"/>
          </w:tcPr>
          <w:p>
            <w:pPr>
              <w:jc w:val="center"/>
              <w:spacing w:after="0"/>
              <w:rPr>
                <w:sz w:val="20"/>
                <w:szCs w:val="20"/>
                <w:color w:val="auto"/>
              </w:rPr>
            </w:pPr>
            <w:r>
              <w:rPr>
                <w:rFonts w:ascii="Arial" w:cs="Arial" w:eastAsia="Arial" w:hAnsi="Arial"/>
                <w:sz w:val="11"/>
                <w:szCs w:val="11"/>
                <w:color w:val="auto"/>
                <w:w w:val="95"/>
              </w:rPr>
              <w:t>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1.4%</w:t>
            </w:r>
          </w:p>
        </w:tc>
        <w:tc>
          <w:tcPr>
            <w:tcW w:w="680" w:type="dxa"/>
            <w:vAlign w:val="bottom"/>
          </w:tcPr>
          <w:p>
            <w:pPr>
              <w:jc w:val="center"/>
              <w:ind w:left="146"/>
              <w:spacing w:after="0"/>
              <w:rPr>
                <w:sz w:val="20"/>
                <w:szCs w:val="20"/>
                <w:color w:val="auto"/>
              </w:rPr>
            </w:pPr>
            <w:r>
              <w:rPr>
                <w:rFonts w:ascii="Arial" w:cs="Arial" w:eastAsia="Arial" w:hAnsi="Arial"/>
                <w:sz w:val="11"/>
                <w:szCs w:val="11"/>
                <w:color w:val="auto"/>
                <w:w w:val="96"/>
              </w:rPr>
              <w:t>10 bps</w:t>
            </w:r>
          </w:p>
        </w:tc>
        <w:tc>
          <w:tcPr>
            <w:tcW w:w="114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w w:val="97"/>
              </w:rPr>
              <w:t>-40 bps</w:t>
            </w:r>
          </w:p>
        </w:tc>
        <w:tc>
          <w:tcPr>
            <w:tcW w:w="680" w:type="dxa"/>
            <w:vAlign w:val="bottom"/>
          </w:tcPr>
          <w:p>
            <w:pPr>
              <w:jc w:val="center"/>
              <w:ind w:left="126"/>
              <w:spacing w:after="0"/>
              <w:rPr>
                <w:sz w:val="20"/>
                <w:szCs w:val="20"/>
                <w:color w:val="auto"/>
              </w:rPr>
            </w:pPr>
            <w:r>
              <w:rPr>
                <w:rFonts w:ascii="Arial" w:cs="Arial" w:eastAsia="Arial" w:hAnsi="Arial"/>
                <w:sz w:val="11"/>
                <w:szCs w:val="11"/>
                <w:color w:val="auto"/>
              </w:rPr>
              <w:t>2.1%</w:t>
            </w:r>
          </w:p>
        </w:tc>
        <w:tc>
          <w:tcPr>
            <w:tcW w:w="1120" w:type="dxa"/>
            <w:vAlign w:val="bottom"/>
            <w:tcBorders>
              <w:right w:val="single" w:sz="8" w:color="auto"/>
            </w:tcBorders>
          </w:tcPr>
          <w:p>
            <w:pPr>
              <w:jc w:val="center"/>
              <w:ind w:left="126"/>
              <w:spacing w:after="0"/>
              <w:rPr>
                <w:sz w:val="20"/>
                <w:szCs w:val="20"/>
                <w:color w:val="auto"/>
              </w:rPr>
            </w:pPr>
            <w:r>
              <w:rPr>
                <w:rFonts w:ascii="Arial" w:cs="Arial" w:eastAsia="Arial" w:hAnsi="Arial"/>
                <w:sz w:val="11"/>
                <w:szCs w:val="11"/>
                <w:color w:val="auto"/>
              </w:rPr>
              <w:t>1.3%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-85 bps</w:t>
            </w:r>
          </w:p>
        </w:tc>
      </w:tr>
      <w:tr>
        <w:trPr>
          <w:trHeight w:val="123"/>
        </w:trPr>
        <w:tc>
          <w:tcPr>
            <w:tcW w:w="408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1"/>
                <w:szCs w:val="11"/>
                <w:b w:val="1"/>
                <w:bCs w:val="1"/>
                <w:color w:val="auto"/>
              </w:rPr>
              <w:t>Operating efficiency</w:t>
            </w: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r>
      <w:tr>
        <w:trPr>
          <w:trHeight w:val="122"/>
        </w:trPr>
        <w:tc>
          <w:tcPr>
            <w:tcW w:w="408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9"/>
                <w:szCs w:val="9"/>
                <w:color w:val="auto"/>
              </w:rPr>
              <w:t xml:space="preserve">Operating expenses / Total income </w:t>
            </w:r>
            <w:r>
              <w:rPr>
                <w:rFonts w:ascii="Arial" w:cs="Arial" w:eastAsia="Arial" w:hAnsi="Arial"/>
                <w:sz w:val="14"/>
                <w:szCs w:val="14"/>
                <w:color w:val="auto"/>
                <w:vertAlign w:val="superscript"/>
              </w:rPr>
              <w:t>(5)</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rPr>
              <w:t>43.7%</w:t>
            </w:r>
          </w:p>
        </w:tc>
        <w:tc>
          <w:tcPr>
            <w:tcW w:w="900" w:type="dxa"/>
            <w:vAlign w:val="bottom"/>
          </w:tcPr>
          <w:p>
            <w:pPr>
              <w:jc w:val="center"/>
              <w:spacing w:after="0" w:line="122" w:lineRule="exact"/>
              <w:rPr>
                <w:sz w:val="20"/>
                <w:szCs w:val="20"/>
                <w:color w:val="auto"/>
              </w:rPr>
            </w:pPr>
            <w:r>
              <w:rPr>
                <w:rFonts w:ascii="Arial" w:cs="Arial" w:eastAsia="Arial" w:hAnsi="Arial"/>
                <w:sz w:val="11"/>
                <w:szCs w:val="11"/>
                <w:color w:val="auto"/>
                <w:w w:val="96"/>
              </w:rPr>
              <w:t>39.9%</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42.7%</w:t>
            </w:r>
          </w:p>
        </w:tc>
        <w:tc>
          <w:tcPr>
            <w:tcW w:w="680" w:type="dxa"/>
            <w:vAlign w:val="bottom"/>
          </w:tcPr>
          <w:p>
            <w:pPr>
              <w:jc w:val="center"/>
              <w:ind w:left="166"/>
              <w:spacing w:after="0" w:line="122" w:lineRule="exact"/>
              <w:rPr>
                <w:sz w:val="20"/>
                <w:szCs w:val="20"/>
                <w:color w:val="auto"/>
              </w:rPr>
            </w:pPr>
            <w:r>
              <w:rPr>
                <w:rFonts w:ascii="Arial" w:cs="Arial" w:eastAsia="Arial" w:hAnsi="Arial"/>
                <w:sz w:val="11"/>
                <w:szCs w:val="11"/>
                <w:color w:val="auto"/>
                <w:w w:val="96"/>
              </w:rPr>
              <w:t>278 bps</w:t>
            </w:r>
          </w:p>
        </w:tc>
        <w:tc>
          <w:tcPr>
            <w:tcW w:w="114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7"/>
              </w:rPr>
              <w:t>-96 bps</w:t>
            </w:r>
          </w:p>
        </w:tc>
        <w:tc>
          <w:tcPr>
            <w:tcW w:w="680" w:type="dxa"/>
            <w:vAlign w:val="bottom"/>
          </w:tcPr>
          <w:p>
            <w:pPr>
              <w:jc w:val="center"/>
              <w:ind w:left="126"/>
              <w:spacing w:after="0" w:line="122" w:lineRule="exact"/>
              <w:rPr>
                <w:sz w:val="20"/>
                <w:szCs w:val="20"/>
                <w:color w:val="auto"/>
              </w:rPr>
            </w:pPr>
            <w:r>
              <w:rPr>
                <w:rFonts w:ascii="Arial" w:cs="Arial" w:eastAsia="Arial" w:hAnsi="Arial"/>
                <w:sz w:val="11"/>
                <w:szCs w:val="11"/>
                <w:color w:val="auto"/>
                <w:w w:val="96"/>
              </w:rPr>
              <w:t>38.1%</w:t>
            </w:r>
          </w:p>
        </w:tc>
        <w:tc>
          <w:tcPr>
            <w:tcW w:w="1120" w:type="dxa"/>
            <w:vAlign w:val="bottom"/>
            <w:tcBorders>
              <w:right w:val="single" w:sz="8" w:color="auto"/>
            </w:tcBorders>
          </w:tcPr>
          <w:p>
            <w:pPr>
              <w:jc w:val="center"/>
              <w:ind w:left="126"/>
              <w:spacing w:after="0" w:line="122" w:lineRule="exact"/>
              <w:rPr>
                <w:sz w:val="20"/>
                <w:szCs w:val="20"/>
                <w:color w:val="auto"/>
              </w:rPr>
            </w:pPr>
            <w:r>
              <w:rPr>
                <w:rFonts w:ascii="Arial" w:cs="Arial" w:eastAsia="Arial" w:hAnsi="Arial"/>
                <w:sz w:val="11"/>
                <w:szCs w:val="11"/>
                <w:color w:val="auto"/>
                <w:w w:val="96"/>
              </w:rPr>
              <w:t>39.7%</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160 bps</w:t>
            </w:r>
          </w:p>
        </w:tc>
      </w:tr>
      <w:tr>
        <w:trPr>
          <w:trHeight w:val="145"/>
        </w:trPr>
        <w:tc>
          <w:tcPr>
            <w:tcW w:w="4080" w:type="dxa"/>
            <w:vAlign w:val="bottom"/>
            <w:tcBorders>
              <w:left w:val="single" w:sz="8" w:color="auto"/>
              <w:bottom w:val="single" w:sz="8" w:color="auto"/>
              <w:right w:val="single" w:sz="8" w:color="auto"/>
            </w:tcBorders>
          </w:tcPr>
          <w:p>
            <w:pPr>
              <w:ind w:left="160"/>
              <w:spacing w:after="0" w:line="145" w:lineRule="exact"/>
              <w:rPr>
                <w:sz w:val="20"/>
                <w:szCs w:val="20"/>
                <w:color w:val="auto"/>
              </w:rPr>
            </w:pPr>
            <w:r>
              <w:rPr>
                <w:rFonts w:ascii="Arial" w:cs="Arial" w:eastAsia="Arial" w:hAnsi="Arial"/>
                <w:sz w:val="10"/>
                <w:szCs w:val="10"/>
                <w:color w:val="auto"/>
              </w:rPr>
              <w:t xml:space="preserve">Operating expenses / Total average assets </w:t>
            </w:r>
            <w:r>
              <w:rPr>
                <w:rFonts w:ascii="Arial" w:cs="Arial" w:eastAsia="Arial" w:hAnsi="Arial"/>
                <w:sz w:val="16"/>
                <w:szCs w:val="16"/>
                <w:color w:val="auto"/>
                <w:vertAlign w:val="superscript"/>
              </w:rPr>
              <w:t>(1)(2)(5)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3.5%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3.3%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3.6%</w:t>
            </w:r>
          </w:p>
        </w:tc>
        <w:tc>
          <w:tcPr>
            <w:tcW w:w="680" w:type="dxa"/>
            <w:vAlign w:val="bottom"/>
            <w:tcBorders>
              <w:bottom w:val="single" w:sz="8" w:color="auto"/>
            </w:tcBorders>
          </w:tcPr>
          <w:p>
            <w:pPr>
              <w:jc w:val="center"/>
              <w:ind w:left="146"/>
              <w:spacing w:after="0"/>
              <w:rPr>
                <w:sz w:val="20"/>
                <w:szCs w:val="20"/>
                <w:color w:val="auto"/>
              </w:rPr>
            </w:pPr>
            <w:r>
              <w:rPr>
                <w:rFonts w:ascii="Arial" w:cs="Arial" w:eastAsia="Arial" w:hAnsi="Arial"/>
                <w:sz w:val="11"/>
                <w:szCs w:val="11"/>
                <w:color w:val="auto"/>
                <w:w w:val="96"/>
              </w:rPr>
              <w:t>24 bps</w:t>
            </w:r>
          </w:p>
        </w:tc>
        <w:tc>
          <w:tcPr>
            <w:tcW w:w="114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color w:val="auto"/>
              </w:rPr>
              <w:t>6 bps</w:t>
            </w:r>
          </w:p>
        </w:tc>
        <w:tc>
          <w:tcPr>
            <w:tcW w:w="68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color w:val="auto"/>
              </w:rPr>
              <w:t>3.0%</w:t>
            </w:r>
          </w:p>
        </w:tc>
        <w:tc>
          <w:tcPr>
            <w:tcW w:w="112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color w:val="auto"/>
              </w:rPr>
              <w:t>3.2%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13 bps</w:t>
            </w:r>
          </w:p>
        </w:tc>
      </w:tr>
    </w:tbl>
    <w:p>
      <w:pPr>
        <w:ind w:left="1300" w:hanging="173"/>
        <w:spacing w:after="0"/>
        <w:tabs>
          <w:tab w:leader="none" w:pos="13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Ratios are annualized.</w:t>
      </w:r>
    </w:p>
    <w:p>
      <w:pPr>
        <w:ind w:left="1300" w:hanging="173"/>
        <w:spacing w:after="0" w:line="234" w:lineRule="auto"/>
        <w:tabs>
          <w:tab w:leader="none" w:pos="13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ind w:left="1120" w:right="320" w:firstLine="7"/>
        <w:spacing w:after="0" w:line="234" w:lineRule="auto"/>
        <w:tabs>
          <w:tab w:leader="none" w:pos="1293"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1300" w:hanging="173"/>
        <w:spacing w:after="0" w:line="234" w:lineRule="auto"/>
        <w:tabs>
          <w:tab w:leader="none" w:pos="1300"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Cost of risk: Annualized provision for loan losses / Average total loans.</w:t>
      </w:r>
    </w:p>
    <w:p>
      <w:pPr>
        <w:ind w:left="1120" w:right="360" w:firstLine="7"/>
        <w:spacing w:after="0" w:line="241" w:lineRule="auto"/>
        <w:tabs>
          <w:tab w:leader="none" w:pos="1293" w:val="left"/>
        </w:tabs>
        <w:numPr>
          <w:ilvl w:val="0"/>
          <w:numId w:val="64"/>
        </w:numPr>
        <w:rPr>
          <w:rFonts w:ascii="Arial" w:cs="Arial" w:eastAsia="Arial" w:hAnsi="Arial"/>
          <w:sz w:val="12"/>
          <w:szCs w:val="12"/>
          <w:color w:val="auto"/>
        </w:rPr>
      </w:pPr>
      <w:r>
        <w:rPr>
          <w:rFonts w:ascii="Arial" w:cs="Arial" w:eastAsia="Arial" w:hAnsi="Arial"/>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817245</wp:posOffset>
            </wp:positionV>
            <wp:extent cx="71577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114300</wp:posOffset>
            </wp:positionV>
            <wp:extent cx="6789420" cy="6000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89420" cy="60007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8" w:name="page69"/>
    <w:bookmarkEnd w:id="68"/>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12.7.5. BCP Bolivia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6420" w:type="dxa"/>
            <w:vAlign w:val="bottom"/>
            <w:tcBorders>
              <w:top w:val="single" w:sz="8" w:color="auto"/>
              <w:left w:val="single" w:sz="8" w:color="auto"/>
              <w:right w:val="single" w:sz="8" w:color="auto"/>
            </w:tcBorders>
            <w:shd w:val="clear" w:color="auto" w:fill="2AD2C9"/>
          </w:tcPr>
          <w:p>
            <w:pPr>
              <w:spacing w:after="0"/>
              <w:rPr>
                <w:sz w:val="15"/>
                <w:szCs w:val="15"/>
                <w:color w:val="auto"/>
              </w:rPr>
            </w:pPr>
          </w:p>
        </w:tc>
        <w:tc>
          <w:tcPr>
            <w:tcW w:w="1040" w:type="dxa"/>
            <w:vAlign w:val="bottom"/>
            <w:tcBorders>
              <w:top w:val="single" w:sz="8" w:color="auto"/>
            </w:tcBorders>
            <w:shd w:val="clear" w:color="auto" w:fill="2AD2C9"/>
          </w:tcPr>
          <w:p>
            <w:pPr>
              <w:spacing w:after="0"/>
              <w:rPr>
                <w:sz w:val="15"/>
                <w:szCs w:val="15"/>
                <w:color w:val="auto"/>
              </w:rPr>
            </w:pPr>
          </w:p>
        </w:tc>
        <w:tc>
          <w:tcPr>
            <w:tcW w:w="96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As of</w:t>
            </w:r>
          </w:p>
        </w:tc>
        <w:tc>
          <w:tcPr>
            <w:tcW w:w="1060" w:type="dxa"/>
            <w:vAlign w:val="bottom"/>
            <w:tcBorders>
              <w:top w:val="single" w:sz="8" w:color="auto"/>
              <w:right w:val="single" w:sz="8" w:color="auto"/>
            </w:tcBorders>
            <w:shd w:val="clear" w:color="auto" w:fill="2AD2C9"/>
          </w:tcPr>
          <w:p>
            <w:pPr>
              <w:spacing w:after="0"/>
              <w:rPr>
                <w:sz w:val="15"/>
                <w:szCs w:val="15"/>
                <w:color w:val="auto"/>
              </w:rPr>
            </w:pPr>
          </w:p>
        </w:tc>
        <w:tc>
          <w:tcPr>
            <w:tcW w:w="1800" w:type="dxa"/>
            <w:vAlign w:val="bottom"/>
            <w:tcBorders>
              <w:top w:val="single" w:sz="8" w:color="auto"/>
              <w:right w:val="single" w:sz="8" w:color="auto"/>
            </w:tcBorders>
            <w:gridSpan w:val="2"/>
            <w:shd w:val="clear" w:color="auto" w:fill="2AD2C9"/>
          </w:tcPr>
          <w:p>
            <w:pPr>
              <w:ind w:left="540"/>
              <w:spacing w:after="0"/>
              <w:rPr>
                <w:sz w:val="20"/>
                <w:szCs w:val="20"/>
                <w:color w:val="auto"/>
              </w:rPr>
            </w:pPr>
            <w:r>
              <w:rPr>
                <w:rFonts w:ascii="Arial" w:cs="Arial" w:eastAsia="Arial" w:hAnsi="Arial"/>
                <w:sz w:val="14"/>
                <w:szCs w:val="14"/>
                <w:b w:val="1"/>
                <w:bCs w:val="1"/>
                <w:color w:val="FFFFFF"/>
              </w:rPr>
              <w:t>% change</w:t>
            </w:r>
          </w:p>
        </w:tc>
      </w:tr>
      <w:tr>
        <w:trPr>
          <w:trHeight w:val="162"/>
        </w:trPr>
        <w:tc>
          <w:tcPr>
            <w:tcW w:w="642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0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Dec 24</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Sep 25</w:t>
            </w:r>
          </w:p>
        </w:tc>
        <w:tc>
          <w:tcPr>
            <w:tcW w:w="106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4"/>
                <w:szCs w:val="14"/>
                <w:b w:val="1"/>
                <w:bCs w:val="1"/>
                <w:color w:val="FFFFFF"/>
              </w:rPr>
              <w:t>Dec 25</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9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YoY</w:t>
            </w:r>
          </w:p>
        </w:tc>
      </w:tr>
      <w:tr>
        <w:trPr>
          <w:trHeight w:val="142"/>
        </w:trPr>
        <w:tc>
          <w:tcPr>
            <w:tcW w:w="6420" w:type="dxa"/>
            <w:vAlign w:val="bottom"/>
            <w:tcBorders>
              <w:left w:val="single" w:sz="8" w:color="auto"/>
              <w:right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ASSETS</w:t>
            </w: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r>
      <w:tr>
        <w:trPr>
          <w:trHeight w:val="162"/>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Cash and due from banks</w:t>
            </w:r>
          </w:p>
        </w:tc>
        <w:tc>
          <w:tcPr>
            <w:tcW w:w="1040" w:type="dxa"/>
            <w:vAlign w:val="bottom"/>
          </w:tcPr>
          <w:p>
            <w:pPr>
              <w:jc w:val="center"/>
              <w:spacing w:after="0"/>
              <w:rPr>
                <w:sz w:val="20"/>
                <w:szCs w:val="20"/>
                <w:color w:val="auto"/>
              </w:rPr>
            </w:pPr>
            <w:r>
              <w:rPr>
                <w:rFonts w:ascii="Arial" w:cs="Arial" w:eastAsia="Arial" w:hAnsi="Arial"/>
                <w:sz w:val="14"/>
                <w:szCs w:val="14"/>
                <w:color w:val="auto"/>
              </w:rPr>
              <w:t>2,216,270</w:t>
            </w:r>
          </w:p>
        </w:tc>
        <w:tc>
          <w:tcPr>
            <w:tcW w:w="960" w:type="dxa"/>
            <w:vAlign w:val="bottom"/>
          </w:tcPr>
          <w:p>
            <w:pPr>
              <w:jc w:val="center"/>
              <w:spacing w:after="0"/>
              <w:rPr>
                <w:sz w:val="20"/>
                <w:szCs w:val="20"/>
                <w:color w:val="auto"/>
              </w:rPr>
            </w:pPr>
            <w:r>
              <w:rPr>
                <w:rFonts w:ascii="Arial" w:cs="Arial" w:eastAsia="Arial" w:hAnsi="Arial"/>
                <w:sz w:val="14"/>
                <w:szCs w:val="14"/>
                <w:color w:val="auto"/>
              </w:rPr>
              <w:t>1,680,867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2,137,473</w:t>
            </w:r>
          </w:p>
        </w:tc>
        <w:tc>
          <w:tcPr>
            <w:tcW w:w="860" w:type="dxa"/>
            <w:vAlign w:val="bottom"/>
          </w:tcPr>
          <w:p>
            <w:pPr>
              <w:jc w:val="center"/>
              <w:spacing w:after="0"/>
              <w:rPr>
                <w:sz w:val="20"/>
                <w:szCs w:val="20"/>
                <w:color w:val="auto"/>
              </w:rPr>
            </w:pPr>
            <w:r>
              <w:rPr>
                <w:rFonts w:ascii="Arial" w:cs="Arial" w:eastAsia="Arial" w:hAnsi="Arial"/>
                <w:sz w:val="14"/>
                <w:szCs w:val="14"/>
                <w:color w:val="auto"/>
              </w:rPr>
              <w:t>27.2%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w:t>
            </w:r>
          </w:p>
        </w:tc>
      </w:tr>
      <w:tr>
        <w:trPr>
          <w:trHeight w:val="160"/>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Investments</w:t>
            </w:r>
          </w:p>
        </w:tc>
        <w:tc>
          <w:tcPr>
            <w:tcW w:w="1040" w:type="dxa"/>
            <w:vAlign w:val="bottom"/>
          </w:tcPr>
          <w:p>
            <w:pPr>
              <w:jc w:val="center"/>
              <w:spacing w:after="0"/>
              <w:rPr>
                <w:sz w:val="20"/>
                <w:szCs w:val="20"/>
                <w:color w:val="auto"/>
              </w:rPr>
            </w:pPr>
            <w:r>
              <w:rPr>
                <w:rFonts w:ascii="Arial" w:cs="Arial" w:eastAsia="Arial" w:hAnsi="Arial"/>
                <w:sz w:val="14"/>
                <w:szCs w:val="14"/>
                <w:color w:val="auto"/>
              </w:rPr>
              <w:t>1,739,760</w:t>
            </w:r>
          </w:p>
        </w:tc>
        <w:tc>
          <w:tcPr>
            <w:tcW w:w="960" w:type="dxa"/>
            <w:vAlign w:val="bottom"/>
          </w:tcPr>
          <w:p>
            <w:pPr>
              <w:jc w:val="center"/>
              <w:spacing w:after="0"/>
              <w:rPr>
                <w:sz w:val="20"/>
                <w:szCs w:val="20"/>
                <w:color w:val="auto"/>
              </w:rPr>
            </w:pPr>
            <w:r>
              <w:rPr>
                <w:rFonts w:ascii="Arial" w:cs="Arial" w:eastAsia="Arial" w:hAnsi="Arial"/>
                <w:sz w:val="14"/>
                <w:szCs w:val="14"/>
                <w:color w:val="auto"/>
              </w:rPr>
              <w:t>892,962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1,239,176</w:t>
            </w:r>
          </w:p>
        </w:tc>
        <w:tc>
          <w:tcPr>
            <w:tcW w:w="860" w:type="dxa"/>
            <w:vAlign w:val="bottom"/>
          </w:tcPr>
          <w:p>
            <w:pPr>
              <w:jc w:val="center"/>
              <w:spacing w:after="0"/>
              <w:rPr>
                <w:sz w:val="20"/>
                <w:szCs w:val="20"/>
                <w:color w:val="auto"/>
              </w:rPr>
            </w:pPr>
            <w:r>
              <w:rPr>
                <w:rFonts w:ascii="Arial" w:cs="Arial" w:eastAsia="Arial" w:hAnsi="Arial"/>
                <w:sz w:val="14"/>
                <w:szCs w:val="14"/>
                <w:color w:val="auto"/>
              </w:rPr>
              <w:t>38.8%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-28.8%</w:t>
            </w:r>
          </w:p>
        </w:tc>
      </w:tr>
      <w:tr>
        <w:trPr>
          <w:trHeight w:val="164"/>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Loans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9,938,971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5,505,442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7,553,091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37.2%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-24.0%</w:t>
            </w:r>
          </w:p>
        </w:tc>
      </w:tr>
      <w:tr>
        <w:trPr>
          <w:trHeight w:val="162"/>
        </w:trPr>
        <w:tc>
          <w:tcPr>
            <w:tcW w:w="6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Current</w:t>
            </w:r>
          </w:p>
        </w:tc>
        <w:tc>
          <w:tcPr>
            <w:tcW w:w="1040" w:type="dxa"/>
            <w:vAlign w:val="bottom"/>
          </w:tcPr>
          <w:p>
            <w:pPr>
              <w:jc w:val="center"/>
              <w:spacing w:after="0"/>
              <w:rPr>
                <w:sz w:val="20"/>
                <w:szCs w:val="20"/>
                <w:color w:val="auto"/>
              </w:rPr>
            </w:pPr>
            <w:r>
              <w:rPr>
                <w:rFonts w:ascii="Arial" w:cs="Arial" w:eastAsia="Arial" w:hAnsi="Arial"/>
                <w:sz w:val="14"/>
                <w:szCs w:val="14"/>
                <w:color w:val="auto"/>
              </w:rPr>
              <w:t>9,609,399</w:t>
            </w:r>
          </w:p>
        </w:tc>
        <w:tc>
          <w:tcPr>
            <w:tcW w:w="960" w:type="dxa"/>
            <w:vAlign w:val="bottom"/>
          </w:tcPr>
          <w:p>
            <w:pPr>
              <w:jc w:val="center"/>
              <w:spacing w:after="0"/>
              <w:rPr>
                <w:sz w:val="20"/>
                <w:szCs w:val="20"/>
                <w:color w:val="auto"/>
              </w:rPr>
            </w:pPr>
            <w:r>
              <w:rPr>
                <w:rFonts w:ascii="Arial" w:cs="Arial" w:eastAsia="Arial" w:hAnsi="Arial"/>
                <w:sz w:val="14"/>
                <w:szCs w:val="14"/>
                <w:color w:val="auto"/>
              </w:rPr>
              <w:t>5,304,797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7,274,231</w:t>
            </w:r>
          </w:p>
        </w:tc>
        <w:tc>
          <w:tcPr>
            <w:tcW w:w="860" w:type="dxa"/>
            <w:vAlign w:val="bottom"/>
          </w:tcPr>
          <w:p>
            <w:pPr>
              <w:jc w:val="center"/>
              <w:spacing w:after="0"/>
              <w:rPr>
                <w:sz w:val="20"/>
                <w:szCs w:val="20"/>
                <w:color w:val="auto"/>
              </w:rPr>
            </w:pPr>
            <w:r>
              <w:rPr>
                <w:rFonts w:ascii="Arial" w:cs="Arial" w:eastAsia="Arial" w:hAnsi="Arial"/>
                <w:sz w:val="14"/>
                <w:szCs w:val="14"/>
                <w:color w:val="auto"/>
              </w:rPr>
              <w:t>37.1%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-24.3%</w:t>
            </w:r>
          </w:p>
        </w:tc>
      </w:tr>
      <w:tr>
        <w:trPr>
          <w:trHeight w:val="162"/>
        </w:trPr>
        <w:tc>
          <w:tcPr>
            <w:tcW w:w="6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Internal overdue loans</w:t>
            </w:r>
          </w:p>
        </w:tc>
        <w:tc>
          <w:tcPr>
            <w:tcW w:w="1040" w:type="dxa"/>
            <w:vAlign w:val="bottom"/>
          </w:tcPr>
          <w:p>
            <w:pPr>
              <w:jc w:val="center"/>
              <w:spacing w:after="0"/>
              <w:rPr>
                <w:sz w:val="20"/>
                <w:szCs w:val="20"/>
                <w:color w:val="auto"/>
              </w:rPr>
            </w:pPr>
            <w:r>
              <w:rPr>
                <w:rFonts w:ascii="Arial" w:cs="Arial" w:eastAsia="Arial" w:hAnsi="Arial"/>
                <w:sz w:val="14"/>
                <w:szCs w:val="14"/>
                <w:color w:val="auto"/>
              </w:rPr>
              <w:t>266,296</w:t>
            </w:r>
          </w:p>
        </w:tc>
        <w:tc>
          <w:tcPr>
            <w:tcW w:w="960" w:type="dxa"/>
            <w:vAlign w:val="bottom"/>
          </w:tcPr>
          <w:p>
            <w:pPr>
              <w:jc w:val="center"/>
              <w:spacing w:after="0"/>
              <w:rPr>
                <w:sz w:val="20"/>
                <w:szCs w:val="20"/>
                <w:color w:val="auto"/>
              </w:rPr>
            </w:pPr>
            <w:r>
              <w:rPr>
                <w:rFonts w:ascii="Arial" w:cs="Arial" w:eastAsia="Arial" w:hAnsi="Arial"/>
                <w:sz w:val="14"/>
                <w:szCs w:val="14"/>
                <w:color w:val="auto"/>
              </w:rPr>
              <w:t>140,924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200,397</w:t>
            </w:r>
          </w:p>
        </w:tc>
        <w:tc>
          <w:tcPr>
            <w:tcW w:w="860" w:type="dxa"/>
            <w:vAlign w:val="bottom"/>
          </w:tcPr>
          <w:p>
            <w:pPr>
              <w:jc w:val="center"/>
              <w:spacing w:after="0"/>
              <w:rPr>
                <w:sz w:val="20"/>
                <w:szCs w:val="20"/>
                <w:color w:val="auto"/>
              </w:rPr>
            </w:pPr>
            <w:r>
              <w:rPr>
                <w:rFonts w:ascii="Arial" w:cs="Arial" w:eastAsia="Arial" w:hAnsi="Arial"/>
                <w:sz w:val="14"/>
                <w:szCs w:val="14"/>
                <w:color w:val="auto"/>
              </w:rPr>
              <w:t>42.2%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-24.7%</w:t>
            </w:r>
          </w:p>
        </w:tc>
      </w:tr>
      <w:tr>
        <w:trPr>
          <w:trHeight w:val="162"/>
        </w:trPr>
        <w:tc>
          <w:tcPr>
            <w:tcW w:w="6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Refinanced loans</w:t>
            </w:r>
          </w:p>
        </w:tc>
        <w:tc>
          <w:tcPr>
            <w:tcW w:w="1040" w:type="dxa"/>
            <w:vAlign w:val="bottom"/>
          </w:tcPr>
          <w:p>
            <w:pPr>
              <w:jc w:val="center"/>
              <w:spacing w:after="0"/>
              <w:rPr>
                <w:sz w:val="20"/>
                <w:szCs w:val="20"/>
                <w:color w:val="auto"/>
              </w:rPr>
            </w:pPr>
            <w:r>
              <w:rPr>
                <w:rFonts w:ascii="Arial" w:cs="Arial" w:eastAsia="Arial" w:hAnsi="Arial"/>
                <w:sz w:val="14"/>
                <w:szCs w:val="14"/>
                <w:color w:val="auto"/>
              </w:rPr>
              <w:t>63,276</w:t>
            </w:r>
          </w:p>
        </w:tc>
        <w:tc>
          <w:tcPr>
            <w:tcW w:w="960" w:type="dxa"/>
            <w:vAlign w:val="bottom"/>
          </w:tcPr>
          <w:p>
            <w:pPr>
              <w:jc w:val="center"/>
              <w:spacing w:after="0"/>
              <w:rPr>
                <w:sz w:val="20"/>
                <w:szCs w:val="20"/>
                <w:color w:val="auto"/>
              </w:rPr>
            </w:pPr>
            <w:r>
              <w:rPr>
                <w:rFonts w:ascii="Arial" w:cs="Arial" w:eastAsia="Arial" w:hAnsi="Arial"/>
                <w:sz w:val="14"/>
                <w:szCs w:val="14"/>
                <w:color w:val="auto"/>
              </w:rPr>
              <w:t>59,721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78,463</w:t>
            </w:r>
          </w:p>
        </w:tc>
        <w:tc>
          <w:tcPr>
            <w:tcW w:w="860" w:type="dxa"/>
            <w:vAlign w:val="bottom"/>
          </w:tcPr>
          <w:p>
            <w:pPr>
              <w:jc w:val="center"/>
              <w:spacing w:after="0"/>
              <w:rPr>
                <w:sz w:val="20"/>
                <w:szCs w:val="20"/>
                <w:color w:val="auto"/>
              </w:rPr>
            </w:pPr>
            <w:r>
              <w:rPr>
                <w:rFonts w:ascii="Arial" w:cs="Arial" w:eastAsia="Arial" w:hAnsi="Arial"/>
                <w:sz w:val="14"/>
                <w:szCs w:val="14"/>
                <w:color w:val="auto"/>
              </w:rPr>
              <w:t>31.4%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24.0%</w:t>
            </w:r>
          </w:p>
        </w:tc>
      </w:tr>
      <w:tr>
        <w:trPr>
          <w:trHeight w:val="160"/>
        </w:trPr>
        <w:tc>
          <w:tcPr>
            <w:tcW w:w="6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Less - allowance for loan losses</w:t>
            </w:r>
          </w:p>
        </w:tc>
        <w:tc>
          <w:tcPr>
            <w:tcW w:w="1040" w:type="dxa"/>
            <w:vAlign w:val="bottom"/>
          </w:tcPr>
          <w:p>
            <w:pPr>
              <w:jc w:val="center"/>
              <w:spacing w:after="0"/>
              <w:rPr>
                <w:sz w:val="20"/>
                <w:szCs w:val="20"/>
                <w:color w:val="auto"/>
              </w:rPr>
            </w:pPr>
            <w:r>
              <w:rPr>
                <w:rFonts w:ascii="Arial" w:cs="Arial" w:eastAsia="Arial" w:hAnsi="Arial"/>
                <w:sz w:val="14"/>
                <w:szCs w:val="14"/>
                <w:color w:val="auto"/>
              </w:rPr>
              <w:t>(366,704)</w:t>
            </w:r>
          </w:p>
        </w:tc>
        <w:tc>
          <w:tcPr>
            <w:tcW w:w="960" w:type="dxa"/>
            <w:vAlign w:val="bottom"/>
          </w:tcPr>
          <w:p>
            <w:pPr>
              <w:jc w:val="center"/>
              <w:spacing w:after="0"/>
              <w:rPr>
                <w:sz w:val="20"/>
                <w:szCs w:val="20"/>
                <w:color w:val="auto"/>
              </w:rPr>
            </w:pPr>
            <w:r>
              <w:rPr>
                <w:rFonts w:ascii="Arial" w:cs="Arial" w:eastAsia="Arial" w:hAnsi="Arial"/>
                <w:sz w:val="14"/>
                <w:szCs w:val="14"/>
                <w:color w:val="auto"/>
              </w:rPr>
              <w:t>(190,124)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(252,729)</w:t>
            </w:r>
          </w:p>
        </w:tc>
        <w:tc>
          <w:tcPr>
            <w:tcW w:w="860" w:type="dxa"/>
            <w:vAlign w:val="bottom"/>
          </w:tcPr>
          <w:p>
            <w:pPr>
              <w:jc w:val="center"/>
              <w:spacing w:after="0"/>
              <w:rPr>
                <w:sz w:val="20"/>
                <w:szCs w:val="20"/>
                <w:color w:val="auto"/>
              </w:rPr>
            </w:pPr>
            <w:r>
              <w:rPr>
                <w:rFonts w:ascii="Arial" w:cs="Arial" w:eastAsia="Arial" w:hAnsi="Arial"/>
                <w:sz w:val="14"/>
                <w:szCs w:val="14"/>
                <w:color w:val="auto"/>
              </w:rPr>
              <w:t>32.9%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-31.1%</w:t>
            </w:r>
          </w:p>
        </w:tc>
      </w:tr>
      <w:tr>
        <w:trPr>
          <w:trHeight w:val="164"/>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Loans, net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9,572,267</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5,315,318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7,300,362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37.3%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-23.7%</w:t>
            </w:r>
          </w:p>
        </w:tc>
      </w:tr>
      <w:tr>
        <w:trPr>
          <w:trHeight w:val="162"/>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Property, furniture and equipment, net</w:t>
            </w:r>
          </w:p>
        </w:tc>
        <w:tc>
          <w:tcPr>
            <w:tcW w:w="1040" w:type="dxa"/>
            <w:vAlign w:val="bottom"/>
          </w:tcPr>
          <w:p>
            <w:pPr>
              <w:jc w:val="center"/>
              <w:spacing w:after="0"/>
              <w:rPr>
                <w:sz w:val="20"/>
                <w:szCs w:val="20"/>
                <w:color w:val="auto"/>
              </w:rPr>
            </w:pPr>
            <w:r>
              <w:rPr>
                <w:rFonts w:ascii="Arial" w:cs="Arial" w:eastAsia="Arial" w:hAnsi="Arial"/>
                <w:sz w:val="14"/>
                <w:szCs w:val="14"/>
                <w:color w:val="auto"/>
              </w:rPr>
              <w:t>132,210</w:t>
            </w:r>
          </w:p>
        </w:tc>
        <w:tc>
          <w:tcPr>
            <w:tcW w:w="960" w:type="dxa"/>
            <w:vAlign w:val="bottom"/>
          </w:tcPr>
          <w:p>
            <w:pPr>
              <w:jc w:val="center"/>
              <w:spacing w:after="0"/>
              <w:rPr>
                <w:sz w:val="20"/>
                <w:szCs w:val="20"/>
                <w:color w:val="auto"/>
              </w:rPr>
            </w:pPr>
            <w:r>
              <w:rPr>
                <w:rFonts w:ascii="Arial" w:cs="Arial" w:eastAsia="Arial" w:hAnsi="Arial"/>
                <w:sz w:val="14"/>
                <w:szCs w:val="14"/>
                <w:color w:val="auto"/>
              </w:rPr>
              <w:t>69,397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96,827</w:t>
            </w:r>
          </w:p>
        </w:tc>
        <w:tc>
          <w:tcPr>
            <w:tcW w:w="860" w:type="dxa"/>
            <w:vAlign w:val="bottom"/>
          </w:tcPr>
          <w:p>
            <w:pPr>
              <w:jc w:val="center"/>
              <w:spacing w:after="0"/>
              <w:rPr>
                <w:sz w:val="20"/>
                <w:szCs w:val="20"/>
                <w:color w:val="auto"/>
              </w:rPr>
            </w:pPr>
            <w:r>
              <w:rPr>
                <w:rFonts w:ascii="Arial" w:cs="Arial" w:eastAsia="Arial" w:hAnsi="Arial"/>
                <w:sz w:val="14"/>
                <w:szCs w:val="14"/>
                <w:color w:val="auto"/>
              </w:rPr>
              <w:t>39.5%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-26.8%</w:t>
            </w:r>
          </w:p>
        </w:tc>
      </w:tr>
      <w:tr>
        <w:trPr>
          <w:trHeight w:val="160"/>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Other assets</w:t>
            </w:r>
          </w:p>
        </w:tc>
        <w:tc>
          <w:tcPr>
            <w:tcW w:w="1040" w:type="dxa"/>
            <w:vAlign w:val="bottom"/>
          </w:tcPr>
          <w:p>
            <w:pPr>
              <w:jc w:val="center"/>
              <w:spacing w:after="0"/>
              <w:rPr>
                <w:sz w:val="20"/>
                <w:szCs w:val="20"/>
                <w:color w:val="auto"/>
              </w:rPr>
            </w:pPr>
            <w:r>
              <w:rPr>
                <w:rFonts w:ascii="Arial" w:cs="Arial" w:eastAsia="Arial" w:hAnsi="Arial"/>
                <w:sz w:val="14"/>
                <w:szCs w:val="14"/>
                <w:color w:val="auto"/>
              </w:rPr>
              <w:t>314,226</w:t>
            </w:r>
          </w:p>
        </w:tc>
        <w:tc>
          <w:tcPr>
            <w:tcW w:w="960" w:type="dxa"/>
            <w:vAlign w:val="bottom"/>
          </w:tcPr>
          <w:p>
            <w:pPr>
              <w:jc w:val="center"/>
              <w:spacing w:after="0"/>
              <w:rPr>
                <w:sz w:val="20"/>
                <w:szCs w:val="20"/>
                <w:color w:val="auto"/>
              </w:rPr>
            </w:pPr>
            <w:r>
              <w:rPr>
                <w:rFonts w:ascii="Arial" w:cs="Arial" w:eastAsia="Arial" w:hAnsi="Arial"/>
                <w:sz w:val="14"/>
                <w:szCs w:val="14"/>
                <w:color w:val="auto"/>
              </w:rPr>
              <w:t>184,907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251,774</w:t>
            </w:r>
          </w:p>
        </w:tc>
        <w:tc>
          <w:tcPr>
            <w:tcW w:w="860" w:type="dxa"/>
            <w:vAlign w:val="bottom"/>
          </w:tcPr>
          <w:p>
            <w:pPr>
              <w:jc w:val="center"/>
              <w:spacing w:after="0"/>
              <w:rPr>
                <w:sz w:val="20"/>
                <w:szCs w:val="20"/>
                <w:color w:val="auto"/>
              </w:rPr>
            </w:pPr>
            <w:r>
              <w:rPr>
                <w:rFonts w:ascii="Arial" w:cs="Arial" w:eastAsia="Arial" w:hAnsi="Arial"/>
                <w:sz w:val="14"/>
                <w:szCs w:val="14"/>
                <w:color w:val="auto"/>
              </w:rPr>
              <w:t>36.2%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-19.9%</w:t>
            </w:r>
          </w:p>
        </w:tc>
      </w:tr>
      <w:tr>
        <w:trPr>
          <w:trHeight w:val="202"/>
        </w:trPr>
        <w:tc>
          <w:tcPr>
            <w:tcW w:w="6420" w:type="dxa"/>
            <w:vAlign w:val="bottom"/>
            <w:tcBorders>
              <w:left w:val="single" w:sz="8" w:color="auto"/>
              <w:right w:val="single" w:sz="8" w:color="auto"/>
            </w:tcBorders>
          </w:tcPr>
          <w:p>
            <w:pPr>
              <w:ind w:left="2800"/>
              <w:spacing w:after="0"/>
              <w:rPr>
                <w:sz w:val="20"/>
                <w:szCs w:val="20"/>
                <w:color w:val="auto"/>
              </w:rPr>
            </w:pPr>
            <w:r>
              <w:rPr>
                <w:rFonts w:ascii="Arial" w:cs="Arial" w:eastAsia="Arial" w:hAnsi="Arial"/>
                <w:sz w:val="14"/>
                <w:szCs w:val="14"/>
                <w:b w:val="1"/>
                <w:bCs w:val="1"/>
                <w:color w:val="auto"/>
              </w:rPr>
              <w:t>Total assets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13,974,733</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8,143,451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11,025,612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35.4%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-21.1%</w:t>
            </w:r>
          </w:p>
        </w:tc>
      </w:tr>
      <w:tr>
        <w:trPr>
          <w:trHeight w:val="286"/>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LIABILITIES AND NET SHAREHOLDERS’ EQUITY</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r>
      <w:tr>
        <w:trPr>
          <w:trHeight w:val="162"/>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Deposits and obligations</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12,145,811</w:t>
            </w:r>
          </w:p>
        </w:tc>
        <w:tc>
          <w:tcPr>
            <w:tcW w:w="960" w:type="dxa"/>
            <w:vAlign w:val="bottom"/>
          </w:tcPr>
          <w:p>
            <w:pPr>
              <w:jc w:val="center"/>
              <w:spacing w:after="0"/>
              <w:rPr>
                <w:sz w:val="20"/>
                <w:szCs w:val="20"/>
                <w:color w:val="auto"/>
              </w:rPr>
            </w:pPr>
            <w:r>
              <w:rPr>
                <w:rFonts w:ascii="Arial" w:cs="Arial" w:eastAsia="Arial" w:hAnsi="Arial"/>
                <w:sz w:val="14"/>
                <w:szCs w:val="14"/>
                <w:color w:val="auto"/>
              </w:rPr>
              <w:t>6,934,203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9,459,528</w:t>
            </w:r>
          </w:p>
        </w:tc>
        <w:tc>
          <w:tcPr>
            <w:tcW w:w="860" w:type="dxa"/>
            <w:vAlign w:val="bottom"/>
          </w:tcPr>
          <w:p>
            <w:pPr>
              <w:jc w:val="center"/>
              <w:spacing w:after="0"/>
              <w:rPr>
                <w:sz w:val="20"/>
                <w:szCs w:val="20"/>
                <w:color w:val="auto"/>
              </w:rPr>
            </w:pPr>
            <w:r>
              <w:rPr>
                <w:rFonts w:ascii="Arial" w:cs="Arial" w:eastAsia="Arial" w:hAnsi="Arial"/>
                <w:sz w:val="14"/>
                <w:szCs w:val="14"/>
                <w:color w:val="auto"/>
              </w:rPr>
              <w:t>36.4%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-22.1%</w:t>
            </w:r>
          </w:p>
        </w:tc>
      </w:tr>
      <w:tr>
        <w:trPr>
          <w:trHeight w:val="162"/>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Due to banks and correspondents</w:t>
            </w:r>
          </w:p>
        </w:tc>
        <w:tc>
          <w:tcPr>
            <w:tcW w:w="104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n.a.</w:t>
            </w:r>
          </w:p>
        </w:tc>
        <w:tc>
          <w:tcPr>
            <w:tcW w:w="94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n.a.</w:t>
            </w:r>
          </w:p>
        </w:tc>
      </w:tr>
      <w:tr>
        <w:trPr>
          <w:trHeight w:val="162"/>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Bonds and subordinated debt</w:t>
            </w:r>
          </w:p>
        </w:tc>
        <w:tc>
          <w:tcPr>
            <w:tcW w:w="1040" w:type="dxa"/>
            <w:vAlign w:val="bottom"/>
          </w:tcPr>
          <w:p>
            <w:pPr>
              <w:jc w:val="center"/>
              <w:spacing w:after="0"/>
              <w:rPr>
                <w:sz w:val="20"/>
                <w:szCs w:val="20"/>
                <w:color w:val="auto"/>
              </w:rPr>
            </w:pPr>
            <w:r>
              <w:rPr>
                <w:rFonts w:ascii="Arial" w:cs="Arial" w:eastAsia="Arial" w:hAnsi="Arial"/>
                <w:sz w:val="14"/>
                <w:szCs w:val="14"/>
                <w:color w:val="auto"/>
              </w:rPr>
              <w:t>157,253</w:t>
            </w:r>
          </w:p>
        </w:tc>
        <w:tc>
          <w:tcPr>
            <w:tcW w:w="960" w:type="dxa"/>
            <w:vAlign w:val="bottom"/>
          </w:tcPr>
          <w:p>
            <w:pPr>
              <w:jc w:val="center"/>
              <w:spacing w:after="0"/>
              <w:rPr>
                <w:sz w:val="20"/>
                <w:szCs w:val="20"/>
                <w:color w:val="auto"/>
              </w:rPr>
            </w:pPr>
            <w:r>
              <w:rPr>
                <w:rFonts w:ascii="Arial" w:cs="Arial" w:eastAsia="Arial" w:hAnsi="Arial"/>
                <w:sz w:val="14"/>
                <w:szCs w:val="14"/>
                <w:color w:val="auto"/>
              </w:rPr>
              <w:t>109,107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143,754</w:t>
            </w:r>
          </w:p>
        </w:tc>
        <w:tc>
          <w:tcPr>
            <w:tcW w:w="860" w:type="dxa"/>
            <w:vAlign w:val="bottom"/>
          </w:tcPr>
          <w:p>
            <w:pPr>
              <w:jc w:val="center"/>
              <w:spacing w:after="0"/>
              <w:rPr>
                <w:sz w:val="20"/>
                <w:szCs w:val="20"/>
                <w:color w:val="auto"/>
              </w:rPr>
            </w:pPr>
            <w:r>
              <w:rPr>
                <w:rFonts w:ascii="Arial" w:cs="Arial" w:eastAsia="Arial" w:hAnsi="Arial"/>
                <w:sz w:val="14"/>
                <w:szCs w:val="14"/>
                <w:color w:val="auto"/>
              </w:rPr>
              <w:t>31.8%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-8.6%</w:t>
            </w:r>
          </w:p>
        </w:tc>
      </w:tr>
      <w:tr>
        <w:trPr>
          <w:trHeight w:val="160"/>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Other liabilities</w:t>
            </w:r>
          </w:p>
        </w:tc>
        <w:tc>
          <w:tcPr>
            <w:tcW w:w="1040" w:type="dxa"/>
            <w:vAlign w:val="bottom"/>
          </w:tcPr>
          <w:p>
            <w:pPr>
              <w:jc w:val="center"/>
              <w:spacing w:after="0"/>
              <w:rPr>
                <w:sz w:val="20"/>
                <w:szCs w:val="20"/>
                <w:color w:val="auto"/>
              </w:rPr>
            </w:pPr>
            <w:r>
              <w:rPr>
                <w:rFonts w:ascii="Arial" w:cs="Arial" w:eastAsia="Arial" w:hAnsi="Arial"/>
                <w:sz w:val="14"/>
                <w:szCs w:val="14"/>
                <w:color w:val="auto"/>
              </w:rPr>
              <w:t>665,519</w:t>
            </w:r>
          </w:p>
        </w:tc>
        <w:tc>
          <w:tcPr>
            <w:tcW w:w="960" w:type="dxa"/>
            <w:vAlign w:val="bottom"/>
          </w:tcPr>
          <w:p>
            <w:pPr>
              <w:jc w:val="center"/>
              <w:spacing w:after="0"/>
              <w:rPr>
                <w:sz w:val="20"/>
                <w:szCs w:val="20"/>
                <w:color w:val="auto"/>
              </w:rPr>
            </w:pPr>
            <w:r>
              <w:rPr>
                <w:rFonts w:ascii="Arial" w:cs="Arial" w:eastAsia="Arial" w:hAnsi="Arial"/>
                <w:sz w:val="14"/>
                <w:szCs w:val="14"/>
                <w:color w:val="auto"/>
              </w:rPr>
              <w:t>432,084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551,978</w:t>
            </w:r>
          </w:p>
        </w:tc>
        <w:tc>
          <w:tcPr>
            <w:tcW w:w="860" w:type="dxa"/>
            <w:vAlign w:val="bottom"/>
          </w:tcPr>
          <w:p>
            <w:pPr>
              <w:jc w:val="center"/>
              <w:spacing w:after="0"/>
              <w:rPr>
                <w:sz w:val="20"/>
                <w:szCs w:val="20"/>
                <w:color w:val="auto"/>
              </w:rPr>
            </w:pPr>
            <w:r>
              <w:rPr>
                <w:rFonts w:ascii="Arial" w:cs="Arial" w:eastAsia="Arial" w:hAnsi="Arial"/>
                <w:sz w:val="14"/>
                <w:szCs w:val="14"/>
                <w:color w:val="auto"/>
              </w:rPr>
              <w:t>27.7%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-17.1%</w:t>
            </w:r>
          </w:p>
        </w:tc>
      </w:tr>
      <w:tr>
        <w:trPr>
          <w:trHeight w:val="202"/>
        </w:trPr>
        <w:tc>
          <w:tcPr>
            <w:tcW w:w="6420" w:type="dxa"/>
            <w:vAlign w:val="bottom"/>
            <w:tcBorders>
              <w:left w:val="single" w:sz="8" w:color="auto"/>
              <w:right w:val="single" w:sz="8" w:color="auto"/>
            </w:tcBorders>
          </w:tcPr>
          <w:p>
            <w:pPr>
              <w:ind w:left="2720"/>
              <w:spacing w:after="0"/>
              <w:rPr>
                <w:sz w:val="20"/>
                <w:szCs w:val="20"/>
                <w:color w:val="auto"/>
              </w:rPr>
            </w:pPr>
            <w:r>
              <w:rPr>
                <w:rFonts w:ascii="Arial" w:cs="Arial" w:eastAsia="Arial" w:hAnsi="Arial"/>
                <w:sz w:val="14"/>
                <w:szCs w:val="14"/>
                <w:b w:val="1"/>
                <w:bCs w:val="1"/>
                <w:color w:val="auto"/>
              </w:rPr>
              <w:t>Total liabilities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12,968,583</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7,475,394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10,155,260</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35.8%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-21.7%</w:t>
            </w:r>
          </w:p>
        </w:tc>
      </w:tr>
      <w:tr>
        <w:trPr>
          <w:trHeight w:val="324"/>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Net equity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1,006,150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668,057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870,352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30.3%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-13.5%</w:t>
            </w:r>
          </w:p>
        </w:tc>
      </w:tr>
      <w:tr>
        <w:trPr>
          <w:trHeight w:val="299"/>
        </w:trPr>
        <w:tc>
          <w:tcPr>
            <w:tcW w:w="64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TOTAL LIABILITIES AND NET EQUITY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13,974,733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8,143,451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11,025,612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35.4%</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-21.1%</w:t>
            </w:r>
          </w:p>
        </w:tc>
      </w:tr>
    </w:tbl>
    <w:p>
      <w:pPr>
        <w:spacing w:after="0" w:line="16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Statement of Income</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94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1020" w:type="dxa"/>
            <w:vAlign w:val="bottom"/>
            <w:tcBorders>
              <w:top w:val="single" w:sz="8" w:color="auto"/>
            </w:tcBorders>
            <w:shd w:val="clear" w:color="auto" w:fill="2AD2C9"/>
          </w:tcPr>
          <w:p>
            <w:pPr>
              <w:spacing w:after="0"/>
              <w:rPr>
                <w:sz w:val="10"/>
                <w:szCs w:val="10"/>
                <w:color w:val="auto"/>
              </w:rPr>
            </w:pPr>
          </w:p>
        </w:tc>
        <w:tc>
          <w:tcPr>
            <w:tcW w:w="1020" w:type="dxa"/>
            <w:vAlign w:val="bottom"/>
            <w:tcBorders>
              <w:top w:val="single" w:sz="8" w:color="auto"/>
            </w:tcBorders>
            <w:shd w:val="clear" w:color="auto" w:fill="2AD2C9"/>
          </w:tcPr>
          <w:p>
            <w:pPr>
              <w:ind w:left="320"/>
              <w:spacing w:after="0" w:line="118" w:lineRule="exact"/>
              <w:rPr>
                <w:sz w:val="20"/>
                <w:szCs w:val="20"/>
                <w:color w:val="auto"/>
              </w:rPr>
            </w:pPr>
            <w:r>
              <w:rPr>
                <w:rFonts w:ascii="Arial" w:cs="Arial" w:eastAsia="Arial" w:hAnsi="Arial"/>
                <w:sz w:val="11"/>
                <w:szCs w:val="11"/>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0"/>
                <w:szCs w:val="10"/>
                <w:color w:val="auto"/>
              </w:rPr>
            </w:pPr>
          </w:p>
        </w:tc>
        <w:tc>
          <w:tcPr>
            <w:tcW w:w="1780" w:type="dxa"/>
            <w:vAlign w:val="bottom"/>
            <w:tcBorders>
              <w:top w:val="single" w:sz="8" w:color="auto"/>
              <w:right w:val="single" w:sz="8" w:color="auto"/>
            </w:tcBorders>
            <w:gridSpan w:val="2"/>
            <w:shd w:val="clear" w:color="auto" w:fill="2AD2C9"/>
          </w:tcPr>
          <w:p>
            <w:pPr>
              <w:jc w:val="center"/>
              <w:spacing w:after="0" w:line="118" w:lineRule="exact"/>
              <w:rPr>
                <w:sz w:val="20"/>
                <w:szCs w:val="20"/>
                <w:color w:val="auto"/>
              </w:rPr>
            </w:pPr>
            <w:r>
              <w:rPr>
                <w:rFonts w:ascii="Arial" w:cs="Arial" w:eastAsia="Arial" w:hAnsi="Arial"/>
                <w:sz w:val="11"/>
                <w:szCs w:val="11"/>
                <w:b w:val="1"/>
                <w:bCs w:val="1"/>
                <w:color w:val="FFFFFF"/>
              </w:rPr>
              <w:t>% change</w:t>
            </w:r>
          </w:p>
        </w:tc>
        <w:tc>
          <w:tcPr>
            <w:tcW w:w="620" w:type="dxa"/>
            <w:vAlign w:val="bottom"/>
            <w:tcBorders>
              <w:top w:val="single" w:sz="8" w:color="auto"/>
            </w:tcBorders>
            <w:shd w:val="clear" w:color="auto" w:fill="2AD2C9"/>
          </w:tcPr>
          <w:p>
            <w:pPr>
              <w:spacing w:after="0"/>
              <w:rPr>
                <w:sz w:val="10"/>
                <w:szCs w:val="10"/>
                <w:color w:val="auto"/>
              </w:rPr>
            </w:pPr>
          </w:p>
        </w:tc>
        <w:tc>
          <w:tcPr>
            <w:tcW w:w="940" w:type="dxa"/>
            <w:vAlign w:val="bottom"/>
            <w:tcBorders>
              <w:top w:val="single" w:sz="8" w:color="auto"/>
              <w:right w:val="single" w:sz="8" w:color="auto"/>
            </w:tcBorders>
            <w:shd w:val="clear" w:color="auto" w:fill="2AD2C9"/>
          </w:tcPr>
          <w:p>
            <w:pPr>
              <w:ind w:left="20"/>
              <w:spacing w:after="0" w:line="118" w:lineRule="exact"/>
              <w:rPr>
                <w:sz w:val="20"/>
                <w:szCs w:val="20"/>
                <w:color w:val="auto"/>
              </w:rPr>
            </w:pPr>
            <w:r>
              <w:rPr>
                <w:rFonts w:ascii="Arial" w:cs="Arial" w:eastAsia="Arial" w:hAnsi="Arial"/>
                <w:sz w:val="11"/>
                <w:szCs w:val="11"/>
                <w:b w:val="1"/>
                <w:bCs w:val="1"/>
                <w:color w:val="FFFFFF"/>
              </w:rPr>
              <w:t>Up to</w:t>
            </w:r>
          </w:p>
        </w:tc>
        <w:tc>
          <w:tcPr>
            <w:tcW w:w="920" w:type="dxa"/>
            <w:vAlign w:val="bottom"/>
            <w:tcBorders>
              <w:top w:val="single" w:sz="8" w:color="auto"/>
              <w:right w:val="single" w:sz="8" w:color="auto"/>
            </w:tcBorders>
            <w:shd w:val="clear" w:color="auto" w:fill="2AD2C9"/>
          </w:tcPr>
          <w:p>
            <w:pPr>
              <w:jc w:val="center"/>
              <w:spacing w:after="0" w:line="118" w:lineRule="exact"/>
              <w:rPr>
                <w:sz w:val="20"/>
                <w:szCs w:val="20"/>
                <w:color w:val="auto"/>
              </w:rPr>
            </w:pPr>
            <w:r>
              <w:rPr>
                <w:rFonts w:ascii="Arial" w:cs="Arial" w:eastAsia="Arial" w:hAnsi="Arial"/>
                <w:sz w:val="11"/>
                <w:szCs w:val="11"/>
                <w:b w:val="1"/>
                <w:bCs w:val="1"/>
                <w:color w:val="FFFFFF"/>
                <w:w w:val="97"/>
              </w:rPr>
              <w:t>% Change</w:t>
            </w:r>
          </w:p>
        </w:tc>
      </w:tr>
      <w:tr>
        <w:trPr>
          <w:trHeight w:val="139"/>
        </w:trPr>
        <w:tc>
          <w:tcPr>
            <w:tcW w:w="394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4Q24</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3Q25</w:t>
            </w:r>
          </w:p>
        </w:tc>
        <w:tc>
          <w:tcPr>
            <w:tcW w:w="10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4Q25</w:t>
            </w:r>
          </w:p>
        </w:tc>
        <w:tc>
          <w:tcPr>
            <w:tcW w:w="1080" w:type="dxa"/>
            <w:vAlign w:val="bottom"/>
            <w:tcBorders>
              <w:bottom w:val="single" w:sz="8" w:color="auto"/>
            </w:tcBorders>
            <w:shd w:val="clear" w:color="auto" w:fill="2AD2C9"/>
          </w:tcPr>
          <w:p>
            <w:pPr>
              <w:jc w:val="center"/>
              <w:ind w:right="146"/>
              <w:spacing w:after="0"/>
              <w:rPr>
                <w:sz w:val="20"/>
                <w:szCs w:val="20"/>
                <w:color w:val="auto"/>
              </w:rPr>
            </w:pPr>
            <w:r>
              <w:rPr>
                <w:rFonts w:ascii="Arial" w:cs="Arial" w:eastAsia="Arial" w:hAnsi="Arial"/>
                <w:sz w:val="11"/>
                <w:szCs w:val="11"/>
                <w:b w:val="1"/>
                <w:bCs w:val="1"/>
                <w:color w:val="FFFFFF"/>
              </w:rPr>
              <w:t>QoQ</w:t>
            </w:r>
          </w:p>
        </w:tc>
        <w:tc>
          <w:tcPr>
            <w:tcW w:w="700" w:type="dxa"/>
            <w:vAlign w:val="bottom"/>
            <w:tcBorders>
              <w:bottom w:val="single" w:sz="8" w:color="auto"/>
              <w:right w:val="single" w:sz="8" w:color="auto"/>
            </w:tcBorders>
            <w:shd w:val="clear" w:color="auto" w:fill="2AD2C9"/>
          </w:tcPr>
          <w:p>
            <w:pPr>
              <w:jc w:val="center"/>
              <w:ind w:right="166"/>
              <w:spacing w:after="0"/>
              <w:rPr>
                <w:sz w:val="20"/>
                <w:szCs w:val="20"/>
                <w:color w:val="auto"/>
              </w:rPr>
            </w:pPr>
            <w:r>
              <w:rPr>
                <w:rFonts w:ascii="Arial" w:cs="Arial" w:eastAsia="Arial" w:hAnsi="Arial"/>
                <w:sz w:val="11"/>
                <w:szCs w:val="11"/>
                <w:b w:val="1"/>
                <w:bCs w:val="1"/>
                <w:color w:val="FFFFFF"/>
                <w:w w:val="93"/>
              </w:rPr>
              <w:t>YoY</w:t>
            </w:r>
          </w:p>
        </w:tc>
        <w:tc>
          <w:tcPr>
            <w:tcW w:w="62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1"/>
                <w:szCs w:val="11"/>
                <w:b w:val="1"/>
                <w:bCs w:val="1"/>
                <w:color w:val="FFFFFF"/>
              </w:rPr>
              <w:t>Dec 24</w:t>
            </w:r>
          </w:p>
        </w:tc>
        <w:tc>
          <w:tcPr>
            <w:tcW w:w="9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1"/>
                <w:szCs w:val="11"/>
                <w:b w:val="1"/>
                <w:bCs w:val="1"/>
                <w:color w:val="FFFFFF"/>
              </w:rPr>
              <w:t>Dec 25</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Dec 25 / Dec 24</w:t>
            </w:r>
          </w:p>
        </w:tc>
      </w:tr>
      <w:tr>
        <w:trPr>
          <w:trHeight w:val="98"/>
        </w:trPr>
        <w:tc>
          <w:tcPr>
            <w:tcW w:w="3940" w:type="dxa"/>
            <w:vAlign w:val="bottom"/>
            <w:tcBorders>
              <w:left w:val="single" w:sz="8" w:color="auto"/>
              <w:right w:val="single" w:sz="8" w:color="auto"/>
            </w:tcBorders>
          </w:tcPr>
          <w:p>
            <w:pPr>
              <w:spacing w:after="0" w:line="98" w:lineRule="exact"/>
              <w:rPr>
                <w:sz w:val="20"/>
                <w:szCs w:val="20"/>
                <w:color w:val="auto"/>
              </w:rPr>
            </w:pPr>
            <w:r>
              <w:rPr>
                <w:rFonts w:ascii="Arial" w:cs="Arial" w:eastAsia="Arial" w:hAnsi="Arial"/>
                <w:sz w:val="11"/>
                <w:szCs w:val="11"/>
                <w:color w:val="auto"/>
              </w:rPr>
              <w:t>Interests income, net</w:t>
            </w:r>
          </w:p>
        </w:tc>
        <w:tc>
          <w:tcPr>
            <w:tcW w:w="1020" w:type="dxa"/>
            <w:vAlign w:val="bottom"/>
          </w:tcPr>
          <w:p>
            <w:pPr>
              <w:jc w:val="center"/>
              <w:spacing w:after="0" w:line="98" w:lineRule="exact"/>
              <w:rPr>
                <w:sz w:val="20"/>
                <w:szCs w:val="20"/>
                <w:color w:val="auto"/>
              </w:rPr>
            </w:pPr>
            <w:r>
              <w:rPr>
                <w:rFonts w:ascii="Arial" w:cs="Arial" w:eastAsia="Arial" w:hAnsi="Arial"/>
                <w:sz w:val="11"/>
                <w:szCs w:val="11"/>
                <w:color w:val="auto"/>
              </w:rPr>
              <w:t>87,812</w:t>
            </w:r>
          </w:p>
        </w:tc>
        <w:tc>
          <w:tcPr>
            <w:tcW w:w="1020" w:type="dxa"/>
            <w:vAlign w:val="bottom"/>
          </w:tcPr>
          <w:p>
            <w:pPr>
              <w:jc w:val="center"/>
              <w:spacing w:after="0" w:line="98" w:lineRule="exact"/>
              <w:rPr>
                <w:sz w:val="20"/>
                <w:szCs w:val="20"/>
                <w:color w:val="auto"/>
              </w:rPr>
            </w:pPr>
            <w:r>
              <w:rPr>
                <w:rFonts w:ascii="Arial" w:cs="Arial" w:eastAsia="Arial" w:hAnsi="Arial"/>
                <w:sz w:val="11"/>
                <w:szCs w:val="11"/>
                <w:color w:val="auto"/>
              </w:rPr>
              <w:t>47,796</w:t>
            </w:r>
          </w:p>
        </w:tc>
        <w:tc>
          <w:tcPr>
            <w:tcW w:w="10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1"/>
                <w:szCs w:val="11"/>
                <w:color w:val="auto"/>
                <w:w w:val="94"/>
              </w:rPr>
              <w:t>54,243</w:t>
            </w:r>
          </w:p>
        </w:tc>
        <w:tc>
          <w:tcPr>
            <w:tcW w:w="1080" w:type="dxa"/>
            <w:vAlign w:val="bottom"/>
          </w:tcPr>
          <w:p>
            <w:pPr>
              <w:jc w:val="center"/>
              <w:ind w:right="126"/>
              <w:spacing w:after="0" w:line="98" w:lineRule="exact"/>
              <w:rPr>
                <w:sz w:val="20"/>
                <w:szCs w:val="20"/>
                <w:color w:val="auto"/>
              </w:rPr>
            </w:pPr>
            <w:r>
              <w:rPr>
                <w:rFonts w:ascii="Arial" w:cs="Arial" w:eastAsia="Arial" w:hAnsi="Arial"/>
                <w:sz w:val="11"/>
                <w:szCs w:val="11"/>
                <w:color w:val="auto"/>
                <w:w w:val="96"/>
              </w:rPr>
              <w:t>13.5%</w:t>
            </w:r>
          </w:p>
        </w:tc>
        <w:tc>
          <w:tcPr>
            <w:tcW w:w="700" w:type="dxa"/>
            <w:vAlign w:val="bottom"/>
            <w:tcBorders>
              <w:right w:val="single" w:sz="8" w:color="auto"/>
            </w:tcBorders>
          </w:tcPr>
          <w:p>
            <w:pPr>
              <w:jc w:val="center"/>
              <w:ind w:right="146"/>
              <w:spacing w:after="0" w:line="98" w:lineRule="exact"/>
              <w:rPr>
                <w:sz w:val="20"/>
                <w:szCs w:val="20"/>
                <w:color w:val="auto"/>
              </w:rPr>
            </w:pPr>
            <w:r>
              <w:rPr>
                <w:rFonts w:ascii="Arial" w:cs="Arial" w:eastAsia="Arial" w:hAnsi="Arial"/>
                <w:sz w:val="11"/>
                <w:szCs w:val="11"/>
                <w:color w:val="auto"/>
                <w:w w:val="97"/>
              </w:rPr>
              <w:t>-38.2%</w:t>
            </w:r>
          </w:p>
        </w:tc>
        <w:tc>
          <w:tcPr>
            <w:tcW w:w="620" w:type="dxa"/>
            <w:vAlign w:val="bottom"/>
          </w:tcPr>
          <w:p>
            <w:pPr>
              <w:jc w:val="center"/>
              <w:ind w:left="86"/>
              <w:spacing w:after="0" w:line="98" w:lineRule="exact"/>
              <w:rPr>
                <w:sz w:val="20"/>
                <w:szCs w:val="20"/>
                <w:color w:val="auto"/>
              </w:rPr>
            </w:pPr>
            <w:r>
              <w:rPr>
                <w:rFonts w:ascii="Arial" w:cs="Arial" w:eastAsia="Arial" w:hAnsi="Arial"/>
                <w:sz w:val="11"/>
                <w:szCs w:val="11"/>
                <w:color w:val="auto"/>
              </w:rPr>
              <w:t>353,396</w:t>
            </w:r>
          </w:p>
        </w:tc>
        <w:tc>
          <w:tcPr>
            <w:tcW w:w="940" w:type="dxa"/>
            <w:vAlign w:val="bottom"/>
            <w:tcBorders>
              <w:right w:val="single" w:sz="8" w:color="auto"/>
            </w:tcBorders>
          </w:tcPr>
          <w:p>
            <w:pPr>
              <w:jc w:val="center"/>
              <w:ind w:left="86"/>
              <w:spacing w:after="0" w:line="98" w:lineRule="exact"/>
              <w:rPr>
                <w:sz w:val="20"/>
                <w:szCs w:val="20"/>
                <w:color w:val="auto"/>
              </w:rPr>
            </w:pPr>
            <w:r>
              <w:rPr>
                <w:rFonts w:ascii="Arial" w:cs="Arial" w:eastAsia="Arial" w:hAnsi="Arial"/>
                <w:sz w:val="11"/>
                <w:szCs w:val="11"/>
                <w:color w:val="auto"/>
              </w:rPr>
              <w:t>215,088</w:t>
            </w:r>
          </w:p>
        </w:tc>
        <w:tc>
          <w:tcPr>
            <w:tcW w:w="9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1"/>
                <w:szCs w:val="11"/>
                <w:color w:val="auto"/>
                <w:w w:val="97"/>
              </w:rPr>
              <w:t>-39.1%</w:t>
            </w: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Provisions for doubtful accounts receivable, net of recoveries</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(25,027)</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4"/>
              </w:rPr>
              <w:t>3,686</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(2,684)</w:t>
            </w:r>
          </w:p>
        </w:tc>
        <w:tc>
          <w:tcPr>
            <w:tcW w:w="1080" w:type="dxa"/>
            <w:vAlign w:val="bottom"/>
          </w:tcPr>
          <w:p>
            <w:pPr>
              <w:jc w:val="center"/>
              <w:ind w:right="146"/>
              <w:spacing w:after="0" w:line="122" w:lineRule="exact"/>
              <w:rPr>
                <w:sz w:val="20"/>
                <w:szCs w:val="20"/>
                <w:color w:val="auto"/>
              </w:rPr>
            </w:pPr>
            <w:r>
              <w:rPr>
                <w:rFonts w:ascii="Arial" w:cs="Arial" w:eastAsia="Arial" w:hAnsi="Arial"/>
                <w:sz w:val="11"/>
                <w:szCs w:val="11"/>
                <w:color w:val="auto"/>
                <w:w w:val="97"/>
              </w:rPr>
              <w:t>-172.8%</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7"/>
              </w:rPr>
              <w:t>-89.3%</w:t>
            </w:r>
          </w:p>
        </w:tc>
        <w:tc>
          <w:tcPr>
            <w:tcW w:w="620" w:type="dxa"/>
            <w:vAlign w:val="bottom"/>
          </w:tcPr>
          <w:p>
            <w:pPr>
              <w:jc w:val="center"/>
              <w:ind w:left="86"/>
              <w:spacing w:after="0" w:line="122" w:lineRule="exact"/>
              <w:rPr>
                <w:sz w:val="20"/>
                <w:szCs w:val="20"/>
                <w:color w:val="auto"/>
              </w:rPr>
            </w:pPr>
            <w:r>
              <w:rPr>
                <w:rFonts w:ascii="Arial" w:cs="Arial" w:eastAsia="Arial" w:hAnsi="Arial"/>
                <w:sz w:val="11"/>
                <w:szCs w:val="11"/>
                <w:color w:val="auto"/>
                <w:w w:val="97"/>
              </w:rPr>
              <w:t>(73,688)</w:t>
            </w:r>
          </w:p>
        </w:tc>
        <w:tc>
          <w:tcPr>
            <w:tcW w:w="94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7"/>
              </w:rPr>
              <w:t>(15,783)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-78.6%</w:t>
            </w:r>
          </w:p>
        </w:tc>
      </w:tr>
      <w:tr>
        <w:trPr>
          <w:trHeight w:val="121"/>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b w:val="1"/>
                <w:bCs w:val="1"/>
                <w:color w:val="auto"/>
              </w:rPr>
              <w:t>Net interest income after provisions</w:t>
            </w: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62,785</w:t>
            </w: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51,482</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4"/>
              </w:rPr>
              <w:t>51,559</w:t>
            </w:r>
          </w:p>
        </w:tc>
        <w:tc>
          <w:tcPr>
            <w:tcW w:w="108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95"/>
              </w:rPr>
              <w:t>0.1%</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b w:val="1"/>
                <w:bCs w:val="1"/>
                <w:color w:val="auto"/>
                <w:w w:val="97"/>
              </w:rPr>
              <w:t>-17.9%</w:t>
            </w:r>
          </w:p>
        </w:tc>
        <w:tc>
          <w:tcPr>
            <w:tcW w:w="62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auto"/>
              </w:rPr>
              <w:t>279,708</w:t>
            </w:r>
          </w:p>
        </w:tc>
        <w:tc>
          <w:tcPr>
            <w:tcW w:w="94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b w:val="1"/>
                <w:bCs w:val="1"/>
                <w:color w:val="auto"/>
              </w:rPr>
              <w:t>199,305</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7"/>
              </w:rPr>
              <w:t>-28.7%</w:t>
            </w: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Non financial income</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rPr>
              <w:t>85,923</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rPr>
              <w:t>47,804</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48,979</w:t>
            </w:r>
          </w:p>
        </w:tc>
        <w:tc>
          <w:tcPr>
            <w:tcW w:w="1080" w:type="dxa"/>
            <w:vAlign w:val="bottom"/>
          </w:tcPr>
          <w:p>
            <w:pPr>
              <w:jc w:val="center"/>
              <w:ind w:right="146"/>
              <w:spacing w:after="0" w:line="122" w:lineRule="exact"/>
              <w:rPr>
                <w:sz w:val="20"/>
                <w:szCs w:val="20"/>
                <w:color w:val="auto"/>
              </w:rPr>
            </w:pPr>
            <w:r>
              <w:rPr>
                <w:rFonts w:ascii="Arial" w:cs="Arial" w:eastAsia="Arial" w:hAnsi="Arial"/>
                <w:sz w:val="11"/>
                <w:szCs w:val="11"/>
                <w:color w:val="auto"/>
                <w:w w:val="95"/>
              </w:rPr>
              <w:t>2.5%</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7"/>
              </w:rPr>
              <w:t>-43.0%</w:t>
            </w:r>
          </w:p>
        </w:tc>
        <w:tc>
          <w:tcPr>
            <w:tcW w:w="620" w:type="dxa"/>
            <w:vAlign w:val="bottom"/>
          </w:tcPr>
          <w:p>
            <w:pPr>
              <w:jc w:val="center"/>
              <w:ind w:left="86"/>
              <w:spacing w:after="0" w:line="122" w:lineRule="exact"/>
              <w:rPr>
                <w:sz w:val="20"/>
                <w:szCs w:val="20"/>
                <w:color w:val="auto"/>
              </w:rPr>
            </w:pPr>
            <w:r>
              <w:rPr>
                <w:rFonts w:ascii="Arial" w:cs="Arial" w:eastAsia="Arial" w:hAnsi="Arial"/>
                <w:sz w:val="11"/>
                <w:szCs w:val="11"/>
                <w:color w:val="auto"/>
              </w:rPr>
              <w:t>276,802</w:t>
            </w:r>
          </w:p>
        </w:tc>
        <w:tc>
          <w:tcPr>
            <w:tcW w:w="94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rPr>
              <w:t>188,536</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-31.9%</w:t>
            </w: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Total expenses</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(114,966)</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(72,016)</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(68,286)</w:t>
            </w:r>
          </w:p>
        </w:tc>
        <w:tc>
          <w:tcPr>
            <w:tcW w:w="1080" w:type="dxa"/>
            <w:vAlign w:val="bottom"/>
          </w:tcPr>
          <w:p>
            <w:pPr>
              <w:jc w:val="center"/>
              <w:ind w:right="146"/>
              <w:spacing w:after="0" w:line="122" w:lineRule="exact"/>
              <w:rPr>
                <w:sz w:val="20"/>
                <w:szCs w:val="20"/>
                <w:color w:val="auto"/>
              </w:rPr>
            </w:pPr>
            <w:r>
              <w:rPr>
                <w:rFonts w:ascii="Arial" w:cs="Arial" w:eastAsia="Arial" w:hAnsi="Arial"/>
                <w:sz w:val="11"/>
                <w:szCs w:val="11"/>
                <w:color w:val="auto"/>
                <w:w w:val="97"/>
              </w:rPr>
              <w:t>-5.2%</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7"/>
              </w:rPr>
              <w:t>-40.6%</w:t>
            </w:r>
          </w:p>
        </w:tc>
        <w:tc>
          <w:tcPr>
            <w:tcW w:w="620" w:type="dxa"/>
            <w:vAlign w:val="bottom"/>
          </w:tcPr>
          <w:p>
            <w:pPr>
              <w:jc w:val="center"/>
              <w:ind w:left="106"/>
              <w:spacing w:after="0" w:line="122" w:lineRule="exact"/>
              <w:rPr>
                <w:sz w:val="20"/>
                <w:szCs w:val="20"/>
                <w:color w:val="auto"/>
              </w:rPr>
            </w:pPr>
            <w:r>
              <w:rPr>
                <w:rFonts w:ascii="Arial" w:cs="Arial" w:eastAsia="Arial" w:hAnsi="Arial"/>
                <w:sz w:val="11"/>
                <w:szCs w:val="11"/>
                <w:color w:val="auto"/>
                <w:w w:val="97"/>
              </w:rPr>
              <w:t>(391,844)</w:t>
            </w:r>
          </w:p>
        </w:tc>
        <w:tc>
          <w:tcPr>
            <w:tcW w:w="94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rPr>
              <w:t>(278,901)</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-28.8%</w:t>
            </w:r>
          </w:p>
        </w:tc>
      </w:tr>
      <w:tr>
        <w:trPr>
          <w:trHeight w:val="121"/>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Translation result</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4"/>
              </w:rPr>
              <w:t>1,281</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4"/>
              </w:rPr>
              <w:t>2,537</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2,034</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7"/>
              </w:rPr>
              <w:t>-19.8%</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6"/>
              </w:rPr>
              <w:t>58.8%</w:t>
            </w:r>
          </w:p>
        </w:tc>
        <w:tc>
          <w:tcPr>
            <w:tcW w:w="620" w:type="dxa"/>
            <w:vAlign w:val="bottom"/>
          </w:tcPr>
          <w:p>
            <w:pPr>
              <w:jc w:val="center"/>
              <w:ind w:left="86"/>
              <w:spacing w:after="0" w:line="122" w:lineRule="exact"/>
              <w:rPr>
                <w:sz w:val="20"/>
                <w:szCs w:val="20"/>
                <w:color w:val="auto"/>
              </w:rPr>
            </w:pPr>
            <w:r>
              <w:rPr>
                <w:rFonts w:ascii="Arial" w:cs="Arial" w:eastAsia="Arial" w:hAnsi="Arial"/>
                <w:sz w:val="11"/>
                <w:szCs w:val="11"/>
                <w:color w:val="auto"/>
              </w:rPr>
              <w:t>1,731</w:t>
            </w:r>
          </w:p>
        </w:tc>
        <w:tc>
          <w:tcPr>
            <w:tcW w:w="94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4"/>
              </w:rPr>
              <w:t>11,273</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551.2%</w:t>
            </w: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Income tax</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(11,521)</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(7,147)</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(9,552)</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6"/>
              </w:rPr>
              <w:t>33.7%</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7"/>
              </w:rPr>
              <w:t>-17.1%</w:t>
            </w:r>
          </w:p>
        </w:tc>
        <w:tc>
          <w:tcPr>
            <w:tcW w:w="620" w:type="dxa"/>
            <w:vAlign w:val="bottom"/>
          </w:tcPr>
          <w:p>
            <w:pPr>
              <w:jc w:val="center"/>
              <w:ind w:left="86"/>
              <w:spacing w:after="0" w:line="122" w:lineRule="exact"/>
              <w:rPr>
                <w:sz w:val="20"/>
                <w:szCs w:val="20"/>
                <w:color w:val="auto"/>
              </w:rPr>
            </w:pPr>
            <w:r>
              <w:rPr>
                <w:rFonts w:ascii="Arial" w:cs="Arial" w:eastAsia="Arial" w:hAnsi="Arial"/>
                <w:sz w:val="11"/>
                <w:szCs w:val="11"/>
                <w:color w:val="auto"/>
                <w:w w:val="97"/>
              </w:rPr>
              <w:t>(72,886)</w:t>
            </w:r>
          </w:p>
        </w:tc>
        <w:tc>
          <w:tcPr>
            <w:tcW w:w="940" w:type="dxa"/>
            <w:vAlign w:val="bottom"/>
            <w:tcBorders>
              <w:right w:val="single" w:sz="8" w:color="auto"/>
            </w:tcBorders>
          </w:tcPr>
          <w:p>
            <w:pPr>
              <w:jc w:val="center"/>
              <w:ind w:left="86"/>
              <w:spacing w:after="0" w:line="122" w:lineRule="exact"/>
              <w:rPr>
                <w:sz w:val="20"/>
                <w:szCs w:val="20"/>
                <w:color w:val="auto"/>
              </w:rPr>
            </w:pPr>
            <w:r>
              <w:rPr>
                <w:rFonts w:ascii="Arial" w:cs="Arial" w:eastAsia="Arial" w:hAnsi="Arial"/>
                <w:sz w:val="11"/>
                <w:szCs w:val="11"/>
                <w:color w:val="auto"/>
                <w:w w:val="97"/>
              </w:rPr>
              <w:t>(34,362)</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-52.9%</w:t>
            </w:r>
          </w:p>
        </w:tc>
      </w:tr>
      <w:tr>
        <w:trPr>
          <w:trHeight w:val="139"/>
        </w:trPr>
        <w:tc>
          <w:tcPr>
            <w:tcW w:w="39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profit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23,502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22,660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24,734</w:t>
            </w:r>
          </w:p>
        </w:tc>
        <w:tc>
          <w:tcPr>
            <w:tcW w:w="108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95"/>
              </w:rPr>
              <w:t>9.2%</w:t>
            </w:r>
          </w:p>
        </w:tc>
        <w:tc>
          <w:tcPr>
            <w:tcW w:w="700" w:type="dxa"/>
            <w:vAlign w:val="bottom"/>
            <w:tcBorders>
              <w:bottom w:val="single" w:sz="8" w:color="auto"/>
              <w:right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5"/>
              </w:rPr>
              <w:t>5.2%</w:t>
            </w:r>
          </w:p>
        </w:tc>
        <w:tc>
          <w:tcPr>
            <w:tcW w:w="62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4"/>
              </w:rPr>
              <w:t>93,511</w:t>
            </w:r>
          </w:p>
        </w:tc>
        <w:tc>
          <w:tcPr>
            <w:tcW w:w="9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4"/>
              </w:rPr>
              <w:t>85,851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-8.2%</w:t>
            </w:r>
          </w:p>
        </w:tc>
      </w:tr>
      <w:tr>
        <w:trPr>
          <w:trHeight w:val="391"/>
        </w:trPr>
        <w:tc>
          <w:tcPr>
            <w:tcW w:w="3940" w:type="dxa"/>
            <w:vAlign w:val="bottom"/>
          </w:tcPr>
          <w:p>
            <w:pPr>
              <w:spacing w:after="0"/>
              <w:rPr>
                <w:sz w:val="24"/>
                <w:szCs w:val="24"/>
                <w:color w:val="auto"/>
              </w:rPr>
            </w:pPr>
          </w:p>
        </w:tc>
        <w:tc>
          <w:tcPr>
            <w:tcW w:w="3080" w:type="dxa"/>
            <w:vAlign w:val="bottom"/>
            <w:gridSpan w:val="3"/>
          </w:tcPr>
          <w:p>
            <w:pPr>
              <w:ind w:left="580"/>
              <w:spacing w:after="0"/>
              <w:rPr>
                <w:sz w:val="20"/>
                <w:szCs w:val="20"/>
                <w:color w:val="auto"/>
              </w:rPr>
            </w:pPr>
            <w:r>
              <w:rPr>
                <w:rFonts w:ascii="Arial" w:cs="Arial" w:eastAsia="Arial" w:hAnsi="Arial"/>
                <w:sz w:val="16"/>
                <w:szCs w:val="16"/>
                <w:b w:val="1"/>
                <w:bCs w:val="1"/>
                <w:color w:val="auto"/>
              </w:rPr>
              <w:t>Selected Financial Indicators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98"/>
        </w:trPr>
        <w:tc>
          <w:tcPr>
            <w:tcW w:w="3940" w:type="dxa"/>
            <w:vAlign w:val="bottom"/>
            <w:tcBorders>
              <w:left w:val="single" w:sz="8" w:color="auto"/>
              <w:right w:val="single" w:sz="8" w:color="auto"/>
            </w:tcBorders>
            <w:shd w:val="clear" w:color="auto" w:fill="2AD2C9"/>
          </w:tcPr>
          <w:p>
            <w:pPr>
              <w:spacing w:after="0"/>
              <w:rPr>
                <w:sz w:val="8"/>
                <w:szCs w:val="8"/>
                <w:color w:val="auto"/>
              </w:rPr>
            </w:pPr>
          </w:p>
        </w:tc>
        <w:tc>
          <w:tcPr>
            <w:tcW w:w="1020" w:type="dxa"/>
            <w:vAlign w:val="bottom"/>
            <w:shd w:val="clear" w:color="auto" w:fill="2AD2C9"/>
          </w:tcPr>
          <w:p>
            <w:pPr>
              <w:spacing w:after="0"/>
              <w:rPr>
                <w:sz w:val="8"/>
                <w:szCs w:val="8"/>
                <w:color w:val="auto"/>
              </w:rPr>
            </w:pPr>
          </w:p>
        </w:tc>
        <w:tc>
          <w:tcPr>
            <w:tcW w:w="1020" w:type="dxa"/>
            <w:vAlign w:val="bottom"/>
            <w:shd w:val="clear" w:color="auto" w:fill="2AD2C9"/>
          </w:tcPr>
          <w:p>
            <w:pPr>
              <w:ind w:left="320"/>
              <w:spacing w:after="0" w:line="98" w:lineRule="exact"/>
              <w:rPr>
                <w:sz w:val="20"/>
                <w:szCs w:val="20"/>
                <w:color w:val="auto"/>
              </w:rPr>
            </w:pPr>
            <w:r>
              <w:rPr>
                <w:rFonts w:ascii="Arial" w:cs="Arial" w:eastAsia="Arial" w:hAnsi="Arial"/>
                <w:sz w:val="11"/>
                <w:szCs w:val="11"/>
                <w:b w:val="1"/>
                <w:bCs w:val="1"/>
                <w:color w:val="FFFFFF"/>
              </w:rPr>
              <w:t>Quarter</w:t>
            </w:r>
          </w:p>
        </w:tc>
        <w:tc>
          <w:tcPr>
            <w:tcW w:w="1040" w:type="dxa"/>
            <w:vAlign w:val="bottom"/>
            <w:tcBorders>
              <w:right w:val="single" w:sz="8" w:color="auto"/>
            </w:tcBorders>
            <w:shd w:val="clear" w:color="auto" w:fill="2AD2C9"/>
          </w:tcPr>
          <w:p>
            <w:pPr>
              <w:spacing w:after="0"/>
              <w:rPr>
                <w:sz w:val="8"/>
                <w:szCs w:val="8"/>
                <w:color w:val="auto"/>
              </w:rPr>
            </w:pPr>
          </w:p>
        </w:tc>
        <w:tc>
          <w:tcPr>
            <w:tcW w:w="1080" w:type="dxa"/>
            <w:vAlign w:val="bottom"/>
            <w:shd w:val="clear" w:color="auto" w:fill="2AD2C9"/>
          </w:tcPr>
          <w:p>
            <w:pPr>
              <w:jc w:val="center"/>
              <w:ind w:left="626"/>
              <w:spacing w:after="0" w:line="98" w:lineRule="exact"/>
              <w:rPr>
                <w:sz w:val="20"/>
                <w:szCs w:val="20"/>
                <w:color w:val="auto"/>
              </w:rPr>
            </w:pPr>
            <w:r>
              <w:rPr>
                <w:rFonts w:ascii="Arial" w:cs="Arial" w:eastAsia="Arial" w:hAnsi="Arial"/>
                <w:sz w:val="11"/>
                <w:szCs w:val="11"/>
                <w:b w:val="1"/>
                <w:bCs w:val="1"/>
                <w:color w:val="FFFFFF"/>
                <w:w w:val="99"/>
              </w:rPr>
              <w:t>Change</w:t>
            </w:r>
          </w:p>
        </w:tc>
        <w:tc>
          <w:tcPr>
            <w:tcW w:w="700" w:type="dxa"/>
            <w:vAlign w:val="bottom"/>
            <w:tcBorders>
              <w:right w:val="single" w:sz="8" w:color="auto"/>
            </w:tcBorders>
            <w:shd w:val="clear" w:color="auto" w:fill="2AD2C9"/>
          </w:tcPr>
          <w:p>
            <w:pPr>
              <w:spacing w:after="0"/>
              <w:rPr>
                <w:sz w:val="8"/>
                <w:szCs w:val="8"/>
                <w:color w:val="auto"/>
              </w:rPr>
            </w:pPr>
          </w:p>
        </w:tc>
        <w:tc>
          <w:tcPr>
            <w:tcW w:w="620" w:type="dxa"/>
            <w:vAlign w:val="bottom"/>
            <w:shd w:val="clear" w:color="auto" w:fill="2AD2C9"/>
          </w:tcPr>
          <w:p>
            <w:pPr>
              <w:spacing w:after="0"/>
              <w:rPr>
                <w:sz w:val="8"/>
                <w:szCs w:val="8"/>
                <w:color w:val="auto"/>
              </w:rPr>
            </w:pPr>
          </w:p>
        </w:tc>
        <w:tc>
          <w:tcPr>
            <w:tcW w:w="940" w:type="dxa"/>
            <w:vAlign w:val="bottom"/>
            <w:tcBorders>
              <w:right w:val="single" w:sz="8" w:color="auto"/>
            </w:tcBorders>
            <w:shd w:val="clear" w:color="auto" w:fill="2AD2C9"/>
          </w:tcPr>
          <w:p>
            <w:pPr>
              <w:ind w:left="20"/>
              <w:spacing w:after="0" w:line="98" w:lineRule="exact"/>
              <w:rPr>
                <w:sz w:val="20"/>
                <w:szCs w:val="20"/>
                <w:color w:val="auto"/>
              </w:rPr>
            </w:pPr>
            <w:r>
              <w:rPr>
                <w:rFonts w:ascii="Arial" w:cs="Arial" w:eastAsia="Arial" w:hAnsi="Arial"/>
                <w:sz w:val="11"/>
                <w:szCs w:val="11"/>
                <w:b w:val="1"/>
                <w:bCs w:val="1"/>
                <w:color w:val="FFFFFF"/>
              </w:rPr>
              <w:t>Up to</w:t>
            </w:r>
          </w:p>
        </w:tc>
        <w:tc>
          <w:tcPr>
            <w:tcW w:w="920" w:type="dxa"/>
            <w:vAlign w:val="bottom"/>
            <w:tcBorders>
              <w:right w:val="single" w:sz="8" w:color="auto"/>
            </w:tcBorders>
            <w:shd w:val="clear" w:color="auto" w:fill="2AD2C9"/>
          </w:tcPr>
          <w:p>
            <w:pPr>
              <w:jc w:val="center"/>
              <w:spacing w:after="0" w:line="98" w:lineRule="exact"/>
              <w:rPr>
                <w:sz w:val="20"/>
                <w:szCs w:val="20"/>
                <w:color w:val="auto"/>
              </w:rPr>
            </w:pPr>
            <w:r>
              <w:rPr>
                <w:rFonts w:ascii="Arial" w:cs="Arial" w:eastAsia="Arial" w:hAnsi="Arial"/>
                <w:sz w:val="11"/>
                <w:szCs w:val="11"/>
                <w:b w:val="1"/>
                <w:bCs w:val="1"/>
                <w:color w:val="FFFFFF"/>
                <w:w w:val="99"/>
              </w:rPr>
              <w:t>Change</w:t>
            </w:r>
          </w:p>
        </w:tc>
      </w:tr>
      <w:tr>
        <w:trPr>
          <w:trHeight w:val="139"/>
        </w:trPr>
        <w:tc>
          <w:tcPr>
            <w:tcW w:w="394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4Q24</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6"/>
              </w:rPr>
              <w:t>3Q25</w:t>
            </w:r>
          </w:p>
        </w:tc>
        <w:tc>
          <w:tcPr>
            <w:tcW w:w="10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4Q25</w:t>
            </w:r>
          </w:p>
        </w:tc>
        <w:tc>
          <w:tcPr>
            <w:tcW w:w="1080" w:type="dxa"/>
            <w:vAlign w:val="bottom"/>
            <w:tcBorders>
              <w:bottom w:val="single" w:sz="8" w:color="auto"/>
            </w:tcBorders>
            <w:shd w:val="clear" w:color="auto" w:fill="2AD2C9"/>
          </w:tcPr>
          <w:p>
            <w:pPr>
              <w:jc w:val="center"/>
              <w:ind w:right="146"/>
              <w:spacing w:after="0"/>
              <w:rPr>
                <w:sz w:val="20"/>
                <w:szCs w:val="20"/>
                <w:color w:val="auto"/>
              </w:rPr>
            </w:pPr>
            <w:r>
              <w:rPr>
                <w:rFonts w:ascii="Arial" w:cs="Arial" w:eastAsia="Arial" w:hAnsi="Arial"/>
                <w:sz w:val="11"/>
                <w:szCs w:val="11"/>
                <w:b w:val="1"/>
                <w:bCs w:val="1"/>
                <w:color w:val="FFFFFF"/>
              </w:rPr>
              <w:t>QoQ</w:t>
            </w:r>
          </w:p>
        </w:tc>
        <w:tc>
          <w:tcPr>
            <w:tcW w:w="700" w:type="dxa"/>
            <w:vAlign w:val="bottom"/>
            <w:tcBorders>
              <w:bottom w:val="single" w:sz="8" w:color="auto"/>
              <w:right w:val="single" w:sz="8" w:color="auto"/>
            </w:tcBorders>
            <w:shd w:val="clear" w:color="auto" w:fill="2AD2C9"/>
          </w:tcPr>
          <w:p>
            <w:pPr>
              <w:jc w:val="center"/>
              <w:ind w:right="166"/>
              <w:spacing w:after="0"/>
              <w:rPr>
                <w:sz w:val="20"/>
                <w:szCs w:val="20"/>
                <w:color w:val="auto"/>
              </w:rPr>
            </w:pPr>
            <w:r>
              <w:rPr>
                <w:rFonts w:ascii="Arial" w:cs="Arial" w:eastAsia="Arial" w:hAnsi="Arial"/>
                <w:sz w:val="11"/>
                <w:szCs w:val="11"/>
                <w:b w:val="1"/>
                <w:bCs w:val="1"/>
                <w:color w:val="FFFFFF"/>
                <w:w w:val="93"/>
              </w:rPr>
              <w:t>YoY</w:t>
            </w:r>
          </w:p>
        </w:tc>
        <w:tc>
          <w:tcPr>
            <w:tcW w:w="62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1"/>
                <w:szCs w:val="11"/>
                <w:b w:val="1"/>
                <w:bCs w:val="1"/>
                <w:color w:val="FFFFFF"/>
              </w:rPr>
              <w:t>Dec 24</w:t>
            </w:r>
          </w:p>
        </w:tc>
        <w:tc>
          <w:tcPr>
            <w:tcW w:w="9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1"/>
                <w:szCs w:val="11"/>
                <w:b w:val="1"/>
                <w:bCs w:val="1"/>
                <w:color w:val="FFFFFF"/>
              </w:rPr>
              <w:t>Dec 25</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7"/>
              </w:rPr>
              <w:t>Dec 25 / Dec 24</w:t>
            </w:r>
          </w:p>
        </w:tc>
      </w:tr>
      <w:tr>
        <w:trPr>
          <w:trHeight w:val="98"/>
        </w:trPr>
        <w:tc>
          <w:tcPr>
            <w:tcW w:w="3940" w:type="dxa"/>
            <w:vAlign w:val="bottom"/>
            <w:tcBorders>
              <w:left w:val="single" w:sz="8" w:color="auto"/>
              <w:right w:val="single" w:sz="8" w:color="auto"/>
            </w:tcBorders>
          </w:tcPr>
          <w:p>
            <w:pPr>
              <w:spacing w:after="0" w:line="98" w:lineRule="exact"/>
              <w:rPr>
                <w:sz w:val="20"/>
                <w:szCs w:val="20"/>
                <w:color w:val="auto"/>
              </w:rPr>
            </w:pPr>
            <w:r>
              <w:rPr>
                <w:rFonts w:ascii="Arial" w:cs="Arial" w:eastAsia="Arial" w:hAnsi="Arial"/>
                <w:sz w:val="11"/>
                <w:szCs w:val="11"/>
                <w:color w:val="auto"/>
              </w:rPr>
              <w:t>Efficiency ratio</w:t>
            </w:r>
          </w:p>
        </w:tc>
        <w:tc>
          <w:tcPr>
            <w:tcW w:w="1020" w:type="dxa"/>
            <w:vAlign w:val="bottom"/>
          </w:tcPr>
          <w:p>
            <w:pPr>
              <w:jc w:val="center"/>
              <w:spacing w:after="0" w:line="98" w:lineRule="exact"/>
              <w:rPr>
                <w:sz w:val="20"/>
                <w:szCs w:val="20"/>
                <w:color w:val="auto"/>
              </w:rPr>
            </w:pPr>
            <w:r>
              <w:rPr>
                <w:rFonts w:ascii="Arial" w:cs="Arial" w:eastAsia="Arial" w:hAnsi="Arial"/>
                <w:sz w:val="11"/>
                <w:szCs w:val="11"/>
                <w:color w:val="auto"/>
                <w:w w:val="96"/>
              </w:rPr>
              <w:t>63.0%</w:t>
            </w:r>
          </w:p>
        </w:tc>
        <w:tc>
          <w:tcPr>
            <w:tcW w:w="1020" w:type="dxa"/>
            <w:vAlign w:val="bottom"/>
          </w:tcPr>
          <w:p>
            <w:pPr>
              <w:jc w:val="center"/>
              <w:spacing w:after="0" w:line="98" w:lineRule="exact"/>
              <w:rPr>
                <w:sz w:val="20"/>
                <w:szCs w:val="20"/>
                <w:color w:val="auto"/>
              </w:rPr>
            </w:pPr>
            <w:r>
              <w:rPr>
                <w:rFonts w:ascii="Arial" w:cs="Arial" w:eastAsia="Arial" w:hAnsi="Arial"/>
                <w:sz w:val="11"/>
                <w:szCs w:val="11"/>
                <w:color w:val="auto"/>
                <w:w w:val="96"/>
              </w:rPr>
              <w:t>59.0%</w:t>
            </w:r>
          </w:p>
        </w:tc>
        <w:tc>
          <w:tcPr>
            <w:tcW w:w="10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1"/>
                <w:szCs w:val="11"/>
                <w:color w:val="auto"/>
              </w:rPr>
              <w:t>74.2%</w:t>
            </w:r>
          </w:p>
        </w:tc>
        <w:tc>
          <w:tcPr>
            <w:tcW w:w="1080" w:type="dxa"/>
            <w:vAlign w:val="bottom"/>
          </w:tcPr>
          <w:p>
            <w:pPr>
              <w:jc w:val="center"/>
              <w:ind w:right="146"/>
              <w:spacing w:after="0" w:line="98" w:lineRule="exact"/>
              <w:rPr>
                <w:sz w:val="20"/>
                <w:szCs w:val="20"/>
                <w:color w:val="auto"/>
              </w:rPr>
            </w:pPr>
            <w:r>
              <w:rPr>
                <w:rFonts w:ascii="Arial" w:cs="Arial" w:eastAsia="Arial" w:hAnsi="Arial"/>
                <w:sz w:val="11"/>
                <w:szCs w:val="11"/>
                <w:color w:val="auto"/>
                <w:w w:val="97"/>
              </w:rPr>
              <w:t>1519 bps</w:t>
            </w:r>
          </w:p>
        </w:tc>
        <w:tc>
          <w:tcPr>
            <w:tcW w:w="700" w:type="dxa"/>
            <w:vAlign w:val="bottom"/>
            <w:tcBorders>
              <w:right w:val="single" w:sz="8" w:color="auto"/>
            </w:tcBorders>
          </w:tcPr>
          <w:p>
            <w:pPr>
              <w:jc w:val="center"/>
              <w:ind w:right="166"/>
              <w:spacing w:after="0" w:line="98" w:lineRule="exact"/>
              <w:rPr>
                <w:sz w:val="20"/>
                <w:szCs w:val="20"/>
                <w:color w:val="auto"/>
              </w:rPr>
            </w:pPr>
            <w:r>
              <w:rPr>
                <w:rFonts w:ascii="Arial" w:cs="Arial" w:eastAsia="Arial" w:hAnsi="Arial"/>
                <w:sz w:val="11"/>
                <w:szCs w:val="11"/>
                <w:color w:val="auto"/>
                <w:w w:val="97"/>
              </w:rPr>
              <w:t>1124 bps</w:t>
            </w:r>
          </w:p>
        </w:tc>
        <w:tc>
          <w:tcPr>
            <w:tcW w:w="620" w:type="dxa"/>
            <w:vAlign w:val="bottom"/>
          </w:tcPr>
          <w:p>
            <w:pPr>
              <w:jc w:val="center"/>
              <w:ind w:left="106"/>
              <w:spacing w:after="0" w:line="98" w:lineRule="exact"/>
              <w:rPr>
                <w:sz w:val="20"/>
                <w:szCs w:val="20"/>
                <w:color w:val="auto"/>
              </w:rPr>
            </w:pPr>
            <w:r>
              <w:rPr>
                <w:rFonts w:ascii="Arial" w:cs="Arial" w:eastAsia="Arial" w:hAnsi="Arial"/>
                <w:sz w:val="11"/>
                <w:szCs w:val="11"/>
                <w:color w:val="auto"/>
                <w:w w:val="96"/>
              </w:rPr>
              <w:t>63.9%</w:t>
            </w:r>
          </w:p>
        </w:tc>
        <w:tc>
          <w:tcPr>
            <w:tcW w:w="940" w:type="dxa"/>
            <w:vAlign w:val="bottom"/>
            <w:tcBorders>
              <w:right w:val="single" w:sz="8" w:color="auto"/>
            </w:tcBorders>
          </w:tcPr>
          <w:p>
            <w:pPr>
              <w:jc w:val="center"/>
              <w:ind w:left="86"/>
              <w:spacing w:after="0" w:line="98" w:lineRule="exact"/>
              <w:rPr>
                <w:sz w:val="20"/>
                <w:szCs w:val="20"/>
                <w:color w:val="auto"/>
              </w:rPr>
            </w:pPr>
            <w:r>
              <w:rPr>
                <w:rFonts w:ascii="Arial" w:cs="Arial" w:eastAsia="Arial" w:hAnsi="Arial"/>
                <w:sz w:val="11"/>
                <w:szCs w:val="11"/>
                <w:color w:val="auto"/>
              </w:rPr>
              <w:t>67.8%</w:t>
            </w:r>
          </w:p>
        </w:tc>
        <w:tc>
          <w:tcPr>
            <w:tcW w:w="9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1"/>
                <w:szCs w:val="11"/>
                <w:color w:val="auto"/>
                <w:w w:val="96"/>
              </w:rPr>
              <w:t>384 bps</w:t>
            </w:r>
          </w:p>
        </w:tc>
      </w:tr>
      <w:tr>
        <w:trPr>
          <w:trHeight w:val="146"/>
        </w:trPr>
        <w:tc>
          <w:tcPr>
            <w:tcW w:w="394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ROAE</w:t>
            </w:r>
          </w:p>
        </w:tc>
        <w:tc>
          <w:tcPr>
            <w:tcW w:w="1020" w:type="dxa"/>
            <w:vAlign w:val="bottom"/>
          </w:tcPr>
          <w:p>
            <w:pPr>
              <w:jc w:val="center"/>
              <w:spacing w:after="0"/>
              <w:rPr>
                <w:sz w:val="20"/>
                <w:szCs w:val="20"/>
                <w:color w:val="auto"/>
              </w:rPr>
            </w:pPr>
            <w:r>
              <w:rPr>
                <w:rFonts w:ascii="Arial" w:cs="Arial" w:eastAsia="Arial" w:hAnsi="Arial"/>
                <w:sz w:val="11"/>
                <w:szCs w:val="11"/>
                <w:color w:val="auto"/>
                <w:w w:val="95"/>
              </w:rPr>
              <w:t>9.5%</w:t>
            </w:r>
          </w:p>
        </w:tc>
        <w:tc>
          <w:tcPr>
            <w:tcW w:w="1020" w:type="dxa"/>
            <w:vAlign w:val="bottom"/>
          </w:tcPr>
          <w:p>
            <w:pPr>
              <w:jc w:val="center"/>
              <w:spacing w:after="0"/>
              <w:rPr>
                <w:sz w:val="20"/>
                <w:szCs w:val="20"/>
                <w:color w:val="auto"/>
              </w:rPr>
            </w:pPr>
            <w:r>
              <w:rPr>
                <w:rFonts w:ascii="Arial" w:cs="Arial" w:eastAsia="Arial" w:hAnsi="Arial"/>
                <w:sz w:val="11"/>
                <w:szCs w:val="11"/>
                <w:color w:val="auto"/>
                <w:w w:val="96"/>
              </w:rPr>
              <w:t>14.8%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12.9%</w:t>
            </w:r>
          </w:p>
        </w:tc>
        <w:tc>
          <w:tcPr>
            <w:tcW w:w="1080" w:type="dxa"/>
            <w:vAlign w:val="bottom"/>
          </w:tcPr>
          <w:p>
            <w:pPr>
              <w:jc w:val="center"/>
              <w:ind w:right="126"/>
              <w:spacing w:after="0"/>
              <w:rPr>
                <w:sz w:val="20"/>
                <w:szCs w:val="20"/>
                <w:color w:val="auto"/>
              </w:rPr>
            </w:pPr>
            <w:r>
              <w:rPr>
                <w:rFonts w:ascii="Arial" w:cs="Arial" w:eastAsia="Arial" w:hAnsi="Arial"/>
                <w:sz w:val="11"/>
                <w:szCs w:val="11"/>
                <w:color w:val="auto"/>
                <w:w w:val="98"/>
              </w:rPr>
              <w:t>-198 bps</w:t>
            </w:r>
          </w:p>
        </w:tc>
        <w:tc>
          <w:tcPr>
            <w:tcW w:w="700" w:type="dxa"/>
            <w:vAlign w:val="bottom"/>
            <w:tcBorders>
              <w:right w:val="single" w:sz="8" w:color="auto"/>
            </w:tcBorders>
          </w:tcPr>
          <w:p>
            <w:pPr>
              <w:jc w:val="center"/>
              <w:ind w:right="146"/>
              <w:spacing w:after="0"/>
              <w:rPr>
                <w:sz w:val="20"/>
                <w:szCs w:val="20"/>
                <w:color w:val="auto"/>
              </w:rPr>
            </w:pPr>
            <w:r>
              <w:rPr>
                <w:rFonts w:ascii="Arial" w:cs="Arial" w:eastAsia="Arial" w:hAnsi="Arial"/>
                <w:sz w:val="11"/>
                <w:szCs w:val="11"/>
                <w:color w:val="auto"/>
                <w:w w:val="96"/>
              </w:rPr>
              <w:t>334 bps</w:t>
            </w:r>
          </w:p>
        </w:tc>
        <w:tc>
          <w:tcPr>
            <w:tcW w:w="62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color w:val="auto"/>
                <w:w w:val="95"/>
              </w:rPr>
              <w:t>9.9%</w:t>
            </w:r>
          </w:p>
        </w:tc>
        <w:tc>
          <w:tcPr>
            <w:tcW w:w="9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9.2%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-72 bps</w:t>
            </w:r>
          </w:p>
        </w:tc>
      </w:tr>
      <w:tr>
        <w:trPr>
          <w:trHeight w:val="104"/>
        </w:trPr>
        <w:tc>
          <w:tcPr>
            <w:tcW w:w="3940" w:type="dxa"/>
            <w:vAlign w:val="bottom"/>
            <w:tcBorders>
              <w:left w:val="single" w:sz="8" w:color="auto"/>
              <w:right w:val="single" w:sz="8" w:color="auto"/>
            </w:tcBorders>
          </w:tcPr>
          <w:p>
            <w:pPr>
              <w:spacing w:after="0" w:line="104" w:lineRule="exact"/>
              <w:rPr>
                <w:sz w:val="20"/>
                <w:szCs w:val="20"/>
                <w:color w:val="auto"/>
              </w:rPr>
            </w:pPr>
            <w:r>
              <w:rPr>
                <w:rFonts w:ascii="Arial" w:cs="Arial" w:eastAsia="Arial" w:hAnsi="Arial"/>
                <w:sz w:val="11"/>
                <w:szCs w:val="11"/>
                <w:color w:val="auto"/>
              </w:rPr>
              <w:t>L/D ratio</w:t>
            </w:r>
          </w:p>
        </w:tc>
        <w:tc>
          <w:tcPr>
            <w:tcW w:w="1020" w:type="dxa"/>
            <w:vAlign w:val="bottom"/>
          </w:tcPr>
          <w:p>
            <w:pPr>
              <w:jc w:val="center"/>
              <w:spacing w:after="0" w:line="104" w:lineRule="exact"/>
              <w:rPr>
                <w:sz w:val="20"/>
                <w:szCs w:val="20"/>
                <w:color w:val="auto"/>
              </w:rPr>
            </w:pPr>
            <w:r>
              <w:rPr>
                <w:rFonts w:ascii="Arial" w:cs="Arial" w:eastAsia="Arial" w:hAnsi="Arial"/>
                <w:sz w:val="11"/>
                <w:szCs w:val="11"/>
                <w:color w:val="auto"/>
                <w:w w:val="96"/>
              </w:rPr>
              <w:t>81.8%</w:t>
            </w:r>
          </w:p>
        </w:tc>
        <w:tc>
          <w:tcPr>
            <w:tcW w:w="1020" w:type="dxa"/>
            <w:vAlign w:val="bottom"/>
          </w:tcPr>
          <w:p>
            <w:pPr>
              <w:jc w:val="center"/>
              <w:spacing w:after="0" w:line="104" w:lineRule="exact"/>
              <w:rPr>
                <w:sz w:val="20"/>
                <w:szCs w:val="20"/>
                <w:color w:val="auto"/>
              </w:rPr>
            </w:pPr>
            <w:r>
              <w:rPr>
                <w:rFonts w:ascii="Arial" w:cs="Arial" w:eastAsia="Arial" w:hAnsi="Arial"/>
                <w:sz w:val="11"/>
                <w:szCs w:val="11"/>
                <w:color w:val="auto"/>
                <w:w w:val="96"/>
              </w:rPr>
              <w:t>79.4%</w:t>
            </w:r>
          </w:p>
        </w:tc>
        <w:tc>
          <w:tcPr>
            <w:tcW w:w="10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1"/>
                <w:szCs w:val="11"/>
                <w:color w:val="auto"/>
              </w:rPr>
              <w:t>79.8%</w:t>
            </w:r>
          </w:p>
        </w:tc>
        <w:tc>
          <w:tcPr>
            <w:tcW w:w="1080" w:type="dxa"/>
            <w:vAlign w:val="bottom"/>
          </w:tcPr>
          <w:p>
            <w:pPr>
              <w:jc w:val="center"/>
              <w:ind w:right="146"/>
              <w:spacing w:after="0" w:line="104" w:lineRule="exact"/>
              <w:rPr>
                <w:sz w:val="20"/>
                <w:szCs w:val="20"/>
                <w:color w:val="auto"/>
              </w:rPr>
            </w:pPr>
            <w:r>
              <w:rPr>
                <w:rFonts w:ascii="Arial" w:cs="Arial" w:eastAsia="Arial" w:hAnsi="Arial"/>
                <w:sz w:val="11"/>
                <w:szCs w:val="11"/>
                <w:color w:val="auto"/>
                <w:w w:val="96"/>
              </w:rPr>
              <w:t>45 bps</w:t>
            </w:r>
          </w:p>
        </w:tc>
        <w:tc>
          <w:tcPr>
            <w:tcW w:w="700" w:type="dxa"/>
            <w:vAlign w:val="bottom"/>
            <w:tcBorders>
              <w:right w:val="single" w:sz="8" w:color="auto"/>
            </w:tcBorders>
          </w:tcPr>
          <w:p>
            <w:pPr>
              <w:jc w:val="center"/>
              <w:ind w:right="146"/>
              <w:spacing w:after="0" w:line="104" w:lineRule="exact"/>
              <w:rPr>
                <w:sz w:val="20"/>
                <w:szCs w:val="20"/>
                <w:color w:val="auto"/>
              </w:rPr>
            </w:pPr>
            <w:r>
              <w:rPr>
                <w:rFonts w:ascii="Arial" w:cs="Arial" w:eastAsia="Arial" w:hAnsi="Arial"/>
                <w:sz w:val="11"/>
                <w:szCs w:val="11"/>
                <w:color w:val="auto"/>
                <w:w w:val="98"/>
              </w:rPr>
              <w:t>-198 bps</w:t>
            </w: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IOL ratio</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5"/>
              </w:rPr>
              <w:t>2.7%</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5"/>
              </w:rPr>
              <w:t>2.6%</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2.7%</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6"/>
              </w:rPr>
              <w:t>9 bps</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7"/>
              </w:rPr>
              <w:t>-3 bps</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1"/>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NPL ratio</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5"/>
              </w:rPr>
              <w:t>3.3%</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5"/>
              </w:rPr>
              <w:t>3.6%</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5"/>
              </w:rPr>
              <w:t>3.7%</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6"/>
              </w:rPr>
              <w:t>5 bps</w:t>
            </w:r>
          </w:p>
        </w:tc>
        <w:tc>
          <w:tcPr>
            <w:tcW w:w="700" w:type="dxa"/>
            <w:vAlign w:val="bottom"/>
            <w:tcBorders>
              <w:right w:val="single" w:sz="8" w:color="auto"/>
            </w:tcBorders>
          </w:tcPr>
          <w:p>
            <w:pPr>
              <w:jc w:val="center"/>
              <w:ind w:right="166"/>
              <w:spacing w:after="0" w:line="122" w:lineRule="exact"/>
              <w:rPr>
                <w:sz w:val="20"/>
                <w:szCs w:val="20"/>
                <w:color w:val="auto"/>
              </w:rPr>
            </w:pPr>
            <w:r>
              <w:rPr>
                <w:rFonts w:ascii="Arial" w:cs="Arial" w:eastAsia="Arial" w:hAnsi="Arial"/>
                <w:sz w:val="11"/>
                <w:szCs w:val="11"/>
                <w:color w:val="auto"/>
                <w:w w:val="96"/>
              </w:rPr>
              <w:t>38 bps</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Coverage of IOLs</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6"/>
              </w:rPr>
              <w:t>137.7%</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6"/>
              </w:rPr>
              <w:t>134.9%</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126.1%</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8"/>
              </w:rPr>
              <w:t>-880 bps</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3"/>
              </w:rPr>
              <w:t>-1159 bps</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1"/>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Coverage of NPLs</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1"/>
              </w:rPr>
              <w:t>111.3%</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6"/>
              </w:rPr>
              <w:t>94.8%</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90.6%</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8"/>
              </w:rPr>
              <w:t>-413 bps</w:t>
            </w:r>
          </w:p>
        </w:tc>
        <w:tc>
          <w:tcPr>
            <w:tcW w:w="700" w:type="dxa"/>
            <w:vAlign w:val="bottom"/>
            <w:tcBorders>
              <w:right w:val="single" w:sz="8" w:color="auto"/>
            </w:tcBorders>
          </w:tcPr>
          <w:p>
            <w:pPr>
              <w:jc w:val="center"/>
              <w:ind w:right="166"/>
              <w:spacing w:after="0" w:line="122" w:lineRule="exact"/>
              <w:rPr>
                <w:sz w:val="20"/>
                <w:szCs w:val="20"/>
                <w:color w:val="auto"/>
              </w:rPr>
            </w:pPr>
            <w:r>
              <w:rPr>
                <w:rFonts w:ascii="Arial" w:cs="Arial" w:eastAsia="Arial" w:hAnsi="Arial"/>
                <w:sz w:val="11"/>
                <w:szCs w:val="11"/>
                <w:color w:val="auto"/>
                <w:w w:val="98"/>
              </w:rPr>
              <w:t>-2064 bps</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Branches</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46</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46</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46</w:t>
            </w:r>
          </w:p>
        </w:tc>
        <w:tc>
          <w:tcPr>
            <w:tcW w:w="1080" w:type="dxa"/>
            <w:vAlign w:val="bottom"/>
          </w:tcPr>
          <w:p>
            <w:pPr>
              <w:jc w:val="center"/>
              <w:ind w:right="146"/>
              <w:spacing w:after="0" w:line="122" w:lineRule="exact"/>
              <w:rPr>
                <w:sz w:val="20"/>
                <w:szCs w:val="20"/>
                <w:color w:val="auto"/>
              </w:rPr>
            </w:pPr>
            <w:r>
              <w:rPr>
                <w:rFonts w:ascii="Arial" w:cs="Arial" w:eastAsia="Arial" w:hAnsi="Arial"/>
                <w:sz w:val="11"/>
                <w:szCs w:val="11"/>
                <w:color w:val="auto"/>
              </w:rPr>
              <w:t>-</w:t>
            </w:r>
          </w:p>
        </w:tc>
        <w:tc>
          <w:tcPr>
            <w:tcW w:w="700" w:type="dxa"/>
            <w:vAlign w:val="bottom"/>
            <w:tcBorders>
              <w:right w:val="single" w:sz="8" w:color="auto"/>
            </w:tcBorders>
          </w:tcPr>
          <w:p>
            <w:pPr>
              <w:jc w:val="center"/>
              <w:ind w:right="16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Agentes</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4"/>
              </w:rPr>
              <w:t>1,834</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4"/>
              </w:rPr>
              <w:t>2,227</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2,501</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7"/>
              </w:rPr>
              <w:t>274</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7"/>
              </w:rPr>
              <w:t>667</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1"/>
        </w:trPr>
        <w:tc>
          <w:tcPr>
            <w:tcW w:w="3940" w:type="dxa"/>
            <w:vAlign w:val="bottom"/>
            <w:tcBorders>
              <w:left w:val="single" w:sz="8" w:color="auto"/>
              <w:right w:val="single" w:sz="8" w:color="auto"/>
            </w:tcBorders>
          </w:tcPr>
          <w:p>
            <w:pPr>
              <w:spacing w:after="0" w:line="122" w:lineRule="exact"/>
              <w:rPr>
                <w:sz w:val="20"/>
                <w:szCs w:val="20"/>
                <w:color w:val="auto"/>
              </w:rPr>
            </w:pPr>
            <w:r>
              <w:rPr>
                <w:rFonts w:ascii="Arial" w:cs="Arial" w:eastAsia="Arial" w:hAnsi="Arial"/>
                <w:sz w:val="11"/>
                <w:szCs w:val="11"/>
                <w:color w:val="auto"/>
              </w:rPr>
              <w:t>ATMs</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314</w:t>
            </w:r>
          </w:p>
        </w:tc>
        <w:tc>
          <w:tcPr>
            <w:tcW w:w="1020" w:type="dxa"/>
            <w:vAlign w:val="bottom"/>
          </w:tcPr>
          <w:p>
            <w:pPr>
              <w:jc w:val="center"/>
              <w:spacing w:after="0" w:line="122" w:lineRule="exact"/>
              <w:rPr>
                <w:sz w:val="20"/>
                <w:szCs w:val="20"/>
                <w:color w:val="auto"/>
              </w:rPr>
            </w:pPr>
            <w:r>
              <w:rPr>
                <w:rFonts w:ascii="Arial" w:cs="Arial" w:eastAsia="Arial" w:hAnsi="Arial"/>
                <w:sz w:val="11"/>
                <w:szCs w:val="11"/>
                <w:color w:val="auto"/>
                <w:w w:val="97"/>
              </w:rPr>
              <w:t>313</w:t>
            </w:r>
          </w:p>
        </w:tc>
        <w:tc>
          <w:tcPr>
            <w:tcW w:w="10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316</w:t>
            </w:r>
          </w:p>
        </w:tc>
        <w:tc>
          <w:tcPr>
            <w:tcW w:w="1080" w:type="dxa"/>
            <w:vAlign w:val="bottom"/>
          </w:tcPr>
          <w:p>
            <w:pPr>
              <w:jc w:val="center"/>
              <w:ind w:right="126"/>
              <w:spacing w:after="0" w:line="122" w:lineRule="exact"/>
              <w:rPr>
                <w:sz w:val="20"/>
                <w:szCs w:val="20"/>
                <w:color w:val="auto"/>
              </w:rPr>
            </w:pPr>
            <w:r>
              <w:rPr>
                <w:rFonts w:ascii="Arial" w:cs="Arial" w:eastAsia="Arial" w:hAnsi="Arial"/>
                <w:sz w:val="11"/>
                <w:szCs w:val="11"/>
                <w:color w:val="auto"/>
                <w:w w:val="97"/>
              </w:rPr>
              <w:t>3</w:t>
            </w:r>
          </w:p>
        </w:tc>
        <w:tc>
          <w:tcPr>
            <w:tcW w:w="700" w:type="dxa"/>
            <w:vAlign w:val="bottom"/>
            <w:tcBorders>
              <w:right w:val="single" w:sz="8" w:color="auto"/>
            </w:tcBorders>
          </w:tcPr>
          <w:p>
            <w:pPr>
              <w:jc w:val="center"/>
              <w:ind w:right="146"/>
              <w:spacing w:after="0" w:line="122" w:lineRule="exact"/>
              <w:rPr>
                <w:sz w:val="20"/>
                <w:szCs w:val="20"/>
                <w:color w:val="auto"/>
              </w:rPr>
            </w:pPr>
            <w:r>
              <w:rPr>
                <w:rFonts w:ascii="Arial" w:cs="Arial" w:eastAsia="Arial" w:hAnsi="Arial"/>
                <w:sz w:val="11"/>
                <w:szCs w:val="11"/>
                <w:color w:val="auto"/>
                <w:w w:val="97"/>
              </w:rPr>
              <w:t>2</w:t>
            </w: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39"/>
        </w:trPr>
        <w:tc>
          <w:tcPr>
            <w:tcW w:w="39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Employees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1,819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4"/>
              </w:rPr>
              <w:t>1,908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1,934</w:t>
            </w:r>
          </w:p>
        </w:tc>
        <w:tc>
          <w:tcPr>
            <w:tcW w:w="108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color w:val="auto"/>
                <w:w w:val="97"/>
              </w:rPr>
              <w:t>26</w:t>
            </w:r>
          </w:p>
        </w:tc>
        <w:tc>
          <w:tcPr>
            <w:tcW w:w="700" w:type="dxa"/>
            <w:vAlign w:val="bottom"/>
            <w:tcBorders>
              <w:bottom w:val="single" w:sz="8" w:color="auto"/>
              <w:right w:val="single" w:sz="8" w:color="auto"/>
            </w:tcBorders>
          </w:tcPr>
          <w:p>
            <w:pPr>
              <w:jc w:val="center"/>
              <w:ind w:right="146"/>
              <w:spacing w:after="0"/>
              <w:rPr>
                <w:sz w:val="20"/>
                <w:szCs w:val="20"/>
                <w:color w:val="auto"/>
              </w:rPr>
            </w:pPr>
            <w:r>
              <w:rPr>
                <w:rFonts w:ascii="Arial" w:cs="Arial" w:eastAsia="Arial" w:hAnsi="Arial"/>
                <w:sz w:val="11"/>
                <w:szCs w:val="11"/>
                <w:color w:val="auto"/>
                <w:w w:val="97"/>
              </w:rPr>
              <w:t>115</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37"/>
        </w:trPr>
        <w:tc>
          <w:tcPr>
            <w:tcW w:w="3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-744855</wp:posOffset>
            </wp:positionV>
            <wp:extent cx="6772275" cy="6254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72275" cy="62547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69" w:name="page70"/>
    <w:bookmarkEnd w:id="69"/>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12.7.6. Mibanco</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6420" w:type="dxa"/>
            <w:vAlign w:val="bottom"/>
            <w:tcBorders>
              <w:top w:val="single" w:sz="8" w:color="auto"/>
              <w:left w:val="single" w:sz="8" w:color="auto"/>
              <w:right w:val="single" w:sz="8" w:color="auto"/>
            </w:tcBorders>
            <w:shd w:val="clear" w:color="auto" w:fill="2AD2C9"/>
          </w:tcPr>
          <w:p>
            <w:pPr>
              <w:spacing w:after="0"/>
              <w:rPr>
                <w:sz w:val="13"/>
                <w:szCs w:val="13"/>
                <w:color w:val="auto"/>
              </w:rPr>
            </w:pPr>
          </w:p>
        </w:tc>
        <w:tc>
          <w:tcPr>
            <w:tcW w:w="1020" w:type="dxa"/>
            <w:vAlign w:val="bottom"/>
            <w:tcBorders>
              <w:top w:val="single" w:sz="8" w:color="auto"/>
            </w:tcBorders>
            <w:shd w:val="clear" w:color="auto" w:fill="2AD2C9"/>
          </w:tcPr>
          <w:p>
            <w:pPr>
              <w:spacing w:after="0"/>
              <w:rPr>
                <w:sz w:val="13"/>
                <w:szCs w:val="13"/>
                <w:color w:val="auto"/>
              </w:rPr>
            </w:pPr>
          </w:p>
        </w:tc>
        <w:tc>
          <w:tcPr>
            <w:tcW w:w="1000" w:type="dxa"/>
            <w:vAlign w:val="bottom"/>
            <w:tcBorders>
              <w:top w:val="single" w:sz="8" w:color="auto"/>
            </w:tcBorders>
            <w:shd w:val="clear" w:color="auto" w:fill="2AD2C9"/>
          </w:tcPr>
          <w:p>
            <w:pPr>
              <w:jc w:val="center"/>
              <w:spacing w:after="0" w:line="152" w:lineRule="exact"/>
              <w:rPr>
                <w:sz w:val="20"/>
                <w:szCs w:val="20"/>
                <w:color w:val="auto"/>
              </w:rPr>
            </w:pPr>
            <w:r>
              <w:rPr>
                <w:rFonts w:ascii="Arial" w:cs="Arial" w:eastAsia="Arial" w:hAnsi="Arial"/>
                <w:sz w:val="15"/>
                <w:szCs w:val="15"/>
                <w:b w:val="1"/>
                <w:bCs w:val="1"/>
                <w:color w:val="FFFFFF"/>
              </w:rPr>
              <w:t>As of</w:t>
            </w:r>
          </w:p>
        </w:tc>
        <w:tc>
          <w:tcPr>
            <w:tcW w:w="1040" w:type="dxa"/>
            <w:vAlign w:val="bottom"/>
            <w:tcBorders>
              <w:top w:val="single" w:sz="8" w:color="auto"/>
              <w:right w:val="single" w:sz="8" w:color="auto"/>
            </w:tcBorders>
            <w:shd w:val="clear" w:color="auto" w:fill="2AD2C9"/>
          </w:tcPr>
          <w:p>
            <w:pPr>
              <w:spacing w:after="0"/>
              <w:rPr>
                <w:sz w:val="13"/>
                <w:szCs w:val="13"/>
                <w:color w:val="auto"/>
              </w:rPr>
            </w:pPr>
          </w:p>
        </w:tc>
        <w:tc>
          <w:tcPr>
            <w:tcW w:w="1800" w:type="dxa"/>
            <w:vAlign w:val="bottom"/>
            <w:tcBorders>
              <w:top w:val="single" w:sz="8" w:color="auto"/>
              <w:right w:val="single" w:sz="8" w:color="auto"/>
            </w:tcBorders>
            <w:gridSpan w:val="2"/>
            <w:shd w:val="clear" w:color="auto" w:fill="2AD2C9"/>
          </w:tcPr>
          <w:p>
            <w:pPr>
              <w:ind w:left="520"/>
              <w:spacing w:after="0" w:line="152" w:lineRule="exact"/>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185"/>
        </w:trPr>
        <w:tc>
          <w:tcPr>
            <w:tcW w:w="6420" w:type="dxa"/>
            <w:vAlign w:val="bottom"/>
            <w:tcBorders>
              <w:left w:val="single" w:sz="8" w:color="auto"/>
              <w:bottom w:val="single" w:sz="8" w:color="auto"/>
              <w:right w:val="single" w:sz="8" w:color="auto"/>
            </w:tcBorders>
            <w:shd w:val="clear" w:color="auto" w:fill="2AD2C9"/>
          </w:tcPr>
          <w:p>
            <w:pPr>
              <w:spacing w:after="0"/>
              <w:rPr>
                <w:sz w:val="16"/>
                <w:szCs w:val="16"/>
                <w:color w:val="auto"/>
              </w:rPr>
            </w:pPr>
          </w:p>
        </w:tc>
        <w:tc>
          <w:tcPr>
            <w:tcW w:w="102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5"/>
                <w:szCs w:val="15"/>
                <w:b w:val="1"/>
                <w:bCs w:val="1"/>
                <w:color w:val="FFFFFF"/>
              </w:rPr>
              <w:t>Dec 24</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5"/>
                <w:szCs w:val="15"/>
                <w:b w:val="1"/>
                <w:bCs w:val="1"/>
                <w:color w:val="FFFFFF"/>
                <w:w w:val="99"/>
              </w:rPr>
              <w:t>Sep 25</w:t>
            </w:r>
          </w:p>
        </w:tc>
        <w:tc>
          <w:tcPr>
            <w:tcW w:w="104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5"/>
                <w:szCs w:val="15"/>
                <w:b w:val="1"/>
                <w:bCs w:val="1"/>
                <w:color w:val="FFFFFF"/>
              </w:rPr>
              <w:t>Dec 25</w:t>
            </w:r>
          </w:p>
        </w:tc>
        <w:tc>
          <w:tcPr>
            <w:tcW w:w="86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5"/>
                <w:szCs w:val="15"/>
                <w:b w:val="1"/>
                <w:bCs w:val="1"/>
                <w:color w:val="FFFFFF"/>
              </w:rPr>
              <w:t>QoQ</w:t>
            </w:r>
          </w:p>
        </w:tc>
        <w:tc>
          <w:tcPr>
            <w:tcW w:w="94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5"/>
                <w:szCs w:val="15"/>
                <w:b w:val="1"/>
                <w:bCs w:val="1"/>
                <w:color w:val="FFFFFF"/>
              </w:rPr>
              <w:t>YoY</w:t>
            </w:r>
          </w:p>
        </w:tc>
        <w:tc>
          <w:tcPr>
            <w:tcW w:w="0" w:type="dxa"/>
            <w:vAlign w:val="bottom"/>
          </w:tcPr>
          <w:p>
            <w:pPr>
              <w:spacing w:after="0"/>
              <w:rPr>
                <w:sz w:val="1"/>
                <w:szCs w:val="1"/>
                <w:color w:val="auto"/>
              </w:rPr>
            </w:pPr>
          </w:p>
        </w:tc>
      </w:tr>
      <w:tr>
        <w:trPr>
          <w:trHeight w:val="132"/>
        </w:trPr>
        <w:tc>
          <w:tcPr>
            <w:tcW w:w="6420" w:type="dxa"/>
            <w:vAlign w:val="bottom"/>
            <w:tcBorders>
              <w:left w:val="single" w:sz="8" w:color="auto"/>
              <w:right w:val="single" w:sz="8" w:color="auto"/>
            </w:tcBorders>
          </w:tcPr>
          <w:p>
            <w:pPr>
              <w:spacing w:after="0" w:line="132" w:lineRule="exact"/>
              <w:rPr>
                <w:sz w:val="20"/>
                <w:szCs w:val="20"/>
                <w:color w:val="auto"/>
              </w:rPr>
            </w:pPr>
            <w:r>
              <w:rPr>
                <w:rFonts w:ascii="Arial" w:cs="Arial" w:eastAsia="Arial" w:hAnsi="Arial"/>
                <w:sz w:val="15"/>
                <w:szCs w:val="15"/>
                <w:b w:val="1"/>
                <w:bCs w:val="1"/>
                <w:color w:val="auto"/>
              </w:rPr>
              <w:t>ASSETS</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rPr>
              <w:t>1,833,225</w:t>
            </w:r>
          </w:p>
        </w:tc>
        <w:tc>
          <w:tcPr>
            <w:tcW w:w="1000" w:type="dxa"/>
            <w:vAlign w:val="bottom"/>
            <w:vMerge w:val="restart"/>
          </w:tcPr>
          <w:p>
            <w:pPr>
              <w:jc w:val="center"/>
              <w:spacing w:after="0"/>
              <w:rPr>
                <w:sz w:val="20"/>
                <w:szCs w:val="20"/>
                <w:color w:val="auto"/>
              </w:rPr>
            </w:pPr>
            <w:r>
              <w:rPr>
                <w:rFonts w:ascii="Arial" w:cs="Arial" w:eastAsia="Arial" w:hAnsi="Arial"/>
                <w:sz w:val="15"/>
                <w:szCs w:val="15"/>
                <w:color w:val="auto"/>
              </w:rPr>
              <w:t>2,109,302</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1,953,012</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rPr>
              <w:t>-7.4%</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6.5%</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Cash and due from banks</w:t>
            </w:r>
          </w:p>
        </w:tc>
        <w:tc>
          <w:tcPr>
            <w:tcW w:w="10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Investments</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rPr>
              <w:t>2,917,396</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2,488,277</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2,860,721</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8"/>
              </w:rPr>
              <w:t>15.0%</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b w:val="1"/>
                <w:bCs w:val="1"/>
                <w:color w:val="auto"/>
              </w:rPr>
              <w:t>Total loans</w:t>
            </w:r>
          </w:p>
        </w:tc>
        <w:tc>
          <w:tcPr>
            <w:tcW w:w="10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12,239,171</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13,095,856</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13,607,074</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3.9%</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8"/>
              </w:rPr>
              <w:t>11.2%</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Current</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8"/>
              </w:rPr>
              <w:t>11,330,124</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12,349,782</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12,889,949</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9"/>
              </w:rPr>
              <w:t>4.4%</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Internal overdue loans</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9"/>
              </w:rPr>
              <w:t>802,133</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614,819</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585,387</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-4.8%</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Refinanced</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9"/>
              </w:rPr>
              <w:t>106,914</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131,255</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131,738</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9"/>
              </w:rPr>
              <w:t>0.4%</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auto"/>
              </w:rPr>
              <w:t>Allowance for loan losses</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rPr>
              <w:t>(924,703)</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(902,499)</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(911,339)</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9"/>
              </w:rPr>
              <w:t>1.0%</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b w:val="1"/>
                <w:bCs w:val="1"/>
                <w:color w:val="auto"/>
              </w:rPr>
              <w:t>Net loans</w:t>
            </w:r>
          </w:p>
        </w:tc>
        <w:tc>
          <w:tcPr>
            <w:tcW w:w="10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11,314,468</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12,193,357</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12,695,735</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4.1%</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12.2%</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Property, plant and equipment, net</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9"/>
              </w:rPr>
              <w:t>131,261</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124,994</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123,218</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-1.4%</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Other assets</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9"/>
              </w:rPr>
              <w:t>750,972</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636,681</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728,795</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8"/>
              </w:rPr>
              <w:t>14.5%</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14"/>
        </w:trPr>
        <w:tc>
          <w:tcPr>
            <w:tcW w:w="6420" w:type="dxa"/>
            <w:vAlign w:val="bottom"/>
            <w:tcBorders>
              <w:left w:val="single" w:sz="8" w:color="auto"/>
              <w:right w:val="single" w:sz="8" w:color="auto"/>
            </w:tcBorders>
          </w:tcPr>
          <w:p>
            <w:pPr>
              <w:ind w:left="2780"/>
              <w:spacing w:after="0"/>
              <w:rPr>
                <w:sz w:val="20"/>
                <w:szCs w:val="20"/>
                <w:color w:val="auto"/>
              </w:rPr>
            </w:pPr>
            <w:r>
              <w:rPr>
                <w:rFonts w:ascii="Arial" w:cs="Arial" w:eastAsia="Arial" w:hAnsi="Arial"/>
                <w:sz w:val="15"/>
                <w:szCs w:val="15"/>
                <w:b w:val="1"/>
                <w:bCs w:val="1"/>
                <w:color w:val="auto"/>
              </w:rPr>
              <w:t>Total assets</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rPr>
              <w:t>16,947,322</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rPr>
              <w:t>17,552,611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18,361,481</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9"/>
              </w:rPr>
              <w:t>4.6%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8.3%</w:t>
            </w:r>
          </w:p>
        </w:tc>
        <w:tc>
          <w:tcPr>
            <w:tcW w:w="0" w:type="dxa"/>
            <w:vAlign w:val="bottom"/>
          </w:tcPr>
          <w:p>
            <w:pPr>
              <w:spacing w:after="0"/>
              <w:rPr>
                <w:sz w:val="1"/>
                <w:szCs w:val="1"/>
                <w:color w:val="auto"/>
              </w:rPr>
            </w:pPr>
          </w:p>
        </w:tc>
      </w:tr>
      <w:tr>
        <w:trPr>
          <w:trHeight w:val="272"/>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LIABILITIES AND NET SHAREHOLDERS’ EQUITY</w:t>
            </w:r>
          </w:p>
        </w:tc>
        <w:tc>
          <w:tcPr>
            <w:tcW w:w="1020" w:type="dxa"/>
            <w:vAlign w:val="bottom"/>
            <w:vMerge w:val="restart"/>
          </w:tcPr>
          <w:p>
            <w:pPr>
              <w:jc w:val="center"/>
              <w:spacing w:after="0"/>
              <w:rPr>
                <w:sz w:val="20"/>
                <w:szCs w:val="20"/>
                <w:color w:val="auto"/>
              </w:rPr>
            </w:pPr>
            <w:r>
              <w:rPr>
                <w:rFonts w:ascii="Arial" w:cs="Arial" w:eastAsia="Arial" w:hAnsi="Arial"/>
                <w:sz w:val="15"/>
                <w:szCs w:val="15"/>
                <w:color w:val="auto"/>
                <w:w w:val="98"/>
              </w:rPr>
              <w:t>11,060,598</w:t>
            </w:r>
          </w:p>
        </w:tc>
        <w:tc>
          <w:tcPr>
            <w:tcW w:w="1000" w:type="dxa"/>
            <w:vAlign w:val="bottom"/>
            <w:vMerge w:val="restart"/>
          </w:tcPr>
          <w:p>
            <w:pPr>
              <w:jc w:val="center"/>
              <w:spacing w:after="0"/>
              <w:rPr>
                <w:sz w:val="20"/>
                <w:szCs w:val="20"/>
                <w:color w:val="auto"/>
              </w:rPr>
            </w:pPr>
            <w:r>
              <w:rPr>
                <w:rFonts w:ascii="Arial" w:cs="Arial" w:eastAsia="Arial" w:hAnsi="Arial"/>
                <w:sz w:val="15"/>
                <w:szCs w:val="15"/>
                <w:color w:val="auto"/>
              </w:rPr>
              <w:t>10,897,835</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11,088,854</w:t>
            </w: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w w:val="99"/>
              </w:rPr>
              <w:t>1.8%</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0.3%</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Deposits and obligations</w:t>
            </w:r>
          </w:p>
        </w:tc>
        <w:tc>
          <w:tcPr>
            <w:tcW w:w="10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Due to banks and correspondents</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rPr>
              <w:t>1,985,746</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2,418,667</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2,268,219</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rPr>
              <w:t>-6.2%</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Bonds and subordinated debt</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9"/>
              </w:rPr>
              <w:t>309,551</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606,683</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9"/>
              </w:rPr>
              <w:t>671,307</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8"/>
              </w:rPr>
              <w:t>10.7%</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8"/>
              </w:rPr>
              <w:t>116.9%</w:t>
            </w:r>
          </w:p>
        </w:tc>
        <w:tc>
          <w:tcPr>
            <w:tcW w:w="0" w:type="dxa"/>
            <w:vAlign w:val="bottom"/>
          </w:tcPr>
          <w:p>
            <w:pPr>
              <w:spacing w:after="0"/>
              <w:rPr>
                <w:sz w:val="1"/>
                <w:szCs w:val="1"/>
                <w:color w:val="auto"/>
              </w:rPr>
            </w:pPr>
          </w:p>
        </w:tc>
      </w:tr>
      <w:tr>
        <w:trPr>
          <w:trHeight w:val="162"/>
        </w:trPr>
        <w:tc>
          <w:tcPr>
            <w:tcW w:w="6420" w:type="dxa"/>
            <w:vAlign w:val="bottom"/>
            <w:tcBorders>
              <w:left w:val="single" w:sz="8" w:color="auto"/>
              <w:right w:val="single" w:sz="8" w:color="auto"/>
            </w:tcBorders>
          </w:tcPr>
          <w:p>
            <w:pPr>
              <w:spacing w:after="0" w:line="162" w:lineRule="exact"/>
              <w:rPr>
                <w:sz w:val="20"/>
                <w:szCs w:val="20"/>
                <w:color w:val="auto"/>
              </w:rPr>
            </w:pPr>
            <w:r>
              <w:rPr>
                <w:rFonts w:ascii="Arial" w:cs="Arial" w:eastAsia="Arial" w:hAnsi="Arial"/>
                <w:sz w:val="15"/>
                <w:szCs w:val="15"/>
                <w:color w:val="auto"/>
              </w:rPr>
              <w:t>Other liabilities</w:t>
            </w:r>
          </w:p>
        </w:tc>
        <w:tc>
          <w:tcPr>
            <w:tcW w:w="1020" w:type="dxa"/>
            <w:vAlign w:val="bottom"/>
          </w:tcPr>
          <w:p>
            <w:pPr>
              <w:jc w:val="center"/>
              <w:spacing w:after="0" w:line="162" w:lineRule="exact"/>
              <w:rPr>
                <w:sz w:val="20"/>
                <w:szCs w:val="20"/>
                <w:color w:val="auto"/>
              </w:rPr>
            </w:pPr>
            <w:r>
              <w:rPr>
                <w:rFonts w:ascii="Arial" w:cs="Arial" w:eastAsia="Arial" w:hAnsi="Arial"/>
                <w:sz w:val="15"/>
                <w:szCs w:val="15"/>
                <w:color w:val="auto"/>
                <w:w w:val="99"/>
              </w:rPr>
              <w:t>923,059</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968,418</w:t>
            </w:r>
          </w:p>
        </w:tc>
        <w:tc>
          <w:tcPr>
            <w:tcW w:w="10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1,531,150</w:t>
            </w:r>
          </w:p>
        </w:tc>
        <w:tc>
          <w:tcPr>
            <w:tcW w:w="860" w:type="dxa"/>
            <w:vAlign w:val="bottom"/>
          </w:tcPr>
          <w:p>
            <w:pPr>
              <w:jc w:val="center"/>
              <w:spacing w:after="0" w:line="162" w:lineRule="exact"/>
              <w:rPr>
                <w:sz w:val="20"/>
                <w:szCs w:val="20"/>
                <w:color w:val="auto"/>
              </w:rPr>
            </w:pPr>
            <w:r>
              <w:rPr>
                <w:rFonts w:ascii="Arial" w:cs="Arial" w:eastAsia="Arial" w:hAnsi="Arial"/>
                <w:sz w:val="15"/>
                <w:szCs w:val="15"/>
                <w:color w:val="auto"/>
                <w:w w:val="98"/>
              </w:rPr>
              <w:t>58.1%</w:t>
            </w:r>
          </w:p>
        </w:tc>
        <w:tc>
          <w:tcPr>
            <w:tcW w:w="9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214"/>
        </w:trPr>
        <w:tc>
          <w:tcPr>
            <w:tcW w:w="6420" w:type="dxa"/>
            <w:vAlign w:val="bottom"/>
            <w:tcBorders>
              <w:left w:val="single" w:sz="8" w:color="auto"/>
              <w:right w:val="single" w:sz="8" w:color="auto"/>
            </w:tcBorders>
          </w:tcPr>
          <w:p>
            <w:pPr>
              <w:ind w:left="2680"/>
              <w:spacing w:after="0"/>
              <w:rPr>
                <w:sz w:val="20"/>
                <w:szCs w:val="20"/>
                <w:color w:val="auto"/>
              </w:rPr>
            </w:pPr>
            <w:r>
              <w:rPr>
                <w:rFonts w:ascii="Arial" w:cs="Arial" w:eastAsia="Arial" w:hAnsi="Arial"/>
                <w:sz w:val="15"/>
                <w:szCs w:val="15"/>
                <w:b w:val="1"/>
                <w:bCs w:val="1"/>
                <w:color w:val="auto"/>
              </w:rPr>
              <w:t>Total liabilities</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rPr>
              <w:t>14,278,954</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rPr>
              <w:t>14,891,603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15,559,530</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9"/>
              </w:rPr>
              <w:t>4.5%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9.0%</w:t>
            </w:r>
          </w:p>
        </w:tc>
        <w:tc>
          <w:tcPr>
            <w:tcW w:w="0" w:type="dxa"/>
            <w:vAlign w:val="bottom"/>
          </w:tcPr>
          <w:p>
            <w:pPr>
              <w:spacing w:after="0"/>
              <w:rPr>
                <w:sz w:val="1"/>
                <w:szCs w:val="1"/>
                <w:color w:val="auto"/>
              </w:rPr>
            </w:pPr>
          </w:p>
        </w:tc>
      </w:tr>
      <w:tr>
        <w:trPr>
          <w:trHeight w:val="324"/>
        </w:trPr>
        <w:tc>
          <w:tcPr>
            <w:tcW w:w="6420" w:type="dxa"/>
            <w:vAlign w:val="bottom"/>
            <w:tcBorders>
              <w:left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Net equity</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rPr>
              <w:t>2,668,368</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rPr>
              <w:t>2,661,008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2,801,951</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99"/>
              </w:rPr>
              <w:t>5.3%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5.0%</w:t>
            </w:r>
          </w:p>
        </w:tc>
        <w:tc>
          <w:tcPr>
            <w:tcW w:w="0" w:type="dxa"/>
            <w:vAlign w:val="bottom"/>
          </w:tcPr>
          <w:p>
            <w:pPr>
              <w:spacing w:after="0"/>
              <w:rPr>
                <w:sz w:val="1"/>
                <w:szCs w:val="1"/>
                <w:color w:val="auto"/>
              </w:rPr>
            </w:pPr>
          </w:p>
        </w:tc>
      </w:tr>
      <w:tr>
        <w:trPr>
          <w:trHeight w:val="295"/>
        </w:trPr>
        <w:tc>
          <w:tcPr>
            <w:tcW w:w="64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5"/>
                <w:szCs w:val="15"/>
                <w:b w:val="1"/>
                <w:bCs w:val="1"/>
                <w:color w:val="auto"/>
              </w:rPr>
              <w:t>TOTAL LIABILITIES AND NET SHAREHOLDERS’ EQUITY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16,947,322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17,552,611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18,361,481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4.6%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8.3%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Statement of Income</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100" w:type="dxa"/>
            <w:vAlign w:val="bottom"/>
            <w:tcBorders>
              <w:top w:val="single" w:sz="8" w:color="auto"/>
              <w:left w:val="single" w:sz="8" w:color="auto"/>
              <w:right w:val="single" w:sz="8" w:color="auto"/>
            </w:tcBorders>
            <w:shd w:val="clear" w:color="auto" w:fill="2AD2C9"/>
          </w:tcPr>
          <w:p>
            <w:pPr>
              <w:spacing w:after="0"/>
              <w:rPr>
                <w:sz w:val="12"/>
                <w:szCs w:val="12"/>
                <w:color w:val="auto"/>
              </w:rPr>
            </w:pPr>
          </w:p>
        </w:tc>
        <w:tc>
          <w:tcPr>
            <w:tcW w:w="1020" w:type="dxa"/>
            <w:vAlign w:val="bottom"/>
            <w:tcBorders>
              <w:top w:val="single" w:sz="8" w:color="auto"/>
            </w:tcBorders>
            <w:shd w:val="clear" w:color="auto" w:fill="2AD2C9"/>
          </w:tcPr>
          <w:p>
            <w:pPr>
              <w:spacing w:after="0"/>
              <w:rPr>
                <w:sz w:val="12"/>
                <w:szCs w:val="12"/>
                <w:color w:val="auto"/>
              </w:rPr>
            </w:pPr>
          </w:p>
        </w:tc>
        <w:tc>
          <w:tcPr>
            <w:tcW w:w="1040" w:type="dxa"/>
            <w:vAlign w:val="bottom"/>
            <w:tcBorders>
              <w:top w:val="single" w:sz="8" w:color="auto"/>
            </w:tcBorders>
            <w:shd w:val="clear" w:color="auto" w:fill="2AD2C9"/>
          </w:tcPr>
          <w:p>
            <w:pPr>
              <w:ind w:left="340"/>
              <w:spacing w:after="0"/>
              <w:rPr>
                <w:sz w:val="20"/>
                <w:szCs w:val="20"/>
                <w:color w:val="auto"/>
              </w:rPr>
            </w:pPr>
            <w:r>
              <w:rPr>
                <w:rFonts w:ascii="Arial" w:cs="Arial" w:eastAsia="Arial" w:hAnsi="Arial"/>
                <w:sz w:val="12"/>
                <w:szCs w:val="12"/>
                <w:b w:val="1"/>
                <w:bCs w:val="1"/>
                <w:color w:val="FFFFFF"/>
              </w:rPr>
              <w:t>Quarter</w:t>
            </w:r>
          </w:p>
        </w:tc>
        <w:tc>
          <w:tcPr>
            <w:tcW w:w="1080" w:type="dxa"/>
            <w:vAlign w:val="bottom"/>
            <w:tcBorders>
              <w:top w:val="single" w:sz="8" w:color="auto"/>
              <w:right w:val="single" w:sz="8" w:color="auto"/>
            </w:tcBorders>
            <w:shd w:val="clear" w:color="auto" w:fill="2AD2C9"/>
          </w:tcPr>
          <w:p>
            <w:pPr>
              <w:spacing w:after="0"/>
              <w:rPr>
                <w:sz w:val="12"/>
                <w:szCs w:val="12"/>
                <w:color w:val="auto"/>
              </w:rPr>
            </w:pPr>
          </w:p>
        </w:tc>
        <w:tc>
          <w:tcPr>
            <w:tcW w:w="1580" w:type="dxa"/>
            <w:vAlign w:val="bottom"/>
            <w:tcBorders>
              <w:top w:val="single" w:sz="8" w:color="auto"/>
              <w:right w:val="single" w:sz="8" w:color="auto"/>
            </w:tcBorders>
            <w:gridSpan w:val="2"/>
            <w:shd w:val="clear" w:color="auto" w:fill="2AD2C9"/>
          </w:tcPr>
          <w:p>
            <w:pPr>
              <w:jc w:val="center"/>
              <w:spacing w:after="0"/>
              <w:rPr>
                <w:sz w:val="20"/>
                <w:szCs w:val="20"/>
                <w:color w:val="auto"/>
              </w:rPr>
            </w:pPr>
            <w:r>
              <w:rPr>
                <w:rFonts w:ascii="Arial" w:cs="Arial" w:eastAsia="Arial" w:hAnsi="Arial"/>
                <w:sz w:val="12"/>
                <w:szCs w:val="12"/>
                <w:b w:val="1"/>
                <w:bCs w:val="1"/>
                <w:color w:val="FFFFFF"/>
                <w:w w:val="96"/>
              </w:rPr>
              <w:t>% change</w:t>
            </w:r>
          </w:p>
        </w:tc>
        <w:tc>
          <w:tcPr>
            <w:tcW w:w="1560" w:type="dxa"/>
            <w:vAlign w:val="bottom"/>
            <w:tcBorders>
              <w:top w:val="single" w:sz="8" w:color="auto"/>
              <w:right w:val="single" w:sz="8" w:color="auto"/>
            </w:tcBorders>
            <w:gridSpan w:val="2"/>
            <w:shd w:val="clear" w:color="auto" w:fill="2AD2C9"/>
          </w:tcPr>
          <w:p>
            <w:pPr>
              <w:ind w:left="620"/>
              <w:spacing w:after="0"/>
              <w:rPr>
                <w:sz w:val="20"/>
                <w:szCs w:val="20"/>
                <w:color w:val="auto"/>
              </w:rPr>
            </w:pPr>
            <w:r>
              <w:rPr>
                <w:rFonts w:ascii="Arial" w:cs="Arial" w:eastAsia="Arial" w:hAnsi="Arial"/>
                <w:sz w:val="12"/>
                <w:szCs w:val="12"/>
                <w:b w:val="1"/>
                <w:bCs w:val="1"/>
                <w:color w:val="FFFFFF"/>
              </w:rPr>
              <w:t>Up to</w:t>
            </w:r>
          </w:p>
        </w:tc>
        <w:tc>
          <w:tcPr>
            <w:tcW w:w="9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6"/>
              </w:rPr>
              <w:t>% change</w:t>
            </w:r>
          </w:p>
        </w:tc>
      </w:tr>
      <w:tr>
        <w:trPr>
          <w:trHeight w:val="135"/>
        </w:trPr>
        <w:tc>
          <w:tcPr>
            <w:tcW w:w="410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102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5"/>
              </w:rPr>
              <w:t>4Q24</w:t>
            </w:r>
          </w:p>
        </w:tc>
        <w:tc>
          <w:tcPr>
            <w:tcW w:w="104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5"/>
              </w:rPr>
              <w:t>3Q25</w:t>
            </w:r>
          </w:p>
        </w:tc>
        <w:tc>
          <w:tcPr>
            <w:tcW w:w="108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rPr>
              <w:t>4Q25</w:t>
            </w:r>
          </w:p>
        </w:tc>
        <w:tc>
          <w:tcPr>
            <w:tcW w:w="76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9"/>
              </w:rPr>
              <w:t>QoQ</w:t>
            </w:r>
          </w:p>
        </w:tc>
        <w:tc>
          <w:tcPr>
            <w:tcW w:w="82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4"/>
              </w:rPr>
              <w:t>YoY</w:t>
            </w:r>
          </w:p>
        </w:tc>
        <w:tc>
          <w:tcPr>
            <w:tcW w:w="76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7"/>
              </w:rPr>
              <w:t>2024</w:t>
            </w:r>
          </w:p>
        </w:tc>
        <w:tc>
          <w:tcPr>
            <w:tcW w:w="80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7"/>
              </w:rPr>
              <w:t>2025</w:t>
            </w:r>
          </w:p>
        </w:tc>
        <w:tc>
          <w:tcPr>
            <w:tcW w:w="90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8"/>
              </w:rPr>
              <w:t>2025/2024</w:t>
            </w:r>
          </w:p>
        </w:tc>
      </w:tr>
      <w:tr>
        <w:trPr>
          <w:trHeight w:val="117"/>
        </w:trPr>
        <w:tc>
          <w:tcPr>
            <w:tcW w:w="4100" w:type="dxa"/>
            <w:vAlign w:val="bottom"/>
            <w:tcBorders>
              <w:left w:val="single" w:sz="8" w:color="auto"/>
              <w:right w:val="single" w:sz="8" w:color="auto"/>
            </w:tcBorders>
          </w:tcPr>
          <w:p>
            <w:pPr>
              <w:spacing w:after="0" w:line="117" w:lineRule="exact"/>
              <w:rPr>
                <w:sz w:val="20"/>
                <w:szCs w:val="20"/>
                <w:color w:val="auto"/>
              </w:rPr>
            </w:pPr>
            <w:r>
              <w:rPr>
                <w:rFonts w:ascii="Arial" w:cs="Arial" w:eastAsia="Arial" w:hAnsi="Arial"/>
                <w:sz w:val="12"/>
                <w:szCs w:val="12"/>
                <w:color w:val="auto"/>
              </w:rPr>
              <w:t>Net interest income</w:t>
            </w:r>
          </w:p>
        </w:tc>
        <w:tc>
          <w:tcPr>
            <w:tcW w:w="1020" w:type="dxa"/>
            <w:vAlign w:val="bottom"/>
          </w:tcPr>
          <w:p>
            <w:pPr>
              <w:jc w:val="center"/>
              <w:spacing w:after="0" w:line="117" w:lineRule="exact"/>
              <w:rPr>
                <w:sz w:val="20"/>
                <w:szCs w:val="20"/>
                <w:color w:val="auto"/>
              </w:rPr>
            </w:pPr>
            <w:r>
              <w:rPr>
                <w:rFonts w:ascii="Arial" w:cs="Arial" w:eastAsia="Arial" w:hAnsi="Arial"/>
                <w:sz w:val="12"/>
                <w:szCs w:val="12"/>
                <w:color w:val="auto"/>
                <w:w w:val="96"/>
              </w:rPr>
              <w:t>574,720</w:t>
            </w:r>
          </w:p>
        </w:tc>
        <w:tc>
          <w:tcPr>
            <w:tcW w:w="1040" w:type="dxa"/>
            <w:vAlign w:val="bottom"/>
          </w:tcPr>
          <w:p>
            <w:pPr>
              <w:jc w:val="center"/>
              <w:spacing w:after="0" w:line="117" w:lineRule="exact"/>
              <w:rPr>
                <w:sz w:val="20"/>
                <w:szCs w:val="20"/>
                <w:color w:val="auto"/>
              </w:rPr>
            </w:pPr>
            <w:r>
              <w:rPr>
                <w:rFonts w:ascii="Arial" w:cs="Arial" w:eastAsia="Arial" w:hAnsi="Arial"/>
                <w:sz w:val="12"/>
                <w:szCs w:val="12"/>
                <w:color w:val="auto"/>
                <w:w w:val="96"/>
              </w:rPr>
              <w:t>632,469</w:t>
            </w:r>
          </w:p>
        </w:tc>
        <w:tc>
          <w:tcPr>
            <w:tcW w:w="10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6"/>
              </w:rPr>
              <w:t>661,425</w:t>
            </w:r>
          </w:p>
        </w:tc>
        <w:tc>
          <w:tcPr>
            <w:tcW w:w="760" w:type="dxa"/>
            <w:vAlign w:val="bottom"/>
          </w:tcPr>
          <w:p>
            <w:pPr>
              <w:jc w:val="center"/>
              <w:spacing w:after="0" w:line="117" w:lineRule="exact"/>
              <w:rPr>
                <w:sz w:val="20"/>
                <w:szCs w:val="20"/>
                <w:color w:val="auto"/>
              </w:rPr>
            </w:pPr>
            <w:r>
              <w:rPr>
                <w:rFonts w:ascii="Arial" w:cs="Arial" w:eastAsia="Arial" w:hAnsi="Arial"/>
                <w:sz w:val="12"/>
                <w:szCs w:val="12"/>
                <w:color w:val="auto"/>
                <w:w w:val="94"/>
              </w:rPr>
              <w:t>4.6%</w:t>
            </w:r>
          </w:p>
        </w:tc>
        <w:tc>
          <w:tcPr>
            <w:tcW w:w="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3"/>
              </w:rPr>
              <w:t>15.1%</w:t>
            </w:r>
          </w:p>
        </w:tc>
        <w:tc>
          <w:tcPr>
            <w:tcW w:w="760" w:type="dxa"/>
            <w:vAlign w:val="bottom"/>
          </w:tcPr>
          <w:p>
            <w:pPr>
              <w:jc w:val="center"/>
              <w:spacing w:after="0" w:line="117" w:lineRule="exact"/>
              <w:rPr>
                <w:sz w:val="20"/>
                <w:szCs w:val="20"/>
                <w:color w:val="auto"/>
              </w:rPr>
            </w:pPr>
            <w:r>
              <w:rPr>
                <w:rFonts w:ascii="Arial" w:cs="Arial" w:eastAsia="Arial" w:hAnsi="Arial"/>
                <w:sz w:val="12"/>
                <w:szCs w:val="12"/>
                <w:color w:val="auto"/>
                <w:w w:val="97"/>
              </w:rPr>
              <w:t>2,240,270</w:t>
            </w:r>
          </w:p>
        </w:tc>
        <w:tc>
          <w:tcPr>
            <w:tcW w:w="8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7"/>
              </w:rPr>
              <w:t>2,477,825</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9"/>
              </w:rPr>
              <w:t>10.6%</w:t>
            </w:r>
          </w:p>
        </w:tc>
      </w:tr>
      <w:tr>
        <w:trPr>
          <w:trHeight w:val="133"/>
        </w:trPr>
        <w:tc>
          <w:tcPr>
            <w:tcW w:w="410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Provision for loan losses, net of recoveries</w:t>
            </w:r>
          </w:p>
        </w:tc>
        <w:tc>
          <w:tcPr>
            <w:tcW w:w="1020" w:type="dxa"/>
            <w:vAlign w:val="bottom"/>
          </w:tcPr>
          <w:p>
            <w:pPr>
              <w:jc w:val="center"/>
              <w:spacing w:after="0" w:line="133" w:lineRule="exact"/>
              <w:rPr>
                <w:sz w:val="20"/>
                <w:szCs w:val="20"/>
                <w:color w:val="auto"/>
              </w:rPr>
            </w:pPr>
            <w:r>
              <w:rPr>
                <w:rFonts w:ascii="Arial" w:cs="Arial" w:eastAsia="Arial" w:hAnsi="Arial"/>
                <w:sz w:val="12"/>
                <w:szCs w:val="12"/>
                <w:color w:val="auto"/>
                <w:w w:val="97"/>
              </w:rPr>
              <w:t>(141,899)</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auto"/>
                <w:w w:val="97"/>
              </w:rPr>
              <w:t>(167,975)</w:t>
            </w:r>
          </w:p>
        </w:tc>
        <w:tc>
          <w:tcPr>
            <w:tcW w:w="10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(158,622)</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5"/>
              </w:rPr>
              <w:t>-5.6%</w:t>
            </w:r>
          </w:p>
        </w:tc>
        <w:tc>
          <w:tcPr>
            <w:tcW w:w="8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11.8%</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7"/>
              </w:rPr>
              <w:t>(727,833)</w:t>
            </w:r>
          </w:p>
        </w:tc>
        <w:tc>
          <w:tcPr>
            <w:tcW w:w="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(654,550)</w:t>
            </w:r>
          </w:p>
        </w:tc>
        <w:tc>
          <w:tcPr>
            <w:tcW w:w="9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-10.1%</w:t>
            </w:r>
          </w:p>
        </w:tc>
      </w:tr>
      <w:tr>
        <w:trPr>
          <w:trHeight w:val="137"/>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interest income after provisions</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432,821</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6"/>
              </w:rPr>
              <w:t>464,494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502,803</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4"/>
              </w:rPr>
              <w:t>8.2%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16.2%</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7"/>
              </w:rPr>
              <w:t>1,512,437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1,823,275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20.6%</w:t>
            </w:r>
          </w:p>
        </w:tc>
      </w:tr>
      <w:tr>
        <w:trPr>
          <w:trHeight w:val="135"/>
        </w:trPr>
        <w:tc>
          <w:tcPr>
            <w:tcW w:w="41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Non-financial income</w:t>
            </w:r>
          </w:p>
        </w:tc>
        <w:tc>
          <w:tcPr>
            <w:tcW w:w="1020" w:type="dxa"/>
            <w:vAlign w:val="bottom"/>
          </w:tcPr>
          <w:p>
            <w:pPr>
              <w:jc w:val="center"/>
              <w:spacing w:after="0" w:line="135" w:lineRule="exact"/>
              <w:rPr>
                <w:sz w:val="20"/>
                <w:szCs w:val="20"/>
                <w:color w:val="auto"/>
              </w:rPr>
            </w:pPr>
            <w:r>
              <w:rPr>
                <w:rFonts w:ascii="Arial" w:cs="Arial" w:eastAsia="Arial" w:hAnsi="Arial"/>
                <w:sz w:val="12"/>
                <w:szCs w:val="12"/>
                <w:color w:val="auto"/>
                <w:w w:val="97"/>
              </w:rPr>
              <w:t>32,748</w:t>
            </w: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7"/>
              </w:rPr>
              <w:t>34,834</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37,707</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4"/>
              </w:rPr>
              <w:t>8.2%</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3"/>
              </w:rPr>
              <w:t>15.1%</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6"/>
              </w:rPr>
              <w:t>130,695</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6"/>
              </w:rPr>
              <w:t>142,848</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9.3%</w:t>
            </w:r>
          </w:p>
        </w:tc>
      </w:tr>
      <w:tr>
        <w:trPr>
          <w:trHeight w:val="135"/>
        </w:trPr>
        <w:tc>
          <w:tcPr>
            <w:tcW w:w="41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Total expenses</w:t>
            </w:r>
          </w:p>
        </w:tc>
        <w:tc>
          <w:tcPr>
            <w:tcW w:w="1020" w:type="dxa"/>
            <w:vAlign w:val="bottom"/>
          </w:tcPr>
          <w:p>
            <w:pPr>
              <w:jc w:val="center"/>
              <w:spacing w:after="0" w:line="135" w:lineRule="exact"/>
              <w:rPr>
                <w:sz w:val="20"/>
                <w:szCs w:val="20"/>
                <w:color w:val="auto"/>
              </w:rPr>
            </w:pPr>
            <w:r>
              <w:rPr>
                <w:rFonts w:ascii="Arial" w:cs="Arial" w:eastAsia="Arial" w:hAnsi="Arial"/>
                <w:sz w:val="12"/>
                <w:szCs w:val="12"/>
                <w:color w:val="auto"/>
                <w:w w:val="97"/>
              </w:rPr>
              <w:t>(312,016)</w:t>
            </w: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7"/>
              </w:rPr>
              <w:t>(335,075)</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(352,558)</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4"/>
              </w:rPr>
              <w:t>5.2%</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3"/>
              </w:rPr>
              <w:t>13.0%</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7"/>
              </w:rPr>
              <w:t>(1,246,390)</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(1,351,369)</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8.4%</w:t>
            </w:r>
          </w:p>
        </w:tc>
      </w:tr>
      <w:tr>
        <w:trPr>
          <w:trHeight w:val="135"/>
        </w:trPr>
        <w:tc>
          <w:tcPr>
            <w:tcW w:w="41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Translation result</w:t>
            </w:r>
          </w:p>
        </w:tc>
        <w:tc>
          <w:tcPr>
            <w:tcW w:w="1020" w:type="dxa"/>
            <w:vAlign w:val="bottom"/>
          </w:tcPr>
          <w:p>
            <w:pPr>
              <w:jc w:val="center"/>
              <w:spacing w:after="0" w:line="135" w:lineRule="exact"/>
              <w:rPr>
                <w:sz w:val="20"/>
                <w:szCs w:val="20"/>
                <w:color w:val="auto"/>
              </w:rPr>
            </w:pPr>
            <w:r>
              <w:rPr>
                <w:rFonts w:ascii="Arial" w:cs="Arial" w:eastAsia="Arial" w:hAnsi="Arial"/>
                <w:sz w:val="12"/>
                <w:szCs w:val="12"/>
                <w:color w:val="auto"/>
                <w:w w:val="99"/>
              </w:rPr>
              <w:t>(466)</w:t>
            </w: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89"/>
              </w:rPr>
              <w:t>54</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2"/>
              </w:rPr>
              <w:t>(101)</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8"/>
              </w:rPr>
              <w:t>-287.0%</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-78.3%</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4"/>
              </w:rPr>
              <w:t>(1,860)</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(875)</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-53.0%</w:t>
            </w:r>
          </w:p>
        </w:tc>
      </w:tr>
      <w:tr>
        <w:trPr>
          <w:trHeight w:val="133"/>
        </w:trPr>
        <w:tc>
          <w:tcPr>
            <w:tcW w:w="410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Income taxes</w:t>
            </w:r>
          </w:p>
        </w:tc>
        <w:tc>
          <w:tcPr>
            <w:tcW w:w="1020" w:type="dxa"/>
            <w:vAlign w:val="bottom"/>
          </w:tcPr>
          <w:p>
            <w:pPr>
              <w:jc w:val="center"/>
              <w:spacing w:after="0" w:line="133" w:lineRule="exact"/>
              <w:rPr>
                <w:sz w:val="20"/>
                <w:szCs w:val="20"/>
                <w:color w:val="auto"/>
              </w:rPr>
            </w:pPr>
            <w:r>
              <w:rPr>
                <w:rFonts w:ascii="Arial" w:cs="Arial" w:eastAsia="Arial" w:hAnsi="Arial"/>
                <w:sz w:val="12"/>
                <w:szCs w:val="12"/>
                <w:color w:val="auto"/>
                <w:w w:val="98"/>
              </w:rPr>
              <w:t>(36,098)</w:t>
            </w: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auto"/>
                <w:w w:val="98"/>
              </w:rPr>
              <w:t>(42,430)</w:t>
            </w:r>
          </w:p>
        </w:tc>
        <w:tc>
          <w:tcPr>
            <w:tcW w:w="10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(51,339)</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3"/>
              </w:rPr>
              <w:t>21.0%</w:t>
            </w:r>
          </w:p>
        </w:tc>
        <w:tc>
          <w:tcPr>
            <w:tcW w:w="8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42.2%</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8"/>
              </w:rPr>
              <w:t>(85,782)</w:t>
            </w:r>
          </w:p>
        </w:tc>
        <w:tc>
          <w:tcPr>
            <w:tcW w:w="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(158,561)</w:t>
            </w:r>
          </w:p>
        </w:tc>
        <w:tc>
          <w:tcPr>
            <w:tcW w:w="9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84.8%</w:t>
            </w:r>
          </w:p>
        </w:tc>
      </w:tr>
      <w:tr>
        <w:trPr>
          <w:trHeight w:val="149"/>
        </w:trPr>
        <w:tc>
          <w:tcPr>
            <w:tcW w:w="41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income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116,989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121,877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136,512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12.0%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16.7%</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309,100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455,318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47.3%</w:t>
            </w:r>
          </w:p>
        </w:tc>
      </w:tr>
      <w:tr>
        <w:trPr>
          <w:trHeight w:val="391"/>
        </w:trPr>
        <w:tc>
          <w:tcPr>
            <w:tcW w:w="4100" w:type="dxa"/>
            <w:vAlign w:val="bottom"/>
          </w:tcPr>
          <w:p>
            <w:pPr>
              <w:spacing w:after="0"/>
              <w:rPr>
                <w:sz w:val="24"/>
                <w:szCs w:val="24"/>
                <w:color w:val="auto"/>
              </w:rPr>
            </w:pPr>
          </w:p>
        </w:tc>
        <w:tc>
          <w:tcPr>
            <w:tcW w:w="3140" w:type="dxa"/>
            <w:vAlign w:val="bottom"/>
            <w:gridSpan w:val="3"/>
          </w:tcPr>
          <w:p>
            <w:pPr>
              <w:ind w:left="420"/>
              <w:spacing w:after="0"/>
              <w:rPr>
                <w:sz w:val="20"/>
                <w:szCs w:val="20"/>
                <w:color w:val="auto"/>
              </w:rPr>
            </w:pPr>
            <w:r>
              <w:rPr>
                <w:rFonts w:ascii="Arial" w:cs="Arial" w:eastAsia="Arial" w:hAnsi="Arial"/>
                <w:sz w:val="16"/>
                <w:szCs w:val="16"/>
                <w:b w:val="1"/>
                <w:bCs w:val="1"/>
                <w:color w:val="auto"/>
              </w:rPr>
              <w:t>Selected Financial Indicators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4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28"/>
        </w:trPr>
        <w:tc>
          <w:tcPr>
            <w:tcW w:w="4100" w:type="dxa"/>
            <w:vAlign w:val="bottom"/>
            <w:tcBorders>
              <w:left w:val="single" w:sz="8" w:color="auto"/>
              <w:right w:val="single" w:sz="8" w:color="auto"/>
            </w:tcBorders>
            <w:shd w:val="clear" w:color="auto" w:fill="2AD2C9"/>
          </w:tcPr>
          <w:p>
            <w:pPr>
              <w:spacing w:after="0"/>
              <w:rPr>
                <w:sz w:val="11"/>
                <w:szCs w:val="11"/>
                <w:color w:val="auto"/>
              </w:rPr>
            </w:pPr>
          </w:p>
        </w:tc>
        <w:tc>
          <w:tcPr>
            <w:tcW w:w="1020" w:type="dxa"/>
            <w:vAlign w:val="bottom"/>
            <w:shd w:val="clear" w:color="auto" w:fill="2AD2C9"/>
          </w:tcPr>
          <w:p>
            <w:pPr>
              <w:spacing w:after="0"/>
              <w:rPr>
                <w:sz w:val="11"/>
                <w:szCs w:val="11"/>
                <w:color w:val="auto"/>
              </w:rPr>
            </w:pPr>
          </w:p>
        </w:tc>
        <w:tc>
          <w:tcPr>
            <w:tcW w:w="1040" w:type="dxa"/>
            <w:vAlign w:val="bottom"/>
            <w:shd w:val="clear" w:color="auto" w:fill="2AD2C9"/>
          </w:tcPr>
          <w:p>
            <w:pPr>
              <w:ind w:left="340"/>
              <w:spacing w:after="0" w:line="129" w:lineRule="exact"/>
              <w:rPr>
                <w:sz w:val="20"/>
                <w:szCs w:val="20"/>
                <w:color w:val="auto"/>
              </w:rPr>
            </w:pPr>
            <w:r>
              <w:rPr>
                <w:rFonts w:ascii="Arial" w:cs="Arial" w:eastAsia="Arial" w:hAnsi="Arial"/>
                <w:sz w:val="12"/>
                <w:szCs w:val="12"/>
                <w:b w:val="1"/>
                <w:bCs w:val="1"/>
                <w:color w:val="FFFFFF"/>
              </w:rPr>
              <w:t>Quarter</w:t>
            </w:r>
          </w:p>
        </w:tc>
        <w:tc>
          <w:tcPr>
            <w:tcW w:w="1080" w:type="dxa"/>
            <w:vAlign w:val="bottom"/>
            <w:tcBorders>
              <w:right w:val="single" w:sz="8" w:color="auto"/>
            </w:tcBorders>
            <w:shd w:val="clear" w:color="auto" w:fill="2AD2C9"/>
          </w:tcPr>
          <w:p>
            <w:pPr>
              <w:spacing w:after="0"/>
              <w:rPr>
                <w:sz w:val="11"/>
                <w:szCs w:val="11"/>
                <w:color w:val="auto"/>
              </w:rPr>
            </w:pPr>
          </w:p>
        </w:tc>
        <w:tc>
          <w:tcPr>
            <w:tcW w:w="1580" w:type="dxa"/>
            <w:vAlign w:val="bottom"/>
            <w:tcBorders>
              <w:right w:val="single" w:sz="8" w:color="auto"/>
            </w:tcBorders>
            <w:gridSpan w:val="2"/>
            <w:shd w:val="clear" w:color="auto" w:fill="2AD2C9"/>
          </w:tcPr>
          <w:p>
            <w:pPr>
              <w:jc w:val="center"/>
              <w:spacing w:after="0" w:line="129" w:lineRule="exact"/>
              <w:rPr>
                <w:sz w:val="20"/>
                <w:szCs w:val="20"/>
                <w:color w:val="auto"/>
              </w:rPr>
            </w:pPr>
            <w:r>
              <w:rPr>
                <w:rFonts w:ascii="Arial" w:cs="Arial" w:eastAsia="Arial" w:hAnsi="Arial"/>
                <w:sz w:val="12"/>
                <w:szCs w:val="12"/>
                <w:b w:val="1"/>
                <w:bCs w:val="1"/>
                <w:color w:val="FFFFFF"/>
                <w:w w:val="95"/>
              </w:rPr>
              <w:t>Change</w:t>
            </w:r>
          </w:p>
        </w:tc>
        <w:tc>
          <w:tcPr>
            <w:tcW w:w="1560" w:type="dxa"/>
            <w:vAlign w:val="bottom"/>
            <w:tcBorders>
              <w:right w:val="single" w:sz="8" w:color="auto"/>
            </w:tcBorders>
            <w:gridSpan w:val="2"/>
            <w:shd w:val="clear" w:color="auto" w:fill="2AD2C9"/>
          </w:tcPr>
          <w:p>
            <w:pPr>
              <w:ind w:left="620"/>
              <w:spacing w:after="0" w:line="129" w:lineRule="exact"/>
              <w:rPr>
                <w:sz w:val="20"/>
                <w:szCs w:val="20"/>
                <w:color w:val="auto"/>
              </w:rPr>
            </w:pPr>
            <w:r>
              <w:rPr>
                <w:rFonts w:ascii="Arial" w:cs="Arial" w:eastAsia="Arial" w:hAnsi="Arial"/>
                <w:sz w:val="12"/>
                <w:szCs w:val="12"/>
                <w:b w:val="1"/>
                <w:bCs w:val="1"/>
                <w:color w:val="FFFFFF"/>
              </w:rPr>
              <w:t>Up to</w:t>
            </w:r>
          </w:p>
        </w:tc>
        <w:tc>
          <w:tcPr>
            <w:tcW w:w="900" w:type="dxa"/>
            <w:vAlign w:val="bottom"/>
            <w:tcBorders>
              <w:right w:val="single" w:sz="8" w:color="auto"/>
            </w:tcBorders>
            <w:shd w:val="clear" w:color="auto" w:fill="2AD2C9"/>
          </w:tcPr>
          <w:p>
            <w:pPr>
              <w:jc w:val="center"/>
              <w:spacing w:after="0" w:line="129" w:lineRule="exact"/>
              <w:rPr>
                <w:sz w:val="20"/>
                <w:szCs w:val="20"/>
                <w:color w:val="auto"/>
              </w:rPr>
            </w:pPr>
            <w:r>
              <w:rPr>
                <w:rFonts w:ascii="Arial" w:cs="Arial" w:eastAsia="Arial" w:hAnsi="Arial"/>
                <w:sz w:val="12"/>
                <w:szCs w:val="12"/>
                <w:b w:val="1"/>
                <w:bCs w:val="1"/>
                <w:color w:val="FFFFFF"/>
                <w:w w:val="95"/>
              </w:rPr>
              <w:t>Change</w:t>
            </w:r>
          </w:p>
        </w:tc>
      </w:tr>
      <w:tr>
        <w:trPr>
          <w:trHeight w:val="135"/>
        </w:trPr>
        <w:tc>
          <w:tcPr>
            <w:tcW w:w="410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102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5"/>
              </w:rPr>
              <w:t>4Q24</w:t>
            </w:r>
          </w:p>
        </w:tc>
        <w:tc>
          <w:tcPr>
            <w:tcW w:w="104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5"/>
              </w:rPr>
              <w:t>3Q25</w:t>
            </w:r>
          </w:p>
        </w:tc>
        <w:tc>
          <w:tcPr>
            <w:tcW w:w="108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rPr>
              <w:t>4Q25</w:t>
            </w:r>
          </w:p>
        </w:tc>
        <w:tc>
          <w:tcPr>
            <w:tcW w:w="76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9"/>
              </w:rPr>
              <w:t>QoQ</w:t>
            </w:r>
          </w:p>
        </w:tc>
        <w:tc>
          <w:tcPr>
            <w:tcW w:w="82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4"/>
              </w:rPr>
              <w:t>YoY</w:t>
            </w:r>
          </w:p>
        </w:tc>
        <w:tc>
          <w:tcPr>
            <w:tcW w:w="76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7"/>
              </w:rPr>
              <w:t>2024</w:t>
            </w:r>
          </w:p>
        </w:tc>
        <w:tc>
          <w:tcPr>
            <w:tcW w:w="80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7"/>
              </w:rPr>
              <w:t>2025</w:t>
            </w:r>
          </w:p>
        </w:tc>
        <w:tc>
          <w:tcPr>
            <w:tcW w:w="90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8"/>
              </w:rPr>
              <w:t>2025/2024</w:t>
            </w:r>
          </w:p>
        </w:tc>
      </w:tr>
      <w:tr>
        <w:trPr>
          <w:trHeight w:val="117"/>
        </w:trPr>
        <w:tc>
          <w:tcPr>
            <w:tcW w:w="4100" w:type="dxa"/>
            <w:vAlign w:val="bottom"/>
            <w:tcBorders>
              <w:left w:val="single" w:sz="8" w:color="auto"/>
              <w:right w:val="single" w:sz="8" w:color="auto"/>
            </w:tcBorders>
          </w:tcPr>
          <w:p>
            <w:pPr>
              <w:spacing w:after="0" w:line="117" w:lineRule="exact"/>
              <w:rPr>
                <w:sz w:val="20"/>
                <w:szCs w:val="20"/>
                <w:color w:val="auto"/>
              </w:rPr>
            </w:pPr>
            <w:r>
              <w:rPr>
                <w:rFonts w:ascii="Arial" w:cs="Arial" w:eastAsia="Arial" w:hAnsi="Arial"/>
                <w:sz w:val="12"/>
                <w:szCs w:val="12"/>
                <w:color w:val="auto"/>
              </w:rPr>
              <w:t>Efficiency ratio</w:t>
            </w:r>
          </w:p>
        </w:tc>
        <w:tc>
          <w:tcPr>
            <w:tcW w:w="1020" w:type="dxa"/>
            <w:vAlign w:val="bottom"/>
          </w:tcPr>
          <w:p>
            <w:pPr>
              <w:jc w:val="center"/>
              <w:spacing w:after="0" w:line="117" w:lineRule="exact"/>
              <w:rPr>
                <w:sz w:val="20"/>
                <w:szCs w:val="20"/>
                <w:color w:val="auto"/>
              </w:rPr>
            </w:pPr>
            <w:r>
              <w:rPr>
                <w:rFonts w:ascii="Arial" w:cs="Arial" w:eastAsia="Arial" w:hAnsi="Arial"/>
                <w:sz w:val="12"/>
                <w:szCs w:val="12"/>
                <w:color w:val="auto"/>
                <w:w w:val="93"/>
              </w:rPr>
              <w:t>52.2%</w:t>
            </w:r>
          </w:p>
        </w:tc>
        <w:tc>
          <w:tcPr>
            <w:tcW w:w="1040" w:type="dxa"/>
            <w:vAlign w:val="bottom"/>
          </w:tcPr>
          <w:p>
            <w:pPr>
              <w:jc w:val="center"/>
              <w:spacing w:after="0" w:line="117" w:lineRule="exact"/>
              <w:rPr>
                <w:sz w:val="20"/>
                <w:szCs w:val="20"/>
                <w:color w:val="auto"/>
              </w:rPr>
            </w:pPr>
            <w:r>
              <w:rPr>
                <w:rFonts w:ascii="Arial" w:cs="Arial" w:eastAsia="Arial" w:hAnsi="Arial"/>
                <w:sz w:val="12"/>
                <w:szCs w:val="12"/>
                <w:color w:val="auto"/>
                <w:w w:val="93"/>
              </w:rPr>
              <w:t>49.4%</w:t>
            </w:r>
          </w:p>
        </w:tc>
        <w:tc>
          <w:tcPr>
            <w:tcW w:w="10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9"/>
              </w:rPr>
              <w:t>49.6%</w:t>
            </w:r>
          </w:p>
        </w:tc>
        <w:tc>
          <w:tcPr>
            <w:tcW w:w="760" w:type="dxa"/>
            <w:vAlign w:val="bottom"/>
          </w:tcPr>
          <w:p>
            <w:pPr>
              <w:jc w:val="center"/>
              <w:spacing w:after="0" w:line="117" w:lineRule="exact"/>
              <w:rPr>
                <w:sz w:val="20"/>
                <w:szCs w:val="20"/>
                <w:color w:val="auto"/>
              </w:rPr>
            </w:pPr>
            <w:r>
              <w:rPr>
                <w:rFonts w:ascii="Arial" w:cs="Arial" w:eastAsia="Arial" w:hAnsi="Arial"/>
                <w:sz w:val="12"/>
                <w:szCs w:val="12"/>
                <w:color w:val="auto"/>
                <w:w w:val="99"/>
              </w:rPr>
              <w:t>14 bps</w:t>
            </w:r>
          </w:p>
        </w:tc>
        <w:tc>
          <w:tcPr>
            <w:tcW w:w="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8"/>
              </w:rPr>
              <w:t>-264 bps</w:t>
            </w:r>
          </w:p>
        </w:tc>
        <w:tc>
          <w:tcPr>
            <w:tcW w:w="760" w:type="dxa"/>
            <w:vAlign w:val="bottom"/>
          </w:tcPr>
          <w:p>
            <w:pPr>
              <w:jc w:val="center"/>
              <w:spacing w:after="0" w:line="117" w:lineRule="exact"/>
              <w:rPr>
                <w:sz w:val="20"/>
                <w:szCs w:val="20"/>
                <w:color w:val="auto"/>
              </w:rPr>
            </w:pPr>
            <w:r>
              <w:rPr>
                <w:rFonts w:ascii="Arial" w:cs="Arial" w:eastAsia="Arial" w:hAnsi="Arial"/>
                <w:sz w:val="12"/>
                <w:szCs w:val="12"/>
                <w:color w:val="auto"/>
                <w:w w:val="93"/>
              </w:rPr>
              <w:t>52.7%</w:t>
            </w:r>
          </w:p>
        </w:tc>
        <w:tc>
          <w:tcPr>
            <w:tcW w:w="8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9"/>
              </w:rPr>
              <w:t>50.9%</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8"/>
              </w:rPr>
              <w:t>-176 bps</w:t>
            </w:r>
          </w:p>
        </w:tc>
      </w:tr>
      <w:tr>
        <w:trPr>
          <w:trHeight w:val="135"/>
        </w:trPr>
        <w:tc>
          <w:tcPr>
            <w:tcW w:w="41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ROAE</w:t>
            </w:r>
          </w:p>
        </w:tc>
        <w:tc>
          <w:tcPr>
            <w:tcW w:w="1020" w:type="dxa"/>
            <w:vAlign w:val="bottom"/>
          </w:tcPr>
          <w:p>
            <w:pPr>
              <w:jc w:val="center"/>
              <w:spacing w:after="0" w:line="135" w:lineRule="exact"/>
              <w:rPr>
                <w:sz w:val="20"/>
                <w:szCs w:val="20"/>
                <w:color w:val="auto"/>
              </w:rPr>
            </w:pPr>
            <w:r>
              <w:rPr>
                <w:rFonts w:ascii="Arial" w:cs="Arial" w:eastAsia="Arial" w:hAnsi="Arial"/>
                <w:sz w:val="12"/>
                <w:szCs w:val="12"/>
                <w:color w:val="auto"/>
                <w:w w:val="93"/>
              </w:rPr>
              <w:t>17.3%</w:t>
            </w: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3"/>
              </w:rPr>
              <w:t>18.8%</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20.0%</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8"/>
              </w:rPr>
              <w:t>123 bps</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270 bps</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3"/>
              </w:rPr>
              <w:t>10.9%</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16.6%</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573 bps</w:t>
            </w:r>
          </w:p>
        </w:tc>
      </w:tr>
      <w:tr>
        <w:trPr>
          <w:trHeight w:val="147"/>
        </w:trPr>
        <w:tc>
          <w:tcPr>
            <w:tcW w:w="410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ROAE incl. GoodWill</w:t>
            </w:r>
          </w:p>
        </w:tc>
        <w:tc>
          <w:tcPr>
            <w:tcW w:w="1020" w:type="dxa"/>
            <w:vAlign w:val="bottom"/>
          </w:tcPr>
          <w:p>
            <w:pPr>
              <w:jc w:val="center"/>
              <w:spacing w:after="0"/>
              <w:rPr>
                <w:sz w:val="20"/>
                <w:szCs w:val="20"/>
                <w:color w:val="auto"/>
              </w:rPr>
            </w:pPr>
            <w:r>
              <w:rPr>
                <w:rFonts w:ascii="Arial" w:cs="Arial" w:eastAsia="Arial" w:hAnsi="Arial"/>
                <w:sz w:val="12"/>
                <w:szCs w:val="12"/>
                <w:color w:val="auto"/>
                <w:w w:val="93"/>
              </w:rPr>
              <w:t>16.4%</w:t>
            </w:r>
          </w:p>
        </w:tc>
        <w:tc>
          <w:tcPr>
            <w:tcW w:w="1040" w:type="dxa"/>
            <w:vAlign w:val="bottom"/>
          </w:tcPr>
          <w:p>
            <w:pPr>
              <w:jc w:val="center"/>
              <w:spacing w:after="0"/>
              <w:rPr>
                <w:sz w:val="20"/>
                <w:szCs w:val="20"/>
                <w:color w:val="auto"/>
              </w:rPr>
            </w:pPr>
            <w:r>
              <w:rPr>
                <w:rFonts w:ascii="Arial" w:cs="Arial" w:eastAsia="Arial" w:hAnsi="Arial"/>
                <w:sz w:val="12"/>
                <w:szCs w:val="12"/>
                <w:color w:val="auto"/>
                <w:w w:val="93"/>
              </w:rPr>
              <w:t>17.8%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19.0%</w:t>
            </w:r>
          </w:p>
        </w:tc>
        <w:tc>
          <w:tcPr>
            <w:tcW w:w="760" w:type="dxa"/>
            <w:vAlign w:val="bottom"/>
          </w:tcPr>
          <w:p>
            <w:pPr>
              <w:jc w:val="center"/>
              <w:spacing w:after="0"/>
              <w:rPr>
                <w:sz w:val="20"/>
                <w:szCs w:val="20"/>
                <w:color w:val="auto"/>
              </w:rPr>
            </w:pPr>
            <w:r>
              <w:rPr>
                <w:rFonts w:ascii="Arial" w:cs="Arial" w:eastAsia="Arial" w:hAnsi="Arial"/>
                <w:sz w:val="12"/>
                <w:szCs w:val="12"/>
                <w:color w:val="auto"/>
                <w:w w:val="98"/>
              </w:rPr>
              <w:t>121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257 bps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15.8%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543 bps</w:t>
            </w:r>
          </w:p>
        </w:tc>
      </w:tr>
      <w:tr>
        <w:trPr>
          <w:trHeight w:val="117"/>
        </w:trPr>
        <w:tc>
          <w:tcPr>
            <w:tcW w:w="4100" w:type="dxa"/>
            <w:vAlign w:val="bottom"/>
            <w:tcBorders>
              <w:left w:val="single" w:sz="8" w:color="auto"/>
              <w:right w:val="single" w:sz="8" w:color="auto"/>
            </w:tcBorders>
          </w:tcPr>
          <w:p>
            <w:pPr>
              <w:spacing w:after="0" w:line="117" w:lineRule="exact"/>
              <w:rPr>
                <w:sz w:val="20"/>
                <w:szCs w:val="20"/>
                <w:color w:val="auto"/>
              </w:rPr>
            </w:pPr>
            <w:r>
              <w:rPr>
                <w:rFonts w:ascii="Arial" w:cs="Arial" w:eastAsia="Arial" w:hAnsi="Arial"/>
                <w:sz w:val="12"/>
                <w:szCs w:val="12"/>
                <w:color w:val="auto"/>
              </w:rPr>
              <w:t>L/D ratio</w:t>
            </w:r>
          </w:p>
        </w:tc>
        <w:tc>
          <w:tcPr>
            <w:tcW w:w="1020" w:type="dxa"/>
            <w:vAlign w:val="bottom"/>
          </w:tcPr>
          <w:p>
            <w:pPr>
              <w:jc w:val="center"/>
              <w:spacing w:after="0" w:line="117" w:lineRule="exact"/>
              <w:rPr>
                <w:sz w:val="20"/>
                <w:szCs w:val="20"/>
                <w:color w:val="auto"/>
              </w:rPr>
            </w:pPr>
            <w:r>
              <w:rPr>
                <w:rFonts w:ascii="Arial" w:cs="Arial" w:eastAsia="Arial" w:hAnsi="Arial"/>
                <w:sz w:val="12"/>
                <w:szCs w:val="12"/>
                <w:color w:val="auto"/>
                <w:w w:val="98"/>
              </w:rPr>
              <w:t>110.7%</w:t>
            </w:r>
          </w:p>
        </w:tc>
        <w:tc>
          <w:tcPr>
            <w:tcW w:w="1040" w:type="dxa"/>
            <w:vAlign w:val="bottom"/>
          </w:tcPr>
          <w:p>
            <w:pPr>
              <w:jc w:val="center"/>
              <w:spacing w:after="0" w:line="117" w:lineRule="exact"/>
              <w:rPr>
                <w:sz w:val="20"/>
                <w:szCs w:val="20"/>
                <w:color w:val="auto"/>
              </w:rPr>
            </w:pPr>
            <w:r>
              <w:rPr>
                <w:rFonts w:ascii="Arial" w:cs="Arial" w:eastAsia="Arial" w:hAnsi="Arial"/>
                <w:sz w:val="12"/>
                <w:szCs w:val="12"/>
                <w:color w:val="auto"/>
                <w:w w:val="98"/>
              </w:rPr>
              <w:t>120.2%</w:t>
            </w:r>
          </w:p>
        </w:tc>
        <w:tc>
          <w:tcPr>
            <w:tcW w:w="10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8"/>
              </w:rPr>
              <w:t>122.7%</w:t>
            </w:r>
          </w:p>
        </w:tc>
        <w:tc>
          <w:tcPr>
            <w:tcW w:w="760" w:type="dxa"/>
            <w:vAlign w:val="bottom"/>
          </w:tcPr>
          <w:p>
            <w:pPr>
              <w:jc w:val="center"/>
              <w:spacing w:after="0" w:line="117" w:lineRule="exact"/>
              <w:rPr>
                <w:sz w:val="20"/>
                <w:szCs w:val="20"/>
                <w:color w:val="auto"/>
              </w:rPr>
            </w:pPr>
            <w:r>
              <w:rPr>
                <w:rFonts w:ascii="Arial" w:cs="Arial" w:eastAsia="Arial" w:hAnsi="Arial"/>
                <w:sz w:val="12"/>
                <w:szCs w:val="12"/>
                <w:color w:val="auto"/>
                <w:w w:val="98"/>
              </w:rPr>
              <w:t>254 bps</w:t>
            </w:r>
          </w:p>
        </w:tc>
        <w:tc>
          <w:tcPr>
            <w:tcW w:w="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7"/>
              </w:rPr>
              <w:t>1205 bps</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5"/>
        </w:trPr>
        <w:tc>
          <w:tcPr>
            <w:tcW w:w="41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IOL ratio</w:t>
            </w:r>
          </w:p>
        </w:tc>
        <w:tc>
          <w:tcPr>
            <w:tcW w:w="1020" w:type="dxa"/>
            <w:vAlign w:val="bottom"/>
          </w:tcPr>
          <w:p>
            <w:pPr>
              <w:jc w:val="center"/>
              <w:spacing w:after="0" w:line="135" w:lineRule="exact"/>
              <w:rPr>
                <w:sz w:val="20"/>
                <w:szCs w:val="20"/>
                <w:color w:val="auto"/>
              </w:rPr>
            </w:pPr>
            <w:r>
              <w:rPr>
                <w:rFonts w:ascii="Arial" w:cs="Arial" w:eastAsia="Arial" w:hAnsi="Arial"/>
                <w:sz w:val="12"/>
                <w:szCs w:val="12"/>
                <w:color w:val="auto"/>
              </w:rPr>
              <w:t>6.6%</w:t>
            </w: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4"/>
              </w:rPr>
              <w:t>4.7%</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4.3%</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9"/>
              </w:rPr>
              <w:t>-39 bps</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-225 bps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1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NPL ratio</w:t>
            </w:r>
          </w:p>
        </w:tc>
        <w:tc>
          <w:tcPr>
            <w:tcW w:w="1020" w:type="dxa"/>
            <w:vAlign w:val="bottom"/>
          </w:tcPr>
          <w:p>
            <w:pPr>
              <w:jc w:val="center"/>
              <w:spacing w:after="0" w:line="135" w:lineRule="exact"/>
              <w:rPr>
                <w:sz w:val="20"/>
                <w:szCs w:val="20"/>
                <w:color w:val="auto"/>
              </w:rPr>
            </w:pPr>
            <w:r>
              <w:rPr>
                <w:rFonts w:ascii="Arial" w:cs="Arial" w:eastAsia="Arial" w:hAnsi="Arial"/>
                <w:sz w:val="12"/>
                <w:szCs w:val="12"/>
                <w:color w:val="auto"/>
              </w:rPr>
              <w:t>7.4%</w:t>
            </w: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4"/>
              </w:rPr>
              <w:t>5.7%</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5.3%</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9"/>
              </w:rPr>
              <w:t>-43 bps</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-216 bps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410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Coverage of IOLs</w:t>
            </w:r>
          </w:p>
        </w:tc>
        <w:tc>
          <w:tcPr>
            <w:tcW w:w="1020" w:type="dxa"/>
            <w:vAlign w:val="bottom"/>
          </w:tcPr>
          <w:p>
            <w:pPr>
              <w:jc w:val="center"/>
              <w:spacing w:after="0" w:line="135" w:lineRule="exact"/>
              <w:rPr>
                <w:sz w:val="20"/>
                <w:szCs w:val="20"/>
                <w:color w:val="auto"/>
              </w:rPr>
            </w:pPr>
            <w:r>
              <w:rPr>
                <w:rFonts w:ascii="Arial" w:cs="Arial" w:eastAsia="Arial" w:hAnsi="Arial"/>
                <w:sz w:val="12"/>
                <w:szCs w:val="12"/>
                <w:color w:val="auto"/>
                <w:w w:val="98"/>
              </w:rPr>
              <w:t>115.3%</w:t>
            </w: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8"/>
              </w:rPr>
              <w:t>146.8%</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155.7%</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8"/>
              </w:rPr>
              <w:t>889 bps</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7"/>
              </w:rPr>
              <w:t>4040 bps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7"/>
        </w:trPr>
        <w:tc>
          <w:tcPr>
            <w:tcW w:w="41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Coverage of NPLs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101.7%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121.0%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127.1%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612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2536 bps</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0"/>
        </w:trPr>
        <w:tc>
          <w:tcPr>
            <w:tcW w:w="4100" w:type="dxa"/>
            <w:vAlign w:val="bottom"/>
            <w:tcBorders>
              <w:left w:val="single" w:sz="8" w:color="auto"/>
              <w:right w:val="single" w:sz="8" w:color="auto"/>
            </w:tcBorders>
          </w:tcPr>
          <w:p>
            <w:pPr>
              <w:spacing w:after="0" w:line="131" w:lineRule="exact"/>
              <w:rPr>
                <w:sz w:val="20"/>
                <w:szCs w:val="20"/>
                <w:color w:val="auto"/>
              </w:rPr>
            </w:pPr>
            <w:r>
              <w:rPr>
                <w:rFonts w:ascii="Arial" w:cs="Arial" w:eastAsia="Arial" w:hAnsi="Arial"/>
                <w:sz w:val="10"/>
                <w:szCs w:val="10"/>
                <w:color w:val="auto"/>
              </w:rPr>
              <w:t xml:space="preserve">Branches </w:t>
            </w:r>
            <w:r>
              <w:rPr>
                <w:rFonts w:ascii="Arial" w:cs="Arial" w:eastAsia="Arial" w:hAnsi="Arial"/>
                <w:sz w:val="15"/>
                <w:szCs w:val="15"/>
                <w:color w:val="auto"/>
                <w:vertAlign w:val="superscript"/>
              </w:rPr>
              <w:t>(1)</w:t>
            </w:r>
          </w:p>
        </w:tc>
        <w:tc>
          <w:tcPr>
            <w:tcW w:w="1020" w:type="dxa"/>
            <w:vAlign w:val="bottom"/>
          </w:tcPr>
          <w:p>
            <w:pPr>
              <w:jc w:val="center"/>
              <w:spacing w:after="0" w:line="130" w:lineRule="exact"/>
              <w:rPr>
                <w:sz w:val="20"/>
                <w:szCs w:val="20"/>
                <w:color w:val="auto"/>
              </w:rPr>
            </w:pPr>
            <w:r>
              <w:rPr>
                <w:rFonts w:ascii="Arial" w:cs="Arial" w:eastAsia="Arial" w:hAnsi="Arial"/>
                <w:sz w:val="12"/>
                <w:szCs w:val="12"/>
                <w:color w:val="auto"/>
                <w:w w:val="99"/>
              </w:rPr>
              <w:t>283</w:t>
            </w:r>
          </w:p>
        </w:tc>
        <w:tc>
          <w:tcPr>
            <w:tcW w:w="1040" w:type="dxa"/>
            <w:vAlign w:val="bottom"/>
          </w:tcPr>
          <w:p>
            <w:pPr>
              <w:jc w:val="center"/>
              <w:spacing w:after="0" w:line="130" w:lineRule="exact"/>
              <w:rPr>
                <w:sz w:val="20"/>
                <w:szCs w:val="20"/>
                <w:color w:val="auto"/>
              </w:rPr>
            </w:pPr>
            <w:r>
              <w:rPr>
                <w:rFonts w:ascii="Arial" w:cs="Arial" w:eastAsia="Arial" w:hAnsi="Arial"/>
                <w:sz w:val="12"/>
                <w:szCs w:val="12"/>
                <w:color w:val="auto"/>
                <w:w w:val="99"/>
              </w:rPr>
              <w:t>282</w:t>
            </w:r>
          </w:p>
        </w:tc>
        <w:tc>
          <w:tcPr>
            <w:tcW w:w="108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89"/>
              </w:rPr>
              <w:t>280</w:t>
            </w:r>
          </w:p>
        </w:tc>
        <w:tc>
          <w:tcPr>
            <w:tcW w:w="760" w:type="dxa"/>
            <w:vAlign w:val="bottom"/>
          </w:tcPr>
          <w:p>
            <w:pPr>
              <w:jc w:val="center"/>
              <w:spacing w:after="0" w:line="130" w:lineRule="exact"/>
              <w:rPr>
                <w:sz w:val="20"/>
                <w:szCs w:val="20"/>
                <w:color w:val="auto"/>
              </w:rPr>
            </w:pPr>
            <w:r>
              <w:rPr>
                <w:rFonts w:ascii="Arial" w:cs="Arial" w:eastAsia="Arial" w:hAnsi="Arial"/>
                <w:sz w:val="12"/>
                <w:szCs w:val="12"/>
                <w:color w:val="auto"/>
                <w:w w:val="93"/>
              </w:rPr>
              <w:t>-2</w:t>
            </w:r>
          </w:p>
        </w:tc>
        <w:tc>
          <w:tcPr>
            <w:tcW w:w="8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color w:val="auto"/>
                <w:w w:val="93"/>
              </w:rPr>
              <w:t>-3</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7"/>
        </w:trPr>
        <w:tc>
          <w:tcPr>
            <w:tcW w:w="41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Employees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9,950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9,569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9,485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-84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-465</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7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(1) Includes Banco de la Nacion branches, which in December 24 were 36, in September 25 were 37 and in December 25 were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862965</wp:posOffset>
            </wp:positionV>
            <wp:extent cx="71577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133985</wp:posOffset>
            </wp:positionV>
            <wp:extent cx="6780530" cy="6254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80530" cy="62547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70" w:name="page71"/>
    <w:bookmarkEnd w:id="70"/>
    <w:p>
      <w:pPr>
        <w:jc w:val="both"/>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9700"/>
        <w:spacing w:after="0"/>
        <w:rPr>
          <w:sz w:val="20"/>
          <w:szCs w:val="20"/>
          <w:color w:val="auto"/>
        </w:rPr>
      </w:pPr>
      <w:r>
        <w:rPr>
          <w:rFonts w:ascii="Arial" w:cs="Arial" w:eastAsia="Arial" w:hAnsi="Arial"/>
          <w:sz w:val="22"/>
          <w:szCs w:val="22"/>
          <w:b w:val="1"/>
          <w:bCs w:val="1"/>
          <w:color w:val="FFFFFF"/>
        </w:rPr>
        <w:t>12. Appendix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12.7.7. Prima AFP</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Financial Position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208" w:lineRule="exact"/>
        <w:rPr>
          <w:sz w:val="20"/>
          <w:szCs w:val="20"/>
          <w:color w:val="auto"/>
        </w:rPr>
      </w:pPr>
    </w:p>
    <w:tbl>
      <w:tblPr>
        <w:tblLayout w:type="fixed"/>
        <w:tblInd w:w="1130" w:type="dxa"/>
        <w:tblCellMar>
          <w:top w:w="0" w:type="dxa"/>
          <w:left w:w="0" w:type="dxa"/>
          <w:bottom w:w="0" w:type="dxa"/>
          <w:right w:w="0" w:type="dxa"/>
        </w:tblCellMar>
      </w:tblPr>
      <w:tr>
        <w:trPr>
          <w:trHeight w:val="125"/>
        </w:trPr>
        <w:tc>
          <w:tcPr>
            <w:tcW w:w="426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940" w:type="dxa"/>
            <w:vAlign w:val="bottom"/>
            <w:tcBorders>
              <w:top w:val="single" w:sz="8" w:color="auto"/>
            </w:tcBorders>
            <w:shd w:val="clear" w:color="auto" w:fill="2AD2C9"/>
          </w:tcPr>
          <w:p>
            <w:pPr>
              <w:spacing w:after="0"/>
              <w:rPr>
                <w:sz w:val="10"/>
                <w:szCs w:val="10"/>
                <w:color w:val="auto"/>
              </w:rPr>
            </w:pPr>
          </w:p>
        </w:tc>
        <w:tc>
          <w:tcPr>
            <w:tcW w:w="960" w:type="dxa"/>
            <w:vAlign w:val="bottom"/>
            <w:tcBorders>
              <w:top w:val="single" w:sz="8" w:color="auto"/>
            </w:tcBorders>
            <w:shd w:val="clear" w:color="auto" w:fill="2AD2C9"/>
          </w:tcPr>
          <w:p>
            <w:pPr>
              <w:jc w:val="center"/>
              <w:spacing w:after="0" w:line="124" w:lineRule="exact"/>
              <w:rPr>
                <w:sz w:val="20"/>
                <w:szCs w:val="20"/>
                <w:color w:val="auto"/>
              </w:rPr>
            </w:pPr>
            <w:r>
              <w:rPr>
                <w:rFonts w:ascii="Arial" w:cs="Arial" w:eastAsia="Arial" w:hAnsi="Arial"/>
                <w:sz w:val="13"/>
                <w:szCs w:val="13"/>
                <w:b w:val="1"/>
                <w:bCs w:val="1"/>
                <w:color w:val="FFFFFF"/>
                <w:w w:val="98"/>
              </w:rPr>
              <w:t>As of</w:t>
            </w:r>
          </w:p>
        </w:tc>
        <w:tc>
          <w:tcPr>
            <w:tcW w:w="960" w:type="dxa"/>
            <w:vAlign w:val="bottom"/>
            <w:tcBorders>
              <w:top w:val="single" w:sz="8" w:color="auto"/>
              <w:right w:val="single" w:sz="8" w:color="auto"/>
            </w:tcBorders>
            <w:shd w:val="clear" w:color="auto" w:fill="2AD2C9"/>
          </w:tcPr>
          <w:p>
            <w:pPr>
              <w:spacing w:after="0"/>
              <w:rPr>
                <w:sz w:val="10"/>
                <w:szCs w:val="10"/>
                <w:color w:val="auto"/>
              </w:rPr>
            </w:pPr>
          </w:p>
        </w:tc>
        <w:tc>
          <w:tcPr>
            <w:tcW w:w="1920" w:type="dxa"/>
            <w:vAlign w:val="bottom"/>
            <w:tcBorders>
              <w:top w:val="single" w:sz="8" w:color="auto"/>
              <w:right w:val="single" w:sz="8" w:color="auto"/>
            </w:tcBorders>
            <w:gridSpan w:val="2"/>
            <w:shd w:val="clear" w:color="auto" w:fill="2AD2C9"/>
          </w:tcPr>
          <w:p>
            <w:pPr>
              <w:ind w:left="640"/>
              <w:spacing w:after="0" w:line="124" w:lineRule="exact"/>
              <w:rPr>
                <w:sz w:val="20"/>
                <w:szCs w:val="20"/>
                <w:color w:val="auto"/>
              </w:rPr>
            </w:pPr>
            <w:r>
              <w:rPr>
                <w:rFonts w:ascii="Arial" w:cs="Arial" w:eastAsia="Arial" w:hAnsi="Arial"/>
                <w:sz w:val="13"/>
                <w:szCs w:val="13"/>
                <w:b w:val="1"/>
                <w:bCs w:val="1"/>
                <w:color w:val="FFFFFF"/>
              </w:rPr>
              <w:t>% change</w:t>
            </w:r>
          </w:p>
        </w:tc>
      </w:tr>
      <w:tr>
        <w:trPr>
          <w:trHeight w:val="159"/>
        </w:trPr>
        <w:tc>
          <w:tcPr>
            <w:tcW w:w="4260" w:type="dxa"/>
            <w:vAlign w:val="bottom"/>
            <w:tcBorders>
              <w:left w:val="single" w:sz="8" w:color="auto"/>
              <w:bottom w:val="single" w:sz="8" w:color="auto"/>
              <w:right w:val="single" w:sz="8" w:color="auto"/>
            </w:tcBorders>
            <w:shd w:val="clear" w:color="auto" w:fill="2AD2C9"/>
          </w:tcPr>
          <w:p>
            <w:pPr>
              <w:spacing w:after="0"/>
              <w:rPr>
                <w:sz w:val="13"/>
                <w:szCs w:val="13"/>
                <w:color w:val="auto"/>
              </w:rPr>
            </w:pPr>
          </w:p>
        </w:tc>
        <w:tc>
          <w:tcPr>
            <w:tcW w:w="9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Dec 24</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5"/>
              </w:rPr>
              <w:t>Sep 25</w:t>
            </w:r>
          </w:p>
        </w:tc>
        <w:tc>
          <w:tcPr>
            <w:tcW w:w="96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Dec 25</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2"/>
              </w:rPr>
              <w:t>QoQ</w:t>
            </w:r>
          </w:p>
        </w:tc>
        <w:tc>
          <w:tcPr>
            <w:tcW w:w="98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3"/>
                <w:szCs w:val="13"/>
                <w:b w:val="1"/>
                <w:bCs w:val="1"/>
                <w:color w:val="FFFFFF"/>
              </w:rPr>
              <w:t>YoY</w:t>
            </w:r>
          </w:p>
        </w:tc>
      </w:tr>
      <w:tr>
        <w:trPr>
          <w:trHeight w:val="107"/>
        </w:trPr>
        <w:tc>
          <w:tcPr>
            <w:tcW w:w="4260" w:type="dxa"/>
            <w:vAlign w:val="bottom"/>
            <w:tcBorders>
              <w:left w:val="single" w:sz="8" w:color="auto"/>
              <w:right w:val="single" w:sz="8" w:color="auto"/>
            </w:tcBorders>
          </w:tcPr>
          <w:p>
            <w:pPr>
              <w:ind w:left="20"/>
              <w:spacing w:after="0" w:line="107" w:lineRule="exact"/>
              <w:rPr>
                <w:sz w:val="20"/>
                <w:szCs w:val="20"/>
                <w:color w:val="auto"/>
              </w:rPr>
            </w:pPr>
            <w:r>
              <w:rPr>
                <w:rFonts w:ascii="Arial" w:cs="Arial" w:eastAsia="Arial" w:hAnsi="Arial"/>
                <w:sz w:val="12"/>
                <w:szCs w:val="12"/>
                <w:b w:val="1"/>
                <w:bCs w:val="1"/>
                <w:color w:val="auto"/>
              </w:rPr>
              <w:t>Cash and due from banks</w:t>
            </w:r>
          </w:p>
        </w:tc>
        <w:tc>
          <w:tcPr>
            <w:tcW w:w="9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123,278</w:t>
            </w:r>
          </w:p>
        </w:tc>
        <w:tc>
          <w:tcPr>
            <w:tcW w:w="9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52,644</w:t>
            </w:r>
          </w:p>
        </w:tc>
        <w:tc>
          <w:tcPr>
            <w:tcW w:w="9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126,874</w:t>
            </w:r>
          </w:p>
        </w:tc>
        <w:tc>
          <w:tcPr>
            <w:tcW w:w="9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141.0%</w:t>
            </w:r>
          </w:p>
        </w:tc>
        <w:tc>
          <w:tcPr>
            <w:tcW w:w="9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2.9%</w:t>
            </w:r>
          </w:p>
        </w:tc>
      </w:tr>
      <w:tr>
        <w:trPr>
          <w:trHeight w:val="135"/>
        </w:trPr>
        <w:tc>
          <w:tcPr>
            <w:tcW w:w="42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Non-interest bearing</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8"/>
              </w:rPr>
              <w:t>3,779</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8"/>
              </w:rPr>
              <w:t>3,595</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1,458</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-59.4%</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-61.4%</w:t>
            </w:r>
          </w:p>
        </w:tc>
      </w:tr>
      <w:tr>
        <w:trPr>
          <w:trHeight w:val="135"/>
        </w:trPr>
        <w:tc>
          <w:tcPr>
            <w:tcW w:w="42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Interest bearing</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3"/>
              </w:rPr>
              <w:t>119,499</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rPr>
              <w:t>49,049</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125,416</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5"/>
              </w:rPr>
              <w:t>155.7%</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5.0%</w:t>
            </w:r>
          </w:p>
        </w:tc>
      </w:tr>
      <w:tr>
        <w:trPr>
          <w:trHeight w:val="135"/>
        </w:trPr>
        <w:tc>
          <w:tcPr>
            <w:tcW w:w="42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Fair value through profit or loss investments</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306,759</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3"/>
              </w:rPr>
              <w:t>371,402</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335,803</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9"/>
              </w:rPr>
              <w:t>-9.6%</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9.5%</w:t>
            </w:r>
          </w:p>
        </w:tc>
      </w:tr>
      <w:tr>
        <w:trPr>
          <w:trHeight w:val="135"/>
        </w:trPr>
        <w:tc>
          <w:tcPr>
            <w:tcW w:w="42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Fair value through other comprehensive income investments</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8"/>
              </w:rPr>
              <w:t>1,218</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8"/>
              </w:rPr>
              <w:t>1,729</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1,543</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-10.8%</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26.7%</w:t>
            </w:r>
          </w:p>
        </w:tc>
      </w:tr>
      <w:tr>
        <w:trPr>
          <w:trHeight w:val="135"/>
        </w:trPr>
        <w:tc>
          <w:tcPr>
            <w:tcW w:w="4260" w:type="dxa"/>
            <w:vAlign w:val="bottom"/>
            <w:tcBorders>
              <w:left w:val="single" w:sz="8" w:color="auto"/>
              <w:right w:val="single" w:sz="8" w:color="auto"/>
            </w:tcBorders>
          </w:tcPr>
          <w:p>
            <w:pPr>
              <w:ind w:left="180"/>
              <w:spacing w:after="0" w:line="135" w:lineRule="exact"/>
              <w:rPr>
                <w:sz w:val="20"/>
                <w:szCs w:val="20"/>
                <w:color w:val="auto"/>
              </w:rPr>
            </w:pPr>
            <w:r>
              <w:rPr>
                <w:rFonts w:ascii="Arial" w:cs="Arial" w:eastAsia="Arial" w:hAnsi="Arial"/>
                <w:sz w:val="13"/>
                <w:szCs w:val="13"/>
                <w:color w:val="auto"/>
              </w:rPr>
              <w:t>Property, plant and equipment, net</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8"/>
              </w:rPr>
              <w:t>7,347</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8"/>
              </w:rPr>
              <w:t>6,084</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5,484</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9"/>
              </w:rPr>
              <w:t>-9.9%</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-25.4%</w:t>
            </w:r>
          </w:p>
        </w:tc>
      </w:tr>
      <w:tr>
        <w:trPr>
          <w:trHeight w:val="133"/>
        </w:trPr>
        <w:tc>
          <w:tcPr>
            <w:tcW w:w="4260" w:type="dxa"/>
            <w:vAlign w:val="bottom"/>
            <w:tcBorders>
              <w:left w:val="single" w:sz="8" w:color="auto"/>
              <w:right w:val="single" w:sz="8" w:color="auto"/>
            </w:tcBorders>
          </w:tcPr>
          <w:p>
            <w:pPr>
              <w:ind w:left="180"/>
              <w:spacing w:after="0" w:line="133" w:lineRule="exact"/>
              <w:rPr>
                <w:sz w:val="20"/>
                <w:szCs w:val="20"/>
                <w:color w:val="auto"/>
              </w:rPr>
            </w:pPr>
            <w:r>
              <w:rPr>
                <w:rFonts w:ascii="Arial" w:cs="Arial" w:eastAsia="Arial" w:hAnsi="Arial"/>
                <w:sz w:val="13"/>
                <w:szCs w:val="13"/>
                <w:color w:val="auto"/>
              </w:rPr>
              <w:t>Other Assets</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219,369</w:t>
            </w:r>
          </w:p>
        </w:tc>
        <w:tc>
          <w:tcPr>
            <w:tcW w:w="960" w:type="dxa"/>
            <w:vAlign w:val="bottom"/>
          </w:tcPr>
          <w:p>
            <w:pPr>
              <w:jc w:val="center"/>
              <w:spacing w:after="0" w:line="133" w:lineRule="exact"/>
              <w:rPr>
                <w:sz w:val="20"/>
                <w:szCs w:val="20"/>
                <w:color w:val="auto"/>
              </w:rPr>
            </w:pPr>
            <w:r>
              <w:rPr>
                <w:rFonts w:ascii="Arial" w:cs="Arial" w:eastAsia="Arial" w:hAnsi="Arial"/>
                <w:sz w:val="13"/>
                <w:szCs w:val="13"/>
                <w:color w:val="auto"/>
                <w:w w:val="93"/>
              </w:rPr>
              <w:t>214,975</w:t>
            </w:r>
          </w:p>
        </w:tc>
        <w:tc>
          <w:tcPr>
            <w:tcW w:w="9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214,805</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9"/>
              </w:rPr>
              <w:t>-0.1%</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9"/>
              </w:rPr>
              <w:t>-2.1%</w:t>
            </w:r>
          </w:p>
        </w:tc>
      </w:tr>
      <w:tr>
        <w:trPr>
          <w:trHeight w:val="137"/>
        </w:trPr>
        <w:tc>
          <w:tcPr>
            <w:tcW w:w="426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rPr>
              <w:t>Total Assets</w:t>
            </w:r>
          </w:p>
        </w:tc>
        <w:tc>
          <w:tcPr>
            <w:tcW w:w="9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7"/>
              </w:rPr>
              <w:t>657,971</w:t>
            </w:r>
          </w:p>
        </w:tc>
        <w:tc>
          <w:tcPr>
            <w:tcW w:w="9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646,834</w:t>
            </w:r>
          </w:p>
        </w:tc>
        <w:tc>
          <w:tcPr>
            <w:tcW w:w="9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684,509</w:t>
            </w:r>
          </w:p>
        </w:tc>
        <w:tc>
          <w:tcPr>
            <w:tcW w:w="9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5.8%</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rPr>
              <w:t>4.0%</w:t>
            </w:r>
          </w:p>
        </w:tc>
      </w:tr>
      <w:tr>
        <w:trPr>
          <w:trHeight w:val="135"/>
        </w:trPr>
        <w:tc>
          <w:tcPr>
            <w:tcW w:w="42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Due to banks and correspondents</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6"/>
              </w:rPr>
              <w:t>22</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rPr>
              <w:t>4</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39</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77.3%</w:t>
            </w:r>
          </w:p>
        </w:tc>
      </w:tr>
      <w:tr>
        <w:trPr>
          <w:trHeight w:val="135"/>
        </w:trPr>
        <w:tc>
          <w:tcPr>
            <w:tcW w:w="42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Lease payable</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8"/>
              </w:rPr>
              <w:t>3,723</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8"/>
              </w:rPr>
              <w:t>2,886</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2,373</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-17.8%</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-36.3%</w:t>
            </w:r>
          </w:p>
        </w:tc>
      </w:tr>
      <w:tr>
        <w:trPr>
          <w:trHeight w:val="133"/>
        </w:trPr>
        <w:tc>
          <w:tcPr>
            <w:tcW w:w="4260" w:type="dxa"/>
            <w:vAlign w:val="bottom"/>
            <w:tcBorders>
              <w:left w:val="single" w:sz="8" w:color="auto"/>
              <w:right w:val="single" w:sz="8" w:color="auto"/>
            </w:tcBorders>
          </w:tcPr>
          <w:p>
            <w:pPr>
              <w:ind w:left="340"/>
              <w:spacing w:after="0" w:line="133" w:lineRule="exact"/>
              <w:rPr>
                <w:sz w:val="20"/>
                <w:szCs w:val="20"/>
                <w:color w:val="auto"/>
              </w:rPr>
            </w:pPr>
            <w:r>
              <w:rPr>
                <w:rFonts w:ascii="Arial" w:cs="Arial" w:eastAsia="Arial" w:hAnsi="Arial"/>
                <w:sz w:val="13"/>
                <w:szCs w:val="13"/>
                <w:color w:val="auto"/>
              </w:rPr>
              <w:t>Other liabilities</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178,674</w:t>
            </w:r>
          </w:p>
        </w:tc>
        <w:tc>
          <w:tcPr>
            <w:tcW w:w="960" w:type="dxa"/>
            <w:vAlign w:val="bottom"/>
          </w:tcPr>
          <w:p>
            <w:pPr>
              <w:jc w:val="center"/>
              <w:spacing w:after="0" w:line="133" w:lineRule="exact"/>
              <w:rPr>
                <w:sz w:val="20"/>
                <w:szCs w:val="20"/>
                <w:color w:val="auto"/>
              </w:rPr>
            </w:pPr>
            <w:r>
              <w:rPr>
                <w:rFonts w:ascii="Arial" w:cs="Arial" w:eastAsia="Arial" w:hAnsi="Arial"/>
                <w:sz w:val="13"/>
                <w:szCs w:val="13"/>
                <w:color w:val="auto"/>
                <w:w w:val="93"/>
              </w:rPr>
              <w:t>165,759</w:t>
            </w:r>
          </w:p>
        </w:tc>
        <w:tc>
          <w:tcPr>
            <w:tcW w:w="9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228,823</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38.0%</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2"/>
              </w:rPr>
              <w:t>28.1%</w:t>
            </w:r>
          </w:p>
        </w:tc>
      </w:tr>
      <w:tr>
        <w:trPr>
          <w:trHeight w:val="178"/>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182,419</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3"/>
              </w:rPr>
              <w:t>168,649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231,235</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37.1%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26.8%</w:t>
            </w:r>
          </w:p>
        </w:tc>
      </w:tr>
      <w:tr>
        <w:trPr>
          <w:trHeight w:val="229"/>
        </w:trPr>
        <w:tc>
          <w:tcPr>
            <w:tcW w:w="4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Capital stock</w:t>
            </w:r>
          </w:p>
        </w:tc>
        <w:tc>
          <w:tcPr>
            <w:tcW w:w="940" w:type="dxa"/>
            <w:vAlign w:val="bottom"/>
          </w:tcPr>
          <w:p>
            <w:pPr>
              <w:jc w:val="center"/>
              <w:spacing w:after="0"/>
              <w:rPr>
                <w:sz w:val="20"/>
                <w:szCs w:val="20"/>
                <w:color w:val="auto"/>
              </w:rPr>
            </w:pPr>
            <w:r>
              <w:rPr>
                <w:rFonts w:ascii="Arial" w:cs="Arial" w:eastAsia="Arial" w:hAnsi="Arial"/>
                <w:sz w:val="13"/>
                <w:szCs w:val="13"/>
                <w:color w:val="auto"/>
                <w:w w:val="95"/>
              </w:rPr>
              <w:t>40,505</w:t>
            </w:r>
          </w:p>
        </w:tc>
        <w:tc>
          <w:tcPr>
            <w:tcW w:w="960" w:type="dxa"/>
            <w:vAlign w:val="bottom"/>
          </w:tcPr>
          <w:p>
            <w:pPr>
              <w:jc w:val="center"/>
              <w:spacing w:after="0"/>
              <w:rPr>
                <w:sz w:val="20"/>
                <w:szCs w:val="20"/>
                <w:color w:val="auto"/>
              </w:rPr>
            </w:pPr>
            <w:r>
              <w:rPr>
                <w:rFonts w:ascii="Arial" w:cs="Arial" w:eastAsia="Arial" w:hAnsi="Arial"/>
                <w:sz w:val="13"/>
                <w:szCs w:val="13"/>
                <w:color w:val="auto"/>
              </w:rPr>
              <w:t>40,505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40,505</w:t>
            </w:r>
          </w:p>
        </w:tc>
        <w:tc>
          <w:tcPr>
            <w:tcW w:w="940" w:type="dxa"/>
            <w:vAlign w:val="bottom"/>
          </w:tcPr>
          <w:p>
            <w:pPr>
              <w:jc w:val="center"/>
              <w:spacing w:after="0"/>
              <w:rPr>
                <w:sz w:val="20"/>
                <w:szCs w:val="20"/>
                <w:color w:val="auto"/>
              </w:rPr>
            </w:pPr>
            <w:r>
              <w:rPr>
                <w:rFonts w:ascii="Arial" w:cs="Arial" w:eastAsia="Arial" w:hAnsi="Arial"/>
                <w:sz w:val="13"/>
                <w:szCs w:val="13"/>
                <w:color w:val="auto"/>
              </w:rPr>
              <w:t>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r>
      <w:tr>
        <w:trPr>
          <w:trHeight w:val="135"/>
        </w:trPr>
        <w:tc>
          <w:tcPr>
            <w:tcW w:w="4260" w:type="dxa"/>
            <w:vAlign w:val="bottom"/>
            <w:tcBorders>
              <w:left w:val="single" w:sz="8" w:color="auto"/>
              <w:right w:val="single" w:sz="8" w:color="auto"/>
            </w:tcBorders>
          </w:tcPr>
          <w:p>
            <w:pPr>
              <w:ind w:left="340"/>
              <w:spacing w:after="0" w:line="135" w:lineRule="exact"/>
              <w:rPr>
                <w:sz w:val="20"/>
                <w:szCs w:val="20"/>
                <w:color w:val="auto"/>
              </w:rPr>
            </w:pPr>
            <w:r>
              <w:rPr>
                <w:rFonts w:ascii="Arial" w:cs="Arial" w:eastAsia="Arial" w:hAnsi="Arial"/>
                <w:sz w:val="13"/>
                <w:szCs w:val="13"/>
                <w:color w:val="auto"/>
              </w:rPr>
              <w:t>Reserves</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5"/>
              </w:rPr>
              <w:t>20,243</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rPr>
              <w:t>20,243</w:t>
            </w:r>
          </w:p>
        </w:tc>
        <w:tc>
          <w:tcPr>
            <w:tcW w:w="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20,243</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0.0%</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0.0%</w:t>
            </w:r>
          </w:p>
        </w:tc>
      </w:tr>
      <w:tr>
        <w:trPr>
          <w:trHeight w:val="170"/>
        </w:trPr>
        <w:tc>
          <w:tcPr>
            <w:tcW w:w="4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Other reserves</w:t>
            </w:r>
          </w:p>
        </w:tc>
        <w:tc>
          <w:tcPr>
            <w:tcW w:w="940" w:type="dxa"/>
            <w:vAlign w:val="bottom"/>
          </w:tcPr>
          <w:p>
            <w:pPr>
              <w:jc w:val="center"/>
              <w:spacing w:after="0"/>
              <w:rPr>
                <w:sz w:val="20"/>
                <w:szCs w:val="20"/>
                <w:color w:val="auto"/>
              </w:rPr>
            </w:pPr>
            <w:r>
              <w:rPr>
                <w:rFonts w:ascii="Arial" w:cs="Arial" w:eastAsia="Arial" w:hAnsi="Arial"/>
                <w:sz w:val="13"/>
                <w:szCs w:val="13"/>
                <w:color w:val="auto"/>
              </w:rPr>
              <w:t>459</w:t>
            </w:r>
          </w:p>
        </w:tc>
        <w:tc>
          <w:tcPr>
            <w:tcW w:w="960" w:type="dxa"/>
            <w:vAlign w:val="bottom"/>
          </w:tcPr>
          <w:p>
            <w:pPr>
              <w:jc w:val="center"/>
              <w:spacing w:after="0"/>
              <w:rPr>
                <w:sz w:val="20"/>
                <w:szCs w:val="20"/>
                <w:color w:val="auto"/>
              </w:rPr>
            </w:pPr>
            <w:r>
              <w:rPr>
                <w:rFonts w:ascii="Arial" w:cs="Arial" w:eastAsia="Arial" w:hAnsi="Arial"/>
                <w:sz w:val="13"/>
                <w:szCs w:val="13"/>
                <w:color w:val="auto"/>
                <w:w w:val="92"/>
              </w:rPr>
              <w:t>909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924</w:t>
            </w:r>
          </w:p>
        </w:tc>
        <w:tc>
          <w:tcPr>
            <w:tcW w:w="940" w:type="dxa"/>
            <w:vAlign w:val="bottom"/>
          </w:tcPr>
          <w:p>
            <w:pPr>
              <w:jc w:val="center"/>
              <w:spacing w:after="0"/>
              <w:rPr>
                <w:sz w:val="20"/>
                <w:szCs w:val="20"/>
                <w:color w:val="auto"/>
              </w:rPr>
            </w:pPr>
            <w:r>
              <w:rPr>
                <w:rFonts w:ascii="Arial" w:cs="Arial" w:eastAsia="Arial" w:hAnsi="Arial"/>
                <w:sz w:val="13"/>
                <w:szCs w:val="13"/>
                <w:color w:val="auto"/>
              </w:rPr>
              <w:t>1.7%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101.3%</w:t>
            </w:r>
          </w:p>
        </w:tc>
      </w:tr>
      <w:tr>
        <w:trPr>
          <w:trHeight w:val="235"/>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281,419</w:t>
            </w:r>
          </w:p>
        </w:tc>
        <w:tc>
          <w:tcPr>
            <w:tcW w:w="960" w:type="dxa"/>
            <w:vAlign w:val="bottom"/>
          </w:tcPr>
          <w:p>
            <w:pPr>
              <w:jc w:val="center"/>
              <w:spacing w:after="0"/>
              <w:rPr>
                <w:sz w:val="20"/>
                <w:szCs w:val="20"/>
                <w:color w:val="auto"/>
              </w:rPr>
            </w:pPr>
            <w:r>
              <w:rPr>
                <w:rFonts w:ascii="Arial" w:cs="Arial" w:eastAsia="Arial" w:hAnsi="Arial"/>
                <w:sz w:val="13"/>
                <w:szCs w:val="13"/>
                <w:color w:val="auto"/>
                <w:w w:val="93"/>
              </w:rPr>
              <w:t>304,309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245,059</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-19.5%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-12.9%</w:t>
            </w:r>
          </w:p>
        </w:tc>
      </w:tr>
      <w:tr>
        <w:trPr>
          <w:trHeight w:val="133"/>
        </w:trPr>
        <w:tc>
          <w:tcPr>
            <w:tcW w:w="426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3"/>
                <w:szCs w:val="13"/>
                <w:color w:val="auto"/>
              </w:rPr>
              <w:t>Net Income for the Period</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132,926</w:t>
            </w:r>
          </w:p>
        </w:tc>
        <w:tc>
          <w:tcPr>
            <w:tcW w:w="960" w:type="dxa"/>
            <w:vAlign w:val="bottom"/>
          </w:tcPr>
          <w:p>
            <w:pPr>
              <w:jc w:val="center"/>
              <w:spacing w:after="0" w:line="133" w:lineRule="exact"/>
              <w:rPr>
                <w:sz w:val="20"/>
                <w:szCs w:val="20"/>
                <w:color w:val="auto"/>
              </w:rPr>
            </w:pPr>
            <w:r>
              <w:rPr>
                <w:rFonts w:ascii="Arial" w:cs="Arial" w:eastAsia="Arial" w:hAnsi="Arial"/>
                <w:sz w:val="13"/>
                <w:szCs w:val="13"/>
                <w:color w:val="auto"/>
                <w:w w:val="93"/>
              </w:rPr>
              <w:t>112,219</w:t>
            </w:r>
          </w:p>
        </w:tc>
        <w:tc>
          <w:tcPr>
            <w:tcW w:w="9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146,543</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30.6%</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2"/>
              </w:rPr>
              <w:t>10.2%</w:t>
            </w:r>
          </w:p>
        </w:tc>
      </w:tr>
      <w:tr>
        <w:trPr>
          <w:trHeight w:val="159"/>
        </w:trPr>
        <w:tc>
          <w:tcPr>
            <w:tcW w:w="4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657,971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646,834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684,509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5.8%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4.0%</w:t>
            </w:r>
          </w:p>
        </w:tc>
      </w:tr>
    </w:tbl>
    <w:p>
      <w:pPr>
        <w:spacing w:after="0" w:line="159"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Statement in Income</w:t>
      </w:r>
    </w:p>
    <w:p>
      <w:pPr>
        <w:spacing w:after="0" w:line="26"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(In S/ thousands, IFRS)</w:t>
      </w:r>
    </w:p>
    <w:p>
      <w:pPr>
        <w:spacing w:after="0" w:line="172" w:lineRule="exact"/>
        <w:rPr>
          <w:sz w:val="20"/>
          <w:szCs w:val="20"/>
          <w:color w:val="auto"/>
        </w:rPr>
      </w:pPr>
    </w:p>
    <w:tbl>
      <w:tblPr>
        <w:tblLayout w:type="fixed"/>
        <w:tblInd w:w="570" w:type="dxa"/>
        <w:tblCellMar>
          <w:top w:w="0" w:type="dxa"/>
          <w:left w:w="0" w:type="dxa"/>
          <w:bottom w:w="0" w:type="dxa"/>
          <w:right w:w="0" w:type="dxa"/>
        </w:tblCellMar>
      </w:tblPr>
      <w:tr>
        <w:trPr>
          <w:trHeight w:val="125"/>
        </w:trPr>
        <w:tc>
          <w:tcPr>
            <w:tcW w:w="374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760" w:type="dxa"/>
            <w:vAlign w:val="bottom"/>
            <w:tcBorders>
              <w:top w:val="single" w:sz="8" w:color="auto"/>
            </w:tcBorders>
            <w:shd w:val="clear" w:color="auto" w:fill="2AD2C9"/>
          </w:tcPr>
          <w:p>
            <w:pPr>
              <w:spacing w:after="0"/>
              <w:rPr>
                <w:sz w:val="10"/>
                <w:szCs w:val="10"/>
                <w:color w:val="auto"/>
              </w:rPr>
            </w:pPr>
          </w:p>
        </w:tc>
        <w:tc>
          <w:tcPr>
            <w:tcW w:w="800" w:type="dxa"/>
            <w:vAlign w:val="bottom"/>
            <w:tcBorders>
              <w:top w:val="single" w:sz="8" w:color="auto"/>
            </w:tcBorders>
            <w:shd w:val="clear" w:color="auto" w:fill="2AD2C9"/>
          </w:tcPr>
          <w:p>
            <w:pPr>
              <w:ind w:left="180"/>
              <w:spacing w:after="0" w:line="124" w:lineRule="exact"/>
              <w:rPr>
                <w:sz w:val="20"/>
                <w:szCs w:val="20"/>
                <w:color w:val="auto"/>
              </w:rPr>
            </w:pPr>
            <w:r>
              <w:rPr>
                <w:rFonts w:ascii="Arial" w:cs="Arial" w:eastAsia="Arial" w:hAnsi="Arial"/>
                <w:sz w:val="13"/>
                <w:szCs w:val="13"/>
                <w:b w:val="1"/>
                <w:bCs w:val="1"/>
                <w:color w:val="FFFFFF"/>
              </w:rPr>
              <w:t>Quarter</w:t>
            </w:r>
          </w:p>
        </w:tc>
        <w:tc>
          <w:tcPr>
            <w:tcW w:w="800" w:type="dxa"/>
            <w:vAlign w:val="bottom"/>
            <w:tcBorders>
              <w:top w:val="single" w:sz="8" w:color="auto"/>
              <w:right w:val="single" w:sz="8" w:color="auto"/>
            </w:tcBorders>
            <w:shd w:val="clear" w:color="auto" w:fill="2AD2C9"/>
          </w:tcPr>
          <w:p>
            <w:pPr>
              <w:spacing w:after="0"/>
              <w:rPr>
                <w:sz w:val="10"/>
                <w:szCs w:val="10"/>
                <w:color w:val="auto"/>
              </w:rPr>
            </w:pPr>
          </w:p>
        </w:tc>
        <w:tc>
          <w:tcPr>
            <w:tcW w:w="1580" w:type="dxa"/>
            <w:vAlign w:val="bottom"/>
            <w:tcBorders>
              <w:top w:val="single" w:sz="8" w:color="auto"/>
              <w:right w:val="single" w:sz="8" w:color="auto"/>
            </w:tcBorders>
            <w:gridSpan w:val="2"/>
            <w:shd w:val="clear" w:color="auto" w:fill="2AD2C9"/>
          </w:tcPr>
          <w:p>
            <w:pPr>
              <w:ind w:left="500"/>
              <w:spacing w:after="0" w:line="124" w:lineRule="exact"/>
              <w:rPr>
                <w:sz w:val="20"/>
                <w:szCs w:val="20"/>
                <w:color w:val="auto"/>
              </w:rPr>
            </w:pPr>
            <w:r>
              <w:rPr>
                <w:rFonts w:ascii="Arial" w:cs="Arial" w:eastAsia="Arial" w:hAnsi="Arial"/>
                <w:sz w:val="13"/>
                <w:szCs w:val="13"/>
                <w:b w:val="1"/>
                <w:bCs w:val="1"/>
                <w:color w:val="FFFFFF"/>
              </w:rPr>
              <w:t>% change</w:t>
            </w:r>
          </w:p>
        </w:tc>
        <w:tc>
          <w:tcPr>
            <w:tcW w:w="1580" w:type="dxa"/>
            <w:vAlign w:val="bottom"/>
            <w:tcBorders>
              <w:top w:val="single" w:sz="8" w:color="auto"/>
              <w:right w:val="single" w:sz="8" w:color="auto"/>
            </w:tcBorders>
            <w:gridSpan w:val="2"/>
            <w:shd w:val="clear" w:color="auto" w:fill="2AD2C9"/>
          </w:tcPr>
          <w:p>
            <w:pPr>
              <w:ind w:left="620"/>
              <w:spacing w:after="0" w:line="124" w:lineRule="exact"/>
              <w:rPr>
                <w:sz w:val="20"/>
                <w:szCs w:val="20"/>
                <w:color w:val="auto"/>
              </w:rPr>
            </w:pPr>
            <w:r>
              <w:rPr>
                <w:rFonts w:ascii="Arial" w:cs="Arial" w:eastAsia="Arial" w:hAnsi="Arial"/>
                <w:sz w:val="13"/>
                <w:szCs w:val="13"/>
                <w:b w:val="1"/>
                <w:bCs w:val="1"/>
                <w:color w:val="FFFFFF"/>
              </w:rPr>
              <w:t>Up to</w:t>
            </w:r>
          </w:p>
        </w:tc>
        <w:tc>
          <w:tcPr>
            <w:tcW w:w="880" w:type="dxa"/>
            <w:vAlign w:val="bottom"/>
            <w:tcBorders>
              <w:top w:val="single" w:sz="8" w:color="auto"/>
              <w:right w:val="single" w:sz="8" w:color="auto"/>
            </w:tcBorders>
            <w:shd w:val="clear" w:color="auto" w:fill="2AD2C9"/>
          </w:tcPr>
          <w:p>
            <w:pPr>
              <w:ind w:left="140"/>
              <w:spacing w:after="0" w:line="124" w:lineRule="exact"/>
              <w:rPr>
                <w:sz w:val="20"/>
                <w:szCs w:val="20"/>
                <w:color w:val="auto"/>
              </w:rPr>
            </w:pPr>
            <w:r>
              <w:rPr>
                <w:rFonts w:ascii="Arial" w:cs="Arial" w:eastAsia="Arial" w:hAnsi="Arial"/>
                <w:sz w:val="13"/>
                <w:szCs w:val="13"/>
                <w:b w:val="1"/>
                <w:bCs w:val="1"/>
                <w:color w:val="FFFFFF"/>
              </w:rPr>
              <w:t>% change</w:t>
            </w:r>
          </w:p>
        </w:tc>
      </w:tr>
      <w:tr>
        <w:trPr>
          <w:trHeight w:val="159"/>
        </w:trPr>
        <w:tc>
          <w:tcPr>
            <w:tcW w:w="3740" w:type="dxa"/>
            <w:vAlign w:val="bottom"/>
            <w:tcBorders>
              <w:left w:val="single" w:sz="8" w:color="auto"/>
              <w:bottom w:val="single" w:sz="8" w:color="auto"/>
              <w:right w:val="single" w:sz="8" w:color="auto"/>
            </w:tcBorders>
            <w:shd w:val="clear" w:color="auto" w:fill="2AD2C9"/>
          </w:tcPr>
          <w:p>
            <w:pPr>
              <w:spacing w:after="0"/>
              <w:rPr>
                <w:sz w:val="13"/>
                <w:szCs w:val="13"/>
                <w:color w:val="auto"/>
              </w:rPr>
            </w:pP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4Q24</w:t>
            </w: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3Q25</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4Q25</w:t>
            </w: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2"/>
              </w:rPr>
              <w:t>QoQ</w:t>
            </w:r>
          </w:p>
        </w:tc>
        <w:tc>
          <w:tcPr>
            <w:tcW w:w="78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YoY</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2024</w:t>
            </w:r>
          </w:p>
        </w:tc>
        <w:tc>
          <w:tcPr>
            <w:tcW w:w="8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2025</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2025 / 2024</w:t>
            </w:r>
          </w:p>
        </w:tc>
      </w:tr>
      <w:tr>
        <w:trPr>
          <w:trHeight w:val="107"/>
        </w:trPr>
        <w:tc>
          <w:tcPr>
            <w:tcW w:w="3740" w:type="dxa"/>
            <w:vAlign w:val="bottom"/>
            <w:tcBorders>
              <w:left w:val="single" w:sz="8" w:color="auto"/>
              <w:right w:val="single" w:sz="8" w:color="auto"/>
            </w:tcBorders>
          </w:tcPr>
          <w:p>
            <w:pPr>
              <w:ind w:left="20"/>
              <w:spacing w:after="0" w:line="107" w:lineRule="exact"/>
              <w:rPr>
                <w:sz w:val="20"/>
                <w:szCs w:val="20"/>
                <w:color w:val="auto"/>
              </w:rPr>
            </w:pPr>
            <w:r>
              <w:rPr>
                <w:rFonts w:ascii="Arial" w:cs="Arial" w:eastAsia="Arial" w:hAnsi="Arial"/>
                <w:sz w:val="12"/>
                <w:szCs w:val="12"/>
                <w:color w:val="auto"/>
              </w:rPr>
              <w:t>Financial income</w:t>
            </w:r>
          </w:p>
        </w:tc>
        <w:tc>
          <w:tcPr>
            <w:tcW w:w="760" w:type="dxa"/>
            <w:vAlign w:val="bottom"/>
          </w:tcPr>
          <w:p>
            <w:pPr>
              <w:jc w:val="center"/>
              <w:spacing w:after="0" w:line="107" w:lineRule="exact"/>
              <w:rPr>
                <w:sz w:val="20"/>
                <w:szCs w:val="20"/>
                <w:color w:val="auto"/>
              </w:rPr>
            </w:pPr>
            <w:r>
              <w:rPr>
                <w:rFonts w:ascii="Arial" w:cs="Arial" w:eastAsia="Arial" w:hAnsi="Arial"/>
                <w:sz w:val="12"/>
                <w:szCs w:val="12"/>
                <w:color w:val="auto"/>
              </w:rPr>
              <w:t>1,786</w:t>
            </w:r>
          </w:p>
        </w:tc>
        <w:tc>
          <w:tcPr>
            <w:tcW w:w="800" w:type="dxa"/>
            <w:vAlign w:val="bottom"/>
          </w:tcPr>
          <w:p>
            <w:pPr>
              <w:jc w:val="center"/>
              <w:spacing w:after="0" w:line="107" w:lineRule="exact"/>
              <w:rPr>
                <w:sz w:val="20"/>
                <w:szCs w:val="20"/>
                <w:color w:val="auto"/>
              </w:rPr>
            </w:pPr>
            <w:r>
              <w:rPr>
                <w:rFonts w:ascii="Arial" w:cs="Arial" w:eastAsia="Arial" w:hAnsi="Arial"/>
                <w:sz w:val="12"/>
                <w:szCs w:val="12"/>
                <w:color w:val="auto"/>
                <w:w w:val="99"/>
              </w:rPr>
              <w:t>432</w:t>
            </w:r>
          </w:p>
        </w:tc>
        <w:tc>
          <w:tcPr>
            <w:tcW w:w="80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1,207</w:t>
            </w:r>
          </w:p>
        </w:tc>
        <w:tc>
          <w:tcPr>
            <w:tcW w:w="800" w:type="dxa"/>
            <w:vAlign w:val="bottom"/>
          </w:tcPr>
          <w:p>
            <w:pPr>
              <w:jc w:val="center"/>
              <w:spacing w:after="0" w:line="107" w:lineRule="exact"/>
              <w:rPr>
                <w:sz w:val="20"/>
                <w:szCs w:val="20"/>
                <w:color w:val="auto"/>
              </w:rPr>
            </w:pPr>
            <w:r>
              <w:rPr>
                <w:rFonts w:ascii="Arial" w:cs="Arial" w:eastAsia="Arial" w:hAnsi="Arial"/>
                <w:sz w:val="12"/>
                <w:szCs w:val="12"/>
                <w:color w:val="auto"/>
              </w:rPr>
              <w:t>179.4%</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-32.4%</w:t>
            </w:r>
          </w:p>
        </w:tc>
        <w:tc>
          <w:tcPr>
            <w:tcW w:w="760" w:type="dxa"/>
            <w:vAlign w:val="bottom"/>
          </w:tcPr>
          <w:p>
            <w:pPr>
              <w:jc w:val="center"/>
              <w:spacing w:after="0" w:line="107" w:lineRule="exact"/>
              <w:rPr>
                <w:sz w:val="20"/>
                <w:szCs w:val="20"/>
                <w:color w:val="auto"/>
              </w:rPr>
            </w:pPr>
            <w:r>
              <w:rPr>
                <w:rFonts w:ascii="Arial" w:cs="Arial" w:eastAsia="Arial" w:hAnsi="Arial"/>
                <w:sz w:val="12"/>
                <w:szCs w:val="12"/>
                <w:color w:val="auto"/>
              </w:rPr>
              <w:t>5,678</w:t>
            </w:r>
          </w:p>
        </w:tc>
        <w:tc>
          <w:tcPr>
            <w:tcW w:w="8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3,677</w:t>
            </w:r>
          </w:p>
        </w:tc>
        <w:tc>
          <w:tcPr>
            <w:tcW w:w="8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-35.2%</w:t>
            </w:r>
          </w:p>
        </w:tc>
      </w:tr>
      <w:tr>
        <w:trPr>
          <w:trHeight w:val="133"/>
        </w:trPr>
        <w:tc>
          <w:tcPr>
            <w:tcW w:w="374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3"/>
                <w:szCs w:val="13"/>
                <w:color w:val="auto"/>
              </w:rPr>
              <w:t>Financial expenses</w:t>
            </w: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w w:val="97"/>
              </w:rPr>
              <w:t>(1,782)</w:t>
            </w:r>
          </w:p>
        </w:tc>
        <w:tc>
          <w:tcPr>
            <w:tcW w:w="800" w:type="dxa"/>
            <w:vAlign w:val="bottom"/>
          </w:tcPr>
          <w:p>
            <w:pPr>
              <w:jc w:val="center"/>
              <w:spacing w:after="0" w:line="133" w:lineRule="exact"/>
              <w:rPr>
                <w:sz w:val="20"/>
                <w:szCs w:val="20"/>
                <w:color w:val="auto"/>
              </w:rPr>
            </w:pPr>
            <w:r>
              <w:rPr>
                <w:rFonts w:ascii="Arial" w:cs="Arial" w:eastAsia="Arial" w:hAnsi="Arial"/>
                <w:sz w:val="13"/>
                <w:szCs w:val="13"/>
                <w:color w:val="auto"/>
                <w:w w:val="98"/>
              </w:rPr>
              <w:t>(910)</w:t>
            </w:r>
          </w:p>
        </w:tc>
        <w:tc>
          <w:tcPr>
            <w:tcW w:w="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8"/>
              </w:rPr>
              <w:t>(895)</w:t>
            </w:r>
          </w:p>
        </w:tc>
        <w:tc>
          <w:tcPr>
            <w:tcW w:w="800" w:type="dxa"/>
            <w:vAlign w:val="bottom"/>
          </w:tcPr>
          <w:p>
            <w:pPr>
              <w:jc w:val="center"/>
              <w:spacing w:after="0" w:line="133" w:lineRule="exact"/>
              <w:rPr>
                <w:sz w:val="20"/>
                <w:szCs w:val="20"/>
                <w:color w:val="auto"/>
              </w:rPr>
            </w:pPr>
            <w:r>
              <w:rPr>
                <w:rFonts w:ascii="Arial" w:cs="Arial" w:eastAsia="Arial" w:hAnsi="Arial"/>
                <w:sz w:val="13"/>
                <w:szCs w:val="13"/>
                <w:color w:val="auto"/>
                <w:w w:val="99"/>
              </w:rPr>
              <w:t>-1.6%</w:t>
            </w:r>
          </w:p>
        </w:tc>
        <w:tc>
          <w:tcPr>
            <w:tcW w:w="7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-49.8%</w:t>
            </w: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w w:val="97"/>
              </w:rPr>
              <w:t>(4,083)</w:t>
            </w:r>
          </w:p>
        </w:tc>
        <w:tc>
          <w:tcPr>
            <w:tcW w:w="8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(2,776)</w:t>
            </w:r>
          </w:p>
        </w:tc>
        <w:tc>
          <w:tcPr>
            <w:tcW w:w="8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-32.0%</w:t>
            </w:r>
          </w:p>
        </w:tc>
      </w:tr>
      <w:tr>
        <w:trPr>
          <w:trHeight w:val="137"/>
        </w:trPr>
        <w:tc>
          <w:tcPr>
            <w:tcW w:w="374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rPr>
              <w:t>Interest income, net</w:t>
            </w:r>
          </w:p>
        </w:tc>
        <w:tc>
          <w:tcPr>
            <w:tcW w:w="7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2"/>
              </w:rPr>
              <w:t>4</w:t>
            </w:r>
          </w:p>
        </w:tc>
        <w:tc>
          <w:tcPr>
            <w:tcW w:w="8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8"/>
              </w:rPr>
              <w:t>(478)</w:t>
            </w:r>
          </w:p>
        </w:tc>
        <w:tc>
          <w:tcPr>
            <w:tcW w:w="8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2"/>
              </w:rPr>
              <w:t>312</w:t>
            </w:r>
          </w:p>
        </w:tc>
        <w:tc>
          <w:tcPr>
            <w:tcW w:w="8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-165.3%</w:t>
            </w:r>
          </w:p>
        </w:tc>
        <w:tc>
          <w:tcPr>
            <w:tcW w:w="780" w:type="dxa"/>
            <w:vAlign w:val="bottom"/>
            <w:tcBorders>
              <w:right w:val="single" w:sz="8" w:color="auto"/>
            </w:tcBorders>
          </w:tcPr>
          <w:p>
            <w:pPr>
              <w:ind w:left="280"/>
              <w:spacing w:after="0" w:line="137" w:lineRule="exact"/>
              <w:rPr>
                <w:sz w:val="20"/>
                <w:szCs w:val="20"/>
                <w:color w:val="auto"/>
              </w:rPr>
            </w:pPr>
            <w:r>
              <w:rPr>
                <w:rFonts w:ascii="Arial" w:cs="Arial" w:eastAsia="Arial" w:hAnsi="Arial"/>
                <w:sz w:val="13"/>
                <w:szCs w:val="13"/>
                <w:b w:val="1"/>
                <w:bCs w:val="1"/>
                <w:color w:val="auto"/>
              </w:rPr>
              <w:t>n.a.</w:t>
            </w:r>
          </w:p>
        </w:tc>
        <w:tc>
          <w:tcPr>
            <w:tcW w:w="7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8"/>
              </w:rPr>
              <w:t>1,595</w:t>
            </w:r>
          </w:p>
        </w:tc>
        <w:tc>
          <w:tcPr>
            <w:tcW w:w="8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2"/>
              </w:rPr>
              <w:t>901</w:t>
            </w:r>
          </w:p>
        </w:tc>
        <w:tc>
          <w:tcPr>
            <w:tcW w:w="8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-43.5%</w:t>
            </w:r>
          </w:p>
        </w:tc>
      </w:tr>
      <w:tr>
        <w:trPr>
          <w:trHeight w:val="135"/>
        </w:trPr>
        <w:tc>
          <w:tcPr>
            <w:tcW w:w="374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Fee income</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5"/>
              </w:rPr>
              <w:t>88,102</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5"/>
              </w:rPr>
              <w:t>95,006</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97,023</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4"/>
              </w:rPr>
              <w:t>2.1%</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10.1%</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7"/>
              </w:rPr>
              <w:t>372,480</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383,334</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2.9%</w:t>
            </w:r>
          </w:p>
        </w:tc>
      </w:tr>
      <w:tr>
        <w:trPr>
          <w:trHeight w:val="135"/>
        </w:trPr>
        <w:tc>
          <w:tcPr>
            <w:tcW w:w="374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Net gain (loss) on securities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2"/>
              </w:rPr>
              <w:t>(2,115)</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5"/>
              </w:rPr>
              <w:t>19,532</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10,733</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7"/>
              </w:rPr>
              <w:t>-45.0%</w:t>
            </w:r>
          </w:p>
        </w:tc>
        <w:tc>
          <w:tcPr>
            <w:tcW w:w="78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n.a.</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5"/>
              </w:rPr>
              <w:t>10,528</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31,503</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199.2%</w:t>
            </w:r>
          </w:p>
        </w:tc>
      </w:tr>
      <w:tr>
        <w:trPr>
          <w:trHeight w:val="135"/>
        </w:trPr>
        <w:tc>
          <w:tcPr>
            <w:tcW w:w="374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Net gain (loss) from exchange differences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4"/>
              </w:rPr>
              <w:t>(32)</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2"/>
              </w:rPr>
              <w:t>226</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398</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7"/>
              </w:rPr>
              <w:t>76.1%</w:t>
            </w:r>
          </w:p>
        </w:tc>
        <w:tc>
          <w:tcPr>
            <w:tcW w:w="78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n.a.</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8"/>
              </w:rPr>
              <w:t>(530)</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1,076</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-303.0%</w:t>
            </w:r>
          </w:p>
        </w:tc>
      </w:tr>
      <w:tr>
        <w:trPr>
          <w:trHeight w:val="135"/>
        </w:trPr>
        <w:tc>
          <w:tcPr>
            <w:tcW w:w="374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Other income</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8"/>
              </w:rPr>
              <w:t>5,628</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2"/>
              </w:rPr>
              <w:t>1,110</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647</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7"/>
              </w:rPr>
              <w:t>-41.7%</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-88.5%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8"/>
              </w:rPr>
              <w:t>7,137</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2,426</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-66.0%</w:t>
            </w:r>
          </w:p>
        </w:tc>
      </w:tr>
      <w:tr>
        <w:trPr>
          <w:trHeight w:val="135"/>
        </w:trPr>
        <w:tc>
          <w:tcPr>
            <w:tcW w:w="374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Salaries and employee benefits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4"/>
              </w:rPr>
              <w:t>(29,371)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9"/>
              </w:rPr>
              <w:t>(23,947)</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(29,382)</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7"/>
              </w:rPr>
              <w:t>22.7%</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9"/>
              </w:rPr>
              <w:t>(97,457)</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(101,638)</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4.3%</w:t>
            </w:r>
          </w:p>
        </w:tc>
      </w:tr>
      <w:tr>
        <w:trPr>
          <w:trHeight w:val="135"/>
        </w:trPr>
        <w:tc>
          <w:tcPr>
            <w:tcW w:w="374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Administrative expenses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4"/>
              </w:rPr>
              <w:t>(20,545)</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9"/>
              </w:rPr>
              <w:t>(18,686)</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(19,811)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4"/>
              </w:rPr>
              <w:t>6.0%</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-3.6%</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9"/>
              </w:rPr>
              <w:t>(78,570)</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(78,280)</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-0.4%</w:t>
            </w:r>
          </w:p>
        </w:tc>
      </w:tr>
      <w:tr>
        <w:trPr>
          <w:trHeight w:val="135"/>
        </w:trPr>
        <w:tc>
          <w:tcPr>
            <w:tcW w:w="374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7"/>
              </w:rPr>
              <w:t>(6,612)</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7"/>
              </w:rPr>
              <w:t>(7,078)</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(7,160)</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4"/>
              </w:rPr>
              <w:t>1.2%</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8.3%</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9"/>
              </w:rPr>
              <w:t>(26,381)</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(28,078)</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6.4%</w:t>
            </w:r>
          </w:p>
        </w:tc>
      </w:tr>
      <w:tr>
        <w:trPr>
          <w:trHeight w:val="133"/>
        </w:trPr>
        <w:tc>
          <w:tcPr>
            <w:tcW w:w="374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3"/>
                <w:szCs w:val="13"/>
                <w:color w:val="auto"/>
              </w:rPr>
              <w:t>Other expenses</w:t>
            </w: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w w:val="94"/>
              </w:rPr>
              <w:t>(71)</w:t>
            </w:r>
          </w:p>
        </w:tc>
        <w:tc>
          <w:tcPr>
            <w:tcW w:w="800" w:type="dxa"/>
            <w:vAlign w:val="bottom"/>
          </w:tcPr>
          <w:p>
            <w:pPr>
              <w:jc w:val="center"/>
              <w:spacing w:after="0" w:line="133" w:lineRule="exact"/>
              <w:rPr>
                <w:sz w:val="20"/>
                <w:szCs w:val="20"/>
                <w:color w:val="auto"/>
              </w:rPr>
            </w:pPr>
            <w:r>
              <w:rPr>
                <w:rFonts w:ascii="Arial" w:cs="Arial" w:eastAsia="Arial" w:hAnsi="Arial"/>
                <w:sz w:val="13"/>
                <w:szCs w:val="13"/>
                <w:color w:val="auto"/>
                <w:w w:val="98"/>
              </w:rPr>
              <w:t>(267)</w:t>
            </w:r>
          </w:p>
        </w:tc>
        <w:tc>
          <w:tcPr>
            <w:tcW w:w="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(3,661)</w:t>
            </w:r>
          </w:p>
        </w:tc>
        <w:tc>
          <w:tcPr>
            <w:tcW w:w="800" w:type="dxa"/>
            <w:vAlign w:val="bottom"/>
          </w:tcPr>
          <w:p>
            <w:pPr>
              <w:jc w:val="center"/>
              <w:spacing w:after="0" w:line="133" w:lineRule="exact"/>
              <w:rPr>
                <w:sz w:val="20"/>
                <w:szCs w:val="20"/>
                <w:color w:val="auto"/>
              </w:rPr>
            </w:pPr>
            <w:r>
              <w:rPr>
                <w:rFonts w:ascii="Arial" w:cs="Arial" w:eastAsia="Arial" w:hAnsi="Arial"/>
                <w:sz w:val="13"/>
                <w:szCs w:val="13"/>
                <w:color w:val="auto"/>
              </w:rPr>
              <w:t>n.a.</w:t>
            </w:r>
          </w:p>
        </w:tc>
        <w:tc>
          <w:tcPr>
            <w:tcW w:w="780" w:type="dxa"/>
            <w:vAlign w:val="bottom"/>
            <w:tcBorders>
              <w:right w:val="single" w:sz="8" w:color="auto"/>
            </w:tcBorders>
          </w:tcPr>
          <w:p>
            <w:pPr>
              <w:ind w:left="280"/>
              <w:spacing w:after="0" w:line="133" w:lineRule="exact"/>
              <w:rPr>
                <w:sz w:val="20"/>
                <w:szCs w:val="20"/>
                <w:color w:val="auto"/>
              </w:rPr>
            </w:pPr>
            <w:r>
              <w:rPr>
                <w:rFonts w:ascii="Arial" w:cs="Arial" w:eastAsia="Arial" w:hAnsi="Arial"/>
                <w:sz w:val="13"/>
                <w:szCs w:val="13"/>
                <w:color w:val="auto"/>
              </w:rPr>
              <w:t>n.a.</w:t>
            </w: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w w:val="97"/>
              </w:rPr>
              <w:t>(1,249)</w:t>
            </w:r>
          </w:p>
        </w:tc>
        <w:tc>
          <w:tcPr>
            <w:tcW w:w="8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(4,687)</w:t>
            </w:r>
          </w:p>
        </w:tc>
        <w:tc>
          <w:tcPr>
            <w:tcW w:w="8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5"/>
              </w:rPr>
              <w:t>275.3%</w:t>
            </w:r>
          </w:p>
        </w:tc>
      </w:tr>
      <w:tr>
        <w:trPr>
          <w:trHeight w:val="137"/>
        </w:trPr>
        <w:tc>
          <w:tcPr>
            <w:tcW w:w="374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3"/>
                <w:szCs w:val="13"/>
                <w:b w:val="1"/>
                <w:bCs w:val="1"/>
                <w:color w:val="auto"/>
              </w:rPr>
              <w:t>Profit before income tax</w:t>
            </w:r>
          </w:p>
        </w:tc>
        <w:tc>
          <w:tcPr>
            <w:tcW w:w="7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5"/>
              </w:rPr>
              <w:t>34,988</w:t>
            </w:r>
          </w:p>
        </w:tc>
        <w:tc>
          <w:tcPr>
            <w:tcW w:w="8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5"/>
              </w:rPr>
              <w:t>65,418</w:t>
            </w:r>
          </w:p>
        </w:tc>
        <w:tc>
          <w:tcPr>
            <w:tcW w:w="8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5"/>
              </w:rPr>
              <w:t>49,099</w:t>
            </w:r>
          </w:p>
        </w:tc>
        <w:tc>
          <w:tcPr>
            <w:tcW w:w="8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7"/>
              </w:rPr>
              <w:t>-24.9%</w:t>
            </w:r>
          </w:p>
        </w:tc>
        <w:tc>
          <w:tcPr>
            <w:tcW w:w="7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40.3%</w:t>
            </w:r>
          </w:p>
        </w:tc>
        <w:tc>
          <w:tcPr>
            <w:tcW w:w="7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7"/>
              </w:rPr>
              <w:t>187,553</w:t>
            </w:r>
          </w:p>
        </w:tc>
        <w:tc>
          <w:tcPr>
            <w:tcW w:w="8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206,557</w:t>
            </w:r>
          </w:p>
        </w:tc>
        <w:tc>
          <w:tcPr>
            <w:tcW w:w="8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10.1%</w:t>
            </w:r>
          </w:p>
        </w:tc>
      </w:tr>
      <w:tr>
        <w:trPr>
          <w:trHeight w:val="133"/>
        </w:trPr>
        <w:tc>
          <w:tcPr>
            <w:tcW w:w="374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3"/>
                <w:szCs w:val="13"/>
                <w:color w:val="auto"/>
              </w:rPr>
              <w:t>Income tax</w:t>
            </w: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w w:val="94"/>
              </w:rPr>
              <w:t>(10,666)</w:t>
            </w:r>
          </w:p>
        </w:tc>
        <w:tc>
          <w:tcPr>
            <w:tcW w:w="800" w:type="dxa"/>
            <w:vAlign w:val="bottom"/>
          </w:tcPr>
          <w:p>
            <w:pPr>
              <w:jc w:val="center"/>
              <w:spacing w:after="0" w:line="133" w:lineRule="exact"/>
              <w:rPr>
                <w:sz w:val="20"/>
                <w:szCs w:val="20"/>
                <w:color w:val="auto"/>
              </w:rPr>
            </w:pPr>
            <w:r>
              <w:rPr>
                <w:rFonts w:ascii="Arial" w:cs="Arial" w:eastAsia="Arial" w:hAnsi="Arial"/>
                <w:sz w:val="13"/>
                <w:szCs w:val="13"/>
                <w:color w:val="auto"/>
                <w:w w:val="99"/>
              </w:rPr>
              <w:t>(18,829)</w:t>
            </w:r>
          </w:p>
        </w:tc>
        <w:tc>
          <w:tcPr>
            <w:tcW w:w="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(14,775)</w:t>
            </w:r>
          </w:p>
        </w:tc>
        <w:tc>
          <w:tcPr>
            <w:tcW w:w="800" w:type="dxa"/>
            <w:vAlign w:val="bottom"/>
          </w:tcPr>
          <w:p>
            <w:pPr>
              <w:jc w:val="center"/>
              <w:spacing w:after="0" w:line="133" w:lineRule="exact"/>
              <w:rPr>
                <w:sz w:val="20"/>
                <w:szCs w:val="20"/>
                <w:color w:val="auto"/>
              </w:rPr>
            </w:pPr>
            <w:r>
              <w:rPr>
                <w:rFonts w:ascii="Arial" w:cs="Arial" w:eastAsia="Arial" w:hAnsi="Arial"/>
                <w:sz w:val="13"/>
                <w:szCs w:val="13"/>
                <w:color w:val="auto"/>
                <w:w w:val="97"/>
              </w:rPr>
              <w:t>-21.5%</w:t>
            </w:r>
          </w:p>
        </w:tc>
        <w:tc>
          <w:tcPr>
            <w:tcW w:w="7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38.5%</w:t>
            </w: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w w:val="99"/>
              </w:rPr>
              <w:t>(54,627)</w:t>
            </w:r>
          </w:p>
        </w:tc>
        <w:tc>
          <w:tcPr>
            <w:tcW w:w="8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9"/>
              </w:rPr>
              <w:t>(60,014)</w:t>
            </w:r>
          </w:p>
        </w:tc>
        <w:tc>
          <w:tcPr>
            <w:tcW w:w="8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rPr>
              <w:t>9.9%</w:t>
            </w:r>
          </w:p>
        </w:tc>
      </w:tr>
      <w:tr>
        <w:trPr>
          <w:trHeight w:val="159"/>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24,322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46,589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34,324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-26.3%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41.1%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132,926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146,543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10.2%</w:t>
            </w: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Indicators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840" w:type="dxa"/>
            <w:vAlign w:val="bottom"/>
            <w:tcBorders>
              <w:top w:val="single" w:sz="8" w:color="auto"/>
              <w:left w:val="single" w:sz="8" w:color="auto"/>
              <w:right w:val="single" w:sz="8" w:color="auto"/>
            </w:tcBorders>
            <w:shd w:val="clear" w:color="auto" w:fill="2AD2C9"/>
          </w:tcPr>
          <w:p>
            <w:pPr>
              <w:spacing w:after="0"/>
              <w:rPr>
                <w:sz w:val="12"/>
                <w:szCs w:val="12"/>
                <w:color w:val="auto"/>
              </w:rPr>
            </w:pPr>
          </w:p>
        </w:tc>
        <w:tc>
          <w:tcPr>
            <w:tcW w:w="760" w:type="dxa"/>
            <w:vAlign w:val="bottom"/>
            <w:tcBorders>
              <w:top w:val="single" w:sz="8" w:color="auto"/>
            </w:tcBorders>
            <w:shd w:val="clear" w:color="auto" w:fill="2AD2C9"/>
          </w:tcPr>
          <w:p>
            <w:pPr>
              <w:spacing w:after="0"/>
              <w:rPr>
                <w:sz w:val="12"/>
                <w:szCs w:val="12"/>
                <w:color w:val="auto"/>
              </w:rPr>
            </w:pPr>
          </w:p>
        </w:tc>
        <w:tc>
          <w:tcPr>
            <w:tcW w:w="840" w:type="dxa"/>
            <w:vAlign w:val="bottom"/>
            <w:tcBorders>
              <w:top w:val="single" w:sz="8" w:color="auto"/>
            </w:tcBorders>
            <w:shd w:val="clear" w:color="auto" w:fill="2AD2C9"/>
          </w:tcPr>
          <w:p>
            <w:pPr>
              <w:ind w:left="200"/>
              <w:spacing w:after="0"/>
              <w:rPr>
                <w:sz w:val="20"/>
                <w:szCs w:val="20"/>
                <w:color w:val="auto"/>
              </w:rPr>
            </w:pPr>
            <w:r>
              <w:rPr>
                <w:rFonts w:ascii="Arial" w:cs="Arial" w:eastAsia="Arial" w:hAnsi="Arial"/>
                <w:sz w:val="12"/>
                <w:szCs w:val="12"/>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2"/>
                <w:szCs w:val="12"/>
                <w:color w:val="auto"/>
              </w:rPr>
            </w:pPr>
          </w:p>
        </w:tc>
        <w:tc>
          <w:tcPr>
            <w:tcW w:w="16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2"/>
                <w:szCs w:val="12"/>
                <w:b w:val="1"/>
                <w:bCs w:val="1"/>
                <w:color w:val="FFFFFF"/>
              </w:rPr>
              <w:t>Change</w:t>
            </w:r>
          </w:p>
        </w:tc>
        <w:tc>
          <w:tcPr>
            <w:tcW w:w="580" w:type="dxa"/>
            <w:vAlign w:val="bottom"/>
            <w:tcBorders>
              <w:top w:val="single" w:sz="8" w:color="auto"/>
            </w:tcBorders>
            <w:shd w:val="clear" w:color="auto" w:fill="2AD2C9"/>
          </w:tcPr>
          <w:p>
            <w:pPr>
              <w:spacing w:after="0"/>
              <w:rPr>
                <w:sz w:val="12"/>
                <w:szCs w:val="12"/>
                <w:color w:val="auto"/>
              </w:rPr>
            </w:pPr>
          </w:p>
        </w:tc>
        <w:tc>
          <w:tcPr>
            <w:tcW w:w="98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2"/>
                <w:szCs w:val="12"/>
                <w:b w:val="1"/>
                <w:bCs w:val="1"/>
                <w:color w:val="FFFFFF"/>
              </w:rPr>
              <w:t>Up to</w:t>
            </w:r>
          </w:p>
        </w:tc>
        <w:tc>
          <w:tcPr>
            <w:tcW w:w="9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Change</w:t>
            </w:r>
          </w:p>
        </w:tc>
      </w:tr>
      <w:tr>
        <w:trPr>
          <w:trHeight w:val="135"/>
        </w:trPr>
        <w:tc>
          <w:tcPr>
            <w:tcW w:w="484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76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rPr>
              <w:t>4Q24</w:t>
            </w:r>
          </w:p>
        </w:tc>
        <w:tc>
          <w:tcPr>
            <w:tcW w:w="84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5"/>
              </w:rPr>
              <w:t>3Q25</w:t>
            </w:r>
          </w:p>
        </w:tc>
        <w:tc>
          <w:tcPr>
            <w:tcW w:w="78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5"/>
              </w:rPr>
              <w:t>4Q25</w:t>
            </w:r>
          </w:p>
        </w:tc>
        <w:tc>
          <w:tcPr>
            <w:tcW w:w="800" w:type="dxa"/>
            <w:vAlign w:val="bottom"/>
            <w:tcBorders>
              <w:bottom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9"/>
              </w:rPr>
              <w:t>QoQ</w:t>
            </w:r>
          </w:p>
        </w:tc>
        <w:tc>
          <w:tcPr>
            <w:tcW w:w="80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4"/>
              </w:rPr>
              <w:t>YoY</w:t>
            </w:r>
          </w:p>
        </w:tc>
        <w:tc>
          <w:tcPr>
            <w:tcW w:w="580" w:type="dxa"/>
            <w:vAlign w:val="bottom"/>
            <w:tcBorders>
              <w:bottom w:val="single" w:sz="8" w:color="auto"/>
            </w:tcBorders>
            <w:shd w:val="clear" w:color="auto" w:fill="2AD2C9"/>
          </w:tcPr>
          <w:p>
            <w:pPr>
              <w:jc w:val="center"/>
              <w:ind w:left="142"/>
              <w:spacing w:after="0" w:line="135" w:lineRule="exact"/>
              <w:rPr>
                <w:sz w:val="20"/>
                <w:szCs w:val="20"/>
                <w:color w:val="auto"/>
              </w:rPr>
            </w:pPr>
            <w:r>
              <w:rPr>
                <w:rFonts w:ascii="Arial" w:cs="Arial" w:eastAsia="Arial" w:hAnsi="Arial"/>
                <w:sz w:val="12"/>
                <w:szCs w:val="12"/>
                <w:b w:val="1"/>
                <w:bCs w:val="1"/>
                <w:color w:val="FFFFFF"/>
                <w:w w:val="97"/>
              </w:rPr>
              <w:t>2024</w:t>
            </w:r>
          </w:p>
        </w:tc>
        <w:tc>
          <w:tcPr>
            <w:tcW w:w="980" w:type="dxa"/>
            <w:vAlign w:val="bottom"/>
            <w:tcBorders>
              <w:bottom w:val="single" w:sz="8" w:color="auto"/>
              <w:right w:val="single" w:sz="8" w:color="auto"/>
            </w:tcBorders>
            <w:shd w:val="clear" w:color="auto" w:fill="2AD2C9"/>
          </w:tcPr>
          <w:p>
            <w:pPr>
              <w:jc w:val="center"/>
              <w:ind w:left="102"/>
              <w:spacing w:after="0" w:line="135" w:lineRule="exact"/>
              <w:rPr>
                <w:sz w:val="20"/>
                <w:szCs w:val="20"/>
                <w:color w:val="auto"/>
              </w:rPr>
            </w:pPr>
            <w:r>
              <w:rPr>
                <w:rFonts w:ascii="Arial" w:cs="Arial" w:eastAsia="Arial" w:hAnsi="Arial"/>
                <w:sz w:val="12"/>
                <w:szCs w:val="12"/>
                <w:b w:val="1"/>
                <w:bCs w:val="1"/>
                <w:color w:val="FFFFFF"/>
                <w:w w:val="97"/>
              </w:rPr>
              <w:t>2025</w:t>
            </w:r>
          </w:p>
        </w:tc>
        <w:tc>
          <w:tcPr>
            <w:tcW w:w="900" w:type="dxa"/>
            <w:vAlign w:val="bottom"/>
            <w:tcBorders>
              <w:bottom w:val="single" w:sz="8" w:color="auto"/>
              <w:right w:val="single" w:sz="8" w:color="auto"/>
            </w:tcBorders>
            <w:shd w:val="clear" w:color="auto" w:fill="2AD2C9"/>
          </w:tcPr>
          <w:p>
            <w:pPr>
              <w:jc w:val="center"/>
              <w:spacing w:after="0" w:line="135" w:lineRule="exact"/>
              <w:rPr>
                <w:sz w:val="20"/>
                <w:szCs w:val="20"/>
                <w:color w:val="auto"/>
              </w:rPr>
            </w:pPr>
            <w:r>
              <w:rPr>
                <w:rFonts w:ascii="Arial" w:cs="Arial" w:eastAsia="Arial" w:hAnsi="Arial"/>
                <w:sz w:val="12"/>
                <w:szCs w:val="12"/>
                <w:b w:val="1"/>
                <w:bCs w:val="1"/>
                <w:color w:val="FFFFFF"/>
                <w:w w:val="97"/>
              </w:rPr>
              <w:t>2025 / 2024</w:t>
            </w:r>
          </w:p>
        </w:tc>
      </w:tr>
      <w:tr>
        <w:trPr>
          <w:trHeight w:val="117"/>
        </w:trPr>
        <w:tc>
          <w:tcPr>
            <w:tcW w:w="4840" w:type="dxa"/>
            <w:vAlign w:val="bottom"/>
            <w:tcBorders>
              <w:left w:val="single" w:sz="8" w:color="auto"/>
              <w:right w:val="single" w:sz="8" w:color="auto"/>
            </w:tcBorders>
          </w:tcPr>
          <w:p>
            <w:pPr>
              <w:spacing w:after="0" w:line="117" w:lineRule="exact"/>
              <w:rPr>
                <w:sz w:val="20"/>
                <w:szCs w:val="20"/>
                <w:color w:val="auto"/>
              </w:rPr>
            </w:pPr>
            <w:r>
              <w:rPr>
                <w:rFonts w:ascii="Arial" w:cs="Arial" w:eastAsia="Arial" w:hAnsi="Arial"/>
                <w:sz w:val="12"/>
                <w:szCs w:val="12"/>
                <w:color w:val="auto"/>
              </w:rPr>
              <w:t>ROE</w:t>
            </w:r>
          </w:p>
        </w:tc>
        <w:tc>
          <w:tcPr>
            <w:tcW w:w="760" w:type="dxa"/>
            <w:vAlign w:val="bottom"/>
          </w:tcPr>
          <w:p>
            <w:pPr>
              <w:jc w:val="center"/>
              <w:spacing w:after="0" w:line="117" w:lineRule="exact"/>
              <w:rPr>
                <w:sz w:val="20"/>
                <w:szCs w:val="20"/>
                <w:color w:val="auto"/>
              </w:rPr>
            </w:pPr>
            <w:r>
              <w:rPr>
                <w:rFonts w:ascii="Arial" w:cs="Arial" w:eastAsia="Arial" w:hAnsi="Arial"/>
                <w:sz w:val="12"/>
                <w:szCs w:val="12"/>
                <w:color w:val="auto"/>
                <w:w w:val="99"/>
              </w:rPr>
              <w:t>19.7%</w:t>
            </w:r>
          </w:p>
        </w:tc>
        <w:tc>
          <w:tcPr>
            <w:tcW w:w="840" w:type="dxa"/>
            <w:vAlign w:val="bottom"/>
          </w:tcPr>
          <w:p>
            <w:pPr>
              <w:jc w:val="center"/>
              <w:spacing w:after="0" w:line="117" w:lineRule="exact"/>
              <w:rPr>
                <w:sz w:val="20"/>
                <w:szCs w:val="20"/>
                <w:color w:val="auto"/>
              </w:rPr>
            </w:pPr>
            <w:r>
              <w:rPr>
                <w:rFonts w:ascii="Arial" w:cs="Arial" w:eastAsia="Arial" w:hAnsi="Arial"/>
                <w:sz w:val="12"/>
                <w:szCs w:val="12"/>
                <w:color w:val="auto"/>
                <w:w w:val="93"/>
              </w:rPr>
              <w:t>41.0%</w:t>
            </w:r>
          </w:p>
        </w:tc>
        <w:tc>
          <w:tcPr>
            <w:tcW w:w="7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9"/>
              </w:rPr>
              <w:t>29.5%</w:t>
            </w:r>
          </w:p>
        </w:tc>
        <w:tc>
          <w:tcPr>
            <w:tcW w:w="800" w:type="dxa"/>
            <w:vAlign w:val="bottom"/>
          </w:tcPr>
          <w:p>
            <w:pPr>
              <w:jc w:val="center"/>
              <w:spacing w:after="0" w:line="117" w:lineRule="exact"/>
              <w:rPr>
                <w:sz w:val="20"/>
                <w:szCs w:val="20"/>
                <w:color w:val="auto"/>
              </w:rPr>
            </w:pPr>
            <w:r>
              <w:rPr>
                <w:rFonts w:ascii="Arial" w:cs="Arial" w:eastAsia="Arial" w:hAnsi="Arial"/>
                <w:sz w:val="12"/>
                <w:szCs w:val="12"/>
                <w:color w:val="auto"/>
                <w:w w:val="97"/>
              </w:rPr>
              <w:t>-1150 pbs</w:t>
            </w:r>
          </w:p>
        </w:tc>
        <w:tc>
          <w:tcPr>
            <w:tcW w:w="8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8"/>
              </w:rPr>
              <w:t>982 pbs</w:t>
            </w:r>
          </w:p>
        </w:tc>
        <w:tc>
          <w:tcPr>
            <w:tcW w:w="580" w:type="dxa"/>
            <w:vAlign w:val="bottom"/>
          </w:tcPr>
          <w:p>
            <w:pPr>
              <w:jc w:val="center"/>
              <w:ind w:left="122"/>
              <w:spacing w:after="0" w:line="117" w:lineRule="exact"/>
              <w:rPr>
                <w:sz w:val="20"/>
                <w:szCs w:val="20"/>
                <w:color w:val="auto"/>
              </w:rPr>
            </w:pPr>
            <w:r>
              <w:rPr>
                <w:rFonts w:ascii="Arial" w:cs="Arial" w:eastAsia="Arial" w:hAnsi="Arial"/>
                <w:sz w:val="12"/>
                <w:szCs w:val="12"/>
                <w:color w:val="auto"/>
                <w:w w:val="93"/>
              </w:rPr>
              <w:t>27.2%</w:t>
            </w:r>
          </w:p>
        </w:tc>
        <w:tc>
          <w:tcPr>
            <w:tcW w:w="980" w:type="dxa"/>
            <w:vAlign w:val="bottom"/>
            <w:tcBorders>
              <w:right w:val="single" w:sz="8" w:color="auto"/>
            </w:tcBorders>
          </w:tcPr>
          <w:p>
            <w:pPr>
              <w:jc w:val="center"/>
              <w:ind w:left="122"/>
              <w:spacing w:after="0" w:line="117" w:lineRule="exact"/>
              <w:rPr>
                <w:sz w:val="20"/>
                <w:szCs w:val="20"/>
                <w:color w:val="auto"/>
              </w:rPr>
            </w:pPr>
            <w:r>
              <w:rPr>
                <w:rFonts w:ascii="Arial" w:cs="Arial" w:eastAsia="Arial" w:hAnsi="Arial"/>
                <w:sz w:val="12"/>
                <w:szCs w:val="12"/>
                <w:color w:val="auto"/>
                <w:w w:val="93"/>
              </w:rPr>
              <w:t>31.6%</w:t>
            </w:r>
          </w:p>
        </w:tc>
        <w:tc>
          <w:tcPr>
            <w:tcW w:w="9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color w:val="auto"/>
                <w:w w:val="98"/>
              </w:rPr>
              <w:t>431 pbs</w:t>
            </w:r>
          </w:p>
        </w:tc>
      </w:tr>
      <w:tr>
        <w:trPr>
          <w:trHeight w:val="135"/>
        </w:trPr>
        <w:tc>
          <w:tcPr>
            <w:tcW w:w="484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Net Interest Margin</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4"/>
              </w:rPr>
              <w:t>0.0%</w:t>
            </w:r>
          </w:p>
        </w:tc>
        <w:tc>
          <w:tcPr>
            <w:tcW w:w="840" w:type="dxa"/>
            <w:vAlign w:val="bottom"/>
          </w:tcPr>
          <w:p>
            <w:pPr>
              <w:jc w:val="center"/>
              <w:spacing w:after="0" w:line="135" w:lineRule="exact"/>
              <w:rPr>
                <w:sz w:val="20"/>
                <w:szCs w:val="20"/>
                <w:color w:val="auto"/>
              </w:rPr>
            </w:pPr>
            <w:r>
              <w:rPr>
                <w:rFonts w:ascii="Arial" w:cs="Arial" w:eastAsia="Arial" w:hAnsi="Arial"/>
                <w:sz w:val="12"/>
                <w:szCs w:val="12"/>
                <w:color w:val="auto"/>
              </w:rPr>
              <w:t>-0.5%</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4"/>
              </w:rPr>
              <w:t>0.3%</w:t>
            </w:r>
          </w:p>
        </w:tc>
        <w:tc>
          <w:tcPr>
            <w:tcW w:w="800" w:type="dxa"/>
            <w:vAlign w:val="bottom"/>
          </w:tcPr>
          <w:p>
            <w:pPr>
              <w:jc w:val="center"/>
              <w:spacing w:after="0" w:line="135" w:lineRule="exact"/>
              <w:rPr>
                <w:sz w:val="20"/>
                <w:szCs w:val="20"/>
                <w:color w:val="auto"/>
              </w:rPr>
            </w:pPr>
            <w:r>
              <w:rPr>
                <w:rFonts w:ascii="Arial" w:cs="Arial" w:eastAsia="Arial" w:hAnsi="Arial"/>
                <w:sz w:val="12"/>
                <w:szCs w:val="12"/>
                <w:color w:val="auto"/>
                <w:w w:val="99"/>
              </w:rPr>
              <w:t>77 pbs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28 pbs</w:t>
            </w:r>
          </w:p>
        </w:tc>
        <w:tc>
          <w:tcPr>
            <w:tcW w:w="580" w:type="dxa"/>
            <w:vAlign w:val="bottom"/>
          </w:tcPr>
          <w:p>
            <w:pPr>
              <w:jc w:val="center"/>
              <w:ind w:left="122"/>
              <w:spacing w:after="0" w:line="135" w:lineRule="exact"/>
              <w:rPr>
                <w:sz w:val="20"/>
                <w:szCs w:val="20"/>
                <w:color w:val="auto"/>
              </w:rPr>
            </w:pPr>
            <w:r>
              <w:rPr>
                <w:rFonts w:ascii="Arial" w:cs="Arial" w:eastAsia="Arial" w:hAnsi="Arial"/>
                <w:sz w:val="12"/>
                <w:szCs w:val="12"/>
                <w:color w:val="auto"/>
              </w:rPr>
              <w:t>0.4%</w:t>
            </w:r>
          </w:p>
        </w:tc>
        <w:tc>
          <w:tcPr>
            <w:tcW w:w="980" w:type="dxa"/>
            <w:vAlign w:val="bottom"/>
            <w:tcBorders>
              <w:right w:val="single" w:sz="8" w:color="auto"/>
            </w:tcBorders>
          </w:tcPr>
          <w:p>
            <w:pPr>
              <w:jc w:val="center"/>
              <w:ind w:left="122"/>
              <w:spacing w:after="0" w:line="135" w:lineRule="exact"/>
              <w:rPr>
                <w:sz w:val="20"/>
                <w:szCs w:val="20"/>
                <w:color w:val="auto"/>
              </w:rPr>
            </w:pPr>
            <w:r>
              <w:rPr>
                <w:rFonts w:ascii="Arial" w:cs="Arial" w:eastAsia="Arial" w:hAnsi="Arial"/>
                <w:sz w:val="12"/>
                <w:szCs w:val="12"/>
                <w:color w:val="auto"/>
              </w:rPr>
              <w:t>0.2%</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-17 pbs</w:t>
            </w:r>
          </w:p>
        </w:tc>
      </w:tr>
      <w:tr>
        <w:trPr>
          <w:trHeight w:val="135"/>
        </w:trPr>
        <w:tc>
          <w:tcPr>
            <w:tcW w:w="484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Efficiency Ratio</w:t>
            </w:r>
          </w:p>
        </w:tc>
        <w:tc>
          <w:tcPr>
            <w:tcW w:w="760" w:type="dxa"/>
            <w:vAlign w:val="bottom"/>
          </w:tcPr>
          <w:p>
            <w:pPr>
              <w:jc w:val="center"/>
              <w:spacing w:after="0" w:line="135" w:lineRule="exact"/>
              <w:rPr>
                <w:sz w:val="20"/>
                <w:szCs w:val="20"/>
                <w:color w:val="auto"/>
              </w:rPr>
            </w:pPr>
            <w:r>
              <w:rPr>
                <w:rFonts w:ascii="Arial" w:cs="Arial" w:eastAsia="Arial" w:hAnsi="Arial"/>
                <w:sz w:val="12"/>
                <w:szCs w:val="12"/>
                <w:color w:val="auto"/>
                <w:w w:val="99"/>
              </w:rPr>
              <w:t>64.2%</w:t>
            </w:r>
          </w:p>
        </w:tc>
        <w:tc>
          <w:tcPr>
            <w:tcW w:w="840" w:type="dxa"/>
            <w:vAlign w:val="bottom"/>
          </w:tcPr>
          <w:p>
            <w:pPr>
              <w:jc w:val="center"/>
              <w:spacing w:after="0" w:line="135" w:lineRule="exact"/>
              <w:rPr>
                <w:sz w:val="20"/>
                <w:szCs w:val="20"/>
                <w:color w:val="auto"/>
              </w:rPr>
            </w:pPr>
            <w:r>
              <w:rPr>
                <w:rFonts w:ascii="Arial" w:cs="Arial" w:eastAsia="Arial" w:hAnsi="Arial"/>
                <w:sz w:val="12"/>
                <w:szCs w:val="12"/>
                <w:color w:val="auto"/>
                <w:w w:val="93"/>
              </w:rPr>
              <w:t>52.5%</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57.7%</w:t>
            </w:r>
          </w:p>
        </w:tc>
        <w:tc>
          <w:tcPr>
            <w:tcW w:w="800" w:type="dxa"/>
            <w:vAlign w:val="bottom"/>
          </w:tcPr>
          <w:p>
            <w:pPr>
              <w:jc w:val="center"/>
              <w:spacing w:after="0" w:line="135" w:lineRule="exact"/>
              <w:rPr>
                <w:sz w:val="20"/>
                <w:szCs w:val="20"/>
                <w:color w:val="auto"/>
              </w:rPr>
            </w:pPr>
            <w:r>
              <w:rPr>
                <w:rFonts w:ascii="Arial" w:cs="Arial" w:eastAsia="Arial" w:hAnsi="Arial"/>
                <w:sz w:val="12"/>
                <w:szCs w:val="12"/>
                <w:color w:val="auto"/>
                <w:w w:val="98"/>
              </w:rPr>
              <w:t>520 pbs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8"/>
              </w:rPr>
              <w:t>-652 pbs</w:t>
            </w:r>
          </w:p>
        </w:tc>
        <w:tc>
          <w:tcPr>
            <w:tcW w:w="580" w:type="dxa"/>
            <w:vAlign w:val="bottom"/>
          </w:tcPr>
          <w:p>
            <w:pPr>
              <w:jc w:val="center"/>
              <w:ind w:left="122"/>
              <w:spacing w:after="0" w:line="135" w:lineRule="exact"/>
              <w:rPr>
                <w:sz w:val="20"/>
                <w:szCs w:val="20"/>
                <w:color w:val="auto"/>
              </w:rPr>
            </w:pPr>
            <w:r>
              <w:rPr>
                <w:rFonts w:ascii="Arial" w:cs="Arial" w:eastAsia="Arial" w:hAnsi="Arial"/>
                <w:sz w:val="12"/>
                <w:szCs w:val="12"/>
                <w:color w:val="auto"/>
                <w:w w:val="93"/>
              </w:rPr>
              <w:t>54.2%</w:t>
            </w:r>
          </w:p>
        </w:tc>
        <w:tc>
          <w:tcPr>
            <w:tcW w:w="980" w:type="dxa"/>
            <w:vAlign w:val="bottom"/>
            <w:tcBorders>
              <w:right w:val="single" w:sz="8" w:color="auto"/>
            </w:tcBorders>
          </w:tcPr>
          <w:p>
            <w:pPr>
              <w:jc w:val="center"/>
              <w:ind w:left="122"/>
              <w:spacing w:after="0" w:line="135" w:lineRule="exact"/>
              <w:rPr>
                <w:sz w:val="20"/>
                <w:szCs w:val="20"/>
                <w:color w:val="auto"/>
              </w:rPr>
            </w:pPr>
            <w:r>
              <w:rPr>
                <w:rFonts w:ascii="Arial" w:cs="Arial" w:eastAsia="Arial" w:hAnsi="Arial"/>
                <w:sz w:val="12"/>
                <w:szCs w:val="12"/>
                <w:color w:val="auto"/>
                <w:w w:val="93"/>
              </w:rPr>
              <w:t>54.0%</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-20 pbs</w:t>
            </w:r>
          </w:p>
        </w:tc>
      </w:tr>
      <w:tr>
        <w:trPr>
          <w:trHeight w:val="147"/>
        </w:trPr>
        <w:tc>
          <w:tcPr>
            <w:tcW w:w="48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Operating Expenses / Total Average Assets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32.6%</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32.2%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33.9%</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164 pbs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130 pbs</w:t>
            </w:r>
          </w:p>
        </w:tc>
        <w:tc>
          <w:tcPr>
            <w:tcW w:w="580" w:type="dxa"/>
            <w:vAlign w:val="bottom"/>
            <w:tcBorders>
              <w:bottom w:val="single" w:sz="8" w:color="auto"/>
            </w:tcBorders>
          </w:tcPr>
          <w:p>
            <w:pPr>
              <w:jc w:val="center"/>
              <w:ind w:left="122"/>
              <w:spacing w:after="0"/>
              <w:rPr>
                <w:sz w:val="20"/>
                <w:szCs w:val="20"/>
                <w:color w:val="auto"/>
              </w:rPr>
            </w:pPr>
            <w:r>
              <w:rPr>
                <w:rFonts w:ascii="Arial" w:cs="Arial" w:eastAsia="Arial" w:hAnsi="Arial"/>
                <w:sz w:val="12"/>
                <w:szCs w:val="12"/>
                <w:color w:val="auto"/>
                <w:w w:val="93"/>
              </w:rPr>
              <w:t>28.9%</w:t>
            </w:r>
          </w:p>
        </w:tc>
        <w:tc>
          <w:tcPr>
            <w:tcW w:w="980" w:type="dxa"/>
            <w:vAlign w:val="bottom"/>
            <w:tcBorders>
              <w:bottom w:val="single" w:sz="8" w:color="auto"/>
              <w:right w:val="single" w:sz="8" w:color="auto"/>
            </w:tcBorders>
          </w:tcPr>
          <w:p>
            <w:pPr>
              <w:jc w:val="center"/>
              <w:ind w:left="122"/>
              <w:spacing w:after="0"/>
              <w:rPr>
                <w:sz w:val="20"/>
                <w:szCs w:val="20"/>
                <w:color w:val="auto"/>
              </w:rPr>
            </w:pPr>
            <w:r>
              <w:rPr>
                <w:rFonts w:ascii="Arial" w:cs="Arial" w:eastAsia="Arial" w:hAnsi="Arial"/>
                <w:sz w:val="12"/>
                <w:szCs w:val="12"/>
                <w:color w:val="auto"/>
                <w:w w:val="93"/>
              </w:rPr>
              <w:t>31.0%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205 pbs</w:t>
            </w: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Main Indicators and Market Share</w:t>
      </w:r>
    </w:p>
    <w:p>
      <w:pPr>
        <w:spacing w:after="0" w:line="193" w:lineRule="exact"/>
        <w:rPr>
          <w:sz w:val="20"/>
          <w:szCs w:val="20"/>
          <w:color w:val="auto"/>
        </w:rPr>
      </w:pPr>
    </w:p>
    <w:tbl>
      <w:tblPr>
        <w:tblLayout w:type="fixed"/>
        <w:tblInd w:w="850" w:type="dxa"/>
        <w:tblCellMar>
          <w:top w:w="0" w:type="dxa"/>
          <w:left w:w="0" w:type="dxa"/>
          <w:bottom w:w="0" w:type="dxa"/>
          <w:right w:w="0" w:type="dxa"/>
        </w:tblCellMar>
      </w:tblPr>
      <w:tr>
        <w:trPr>
          <w:trHeight w:val="143"/>
        </w:trPr>
        <w:tc>
          <w:tcPr>
            <w:tcW w:w="4100" w:type="dxa"/>
            <w:vAlign w:val="bottom"/>
            <w:tcBorders>
              <w:top w:val="single" w:sz="8" w:color="auto"/>
              <w:left w:val="single" w:sz="8" w:color="auto"/>
              <w:right w:val="single" w:sz="8" w:color="auto"/>
            </w:tcBorders>
            <w:shd w:val="clear" w:color="auto" w:fill="2AD2C9"/>
          </w:tcPr>
          <w:p>
            <w:pPr>
              <w:spacing w:after="0"/>
              <w:rPr>
                <w:sz w:val="12"/>
                <w:szCs w:val="12"/>
                <w:color w:val="auto"/>
              </w:rPr>
            </w:pPr>
          </w:p>
        </w:tc>
        <w:tc>
          <w:tcPr>
            <w:tcW w:w="880" w:type="dxa"/>
            <w:vAlign w:val="bottom"/>
            <w:tcBorders>
              <w:top w:val="single" w:sz="8" w:color="auto"/>
            </w:tcBorders>
            <w:shd w:val="clear" w:color="auto" w:fill="2AD2C9"/>
          </w:tcPr>
          <w:p>
            <w:pPr>
              <w:ind w:left="300"/>
              <w:spacing w:after="0" w:line="144" w:lineRule="exact"/>
              <w:rPr>
                <w:sz w:val="20"/>
                <w:szCs w:val="20"/>
                <w:color w:val="auto"/>
              </w:rPr>
            </w:pPr>
            <w:r>
              <w:rPr>
                <w:rFonts w:ascii="Arial" w:cs="Arial" w:eastAsia="Arial" w:hAnsi="Arial"/>
                <w:sz w:val="13"/>
                <w:szCs w:val="13"/>
                <w:b w:val="1"/>
                <w:bCs w:val="1"/>
                <w:color w:val="FFFFFF"/>
              </w:rPr>
              <w:t>Prima</w:t>
            </w:r>
          </w:p>
        </w:tc>
        <w:tc>
          <w:tcPr>
            <w:tcW w:w="1000" w:type="dxa"/>
            <w:vAlign w:val="bottom"/>
            <w:tcBorders>
              <w:top w:val="single" w:sz="8" w:color="auto"/>
            </w:tcBorders>
            <w:shd w:val="clear" w:color="auto" w:fill="2AD2C9"/>
          </w:tcPr>
          <w:p>
            <w:pPr>
              <w:jc w:val="center"/>
              <w:spacing w:after="0" w:line="144" w:lineRule="exact"/>
              <w:rPr>
                <w:sz w:val="20"/>
                <w:szCs w:val="20"/>
                <w:color w:val="auto"/>
              </w:rPr>
            </w:pPr>
            <w:r>
              <w:rPr>
                <w:rFonts w:ascii="Arial" w:cs="Arial" w:eastAsia="Arial" w:hAnsi="Arial"/>
                <w:sz w:val="13"/>
                <w:szCs w:val="13"/>
                <w:b w:val="1"/>
                <w:bCs w:val="1"/>
                <w:color w:val="FFFFFF"/>
              </w:rPr>
              <w:t>System</w:t>
            </w:r>
          </w:p>
        </w:tc>
        <w:tc>
          <w:tcPr>
            <w:tcW w:w="880" w:type="dxa"/>
            <w:vAlign w:val="bottom"/>
            <w:tcBorders>
              <w:top w:val="single" w:sz="8" w:color="auto"/>
              <w:right w:val="single" w:sz="8" w:color="auto"/>
            </w:tcBorders>
            <w:shd w:val="clear" w:color="auto" w:fill="2AD2C9"/>
          </w:tcPr>
          <w:p>
            <w:pPr>
              <w:ind w:left="160"/>
              <w:spacing w:after="0" w:line="144" w:lineRule="exact"/>
              <w:rPr>
                <w:sz w:val="20"/>
                <w:szCs w:val="20"/>
                <w:color w:val="auto"/>
              </w:rPr>
            </w:pPr>
            <w:r>
              <w:rPr>
                <w:rFonts w:ascii="Arial" w:cs="Arial" w:eastAsia="Arial" w:hAnsi="Arial"/>
                <w:sz w:val="13"/>
                <w:szCs w:val="13"/>
                <w:b w:val="1"/>
                <w:bCs w:val="1"/>
                <w:color w:val="FFFFFF"/>
              </w:rPr>
              <w:t>Share %</w:t>
            </w:r>
          </w:p>
        </w:tc>
        <w:tc>
          <w:tcPr>
            <w:tcW w:w="880" w:type="dxa"/>
            <w:vAlign w:val="bottom"/>
            <w:tcBorders>
              <w:top w:val="single" w:sz="8" w:color="auto"/>
            </w:tcBorders>
            <w:shd w:val="clear" w:color="auto" w:fill="2AD2C9"/>
          </w:tcPr>
          <w:p>
            <w:pPr>
              <w:ind w:left="280"/>
              <w:spacing w:after="0" w:line="144" w:lineRule="exact"/>
              <w:rPr>
                <w:sz w:val="20"/>
                <w:szCs w:val="20"/>
                <w:color w:val="auto"/>
              </w:rPr>
            </w:pPr>
            <w:r>
              <w:rPr>
                <w:rFonts w:ascii="Arial" w:cs="Arial" w:eastAsia="Arial" w:hAnsi="Arial"/>
                <w:sz w:val="13"/>
                <w:szCs w:val="13"/>
                <w:b w:val="1"/>
                <w:bCs w:val="1"/>
                <w:color w:val="FFFFFF"/>
              </w:rPr>
              <w:t>Prima</w:t>
            </w:r>
          </w:p>
        </w:tc>
        <w:tc>
          <w:tcPr>
            <w:tcW w:w="980" w:type="dxa"/>
            <w:vAlign w:val="bottom"/>
            <w:tcBorders>
              <w:top w:val="single" w:sz="8" w:color="auto"/>
            </w:tcBorders>
            <w:shd w:val="clear" w:color="auto" w:fill="2AD2C9"/>
          </w:tcPr>
          <w:p>
            <w:pPr>
              <w:jc w:val="center"/>
              <w:spacing w:after="0" w:line="144" w:lineRule="exact"/>
              <w:rPr>
                <w:sz w:val="20"/>
                <w:szCs w:val="20"/>
                <w:color w:val="auto"/>
              </w:rPr>
            </w:pPr>
            <w:r>
              <w:rPr>
                <w:rFonts w:ascii="Arial" w:cs="Arial" w:eastAsia="Arial" w:hAnsi="Arial"/>
                <w:sz w:val="13"/>
                <w:szCs w:val="13"/>
                <w:b w:val="1"/>
                <w:bCs w:val="1"/>
                <w:color w:val="FFFFFF"/>
              </w:rPr>
              <w:t>System</w:t>
            </w:r>
          </w:p>
        </w:tc>
        <w:tc>
          <w:tcPr>
            <w:tcW w:w="860" w:type="dxa"/>
            <w:vAlign w:val="bottom"/>
            <w:tcBorders>
              <w:top w:val="single" w:sz="8" w:color="auto"/>
              <w:right w:val="single" w:sz="8" w:color="auto"/>
            </w:tcBorders>
            <w:shd w:val="clear" w:color="auto" w:fill="2AD2C9"/>
          </w:tcPr>
          <w:p>
            <w:pPr>
              <w:ind w:left="160"/>
              <w:spacing w:after="0" w:line="144" w:lineRule="exact"/>
              <w:rPr>
                <w:sz w:val="20"/>
                <w:szCs w:val="20"/>
                <w:color w:val="auto"/>
              </w:rPr>
            </w:pPr>
            <w:r>
              <w:rPr>
                <w:rFonts w:ascii="Arial" w:cs="Arial" w:eastAsia="Arial" w:hAnsi="Arial"/>
                <w:sz w:val="13"/>
                <w:szCs w:val="13"/>
                <w:b w:val="1"/>
                <w:bCs w:val="1"/>
                <w:color w:val="FFFFFF"/>
              </w:rPr>
              <w:t>Share %</w:t>
            </w:r>
          </w:p>
        </w:tc>
      </w:tr>
      <w:tr>
        <w:trPr>
          <w:trHeight w:val="167"/>
        </w:trPr>
        <w:tc>
          <w:tcPr>
            <w:tcW w:w="410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3Q25</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3Q25</w:t>
            </w:r>
          </w:p>
        </w:tc>
        <w:tc>
          <w:tcPr>
            <w:tcW w:w="88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3Q25</w:t>
            </w: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4Q25</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4Q25</w:t>
            </w:r>
          </w:p>
        </w:tc>
        <w:tc>
          <w:tcPr>
            <w:tcW w:w="86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4Q25</w:t>
            </w:r>
          </w:p>
        </w:tc>
      </w:tr>
      <w:tr>
        <w:trPr>
          <w:trHeight w:val="125"/>
        </w:trPr>
        <w:tc>
          <w:tcPr>
            <w:tcW w:w="4100" w:type="dxa"/>
            <w:vAlign w:val="bottom"/>
            <w:tcBorders>
              <w:left w:val="single" w:sz="8" w:color="auto"/>
              <w:right w:val="single" w:sz="8" w:color="auto"/>
            </w:tcBorders>
          </w:tcPr>
          <w:p>
            <w:pPr>
              <w:ind w:left="20"/>
              <w:spacing w:after="0" w:line="126" w:lineRule="exact"/>
              <w:rPr>
                <w:sz w:val="20"/>
                <w:szCs w:val="20"/>
                <w:color w:val="auto"/>
              </w:rPr>
            </w:pPr>
            <w:r>
              <w:rPr>
                <w:rFonts w:ascii="Arial" w:cs="Arial" w:eastAsia="Arial" w:hAnsi="Arial"/>
                <w:sz w:val="13"/>
                <w:szCs w:val="13"/>
                <w:color w:val="auto"/>
              </w:rPr>
              <w:t>AUMs (S/ Millions)</w:t>
            </w:r>
          </w:p>
        </w:tc>
        <w:tc>
          <w:tcPr>
            <w:tcW w:w="880" w:type="dxa"/>
            <w:vAlign w:val="bottom"/>
          </w:tcPr>
          <w:p>
            <w:pPr>
              <w:jc w:val="center"/>
              <w:spacing w:after="0" w:line="126" w:lineRule="exact"/>
              <w:rPr>
                <w:sz w:val="20"/>
                <w:szCs w:val="20"/>
                <w:color w:val="auto"/>
              </w:rPr>
            </w:pPr>
            <w:r>
              <w:rPr>
                <w:rFonts w:ascii="Arial" w:cs="Arial" w:eastAsia="Arial" w:hAnsi="Arial"/>
                <w:sz w:val="13"/>
                <w:szCs w:val="13"/>
                <w:color w:val="auto"/>
              </w:rPr>
              <w:t>35,067</w:t>
            </w:r>
          </w:p>
        </w:tc>
        <w:tc>
          <w:tcPr>
            <w:tcW w:w="1000" w:type="dxa"/>
            <w:vAlign w:val="bottom"/>
          </w:tcPr>
          <w:p>
            <w:pPr>
              <w:jc w:val="center"/>
              <w:spacing w:after="0" w:line="126" w:lineRule="exact"/>
              <w:rPr>
                <w:sz w:val="20"/>
                <w:szCs w:val="20"/>
                <w:color w:val="auto"/>
              </w:rPr>
            </w:pPr>
            <w:r>
              <w:rPr>
                <w:rFonts w:ascii="Arial" w:cs="Arial" w:eastAsia="Arial" w:hAnsi="Arial"/>
                <w:sz w:val="13"/>
                <w:szCs w:val="13"/>
                <w:color w:val="auto"/>
              </w:rPr>
              <w:t>122,262</w:t>
            </w:r>
          </w:p>
        </w:tc>
        <w:tc>
          <w:tcPr>
            <w:tcW w:w="880" w:type="dxa"/>
            <w:vAlign w:val="bottom"/>
            <w:tcBorders>
              <w:right w:val="single" w:sz="8" w:color="auto"/>
            </w:tcBorders>
          </w:tcPr>
          <w:p>
            <w:pPr>
              <w:ind w:left="260"/>
              <w:spacing w:after="0" w:line="126" w:lineRule="exact"/>
              <w:rPr>
                <w:sz w:val="20"/>
                <w:szCs w:val="20"/>
                <w:color w:val="auto"/>
              </w:rPr>
            </w:pPr>
            <w:r>
              <w:rPr>
                <w:rFonts w:ascii="Arial" w:cs="Arial" w:eastAsia="Arial" w:hAnsi="Arial"/>
                <w:sz w:val="13"/>
                <w:szCs w:val="13"/>
                <w:color w:val="auto"/>
              </w:rPr>
              <w:t>29%</w:t>
            </w:r>
          </w:p>
        </w:tc>
        <w:tc>
          <w:tcPr>
            <w:tcW w:w="880" w:type="dxa"/>
            <w:vAlign w:val="bottom"/>
          </w:tcPr>
          <w:p>
            <w:pPr>
              <w:jc w:val="center"/>
              <w:spacing w:after="0" w:line="126" w:lineRule="exact"/>
              <w:rPr>
                <w:sz w:val="20"/>
                <w:szCs w:val="20"/>
                <w:color w:val="auto"/>
              </w:rPr>
            </w:pPr>
            <w:r>
              <w:rPr>
                <w:rFonts w:ascii="Arial" w:cs="Arial" w:eastAsia="Arial" w:hAnsi="Arial"/>
                <w:sz w:val="13"/>
                <w:szCs w:val="13"/>
                <w:color w:val="auto"/>
              </w:rPr>
              <w:t>32,819</w:t>
            </w:r>
          </w:p>
        </w:tc>
        <w:tc>
          <w:tcPr>
            <w:tcW w:w="980" w:type="dxa"/>
            <w:vAlign w:val="bottom"/>
          </w:tcPr>
          <w:p>
            <w:pPr>
              <w:jc w:val="center"/>
              <w:spacing w:after="0" w:line="126" w:lineRule="exact"/>
              <w:rPr>
                <w:sz w:val="20"/>
                <w:szCs w:val="20"/>
                <w:color w:val="auto"/>
              </w:rPr>
            </w:pPr>
            <w:r>
              <w:rPr>
                <w:rFonts w:ascii="Arial" w:cs="Arial" w:eastAsia="Arial" w:hAnsi="Arial"/>
                <w:sz w:val="13"/>
                <w:szCs w:val="13"/>
                <w:color w:val="auto"/>
              </w:rPr>
              <w:t>115,071</w:t>
            </w:r>
          </w:p>
        </w:tc>
        <w:tc>
          <w:tcPr>
            <w:tcW w:w="860" w:type="dxa"/>
            <w:vAlign w:val="bottom"/>
            <w:tcBorders>
              <w:right w:val="single" w:sz="8" w:color="auto"/>
            </w:tcBorders>
          </w:tcPr>
          <w:p>
            <w:pPr>
              <w:ind w:left="260"/>
              <w:spacing w:after="0" w:line="126" w:lineRule="exact"/>
              <w:rPr>
                <w:sz w:val="20"/>
                <w:szCs w:val="20"/>
                <w:color w:val="auto"/>
              </w:rPr>
            </w:pPr>
            <w:r>
              <w:rPr>
                <w:rFonts w:ascii="Arial" w:cs="Arial" w:eastAsia="Arial" w:hAnsi="Arial"/>
                <w:sz w:val="13"/>
                <w:szCs w:val="13"/>
                <w:color w:val="auto"/>
              </w:rPr>
              <w:t>29%</w:t>
            </w:r>
          </w:p>
        </w:tc>
      </w:tr>
      <w:tr>
        <w:trPr>
          <w:trHeight w:val="14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Affiliates (S/ Millions)</w:t>
            </w:r>
          </w:p>
        </w:tc>
        <w:tc>
          <w:tcPr>
            <w:tcW w:w="880" w:type="dxa"/>
            <w:vAlign w:val="bottom"/>
          </w:tcPr>
          <w:p>
            <w:pPr>
              <w:jc w:val="center"/>
              <w:spacing w:after="0"/>
              <w:rPr>
                <w:sz w:val="20"/>
                <w:szCs w:val="20"/>
                <w:color w:val="auto"/>
              </w:rPr>
            </w:pPr>
            <w:r>
              <w:rPr>
                <w:rFonts w:ascii="Arial" w:cs="Arial" w:eastAsia="Arial" w:hAnsi="Arial"/>
                <w:sz w:val="13"/>
                <w:szCs w:val="13"/>
                <w:color w:val="auto"/>
              </w:rPr>
              <w:t>2,343,615</w:t>
            </w:r>
          </w:p>
        </w:tc>
        <w:tc>
          <w:tcPr>
            <w:tcW w:w="1000" w:type="dxa"/>
            <w:vAlign w:val="bottom"/>
          </w:tcPr>
          <w:p>
            <w:pPr>
              <w:jc w:val="center"/>
              <w:spacing w:after="0"/>
              <w:rPr>
                <w:sz w:val="20"/>
                <w:szCs w:val="20"/>
                <w:color w:val="auto"/>
              </w:rPr>
            </w:pPr>
            <w:r>
              <w:rPr>
                <w:rFonts w:ascii="Arial" w:cs="Arial" w:eastAsia="Arial" w:hAnsi="Arial"/>
                <w:sz w:val="13"/>
                <w:szCs w:val="13"/>
                <w:color w:val="auto"/>
              </w:rPr>
              <w:t>10,167,243</w:t>
            </w:r>
          </w:p>
        </w:tc>
        <w:tc>
          <w:tcPr>
            <w:tcW w:w="880" w:type="dxa"/>
            <w:vAlign w:val="bottom"/>
            <w:tcBorders>
              <w:right w:val="single" w:sz="8" w:color="auto"/>
            </w:tcBorders>
          </w:tcPr>
          <w:p>
            <w:pPr>
              <w:ind w:left="260"/>
              <w:spacing w:after="0"/>
              <w:rPr>
                <w:sz w:val="20"/>
                <w:szCs w:val="20"/>
                <w:color w:val="auto"/>
              </w:rPr>
            </w:pPr>
            <w:r>
              <w:rPr>
                <w:rFonts w:ascii="Arial" w:cs="Arial" w:eastAsia="Arial" w:hAnsi="Arial"/>
                <w:sz w:val="13"/>
                <w:szCs w:val="13"/>
                <w:color w:val="auto"/>
              </w:rPr>
              <w:t>23%</w:t>
            </w:r>
          </w:p>
        </w:tc>
        <w:tc>
          <w:tcPr>
            <w:tcW w:w="880" w:type="dxa"/>
            <w:vAlign w:val="bottom"/>
          </w:tcPr>
          <w:p>
            <w:pPr>
              <w:jc w:val="center"/>
              <w:spacing w:after="0"/>
              <w:rPr>
                <w:sz w:val="20"/>
                <w:szCs w:val="20"/>
                <w:color w:val="auto"/>
              </w:rPr>
            </w:pPr>
            <w:r>
              <w:rPr>
                <w:rFonts w:ascii="Arial" w:cs="Arial" w:eastAsia="Arial" w:hAnsi="Arial"/>
                <w:sz w:val="13"/>
                <w:szCs w:val="13"/>
                <w:color w:val="auto"/>
              </w:rPr>
              <w:t>2,360,014</w:t>
            </w:r>
          </w:p>
        </w:tc>
        <w:tc>
          <w:tcPr>
            <w:tcW w:w="980" w:type="dxa"/>
            <w:vAlign w:val="bottom"/>
          </w:tcPr>
          <w:p>
            <w:pPr>
              <w:jc w:val="center"/>
              <w:spacing w:after="0"/>
              <w:rPr>
                <w:sz w:val="20"/>
                <w:szCs w:val="20"/>
                <w:color w:val="auto"/>
              </w:rPr>
            </w:pPr>
            <w:r>
              <w:rPr>
                <w:rFonts w:ascii="Arial" w:cs="Arial" w:eastAsia="Arial" w:hAnsi="Arial"/>
                <w:sz w:val="13"/>
                <w:szCs w:val="13"/>
                <w:color w:val="auto"/>
              </w:rPr>
              <w:t>10,290,313</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3"/>
                <w:szCs w:val="13"/>
                <w:color w:val="auto"/>
              </w:rPr>
              <w:t>23%</w:t>
            </w:r>
          </w:p>
        </w:tc>
      </w:tr>
      <w:tr>
        <w:trPr>
          <w:trHeight w:val="165"/>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Collections (S/ Millions)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4,320</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25%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1,123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4,525</w:t>
            </w:r>
          </w:p>
        </w:tc>
        <w:tc>
          <w:tcPr>
            <w:tcW w:w="8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25%</w:t>
            </w:r>
          </w:p>
        </w:tc>
      </w:tr>
    </w:tbl>
    <w:p>
      <w:pPr>
        <w:spacing w:after="0" w:line="5" w:lineRule="exact"/>
        <w:rPr>
          <w:sz w:val="20"/>
          <w:szCs w:val="20"/>
          <w:color w:val="auto"/>
        </w:rPr>
      </w:pPr>
    </w:p>
    <w:p>
      <w:pPr>
        <w:ind w:left="960"/>
        <w:spacing w:after="0"/>
        <w:rPr>
          <w:sz w:val="20"/>
          <w:szCs w:val="20"/>
          <w:color w:val="auto"/>
        </w:rPr>
      </w:pPr>
      <w:r>
        <w:rPr>
          <w:rFonts w:ascii="Arial" w:cs="Arial" w:eastAsia="Arial" w:hAnsi="Arial"/>
          <w:sz w:val="13"/>
          <w:szCs w:val="13"/>
          <w:color w:val="auto"/>
        </w:rPr>
        <w:t>Source: Superintendencia de Banca, Seguros y AFPs.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819150</wp:posOffset>
            </wp:positionV>
            <wp:extent cx="71577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158750</wp:posOffset>
            </wp:positionV>
            <wp:extent cx="6780530" cy="5575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80530" cy="557530"/>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71" w:name="page72"/>
    <w:bookmarkEnd w:id="71"/>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12.7.8. Grupo Pacifico</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Indicators of Financial Position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200" w:type="dxa"/>
            <w:vAlign w:val="bottom"/>
            <w:tcBorders>
              <w:top w:val="single" w:sz="8" w:color="auto"/>
              <w:left w:val="single" w:sz="8" w:color="auto"/>
              <w:right w:val="single" w:sz="8" w:color="auto"/>
            </w:tcBorders>
            <w:shd w:val="clear" w:color="auto" w:fill="2AD2C9"/>
          </w:tcPr>
          <w:p>
            <w:pPr>
              <w:spacing w:after="0"/>
              <w:rPr>
                <w:sz w:val="17"/>
                <w:szCs w:val="17"/>
                <w:color w:val="auto"/>
              </w:rPr>
            </w:pPr>
          </w:p>
        </w:tc>
        <w:tc>
          <w:tcPr>
            <w:tcW w:w="1000" w:type="dxa"/>
            <w:vAlign w:val="bottom"/>
            <w:tcBorders>
              <w:top w:val="single" w:sz="8" w:color="auto"/>
            </w:tcBorders>
            <w:shd w:val="clear" w:color="auto" w:fill="2AD2C9"/>
          </w:tcPr>
          <w:p>
            <w:pPr>
              <w:spacing w:after="0"/>
              <w:rPr>
                <w:sz w:val="17"/>
                <w:szCs w:val="17"/>
                <w:color w:val="auto"/>
              </w:rPr>
            </w:pPr>
          </w:p>
        </w:tc>
        <w:tc>
          <w:tcPr>
            <w:tcW w:w="102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As of</w:t>
            </w:r>
          </w:p>
        </w:tc>
        <w:tc>
          <w:tcPr>
            <w:tcW w:w="1020" w:type="dxa"/>
            <w:vAlign w:val="bottom"/>
            <w:tcBorders>
              <w:top w:val="single" w:sz="8" w:color="auto"/>
              <w:right w:val="single" w:sz="8" w:color="auto"/>
            </w:tcBorders>
            <w:shd w:val="clear" w:color="auto" w:fill="2AD2C9"/>
          </w:tcPr>
          <w:p>
            <w:pPr>
              <w:spacing w:after="0"/>
              <w:rPr>
                <w:sz w:val="17"/>
                <w:szCs w:val="17"/>
                <w:color w:val="auto"/>
              </w:rPr>
            </w:pPr>
          </w:p>
        </w:tc>
        <w:tc>
          <w:tcPr>
            <w:tcW w:w="2040" w:type="dxa"/>
            <w:vAlign w:val="bottom"/>
            <w:tcBorders>
              <w:top w:val="single" w:sz="8" w:color="auto"/>
              <w:right w:val="single" w:sz="8" w:color="auto"/>
            </w:tcBorders>
            <w:gridSpan w:val="2"/>
            <w:shd w:val="clear" w:color="auto" w:fill="2AD2C9"/>
          </w:tcPr>
          <w:p>
            <w:pPr>
              <w:ind w:left="620"/>
              <w:spacing w:after="0"/>
              <w:rPr>
                <w:sz w:val="20"/>
                <w:szCs w:val="20"/>
                <w:color w:val="auto"/>
              </w:rPr>
            </w:pPr>
            <w:r>
              <w:rPr>
                <w:rFonts w:ascii="Arial" w:cs="Arial" w:eastAsia="Arial" w:hAnsi="Arial"/>
                <w:sz w:val="16"/>
                <w:szCs w:val="16"/>
                <w:b w:val="1"/>
                <w:bCs w:val="1"/>
                <w:color w:val="FFFFFF"/>
              </w:rPr>
              <w:t>% Change</w:t>
            </w:r>
          </w:p>
        </w:tc>
      </w:tr>
      <w:tr>
        <w:trPr>
          <w:trHeight w:val="189"/>
        </w:trPr>
        <w:tc>
          <w:tcPr>
            <w:tcW w:w="6200" w:type="dxa"/>
            <w:vAlign w:val="bottom"/>
            <w:tcBorders>
              <w:left w:val="single" w:sz="8" w:color="auto"/>
              <w:bottom w:val="single" w:sz="8" w:color="auto"/>
              <w:right w:val="single" w:sz="8" w:color="auto"/>
            </w:tcBorders>
            <w:shd w:val="clear" w:color="auto" w:fill="2AD2C9"/>
          </w:tcPr>
          <w:p>
            <w:pPr>
              <w:spacing w:after="0"/>
              <w:rPr>
                <w:sz w:val="16"/>
                <w:szCs w:val="16"/>
                <w:color w:val="auto"/>
              </w:rPr>
            </w:pPr>
          </w:p>
        </w:tc>
        <w:tc>
          <w:tcPr>
            <w:tcW w:w="100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6"/>
                <w:szCs w:val="16"/>
                <w:b w:val="1"/>
                <w:bCs w:val="1"/>
                <w:color w:val="FFFFFF"/>
              </w:rPr>
              <w:t>Dec 24</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25</w:t>
            </w:r>
          </w:p>
        </w:tc>
        <w:tc>
          <w:tcPr>
            <w:tcW w:w="102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16"/>
                <w:szCs w:val="16"/>
                <w:b w:val="1"/>
                <w:bCs w:val="1"/>
                <w:color w:val="FFFFFF"/>
              </w:rPr>
              <w:t>Dec 25</w:t>
            </w:r>
          </w:p>
        </w:tc>
        <w:tc>
          <w:tcPr>
            <w:tcW w:w="10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6"/>
                <w:szCs w:val="16"/>
                <w:b w:val="1"/>
                <w:bCs w:val="1"/>
                <w:color w:val="FFFFFF"/>
              </w:rPr>
              <w:t>QoQ</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6"/>
                <w:szCs w:val="16"/>
                <w:b w:val="1"/>
                <w:bCs w:val="1"/>
                <w:color w:val="FFFFFF"/>
              </w:rPr>
              <w:t>YoY</w:t>
            </w:r>
          </w:p>
        </w:tc>
      </w:tr>
      <w:tr>
        <w:trPr>
          <w:trHeight w:val="152"/>
        </w:trPr>
        <w:tc>
          <w:tcPr>
            <w:tcW w:w="6200" w:type="dxa"/>
            <w:vAlign w:val="bottom"/>
            <w:tcBorders>
              <w:left w:val="single" w:sz="8" w:color="auto"/>
              <w:right w:val="single" w:sz="8" w:color="auto"/>
            </w:tcBorders>
          </w:tcPr>
          <w:p>
            <w:pPr>
              <w:spacing w:after="0" w:line="152" w:lineRule="exact"/>
              <w:rPr>
                <w:sz w:val="20"/>
                <w:szCs w:val="20"/>
                <w:color w:val="auto"/>
              </w:rPr>
            </w:pPr>
            <w:r>
              <w:rPr>
                <w:rFonts w:ascii="Arial" w:cs="Arial" w:eastAsia="Arial" w:hAnsi="Arial"/>
                <w:sz w:val="16"/>
                <w:szCs w:val="16"/>
                <w:color w:val="auto"/>
              </w:rPr>
              <w:t>Total assets</w:t>
            </w:r>
          </w:p>
        </w:tc>
        <w:tc>
          <w:tcPr>
            <w:tcW w:w="1000" w:type="dxa"/>
            <w:vAlign w:val="bottom"/>
          </w:tcPr>
          <w:p>
            <w:pPr>
              <w:jc w:val="center"/>
              <w:spacing w:after="0" w:line="152" w:lineRule="exact"/>
              <w:rPr>
                <w:sz w:val="20"/>
                <w:szCs w:val="20"/>
                <w:color w:val="auto"/>
              </w:rPr>
            </w:pPr>
            <w:r>
              <w:rPr>
                <w:rFonts w:ascii="Arial" w:cs="Arial" w:eastAsia="Arial" w:hAnsi="Arial"/>
                <w:sz w:val="16"/>
                <w:szCs w:val="16"/>
                <w:color w:val="auto"/>
                <w:w w:val="99"/>
              </w:rPr>
              <w:t>17,890,138</w:t>
            </w:r>
          </w:p>
        </w:tc>
        <w:tc>
          <w:tcPr>
            <w:tcW w:w="1020" w:type="dxa"/>
            <w:vAlign w:val="bottom"/>
          </w:tcPr>
          <w:p>
            <w:pPr>
              <w:jc w:val="center"/>
              <w:spacing w:after="0" w:line="152" w:lineRule="exact"/>
              <w:rPr>
                <w:sz w:val="20"/>
                <w:szCs w:val="20"/>
                <w:color w:val="auto"/>
              </w:rPr>
            </w:pPr>
            <w:r>
              <w:rPr>
                <w:rFonts w:ascii="Arial" w:cs="Arial" w:eastAsia="Arial" w:hAnsi="Arial"/>
                <w:sz w:val="16"/>
                <w:szCs w:val="16"/>
                <w:color w:val="auto"/>
              </w:rPr>
              <w:t>20,594,428</w:t>
            </w:r>
          </w:p>
        </w:tc>
        <w:tc>
          <w:tcPr>
            <w:tcW w:w="10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99"/>
              </w:rPr>
              <w:t>20,626,179</w:t>
            </w:r>
          </w:p>
        </w:tc>
        <w:tc>
          <w:tcPr>
            <w:tcW w:w="1000" w:type="dxa"/>
            <w:vAlign w:val="bottom"/>
          </w:tcPr>
          <w:p>
            <w:pPr>
              <w:jc w:val="center"/>
              <w:spacing w:after="0" w:line="152" w:lineRule="exact"/>
              <w:rPr>
                <w:sz w:val="20"/>
                <w:szCs w:val="20"/>
                <w:color w:val="auto"/>
              </w:rPr>
            </w:pPr>
            <w:r>
              <w:rPr>
                <w:rFonts w:ascii="Arial" w:cs="Arial" w:eastAsia="Arial" w:hAnsi="Arial"/>
                <w:sz w:val="16"/>
                <w:szCs w:val="16"/>
                <w:color w:val="auto"/>
                <w:w w:val="98"/>
              </w:rPr>
              <w:t>0.2%</w:t>
            </w:r>
          </w:p>
        </w:tc>
        <w:tc>
          <w:tcPr>
            <w:tcW w:w="10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rPr>
              <w:t>15.3%</w:t>
            </w:r>
          </w:p>
        </w:tc>
      </w:tr>
      <w:tr>
        <w:trPr>
          <w:trHeight w:val="201"/>
        </w:trPr>
        <w:tc>
          <w:tcPr>
            <w:tcW w:w="6200" w:type="dxa"/>
            <w:vAlign w:val="bottom"/>
            <w:tcBorders>
              <w:left w:val="single" w:sz="8" w:color="auto"/>
              <w:right w:val="single" w:sz="8" w:color="auto"/>
            </w:tcBorders>
          </w:tcPr>
          <w:p>
            <w:pPr>
              <w:spacing w:after="0" w:line="201" w:lineRule="exact"/>
              <w:rPr>
                <w:sz w:val="20"/>
                <w:szCs w:val="20"/>
                <w:color w:val="auto"/>
              </w:rPr>
            </w:pPr>
            <w:r>
              <w:rPr>
                <w:rFonts w:ascii="Arial" w:cs="Arial" w:eastAsia="Arial" w:hAnsi="Arial"/>
                <w:sz w:val="15"/>
                <w:szCs w:val="15"/>
                <w:color w:val="auto"/>
              </w:rPr>
              <w:t xml:space="preserve">Total Invesment </w:t>
            </w:r>
            <w:r>
              <w:rPr>
                <w:rFonts w:ascii="Arial" w:cs="Arial" w:eastAsia="Arial" w:hAnsi="Arial"/>
                <w:sz w:val="23"/>
                <w:szCs w:val="23"/>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13,898,637</w:t>
            </w:r>
          </w:p>
        </w:tc>
        <w:tc>
          <w:tcPr>
            <w:tcW w:w="1020" w:type="dxa"/>
            <w:vAlign w:val="bottom"/>
          </w:tcPr>
          <w:p>
            <w:pPr>
              <w:jc w:val="center"/>
              <w:spacing w:after="0"/>
              <w:rPr>
                <w:sz w:val="20"/>
                <w:szCs w:val="20"/>
                <w:color w:val="auto"/>
              </w:rPr>
            </w:pPr>
            <w:r>
              <w:rPr>
                <w:rFonts w:ascii="Arial" w:cs="Arial" w:eastAsia="Arial" w:hAnsi="Arial"/>
                <w:sz w:val="16"/>
                <w:szCs w:val="16"/>
                <w:color w:val="auto"/>
              </w:rPr>
              <w:t>14,661,176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14,870,100</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7.0%</w:t>
            </w:r>
          </w:p>
        </w:tc>
      </w:tr>
      <w:tr>
        <w:trPr>
          <w:trHeight w:val="189"/>
        </w:trPr>
        <w:tc>
          <w:tcPr>
            <w:tcW w:w="620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Total Liabilities</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14,504,765</w:t>
            </w:r>
          </w:p>
        </w:tc>
        <w:tc>
          <w:tcPr>
            <w:tcW w:w="1020" w:type="dxa"/>
            <w:vAlign w:val="bottom"/>
          </w:tcPr>
          <w:p>
            <w:pPr>
              <w:jc w:val="center"/>
              <w:spacing w:after="0"/>
              <w:rPr>
                <w:sz w:val="20"/>
                <w:szCs w:val="20"/>
                <w:color w:val="auto"/>
              </w:rPr>
            </w:pPr>
            <w:r>
              <w:rPr>
                <w:rFonts w:ascii="Arial" w:cs="Arial" w:eastAsia="Arial" w:hAnsi="Arial"/>
                <w:sz w:val="16"/>
                <w:szCs w:val="16"/>
                <w:color w:val="auto"/>
              </w:rPr>
              <w:t>16,308,599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16,311,360</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12.5%</w:t>
            </w:r>
          </w:p>
        </w:tc>
      </w:tr>
      <w:tr>
        <w:trPr>
          <w:trHeight w:val="207"/>
        </w:trPr>
        <w:tc>
          <w:tcPr>
            <w:tcW w:w="62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Net equity</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3,369,625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3,602,690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3,596,512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6.7%</w:t>
            </w: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3480" w:type="dxa"/>
            <w:vAlign w:val="bottom"/>
            <w:tcBorders>
              <w:top w:val="single" w:sz="8" w:color="auto"/>
              <w:left w:val="single" w:sz="8" w:color="auto"/>
              <w:right w:val="single" w:sz="8" w:color="auto"/>
            </w:tcBorders>
            <w:shd w:val="clear" w:color="auto" w:fill="2AD2C9"/>
          </w:tcPr>
          <w:p>
            <w:pPr>
              <w:spacing w:after="0"/>
              <w:rPr>
                <w:sz w:val="10"/>
                <w:szCs w:val="10"/>
                <w:color w:val="auto"/>
              </w:rPr>
            </w:pPr>
          </w:p>
        </w:tc>
        <w:tc>
          <w:tcPr>
            <w:tcW w:w="1000" w:type="dxa"/>
            <w:vAlign w:val="bottom"/>
            <w:tcBorders>
              <w:top w:val="single" w:sz="8" w:color="auto"/>
            </w:tcBorders>
            <w:shd w:val="clear" w:color="auto" w:fill="2AD2C9"/>
          </w:tcPr>
          <w:p>
            <w:pPr>
              <w:spacing w:after="0"/>
              <w:rPr>
                <w:sz w:val="10"/>
                <w:szCs w:val="10"/>
                <w:color w:val="auto"/>
              </w:rPr>
            </w:pPr>
          </w:p>
        </w:tc>
        <w:tc>
          <w:tcPr>
            <w:tcW w:w="980" w:type="dxa"/>
            <w:vAlign w:val="bottom"/>
            <w:tcBorders>
              <w:top w:val="single" w:sz="8" w:color="auto"/>
            </w:tcBorders>
            <w:shd w:val="clear" w:color="auto" w:fill="2AD2C9"/>
          </w:tcPr>
          <w:p>
            <w:pPr>
              <w:ind w:left="240"/>
              <w:spacing w:after="0" w:line="124" w:lineRule="exact"/>
              <w:rPr>
                <w:sz w:val="20"/>
                <w:szCs w:val="20"/>
                <w:color w:val="auto"/>
              </w:rPr>
            </w:pPr>
            <w:r>
              <w:rPr>
                <w:rFonts w:ascii="Arial" w:cs="Arial" w:eastAsia="Arial" w:hAnsi="Arial"/>
                <w:sz w:val="13"/>
                <w:szCs w:val="13"/>
                <w:b w:val="1"/>
                <w:bCs w:val="1"/>
                <w:color w:val="FFFFFF"/>
              </w:rPr>
              <w:t>Quarter</w:t>
            </w:r>
          </w:p>
        </w:tc>
        <w:tc>
          <w:tcPr>
            <w:tcW w:w="980" w:type="dxa"/>
            <w:vAlign w:val="bottom"/>
            <w:tcBorders>
              <w:top w:val="single" w:sz="8" w:color="auto"/>
              <w:right w:val="single" w:sz="8" w:color="auto"/>
            </w:tcBorders>
            <w:shd w:val="clear" w:color="auto" w:fill="2AD2C9"/>
          </w:tcPr>
          <w:p>
            <w:pPr>
              <w:spacing w:after="0"/>
              <w:rPr>
                <w:sz w:val="10"/>
                <w:szCs w:val="10"/>
                <w:color w:val="auto"/>
              </w:rPr>
            </w:pPr>
          </w:p>
        </w:tc>
        <w:tc>
          <w:tcPr>
            <w:tcW w:w="1920" w:type="dxa"/>
            <w:vAlign w:val="bottom"/>
            <w:tcBorders>
              <w:top w:val="single" w:sz="8" w:color="auto"/>
              <w:right w:val="single" w:sz="8" w:color="auto"/>
            </w:tcBorders>
            <w:gridSpan w:val="2"/>
            <w:shd w:val="clear" w:color="auto" w:fill="2AD2C9"/>
          </w:tcPr>
          <w:p>
            <w:pPr>
              <w:ind w:left="640"/>
              <w:spacing w:after="0" w:line="124" w:lineRule="exact"/>
              <w:rPr>
                <w:sz w:val="20"/>
                <w:szCs w:val="20"/>
                <w:color w:val="auto"/>
              </w:rPr>
            </w:pPr>
            <w:r>
              <w:rPr>
                <w:rFonts w:ascii="Arial" w:cs="Arial" w:eastAsia="Arial" w:hAnsi="Arial"/>
                <w:sz w:val="13"/>
                <w:szCs w:val="13"/>
                <w:b w:val="1"/>
                <w:bCs w:val="1"/>
                <w:color w:val="FFFFFF"/>
              </w:rPr>
              <w:t>% Change</w:t>
            </w:r>
          </w:p>
        </w:tc>
        <w:tc>
          <w:tcPr>
            <w:tcW w:w="740" w:type="dxa"/>
            <w:vAlign w:val="bottom"/>
            <w:tcBorders>
              <w:top w:val="single" w:sz="8" w:color="auto"/>
            </w:tcBorders>
            <w:shd w:val="clear" w:color="auto" w:fill="2AD2C9"/>
          </w:tcPr>
          <w:p>
            <w:pPr>
              <w:spacing w:after="0"/>
              <w:rPr>
                <w:sz w:val="10"/>
                <w:szCs w:val="10"/>
                <w:color w:val="auto"/>
              </w:rPr>
            </w:pPr>
          </w:p>
        </w:tc>
        <w:tc>
          <w:tcPr>
            <w:tcW w:w="1120" w:type="dxa"/>
            <w:vAlign w:val="bottom"/>
            <w:tcBorders>
              <w:top w:val="single" w:sz="8" w:color="auto"/>
              <w:right w:val="single" w:sz="8" w:color="auto"/>
            </w:tcBorders>
            <w:shd w:val="clear" w:color="auto" w:fill="2AD2C9"/>
          </w:tcPr>
          <w:p>
            <w:pPr>
              <w:ind w:left="20"/>
              <w:spacing w:after="0" w:line="124" w:lineRule="exact"/>
              <w:rPr>
                <w:sz w:val="20"/>
                <w:szCs w:val="20"/>
                <w:color w:val="auto"/>
              </w:rPr>
            </w:pPr>
            <w:r>
              <w:rPr>
                <w:rFonts w:ascii="Arial" w:cs="Arial" w:eastAsia="Arial" w:hAnsi="Arial"/>
                <w:sz w:val="13"/>
                <w:szCs w:val="13"/>
                <w:b w:val="1"/>
                <w:bCs w:val="1"/>
                <w:color w:val="FFFFFF"/>
              </w:rPr>
              <w:t>Up to</w:t>
            </w:r>
          </w:p>
        </w:tc>
        <w:tc>
          <w:tcPr>
            <w:tcW w:w="1060" w:type="dxa"/>
            <w:vAlign w:val="bottom"/>
            <w:tcBorders>
              <w:top w:val="single" w:sz="8" w:color="auto"/>
              <w:right w:val="single" w:sz="8" w:color="auto"/>
            </w:tcBorders>
            <w:shd w:val="clear" w:color="auto" w:fill="2AD2C9"/>
          </w:tcPr>
          <w:p>
            <w:pPr>
              <w:jc w:val="center"/>
              <w:spacing w:after="0" w:line="124" w:lineRule="exact"/>
              <w:rPr>
                <w:sz w:val="20"/>
                <w:szCs w:val="20"/>
                <w:color w:val="auto"/>
              </w:rPr>
            </w:pPr>
            <w:r>
              <w:rPr>
                <w:rFonts w:ascii="Arial" w:cs="Arial" w:eastAsia="Arial" w:hAnsi="Arial"/>
                <w:sz w:val="13"/>
                <w:szCs w:val="13"/>
                <w:b w:val="1"/>
                <w:bCs w:val="1"/>
                <w:color w:val="FFFFFF"/>
                <w:w w:val="95"/>
              </w:rPr>
              <w:t>% change</w:t>
            </w:r>
          </w:p>
        </w:tc>
        <w:tc>
          <w:tcPr>
            <w:tcW w:w="0" w:type="dxa"/>
            <w:vAlign w:val="bottom"/>
          </w:tcPr>
          <w:p>
            <w:pPr>
              <w:spacing w:after="0"/>
              <w:rPr>
                <w:sz w:val="1"/>
                <w:szCs w:val="1"/>
                <w:color w:val="auto"/>
              </w:rPr>
            </w:pPr>
          </w:p>
        </w:tc>
      </w:tr>
      <w:tr>
        <w:trPr>
          <w:trHeight w:val="159"/>
        </w:trPr>
        <w:tc>
          <w:tcPr>
            <w:tcW w:w="3480" w:type="dxa"/>
            <w:vAlign w:val="bottom"/>
            <w:tcBorders>
              <w:left w:val="single" w:sz="8" w:color="auto"/>
              <w:bottom w:val="single" w:sz="8" w:color="auto"/>
              <w:right w:val="single" w:sz="8" w:color="auto"/>
            </w:tcBorders>
            <w:shd w:val="clear" w:color="auto" w:fill="2AD2C9"/>
          </w:tcPr>
          <w:p>
            <w:pPr>
              <w:spacing w:after="0"/>
              <w:rPr>
                <w:sz w:val="13"/>
                <w:szCs w:val="13"/>
                <w:color w:val="auto"/>
              </w:rPr>
            </w:pP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4Q24</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3Q25</w:t>
            </w:r>
          </w:p>
        </w:tc>
        <w:tc>
          <w:tcPr>
            <w:tcW w:w="9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4Q25</w:t>
            </w:r>
          </w:p>
        </w:tc>
        <w:tc>
          <w:tcPr>
            <w:tcW w:w="94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3"/>
                <w:szCs w:val="13"/>
                <w:b w:val="1"/>
                <w:bCs w:val="1"/>
                <w:color w:val="FFFFFF"/>
              </w:rPr>
              <w:t>QoQ</w:t>
            </w:r>
          </w:p>
        </w:tc>
        <w:tc>
          <w:tcPr>
            <w:tcW w:w="98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3"/>
                <w:szCs w:val="13"/>
                <w:b w:val="1"/>
                <w:bCs w:val="1"/>
                <w:color w:val="FFFFFF"/>
              </w:rPr>
              <w:t>YoY</w:t>
            </w:r>
          </w:p>
        </w:tc>
        <w:tc>
          <w:tcPr>
            <w:tcW w:w="740" w:type="dxa"/>
            <w:vAlign w:val="bottom"/>
            <w:tcBorders>
              <w:bottom w:val="single" w:sz="8" w:color="auto"/>
            </w:tcBorders>
            <w:shd w:val="clear" w:color="auto" w:fill="2AD2C9"/>
          </w:tcPr>
          <w:p>
            <w:pPr>
              <w:jc w:val="center"/>
              <w:ind w:left="117"/>
              <w:spacing w:after="0"/>
              <w:rPr>
                <w:sz w:val="20"/>
                <w:szCs w:val="20"/>
                <w:color w:val="auto"/>
              </w:rPr>
            </w:pPr>
            <w:r>
              <w:rPr>
                <w:rFonts w:ascii="Arial" w:cs="Arial" w:eastAsia="Arial" w:hAnsi="Arial"/>
                <w:sz w:val="13"/>
                <w:szCs w:val="13"/>
                <w:b w:val="1"/>
                <w:bCs w:val="1"/>
                <w:color w:val="FFFFFF"/>
                <w:w w:val="96"/>
              </w:rPr>
              <w:t>2024</w:t>
            </w:r>
          </w:p>
        </w:tc>
        <w:tc>
          <w:tcPr>
            <w:tcW w:w="1120" w:type="dxa"/>
            <w:vAlign w:val="bottom"/>
            <w:tcBorders>
              <w:bottom w:val="single" w:sz="8" w:color="auto"/>
              <w:right w:val="single" w:sz="8" w:color="auto"/>
            </w:tcBorders>
            <w:shd w:val="clear" w:color="auto" w:fill="2AD2C9"/>
          </w:tcPr>
          <w:p>
            <w:pPr>
              <w:jc w:val="center"/>
              <w:ind w:left="97"/>
              <w:spacing w:after="0"/>
              <w:rPr>
                <w:sz w:val="20"/>
                <w:szCs w:val="20"/>
                <w:color w:val="auto"/>
              </w:rPr>
            </w:pPr>
            <w:r>
              <w:rPr>
                <w:rFonts w:ascii="Arial" w:cs="Arial" w:eastAsia="Arial" w:hAnsi="Arial"/>
                <w:sz w:val="13"/>
                <w:szCs w:val="13"/>
                <w:b w:val="1"/>
                <w:bCs w:val="1"/>
                <w:color w:val="FFFFFF"/>
                <w:w w:val="96"/>
              </w:rPr>
              <w:t>2025</w:t>
            </w:r>
          </w:p>
        </w:tc>
        <w:tc>
          <w:tcPr>
            <w:tcW w:w="10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2025 / 2024</w:t>
            </w:r>
          </w:p>
        </w:tc>
        <w:tc>
          <w:tcPr>
            <w:tcW w:w="0" w:type="dxa"/>
            <w:vAlign w:val="bottom"/>
          </w:tcPr>
          <w:p>
            <w:pPr>
              <w:spacing w:after="0"/>
              <w:rPr>
                <w:sz w:val="1"/>
                <w:szCs w:val="1"/>
                <w:color w:val="auto"/>
              </w:rPr>
            </w:pPr>
          </w:p>
        </w:tc>
      </w:tr>
      <w:tr>
        <w:trPr>
          <w:trHeight w:val="107"/>
        </w:trPr>
        <w:tc>
          <w:tcPr>
            <w:tcW w:w="3480" w:type="dxa"/>
            <w:vAlign w:val="bottom"/>
            <w:tcBorders>
              <w:left w:val="single" w:sz="8" w:color="auto"/>
              <w:right w:val="single" w:sz="8" w:color="auto"/>
            </w:tcBorders>
          </w:tcPr>
          <w:p>
            <w:pPr>
              <w:spacing w:after="0" w:line="107" w:lineRule="exact"/>
              <w:rPr>
                <w:sz w:val="20"/>
                <w:szCs w:val="20"/>
                <w:color w:val="auto"/>
              </w:rPr>
            </w:pPr>
            <w:r>
              <w:rPr>
                <w:rFonts w:ascii="Arial" w:cs="Arial" w:eastAsia="Arial" w:hAnsi="Arial"/>
                <w:sz w:val="12"/>
                <w:szCs w:val="12"/>
                <w:color w:val="auto"/>
              </w:rPr>
              <w:t>Insurance Service Result</w:t>
            </w:r>
          </w:p>
        </w:tc>
        <w:tc>
          <w:tcPr>
            <w:tcW w:w="1000" w:type="dxa"/>
            <w:vAlign w:val="bottom"/>
          </w:tcPr>
          <w:p>
            <w:pPr>
              <w:jc w:val="center"/>
              <w:spacing w:after="0" w:line="107" w:lineRule="exact"/>
              <w:rPr>
                <w:sz w:val="20"/>
                <w:szCs w:val="20"/>
                <w:color w:val="auto"/>
              </w:rPr>
            </w:pPr>
            <w:r>
              <w:rPr>
                <w:rFonts w:ascii="Arial" w:cs="Arial" w:eastAsia="Arial" w:hAnsi="Arial"/>
                <w:sz w:val="12"/>
                <w:szCs w:val="12"/>
                <w:color w:val="auto"/>
              </w:rPr>
              <w:t>293,055</w:t>
            </w:r>
          </w:p>
        </w:tc>
        <w:tc>
          <w:tcPr>
            <w:tcW w:w="980" w:type="dxa"/>
            <w:vAlign w:val="bottom"/>
          </w:tcPr>
          <w:p>
            <w:pPr>
              <w:jc w:val="center"/>
              <w:spacing w:after="0" w:line="107" w:lineRule="exact"/>
              <w:rPr>
                <w:sz w:val="20"/>
                <w:szCs w:val="20"/>
                <w:color w:val="auto"/>
              </w:rPr>
            </w:pPr>
            <w:r>
              <w:rPr>
                <w:rFonts w:ascii="Arial" w:cs="Arial" w:eastAsia="Arial" w:hAnsi="Arial"/>
                <w:sz w:val="12"/>
                <w:szCs w:val="12"/>
                <w:color w:val="auto"/>
              </w:rPr>
              <w:t>359,462</w:t>
            </w:r>
          </w:p>
        </w:tc>
        <w:tc>
          <w:tcPr>
            <w:tcW w:w="9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385,944</w:t>
            </w:r>
          </w:p>
        </w:tc>
        <w:tc>
          <w:tcPr>
            <w:tcW w:w="940" w:type="dxa"/>
            <w:vAlign w:val="bottom"/>
          </w:tcPr>
          <w:p>
            <w:pPr>
              <w:jc w:val="center"/>
              <w:spacing w:after="0" w:line="107" w:lineRule="exact"/>
              <w:rPr>
                <w:sz w:val="20"/>
                <w:szCs w:val="20"/>
                <w:color w:val="auto"/>
              </w:rPr>
            </w:pPr>
            <w:r>
              <w:rPr>
                <w:rFonts w:ascii="Arial" w:cs="Arial" w:eastAsia="Arial" w:hAnsi="Arial"/>
                <w:sz w:val="12"/>
                <w:szCs w:val="12"/>
                <w:color w:val="auto"/>
              </w:rPr>
              <w:t>7.4%</w:t>
            </w:r>
          </w:p>
        </w:tc>
        <w:tc>
          <w:tcPr>
            <w:tcW w:w="9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31.7%</w:t>
            </w:r>
          </w:p>
        </w:tc>
        <w:tc>
          <w:tcPr>
            <w:tcW w:w="740" w:type="dxa"/>
            <w:vAlign w:val="bottom"/>
          </w:tcPr>
          <w:p>
            <w:pPr>
              <w:jc w:val="center"/>
              <w:ind w:left="117"/>
              <w:spacing w:after="0" w:line="107" w:lineRule="exact"/>
              <w:rPr>
                <w:sz w:val="20"/>
                <w:szCs w:val="20"/>
                <w:color w:val="auto"/>
              </w:rPr>
            </w:pPr>
            <w:r>
              <w:rPr>
                <w:rFonts w:ascii="Arial" w:cs="Arial" w:eastAsia="Arial" w:hAnsi="Arial"/>
                <w:sz w:val="12"/>
                <w:szCs w:val="12"/>
                <w:color w:val="auto"/>
              </w:rPr>
              <w:t>1,229,908</w:t>
            </w:r>
          </w:p>
        </w:tc>
        <w:tc>
          <w:tcPr>
            <w:tcW w:w="1120" w:type="dxa"/>
            <w:vAlign w:val="bottom"/>
            <w:tcBorders>
              <w:right w:val="single" w:sz="8" w:color="auto"/>
            </w:tcBorders>
          </w:tcPr>
          <w:p>
            <w:pPr>
              <w:jc w:val="center"/>
              <w:ind w:left="97"/>
              <w:spacing w:after="0" w:line="107" w:lineRule="exact"/>
              <w:rPr>
                <w:sz w:val="20"/>
                <w:szCs w:val="20"/>
                <w:color w:val="auto"/>
              </w:rPr>
            </w:pPr>
            <w:r>
              <w:rPr>
                <w:rFonts w:ascii="Arial" w:cs="Arial" w:eastAsia="Arial" w:hAnsi="Arial"/>
                <w:sz w:val="12"/>
                <w:szCs w:val="12"/>
                <w:color w:val="auto"/>
              </w:rPr>
              <w:t>1,365,897</w:t>
            </w:r>
          </w:p>
        </w:tc>
        <w:tc>
          <w:tcPr>
            <w:tcW w:w="10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w w:val="99"/>
              </w:rPr>
              <w:t>11.1%</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Reinsurance Result</w:t>
            </w: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w w:val="93"/>
              </w:rPr>
              <w:t>(102,995)</w:t>
            </w:r>
          </w:p>
        </w:tc>
        <w:tc>
          <w:tcPr>
            <w:tcW w:w="980" w:type="dxa"/>
            <w:vAlign w:val="bottom"/>
          </w:tcPr>
          <w:p>
            <w:pPr>
              <w:jc w:val="center"/>
              <w:spacing w:after="0" w:line="133" w:lineRule="exact"/>
              <w:rPr>
                <w:sz w:val="20"/>
                <w:szCs w:val="20"/>
                <w:color w:val="auto"/>
              </w:rPr>
            </w:pPr>
            <w:r>
              <w:rPr>
                <w:rFonts w:ascii="Arial" w:cs="Arial" w:eastAsia="Arial" w:hAnsi="Arial"/>
                <w:sz w:val="13"/>
                <w:szCs w:val="13"/>
                <w:color w:val="auto"/>
                <w:w w:val="96"/>
              </w:rPr>
              <w:t>(108,282)</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6"/>
              </w:rPr>
              <w:t>(175,202)</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61.8%</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70.1%</w:t>
            </w:r>
          </w:p>
        </w:tc>
        <w:tc>
          <w:tcPr>
            <w:tcW w:w="740" w:type="dxa"/>
            <w:vAlign w:val="bottom"/>
          </w:tcPr>
          <w:p>
            <w:pPr>
              <w:jc w:val="center"/>
              <w:ind w:left="97"/>
              <w:spacing w:after="0" w:line="133" w:lineRule="exact"/>
              <w:rPr>
                <w:sz w:val="20"/>
                <w:szCs w:val="20"/>
                <w:color w:val="auto"/>
              </w:rPr>
            </w:pPr>
            <w:r>
              <w:rPr>
                <w:rFonts w:ascii="Arial" w:cs="Arial" w:eastAsia="Arial" w:hAnsi="Arial"/>
                <w:sz w:val="13"/>
                <w:szCs w:val="13"/>
                <w:color w:val="auto"/>
                <w:w w:val="96"/>
              </w:rPr>
              <w:t>(530,204)</w:t>
            </w:r>
          </w:p>
        </w:tc>
        <w:tc>
          <w:tcPr>
            <w:tcW w:w="1120" w:type="dxa"/>
            <w:vAlign w:val="bottom"/>
            <w:tcBorders>
              <w:right w:val="single" w:sz="8" w:color="auto"/>
            </w:tcBorders>
          </w:tcPr>
          <w:p>
            <w:pPr>
              <w:jc w:val="center"/>
              <w:ind w:left="117"/>
              <w:spacing w:after="0" w:line="133" w:lineRule="exact"/>
              <w:rPr>
                <w:sz w:val="20"/>
                <w:szCs w:val="20"/>
                <w:color w:val="auto"/>
              </w:rPr>
            </w:pPr>
            <w:r>
              <w:rPr>
                <w:rFonts w:ascii="Arial" w:cs="Arial" w:eastAsia="Arial" w:hAnsi="Arial"/>
                <w:sz w:val="13"/>
                <w:szCs w:val="13"/>
                <w:color w:val="auto"/>
                <w:w w:val="96"/>
              </w:rPr>
              <w:t>(483,995)</w:t>
            </w:r>
          </w:p>
        </w:tc>
        <w:tc>
          <w:tcPr>
            <w:tcW w:w="10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-8.7%</w:t>
            </w:r>
          </w:p>
        </w:tc>
        <w:tc>
          <w:tcPr>
            <w:tcW w:w="0" w:type="dxa"/>
            <w:vAlign w:val="bottom"/>
          </w:tcPr>
          <w:p>
            <w:pPr>
              <w:spacing w:after="0"/>
              <w:rPr>
                <w:sz w:val="1"/>
                <w:szCs w:val="1"/>
                <w:color w:val="auto"/>
              </w:rPr>
            </w:pPr>
          </w:p>
        </w:tc>
      </w:tr>
      <w:tr>
        <w:trPr>
          <w:trHeight w:val="137"/>
        </w:trPr>
        <w:tc>
          <w:tcPr>
            <w:tcW w:w="3480" w:type="dxa"/>
            <w:vAlign w:val="bottom"/>
            <w:tcBorders>
              <w:left w:val="single" w:sz="8" w:color="auto"/>
              <w:right w:val="single" w:sz="8" w:color="auto"/>
            </w:tcBorders>
          </w:tcPr>
          <w:p>
            <w:pPr>
              <w:spacing w:after="0" w:line="137" w:lineRule="exact"/>
              <w:rPr>
                <w:sz w:val="20"/>
                <w:szCs w:val="20"/>
                <w:color w:val="auto"/>
              </w:rPr>
            </w:pPr>
            <w:r>
              <w:rPr>
                <w:rFonts w:ascii="Arial" w:cs="Arial" w:eastAsia="Arial" w:hAnsi="Arial"/>
                <w:sz w:val="13"/>
                <w:szCs w:val="13"/>
                <w:b w:val="1"/>
                <w:bCs w:val="1"/>
                <w:color w:val="auto"/>
              </w:rPr>
              <w:t>Insurance underwriting result</w:t>
            </w:r>
          </w:p>
        </w:tc>
        <w:tc>
          <w:tcPr>
            <w:tcW w:w="10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190,060</w:t>
            </w:r>
          </w:p>
        </w:tc>
        <w:tc>
          <w:tcPr>
            <w:tcW w:w="9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251,180</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210,742</w:t>
            </w:r>
          </w:p>
        </w:tc>
        <w:tc>
          <w:tcPr>
            <w:tcW w:w="9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7"/>
              </w:rPr>
              <w:t>-16.1%</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10.9%</w:t>
            </w:r>
          </w:p>
        </w:tc>
        <w:tc>
          <w:tcPr>
            <w:tcW w:w="740" w:type="dxa"/>
            <w:vAlign w:val="bottom"/>
          </w:tcPr>
          <w:p>
            <w:pPr>
              <w:jc w:val="center"/>
              <w:ind w:left="117"/>
              <w:spacing w:after="0" w:line="137" w:lineRule="exact"/>
              <w:rPr>
                <w:sz w:val="20"/>
                <w:szCs w:val="20"/>
                <w:color w:val="auto"/>
              </w:rPr>
            </w:pPr>
            <w:r>
              <w:rPr>
                <w:rFonts w:ascii="Arial" w:cs="Arial" w:eastAsia="Arial" w:hAnsi="Arial"/>
                <w:sz w:val="13"/>
                <w:szCs w:val="13"/>
                <w:b w:val="1"/>
                <w:bCs w:val="1"/>
                <w:color w:val="auto"/>
                <w:w w:val="93"/>
              </w:rPr>
              <w:t>699,704</w:t>
            </w:r>
          </w:p>
        </w:tc>
        <w:tc>
          <w:tcPr>
            <w:tcW w:w="1120" w:type="dxa"/>
            <w:vAlign w:val="bottom"/>
            <w:tcBorders>
              <w:right w:val="single" w:sz="8" w:color="auto"/>
            </w:tcBorders>
          </w:tcPr>
          <w:p>
            <w:pPr>
              <w:jc w:val="center"/>
              <w:ind w:left="97"/>
              <w:spacing w:after="0" w:line="137" w:lineRule="exact"/>
              <w:rPr>
                <w:sz w:val="20"/>
                <w:szCs w:val="20"/>
                <w:color w:val="auto"/>
              </w:rPr>
            </w:pPr>
            <w:r>
              <w:rPr>
                <w:rFonts w:ascii="Arial" w:cs="Arial" w:eastAsia="Arial" w:hAnsi="Arial"/>
                <w:sz w:val="13"/>
                <w:szCs w:val="13"/>
                <w:b w:val="1"/>
                <w:bCs w:val="1"/>
                <w:color w:val="auto"/>
                <w:w w:val="93"/>
              </w:rPr>
              <w:t>881,902</w:t>
            </w:r>
          </w:p>
        </w:tc>
        <w:tc>
          <w:tcPr>
            <w:tcW w:w="10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26.0%</w:t>
            </w:r>
          </w:p>
        </w:tc>
        <w:tc>
          <w:tcPr>
            <w:tcW w:w="0" w:type="dxa"/>
            <w:vAlign w:val="bottom"/>
          </w:tcPr>
          <w:p>
            <w:pPr>
              <w:spacing w:after="0"/>
              <w:rPr>
                <w:sz w:val="1"/>
                <w:szCs w:val="1"/>
                <w:color w:val="auto"/>
              </w:rPr>
            </w:pPr>
          </w:p>
        </w:tc>
      </w:tr>
      <w:tr>
        <w:trPr>
          <w:trHeight w:val="135"/>
        </w:trPr>
        <w:tc>
          <w:tcPr>
            <w:tcW w:w="34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Sale of medical services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3"/>
              </w:rPr>
              <w:t>421,839</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414,421</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9"/>
              </w:rPr>
              <w:t>-1.8%</w:t>
            </w:r>
          </w:p>
        </w:tc>
        <w:tc>
          <w:tcPr>
            <w:tcW w:w="980" w:type="dxa"/>
            <w:vAlign w:val="bottom"/>
            <w:tcBorders>
              <w:right w:val="single" w:sz="8" w:color="auto"/>
            </w:tcBorders>
          </w:tcPr>
          <w:p>
            <w:pPr>
              <w:ind w:left="380"/>
              <w:spacing w:after="0" w:line="135" w:lineRule="exact"/>
              <w:rPr>
                <w:sz w:val="20"/>
                <w:szCs w:val="20"/>
                <w:color w:val="auto"/>
              </w:rPr>
            </w:pPr>
            <w:r>
              <w:rPr>
                <w:rFonts w:ascii="Arial" w:cs="Arial" w:eastAsia="Arial" w:hAnsi="Arial"/>
                <w:sz w:val="13"/>
                <w:szCs w:val="13"/>
                <w:color w:val="auto"/>
              </w:rPr>
              <w:t>n.a.</w:t>
            </w:r>
          </w:p>
        </w:tc>
        <w:tc>
          <w:tcPr>
            <w:tcW w:w="7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1"/>
              </w:rPr>
              <w:t>-</w:t>
            </w:r>
          </w:p>
        </w:tc>
        <w:tc>
          <w:tcPr>
            <w:tcW w:w="1120" w:type="dxa"/>
            <w:vAlign w:val="bottom"/>
            <w:tcBorders>
              <w:right w:val="single" w:sz="8" w:color="auto"/>
            </w:tcBorders>
          </w:tcPr>
          <w:p>
            <w:pPr>
              <w:jc w:val="center"/>
              <w:ind w:left="97"/>
              <w:spacing w:after="0" w:line="135" w:lineRule="exact"/>
              <w:rPr>
                <w:sz w:val="20"/>
                <w:szCs w:val="20"/>
                <w:color w:val="auto"/>
              </w:rPr>
            </w:pPr>
            <w:r>
              <w:rPr>
                <w:rFonts w:ascii="Arial" w:cs="Arial" w:eastAsia="Arial" w:hAnsi="Arial"/>
                <w:sz w:val="13"/>
                <w:szCs w:val="13"/>
                <w:color w:val="auto"/>
                <w:w w:val="96"/>
              </w:rPr>
              <w:t>1,389,259</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Cost of sales of medical services</w:t>
            </w: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w w:val="91"/>
              </w:rPr>
              <w:t>-</w:t>
            </w:r>
          </w:p>
        </w:tc>
        <w:tc>
          <w:tcPr>
            <w:tcW w:w="980" w:type="dxa"/>
            <w:vAlign w:val="bottom"/>
          </w:tcPr>
          <w:p>
            <w:pPr>
              <w:jc w:val="center"/>
              <w:spacing w:after="0" w:line="133" w:lineRule="exact"/>
              <w:rPr>
                <w:sz w:val="20"/>
                <w:szCs w:val="20"/>
                <w:color w:val="auto"/>
              </w:rPr>
            </w:pPr>
            <w:r>
              <w:rPr>
                <w:rFonts w:ascii="Arial" w:cs="Arial" w:eastAsia="Arial" w:hAnsi="Arial"/>
                <w:sz w:val="13"/>
                <w:szCs w:val="13"/>
                <w:color w:val="auto"/>
                <w:w w:val="96"/>
              </w:rPr>
              <w:t>(297,919)</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6"/>
              </w:rPr>
              <w:t>(289,738)</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9"/>
              </w:rPr>
              <w:t>-2.7%</w:t>
            </w:r>
          </w:p>
        </w:tc>
        <w:tc>
          <w:tcPr>
            <w:tcW w:w="980" w:type="dxa"/>
            <w:vAlign w:val="bottom"/>
            <w:tcBorders>
              <w:right w:val="single" w:sz="8" w:color="auto"/>
            </w:tcBorders>
          </w:tcPr>
          <w:p>
            <w:pPr>
              <w:ind w:left="380"/>
              <w:spacing w:after="0" w:line="133" w:lineRule="exact"/>
              <w:rPr>
                <w:sz w:val="20"/>
                <w:szCs w:val="20"/>
                <w:color w:val="auto"/>
              </w:rPr>
            </w:pPr>
            <w:r>
              <w:rPr>
                <w:rFonts w:ascii="Arial" w:cs="Arial" w:eastAsia="Arial" w:hAnsi="Arial"/>
                <w:sz w:val="13"/>
                <w:szCs w:val="13"/>
                <w:color w:val="auto"/>
              </w:rPr>
              <w:t>n.a.</w:t>
            </w:r>
          </w:p>
        </w:tc>
        <w:tc>
          <w:tcPr>
            <w:tcW w:w="740" w:type="dxa"/>
            <w:vAlign w:val="bottom"/>
          </w:tcPr>
          <w:p>
            <w:pPr>
              <w:jc w:val="center"/>
              <w:ind w:left="117"/>
              <w:spacing w:after="0" w:line="133" w:lineRule="exact"/>
              <w:rPr>
                <w:sz w:val="20"/>
                <w:szCs w:val="20"/>
                <w:color w:val="auto"/>
              </w:rPr>
            </w:pPr>
            <w:r>
              <w:rPr>
                <w:rFonts w:ascii="Arial" w:cs="Arial" w:eastAsia="Arial" w:hAnsi="Arial"/>
                <w:sz w:val="13"/>
                <w:szCs w:val="13"/>
                <w:color w:val="auto"/>
                <w:w w:val="91"/>
              </w:rPr>
              <w:t>-</w:t>
            </w:r>
          </w:p>
        </w:tc>
        <w:tc>
          <w:tcPr>
            <w:tcW w:w="1120" w:type="dxa"/>
            <w:vAlign w:val="bottom"/>
            <w:tcBorders>
              <w:right w:val="single" w:sz="8" w:color="auto"/>
            </w:tcBorders>
          </w:tcPr>
          <w:p>
            <w:pPr>
              <w:jc w:val="center"/>
              <w:ind w:left="117"/>
              <w:spacing w:after="0" w:line="133" w:lineRule="exact"/>
              <w:rPr>
                <w:sz w:val="20"/>
                <w:szCs w:val="20"/>
                <w:color w:val="auto"/>
              </w:rPr>
            </w:pPr>
            <w:r>
              <w:rPr>
                <w:rFonts w:ascii="Arial" w:cs="Arial" w:eastAsia="Arial" w:hAnsi="Arial"/>
                <w:sz w:val="13"/>
                <w:szCs w:val="13"/>
                <w:color w:val="auto"/>
                <w:w w:val="96"/>
              </w:rPr>
              <w:t>(974,562)</w:t>
            </w:r>
          </w:p>
        </w:tc>
        <w:tc>
          <w:tcPr>
            <w:tcW w:w="10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7"/>
        </w:trPr>
        <w:tc>
          <w:tcPr>
            <w:tcW w:w="3480" w:type="dxa"/>
            <w:vAlign w:val="bottom"/>
            <w:tcBorders>
              <w:left w:val="single" w:sz="8" w:color="auto"/>
              <w:right w:val="single" w:sz="8" w:color="auto"/>
            </w:tcBorders>
          </w:tcPr>
          <w:p>
            <w:pPr>
              <w:spacing w:after="0" w:line="137" w:lineRule="exact"/>
              <w:rPr>
                <w:sz w:val="20"/>
                <w:szCs w:val="20"/>
                <w:color w:val="auto"/>
              </w:rPr>
            </w:pPr>
            <w:r>
              <w:rPr>
                <w:rFonts w:ascii="Arial" w:cs="Arial" w:eastAsia="Arial" w:hAnsi="Arial"/>
                <w:sz w:val="13"/>
                <w:szCs w:val="13"/>
                <w:b w:val="1"/>
                <w:bCs w:val="1"/>
                <w:color w:val="auto"/>
              </w:rPr>
              <w:t>Medical services result</w:t>
            </w:r>
          </w:p>
        </w:tc>
        <w:tc>
          <w:tcPr>
            <w:tcW w:w="10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w:t>
            </w:r>
          </w:p>
        </w:tc>
        <w:tc>
          <w:tcPr>
            <w:tcW w:w="9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123,920</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124,683</w:t>
            </w:r>
          </w:p>
        </w:tc>
        <w:tc>
          <w:tcPr>
            <w:tcW w:w="9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0.6%</w:t>
            </w:r>
          </w:p>
        </w:tc>
        <w:tc>
          <w:tcPr>
            <w:tcW w:w="980" w:type="dxa"/>
            <w:vAlign w:val="bottom"/>
            <w:tcBorders>
              <w:right w:val="single" w:sz="8" w:color="auto"/>
            </w:tcBorders>
          </w:tcPr>
          <w:p>
            <w:pPr>
              <w:ind w:left="380"/>
              <w:spacing w:after="0" w:line="137" w:lineRule="exact"/>
              <w:rPr>
                <w:sz w:val="20"/>
                <w:szCs w:val="20"/>
                <w:color w:val="auto"/>
              </w:rPr>
            </w:pPr>
            <w:r>
              <w:rPr>
                <w:rFonts w:ascii="Arial" w:cs="Arial" w:eastAsia="Arial" w:hAnsi="Arial"/>
                <w:sz w:val="13"/>
                <w:szCs w:val="13"/>
                <w:b w:val="1"/>
                <w:bCs w:val="1"/>
                <w:color w:val="auto"/>
              </w:rPr>
              <w:t>n.a.</w:t>
            </w:r>
          </w:p>
        </w:tc>
        <w:tc>
          <w:tcPr>
            <w:tcW w:w="740" w:type="dxa"/>
            <w:vAlign w:val="bottom"/>
          </w:tcPr>
          <w:p>
            <w:pPr>
              <w:jc w:val="center"/>
              <w:ind w:left="117"/>
              <w:spacing w:after="0" w:line="137" w:lineRule="exact"/>
              <w:rPr>
                <w:sz w:val="20"/>
                <w:szCs w:val="20"/>
                <w:color w:val="auto"/>
              </w:rPr>
            </w:pPr>
            <w:r>
              <w:rPr>
                <w:rFonts w:ascii="Arial" w:cs="Arial" w:eastAsia="Arial" w:hAnsi="Arial"/>
                <w:sz w:val="13"/>
                <w:szCs w:val="13"/>
                <w:b w:val="1"/>
                <w:bCs w:val="1"/>
                <w:color w:val="auto"/>
                <w:w w:val="91"/>
              </w:rPr>
              <w:t>-</w:t>
            </w:r>
          </w:p>
        </w:tc>
        <w:tc>
          <w:tcPr>
            <w:tcW w:w="1120" w:type="dxa"/>
            <w:vAlign w:val="bottom"/>
            <w:tcBorders>
              <w:right w:val="single" w:sz="8" w:color="auto"/>
            </w:tcBorders>
          </w:tcPr>
          <w:p>
            <w:pPr>
              <w:jc w:val="center"/>
              <w:ind w:left="97"/>
              <w:spacing w:after="0" w:line="137" w:lineRule="exact"/>
              <w:rPr>
                <w:sz w:val="20"/>
                <w:szCs w:val="20"/>
                <w:color w:val="auto"/>
              </w:rPr>
            </w:pPr>
            <w:r>
              <w:rPr>
                <w:rFonts w:ascii="Arial" w:cs="Arial" w:eastAsia="Arial" w:hAnsi="Arial"/>
                <w:sz w:val="13"/>
                <w:szCs w:val="13"/>
                <w:b w:val="1"/>
                <w:bCs w:val="1"/>
                <w:color w:val="auto"/>
                <w:w w:val="93"/>
              </w:rPr>
              <w:t>414,697</w:t>
            </w:r>
          </w:p>
        </w:tc>
        <w:tc>
          <w:tcPr>
            <w:tcW w:w="10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n.a.</w:t>
            </w:r>
          </w:p>
        </w:tc>
        <w:tc>
          <w:tcPr>
            <w:tcW w:w="0" w:type="dxa"/>
            <w:vAlign w:val="bottom"/>
          </w:tcPr>
          <w:p>
            <w:pPr>
              <w:spacing w:after="0"/>
              <w:rPr>
                <w:sz w:val="1"/>
                <w:szCs w:val="1"/>
                <w:color w:val="auto"/>
              </w:rPr>
            </w:pPr>
          </w:p>
        </w:tc>
      </w:tr>
      <w:tr>
        <w:trPr>
          <w:trHeight w:val="135"/>
        </w:trPr>
        <w:tc>
          <w:tcPr>
            <w:tcW w:w="34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Interest income</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3"/>
              </w:rPr>
              <w:t>208,159</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3"/>
              </w:rPr>
              <w:t>220,584</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226,388</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2.6%</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8.8%</w:t>
            </w:r>
          </w:p>
        </w:tc>
        <w:tc>
          <w:tcPr>
            <w:tcW w:w="74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3"/>
              </w:rPr>
              <w:t>834,304</w:t>
            </w:r>
          </w:p>
        </w:tc>
        <w:tc>
          <w:tcPr>
            <w:tcW w:w="1120" w:type="dxa"/>
            <w:vAlign w:val="bottom"/>
            <w:tcBorders>
              <w:right w:val="single" w:sz="8" w:color="auto"/>
            </w:tcBorders>
          </w:tcPr>
          <w:p>
            <w:pPr>
              <w:jc w:val="center"/>
              <w:ind w:left="97"/>
              <w:spacing w:after="0" w:line="135" w:lineRule="exact"/>
              <w:rPr>
                <w:sz w:val="20"/>
                <w:szCs w:val="20"/>
                <w:color w:val="auto"/>
              </w:rPr>
            </w:pPr>
            <w:r>
              <w:rPr>
                <w:rFonts w:ascii="Arial" w:cs="Arial" w:eastAsia="Arial" w:hAnsi="Arial"/>
                <w:sz w:val="13"/>
                <w:szCs w:val="13"/>
                <w:color w:val="auto"/>
                <w:w w:val="93"/>
              </w:rPr>
              <w:t>920,051</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10.3%</w:t>
            </w:r>
          </w:p>
        </w:tc>
        <w:tc>
          <w:tcPr>
            <w:tcW w:w="0" w:type="dxa"/>
            <w:vAlign w:val="bottom"/>
          </w:tcPr>
          <w:p>
            <w:pPr>
              <w:spacing w:after="0"/>
              <w:rPr>
                <w:sz w:val="1"/>
                <w:szCs w:val="1"/>
                <w:color w:val="auto"/>
              </w:rPr>
            </w:pPr>
          </w:p>
        </w:tc>
      </w:tr>
      <w:tr>
        <w:trPr>
          <w:trHeight w:val="135"/>
        </w:trPr>
        <w:tc>
          <w:tcPr>
            <w:tcW w:w="34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Interest Expenses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3"/>
              </w:rPr>
              <w:t>(138,943)</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6"/>
              </w:rPr>
              <w:t>(158,576)</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(160,732)</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1.4%</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15.7%</w:t>
            </w:r>
          </w:p>
        </w:tc>
        <w:tc>
          <w:tcPr>
            <w:tcW w:w="7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6"/>
              </w:rPr>
              <w:t>(535,059)</w:t>
            </w:r>
          </w:p>
        </w:tc>
        <w:tc>
          <w:tcPr>
            <w:tcW w:w="1120" w:type="dxa"/>
            <w:vAlign w:val="bottom"/>
            <w:tcBorders>
              <w:right w:val="single" w:sz="8" w:color="auto"/>
            </w:tcBorders>
          </w:tcPr>
          <w:p>
            <w:pPr>
              <w:jc w:val="center"/>
              <w:ind w:left="117"/>
              <w:spacing w:after="0" w:line="135" w:lineRule="exact"/>
              <w:rPr>
                <w:sz w:val="20"/>
                <w:szCs w:val="20"/>
                <w:color w:val="auto"/>
              </w:rPr>
            </w:pPr>
            <w:r>
              <w:rPr>
                <w:rFonts w:ascii="Arial" w:cs="Arial" w:eastAsia="Arial" w:hAnsi="Arial"/>
                <w:sz w:val="13"/>
                <w:szCs w:val="13"/>
                <w:color w:val="auto"/>
                <w:w w:val="96"/>
              </w:rPr>
              <w:t>(621,508)</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16.2%</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right w:val="single" w:sz="8" w:color="auto"/>
            </w:tcBorders>
          </w:tcPr>
          <w:p>
            <w:pPr>
              <w:ind w:left="160"/>
              <w:spacing w:after="0" w:line="133" w:lineRule="exact"/>
              <w:rPr>
                <w:sz w:val="20"/>
                <w:szCs w:val="20"/>
                <w:color w:val="auto"/>
              </w:rPr>
            </w:pPr>
            <w:r>
              <w:rPr>
                <w:rFonts w:ascii="Arial" w:cs="Arial" w:eastAsia="Arial" w:hAnsi="Arial"/>
                <w:sz w:val="13"/>
                <w:szCs w:val="13"/>
                <w:color w:val="auto"/>
              </w:rPr>
              <w:t>Interest expenses attributable to insurance activities</w:t>
            </w: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w w:val="93"/>
              </w:rPr>
              <w:t>(132,088)</w:t>
            </w:r>
          </w:p>
        </w:tc>
        <w:tc>
          <w:tcPr>
            <w:tcW w:w="980" w:type="dxa"/>
            <w:vAlign w:val="bottom"/>
          </w:tcPr>
          <w:p>
            <w:pPr>
              <w:jc w:val="center"/>
              <w:spacing w:after="0" w:line="133" w:lineRule="exact"/>
              <w:rPr>
                <w:sz w:val="20"/>
                <w:szCs w:val="20"/>
                <w:color w:val="auto"/>
              </w:rPr>
            </w:pPr>
            <w:r>
              <w:rPr>
                <w:rFonts w:ascii="Arial" w:cs="Arial" w:eastAsia="Arial" w:hAnsi="Arial"/>
                <w:sz w:val="13"/>
                <w:szCs w:val="13"/>
                <w:color w:val="auto"/>
                <w:w w:val="96"/>
              </w:rPr>
              <w:t>(141,444)</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6"/>
              </w:rPr>
              <w:t>(143,961)</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rPr>
              <w:t>1.8%</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9.0%</w:t>
            </w:r>
          </w:p>
        </w:tc>
        <w:tc>
          <w:tcPr>
            <w:tcW w:w="740" w:type="dxa"/>
            <w:vAlign w:val="bottom"/>
          </w:tcPr>
          <w:p>
            <w:pPr>
              <w:jc w:val="center"/>
              <w:ind w:left="97"/>
              <w:spacing w:after="0" w:line="133" w:lineRule="exact"/>
              <w:rPr>
                <w:sz w:val="20"/>
                <w:szCs w:val="20"/>
                <w:color w:val="auto"/>
              </w:rPr>
            </w:pPr>
            <w:r>
              <w:rPr>
                <w:rFonts w:ascii="Arial" w:cs="Arial" w:eastAsia="Arial" w:hAnsi="Arial"/>
                <w:sz w:val="13"/>
                <w:szCs w:val="13"/>
                <w:color w:val="auto"/>
                <w:w w:val="96"/>
              </w:rPr>
              <w:t>(507,356)</w:t>
            </w:r>
          </w:p>
        </w:tc>
        <w:tc>
          <w:tcPr>
            <w:tcW w:w="1120" w:type="dxa"/>
            <w:vAlign w:val="bottom"/>
            <w:tcBorders>
              <w:right w:val="single" w:sz="8" w:color="auto"/>
            </w:tcBorders>
          </w:tcPr>
          <w:p>
            <w:pPr>
              <w:jc w:val="center"/>
              <w:ind w:left="117"/>
              <w:spacing w:after="0" w:line="133" w:lineRule="exact"/>
              <w:rPr>
                <w:sz w:val="20"/>
                <w:szCs w:val="20"/>
                <w:color w:val="auto"/>
              </w:rPr>
            </w:pPr>
            <w:r>
              <w:rPr>
                <w:rFonts w:ascii="Arial" w:cs="Arial" w:eastAsia="Arial" w:hAnsi="Arial"/>
                <w:sz w:val="13"/>
                <w:szCs w:val="13"/>
                <w:color w:val="auto"/>
                <w:w w:val="96"/>
              </w:rPr>
              <w:t>(560,081)</w:t>
            </w:r>
          </w:p>
        </w:tc>
        <w:tc>
          <w:tcPr>
            <w:tcW w:w="10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10.4%</w:t>
            </w:r>
          </w:p>
        </w:tc>
        <w:tc>
          <w:tcPr>
            <w:tcW w:w="0" w:type="dxa"/>
            <w:vAlign w:val="bottom"/>
          </w:tcPr>
          <w:p>
            <w:pPr>
              <w:spacing w:after="0"/>
              <w:rPr>
                <w:sz w:val="1"/>
                <w:szCs w:val="1"/>
                <w:color w:val="auto"/>
              </w:rPr>
            </w:pPr>
          </w:p>
        </w:tc>
      </w:tr>
      <w:tr>
        <w:trPr>
          <w:trHeight w:val="137"/>
        </w:trPr>
        <w:tc>
          <w:tcPr>
            <w:tcW w:w="3480" w:type="dxa"/>
            <w:vAlign w:val="bottom"/>
            <w:tcBorders>
              <w:left w:val="single" w:sz="8" w:color="auto"/>
              <w:right w:val="single" w:sz="8" w:color="auto"/>
            </w:tcBorders>
          </w:tcPr>
          <w:p>
            <w:pPr>
              <w:spacing w:after="0" w:line="137" w:lineRule="exact"/>
              <w:rPr>
                <w:sz w:val="20"/>
                <w:szCs w:val="20"/>
                <w:color w:val="auto"/>
              </w:rPr>
            </w:pPr>
            <w:r>
              <w:rPr>
                <w:rFonts w:ascii="Arial" w:cs="Arial" w:eastAsia="Arial" w:hAnsi="Arial"/>
                <w:sz w:val="13"/>
                <w:szCs w:val="13"/>
                <w:b w:val="1"/>
                <w:bCs w:val="1"/>
                <w:color w:val="auto"/>
              </w:rPr>
              <w:t>Net Interest Income</w:t>
            </w:r>
          </w:p>
        </w:tc>
        <w:tc>
          <w:tcPr>
            <w:tcW w:w="10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69,216</w:t>
            </w:r>
          </w:p>
        </w:tc>
        <w:tc>
          <w:tcPr>
            <w:tcW w:w="9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62,008</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5"/>
              </w:rPr>
              <w:t>65,656</w:t>
            </w:r>
          </w:p>
        </w:tc>
        <w:tc>
          <w:tcPr>
            <w:tcW w:w="9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5.9%</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4"/>
              </w:rPr>
              <w:t>-5.1%</w:t>
            </w:r>
          </w:p>
        </w:tc>
        <w:tc>
          <w:tcPr>
            <w:tcW w:w="740" w:type="dxa"/>
            <w:vAlign w:val="bottom"/>
          </w:tcPr>
          <w:p>
            <w:pPr>
              <w:jc w:val="center"/>
              <w:ind w:left="117"/>
              <w:spacing w:after="0" w:line="137" w:lineRule="exact"/>
              <w:rPr>
                <w:sz w:val="20"/>
                <w:szCs w:val="20"/>
                <w:color w:val="auto"/>
              </w:rPr>
            </w:pPr>
            <w:r>
              <w:rPr>
                <w:rFonts w:ascii="Arial" w:cs="Arial" w:eastAsia="Arial" w:hAnsi="Arial"/>
                <w:sz w:val="13"/>
                <w:szCs w:val="13"/>
                <w:b w:val="1"/>
                <w:bCs w:val="1"/>
                <w:color w:val="auto"/>
                <w:w w:val="93"/>
              </w:rPr>
              <w:t>299,245</w:t>
            </w:r>
          </w:p>
        </w:tc>
        <w:tc>
          <w:tcPr>
            <w:tcW w:w="1120" w:type="dxa"/>
            <w:vAlign w:val="bottom"/>
            <w:tcBorders>
              <w:right w:val="single" w:sz="8" w:color="auto"/>
            </w:tcBorders>
          </w:tcPr>
          <w:p>
            <w:pPr>
              <w:jc w:val="center"/>
              <w:ind w:left="97"/>
              <w:spacing w:after="0" w:line="137" w:lineRule="exact"/>
              <w:rPr>
                <w:sz w:val="20"/>
                <w:szCs w:val="20"/>
                <w:color w:val="auto"/>
              </w:rPr>
            </w:pPr>
            <w:r>
              <w:rPr>
                <w:rFonts w:ascii="Arial" w:cs="Arial" w:eastAsia="Arial" w:hAnsi="Arial"/>
                <w:sz w:val="13"/>
                <w:szCs w:val="13"/>
                <w:b w:val="1"/>
                <w:bCs w:val="1"/>
                <w:color w:val="auto"/>
                <w:w w:val="93"/>
              </w:rPr>
              <w:t>298,543</w:t>
            </w:r>
          </w:p>
        </w:tc>
        <w:tc>
          <w:tcPr>
            <w:tcW w:w="10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4"/>
              </w:rPr>
              <w:t>-0.2%</w:t>
            </w:r>
          </w:p>
        </w:tc>
        <w:tc>
          <w:tcPr>
            <w:tcW w:w="0" w:type="dxa"/>
            <w:vAlign w:val="bottom"/>
          </w:tcPr>
          <w:p>
            <w:pPr>
              <w:spacing w:after="0"/>
              <w:rPr>
                <w:sz w:val="1"/>
                <w:szCs w:val="1"/>
                <w:color w:val="auto"/>
              </w:rPr>
            </w:pPr>
          </w:p>
        </w:tc>
      </w:tr>
      <w:tr>
        <w:trPr>
          <w:trHeight w:val="137"/>
        </w:trPr>
        <w:tc>
          <w:tcPr>
            <w:tcW w:w="3480" w:type="dxa"/>
            <w:vAlign w:val="bottom"/>
            <w:tcBorders>
              <w:left w:val="single" w:sz="8" w:color="auto"/>
              <w:right w:val="single" w:sz="8" w:color="auto"/>
            </w:tcBorders>
          </w:tcPr>
          <w:p>
            <w:pPr>
              <w:spacing w:after="0" w:line="137" w:lineRule="exact"/>
              <w:rPr>
                <w:sz w:val="20"/>
                <w:szCs w:val="20"/>
                <w:color w:val="auto"/>
              </w:rPr>
            </w:pPr>
            <w:r>
              <w:rPr>
                <w:rFonts w:ascii="Arial" w:cs="Arial" w:eastAsia="Arial" w:hAnsi="Arial"/>
                <w:sz w:val="13"/>
                <w:szCs w:val="13"/>
                <w:color w:val="auto"/>
              </w:rPr>
              <w:t>Fee Income and Gain in FX</w:t>
            </w:r>
          </w:p>
        </w:tc>
        <w:tc>
          <w:tcPr>
            <w:tcW w:w="1000" w:type="dxa"/>
            <w:vAlign w:val="bottom"/>
          </w:tcPr>
          <w:p>
            <w:pPr>
              <w:jc w:val="center"/>
              <w:spacing w:after="0" w:line="137" w:lineRule="exact"/>
              <w:rPr>
                <w:sz w:val="20"/>
                <w:szCs w:val="20"/>
                <w:color w:val="auto"/>
              </w:rPr>
            </w:pPr>
            <w:r>
              <w:rPr>
                <w:rFonts w:ascii="Arial" w:cs="Arial" w:eastAsia="Arial" w:hAnsi="Arial"/>
                <w:sz w:val="13"/>
                <w:szCs w:val="13"/>
                <w:color w:val="auto"/>
                <w:w w:val="97"/>
              </w:rPr>
              <w:t>(4,065)</w:t>
            </w:r>
          </w:p>
        </w:tc>
        <w:tc>
          <w:tcPr>
            <w:tcW w:w="980" w:type="dxa"/>
            <w:vAlign w:val="bottom"/>
          </w:tcPr>
          <w:p>
            <w:pPr>
              <w:jc w:val="center"/>
              <w:spacing w:after="0" w:line="137" w:lineRule="exact"/>
              <w:rPr>
                <w:sz w:val="20"/>
                <w:szCs w:val="20"/>
                <w:color w:val="auto"/>
              </w:rPr>
            </w:pPr>
            <w:r>
              <w:rPr>
                <w:rFonts w:ascii="Arial" w:cs="Arial" w:eastAsia="Arial" w:hAnsi="Arial"/>
                <w:sz w:val="13"/>
                <w:szCs w:val="13"/>
                <w:color w:val="auto"/>
                <w:w w:val="97"/>
              </w:rPr>
              <w:t>(5,160)</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w w:val="97"/>
              </w:rPr>
              <w:t>(4,433)</w:t>
            </w:r>
          </w:p>
        </w:tc>
        <w:tc>
          <w:tcPr>
            <w:tcW w:w="940" w:type="dxa"/>
            <w:vAlign w:val="bottom"/>
          </w:tcPr>
          <w:p>
            <w:pPr>
              <w:jc w:val="center"/>
              <w:spacing w:after="0" w:line="137" w:lineRule="exact"/>
              <w:rPr>
                <w:sz w:val="20"/>
                <w:szCs w:val="20"/>
                <w:color w:val="auto"/>
              </w:rPr>
            </w:pPr>
            <w:r>
              <w:rPr>
                <w:rFonts w:ascii="Arial" w:cs="Arial" w:eastAsia="Arial" w:hAnsi="Arial"/>
                <w:sz w:val="13"/>
                <w:szCs w:val="13"/>
                <w:color w:val="auto"/>
                <w:w w:val="97"/>
              </w:rPr>
              <w:t>-14.1%</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w w:val="94"/>
              </w:rPr>
              <w:t>9.1%</w:t>
            </w:r>
          </w:p>
        </w:tc>
        <w:tc>
          <w:tcPr>
            <w:tcW w:w="740" w:type="dxa"/>
            <w:vAlign w:val="bottom"/>
          </w:tcPr>
          <w:p>
            <w:pPr>
              <w:jc w:val="center"/>
              <w:ind w:left="117"/>
              <w:spacing w:after="0" w:line="137" w:lineRule="exact"/>
              <w:rPr>
                <w:sz w:val="20"/>
                <w:szCs w:val="20"/>
                <w:color w:val="auto"/>
              </w:rPr>
            </w:pPr>
            <w:r>
              <w:rPr>
                <w:rFonts w:ascii="Arial" w:cs="Arial" w:eastAsia="Arial" w:hAnsi="Arial"/>
                <w:sz w:val="13"/>
                <w:szCs w:val="13"/>
                <w:color w:val="auto"/>
                <w:w w:val="99"/>
              </w:rPr>
              <w:t>(14,265)</w:t>
            </w:r>
          </w:p>
        </w:tc>
        <w:tc>
          <w:tcPr>
            <w:tcW w:w="1120" w:type="dxa"/>
            <w:vAlign w:val="bottom"/>
            <w:tcBorders>
              <w:right w:val="single" w:sz="8" w:color="auto"/>
            </w:tcBorders>
          </w:tcPr>
          <w:p>
            <w:pPr>
              <w:jc w:val="center"/>
              <w:ind w:left="97"/>
              <w:spacing w:after="0" w:line="137" w:lineRule="exact"/>
              <w:rPr>
                <w:sz w:val="20"/>
                <w:szCs w:val="20"/>
                <w:color w:val="auto"/>
              </w:rPr>
            </w:pPr>
            <w:r>
              <w:rPr>
                <w:rFonts w:ascii="Arial" w:cs="Arial" w:eastAsia="Arial" w:hAnsi="Arial"/>
                <w:sz w:val="13"/>
                <w:szCs w:val="13"/>
                <w:color w:val="auto"/>
                <w:w w:val="99"/>
              </w:rPr>
              <w:t>(20,141)</w:t>
            </w:r>
          </w:p>
        </w:tc>
        <w:tc>
          <w:tcPr>
            <w:tcW w:w="10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color w:val="auto"/>
                <w:w w:val="97"/>
              </w:rPr>
              <w:t>41.2%</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i w:val="1"/>
                <w:iCs w:val="1"/>
                <w:color w:val="auto"/>
              </w:rPr>
              <w:t>Other Income No Core:</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8"/>
              </w:rPr>
              <w:t>1,151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8"/>
              </w:rPr>
              <w:t>1,454</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(4,500)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4"/>
              </w:rPr>
              <w:t>-409.5%</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-491.0%</w:t>
            </w:r>
          </w:p>
        </w:tc>
        <w:tc>
          <w:tcPr>
            <w:tcW w:w="740" w:type="dxa"/>
            <w:vAlign w:val="bottom"/>
            <w:vMerge w:val="restart"/>
          </w:tcPr>
          <w:p>
            <w:pPr>
              <w:jc w:val="center"/>
              <w:ind w:left="117"/>
              <w:spacing w:after="0"/>
              <w:rPr>
                <w:sz w:val="20"/>
                <w:szCs w:val="20"/>
                <w:color w:val="auto"/>
              </w:rPr>
            </w:pPr>
            <w:r>
              <w:rPr>
                <w:rFonts w:ascii="Arial" w:cs="Arial" w:eastAsia="Arial" w:hAnsi="Arial"/>
                <w:sz w:val="13"/>
                <w:szCs w:val="13"/>
                <w:color w:val="auto"/>
                <w:w w:val="92"/>
              </w:rPr>
              <w:t>(657)</w:t>
            </w:r>
          </w:p>
        </w:tc>
        <w:tc>
          <w:tcPr>
            <w:tcW w:w="1120" w:type="dxa"/>
            <w:vAlign w:val="bottom"/>
            <w:tcBorders>
              <w:right w:val="single" w:sz="8" w:color="auto"/>
            </w:tcBorders>
            <w:vMerge w:val="restart"/>
          </w:tcPr>
          <w:p>
            <w:pPr>
              <w:jc w:val="center"/>
              <w:ind w:left="97"/>
              <w:spacing w:after="0"/>
              <w:rPr>
                <w:sz w:val="20"/>
                <w:szCs w:val="20"/>
                <w:color w:val="auto"/>
              </w:rPr>
            </w:pPr>
            <w:r>
              <w:rPr>
                <w:rFonts w:ascii="Arial" w:cs="Arial" w:eastAsia="Arial" w:hAnsi="Arial"/>
                <w:sz w:val="13"/>
                <w:szCs w:val="13"/>
                <w:color w:val="auto"/>
                <w:w w:val="97"/>
              </w:rPr>
              <w:t>(2,909)</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342.8%</w:t>
            </w:r>
          </w:p>
        </w:tc>
        <w:tc>
          <w:tcPr>
            <w:tcW w:w="0" w:type="dxa"/>
            <w:vAlign w:val="bottom"/>
          </w:tcPr>
          <w:p>
            <w:pPr>
              <w:spacing w:after="0"/>
              <w:rPr>
                <w:sz w:val="1"/>
                <w:szCs w:val="1"/>
                <w:color w:val="auto"/>
              </w:rPr>
            </w:pPr>
          </w:p>
        </w:tc>
      </w:tr>
      <w:tr>
        <w:trPr>
          <w:trHeight w:val="135"/>
        </w:trPr>
        <w:tc>
          <w:tcPr>
            <w:tcW w:w="34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Net gain (loss) from exchange differences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Net loss on securities and associates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9"/>
              </w:rPr>
              <w:t>(15,450)</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9"/>
              </w:rPr>
              <w:t>(12,740)</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20,281</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4"/>
              </w:rPr>
              <w:t>-259.2%</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-231.3%</w:t>
            </w:r>
          </w:p>
        </w:tc>
        <w:tc>
          <w:tcPr>
            <w:tcW w:w="740" w:type="dxa"/>
            <w:vAlign w:val="bottom"/>
          </w:tcPr>
          <w:p>
            <w:pPr>
              <w:jc w:val="center"/>
              <w:ind w:left="117"/>
              <w:spacing w:after="0" w:line="135" w:lineRule="exact"/>
              <w:rPr>
                <w:sz w:val="20"/>
                <w:szCs w:val="20"/>
                <w:color w:val="auto"/>
              </w:rPr>
            </w:pPr>
            <w:r>
              <w:rPr>
                <w:rFonts w:ascii="Arial" w:cs="Arial" w:eastAsia="Arial" w:hAnsi="Arial"/>
                <w:sz w:val="13"/>
                <w:szCs w:val="13"/>
                <w:color w:val="auto"/>
              </w:rPr>
              <w:t>62,389</w:t>
            </w:r>
          </w:p>
        </w:tc>
        <w:tc>
          <w:tcPr>
            <w:tcW w:w="1120" w:type="dxa"/>
            <w:vAlign w:val="bottom"/>
            <w:tcBorders>
              <w:right w:val="single" w:sz="8" w:color="auto"/>
            </w:tcBorders>
          </w:tcPr>
          <w:p>
            <w:pPr>
              <w:jc w:val="center"/>
              <w:ind w:left="97"/>
              <w:spacing w:after="0" w:line="135" w:lineRule="exact"/>
              <w:rPr>
                <w:sz w:val="20"/>
                <w:szCs w:val="20"/>
                <w:color w:val="auto"/>
              </w:rPr>
            </w:pPr>
            <w:r>
              <w:rPr>
                <w:rFonts w:ascii="Arial" w:cs="Arial" w:eastAsia="Arial" w:hAnsi="Arial"/>
                <w:sz w:val="13"/>
                <w:szCs w:val="13"/>
                <w:color w:val="auto"/>
                <w:w w:val="99"/>
              </w:rPr>
              <w:t>(42,245)</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-167.7%</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Other Income not operational</w:t>
            </w: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rPr>
              <w:t>52,454</w:t>
            </w:r>
          </w:p>
        </w:tc>
        <w:tc>
          <w:tcPr>
            <w:tcW w:w="980" w:type="dxa"/>
            <w:vAlign w:val="bottom"/>
          </w:tcPr>
          <w:p>
            <w:pPr>
              <w:jc w:val="center"/>
              <w:spacing w:after="0" w:line="133" w:lineRule="exact"/>
              <w:rPr>
                <w:sz w:val="20"/>
                <w:szCs w:val="20"/>
                <w:color w:val="auto"/>
              </w:rPr>
            </w:pPr>
            <w:r>
              <w:rPr>
                <w:rFonts w:ascii="Arial" w:cs="Arial" w:eastAsia="Arial" w:hAnsi="Arial"/>
                <w:sz w:val="13"/>
                <w:szCs w:val="13"/>
                <w:color w:val="auto"/>
              </w:rPr>
              <w:t>46,175</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5"/>
              </w:rPr>
              <w:t>92,116</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99.5%</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75.6%</w:t>
            </w:r>
          </w:p>
        </w:tc>
        <w:tc>
          <w:tcPr>
            <w:tcW w:w="740" w:type="dxa"/>
            <w:vAlign w:val="bottom"/>
          </w:tcPr>
          <w:p>
            <w:pPr>
              <w:jc w:val="center"/>
              <w:ind w:left="117"/>
              <w:spacing w:after="0" w:line="133" w:lineRule="exact"/>
              <w:rPr>
                <w:sz w:val="20"/>
                <w:szCs w:val="20"/>
                <w:color w:val="auto"/>
              </w:rPr>
            </w:pPr>
            <w:r>
              <w:rPr>
                <w:rFonts w:ascii="Arial" w:cs="Arial" w:eastAsia="Arial" w:hAnsi="Arial"/>
                <w:sz w:val="13"/>
                <w:szCs w:val="13"/>
                <w:color w:val="auto"/>
                <w:w w:val="93"/>
              </w:rPr>
              <w:t>152,442</w:t>
            </w:r>
          </w:p>
        </w:tc>
        <w:tc>
          <w:tcPr>
            <w:tcW w:w="1120" w:type="dxa"/>
            <w:vAlign w:val="bottom"/>
            <w:tcBorders>
              <w:right w:val="single" w:sz="8" w:color="auto"/>
            </w:tcBorders>
          </w:tcPr>
          <w:p>
            <w:pPr>
              <w:jc w:val="center"/>
              <w:ind w:left="97"/>
              <w:spacing w:after="0" w:line="133" w:lineRule="exact"/>
              <w:rPr>
                <w:sz w:val="20"/>
                <w:szCs w:val="20"/>
                <w:color w:val="auto"/>
              </w:rPr>
            </w:pPr>
            <w:r>
              <w:rPr>
                <w:rFonts w:ascii="Arial" w:cs="Arial" w:eastAsia="Arial" w:hAnsi="Arial"/>
                <w:sz w:val="13"/>
                <w:szCs w:val="13"/>
                <w:color w:val="auto"/>
                <w:w w:val="93"/>
              </w:rPr>
              <w:t>198,898</w:t>
            </w:r>
          </w:p>
        </w:tc>
        <w:tc>
          <w:tcPr>
            <w:tcW w:w="10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30.5%</w:t>
            </w:r>
          </w:p>
        </w:tc>
        <w:tc>
          <w:tcPr>
            <w:tcW w:w="0" w:type="dxa"/>
            <w:vAlign w:val="bottom"/>
          </w:tcPr>
          <w:p>
            <w:pPr>
              <w:spacing w:after="0"/>
              <w:rPr>
                <w:sz w:val="1"/>
                <w:szCs w:val="1"/>
                <w:color w:val="auto"/>
              </w:rPr>
            </w:pPr>
          </w:p>
        </w:tc>
      </w:tr>
      <w:tr>
        <w:trPr>
          <w:trHeight w:val="137"/>
        </w:trPr>
        <w:tc>
          <w:tcPr>
            <w:tcW w:w="3480" w:type="dxa"/>
            <w:vAlign w:val="bottom"/>
            <w:tcBorders>
              <w:left w:val="single" w:sz="8" w:color="auto"/>
              <w:right w:val="single" w:sz="8" w:color="auto"/>
            </w:tcBorders>
          </w:tcPr>
          <w:p>
            <w:pPr>
              <w:spacing w:after="0" w:line="137" w:lineRule="exact"/>
              <w:rPr>
                <w:sz w:val="20"/>
                <w:szCs w:val="20"/>
                <w:color w:val="auto"/>
              </w:rPr>
            </w:pPr>
            <w:r>
              <w:rPr>
                <w:rFonts w:ascii="Arial" w:cs="Arial" w:eastAsia="Arial" w:hAnsi="Arial"/>
                <w:sz w:val="13"/>
                <w:szCs w:val="13"/>
                <w:b w:val="1"/>
                <w:bCs w:val="1"/>
                <w:color w:val="auto"/>
              </w:rPr>
              <w:t>Other Income</w:t>
            </w:r>
          </w:p>
        </w:tc>
        <w:tc>
          <w:tcPr>
            <w:tcW w:w="10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34,090</w:t>
            </w:r>
          </w:p>
        </w:tc>
        <w:tc>
          <w:tcPr>
            <w:tcW w:w="9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rPr>
              <w:t>29,729</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103,464</w:t>
            </w:r>
          </w:p>
        </w:tc>
        <w:tc>
          <w:tcPr>
            <w:tcW w:w="9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5"/>
              </w:rPr>
              <w:t>248.0%</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5"/>
              </w:rPr>
              <w:t>203.5%</w:t>
            </w:r>
          </w:p>
        </w:tc>
        <w:tc>
          <w:tcPr>
            <w:tcW w:w="740" w:type="dxa"/>
            <w:vAlign w:val="bottom"/>
          </w:tcPr>
          <w:p>
            <w:pPr>
              <w:jc w:val="center"/>
              <w:ind w:left="117"/>
              <w:spacing w:after="0" w:line="137" w:lineRule="exact"/>
              <w:rPr>
                <w:sz w:val="20"/>
                <w:szCs w:val="20"/>
                <w:color w:val="auto"/>
              </w:rPr>
            </w:pPr>
            <w:r>
              <w:rPr>
                <w:rFonts w:ascii="Arial" w:cs="Arial" w:eastAsia="Arial" w:hAnsi="Arial"/>
                <w:sz w:val="13"/>
                <w:szCs w:val="13"/>
                <w:b w:val="1"/>
                <w:bCs w:val="1"/>
                <w:color w:val="auto"/>
                <w:w w:val="93"/>
              </w:rPr>
              <w:t>199,909</w:t>
            </w:r>
          </w:p>
        </w:tc>
        <w:tc>
          <w:tcPr>
            <w:tcW w:w="1120" w:type="dxa"/>
            <w:vAlign w:val="bottom"/>
            <w:tcBorders>
              <w:right w:val="single" w:sz="8" w:color="auto"/>
            </w:tcBorders>
          </w:tcPr>
          <w:p>
            <w:pPr>
              <w:jc w:val="center"/>
              <w:ind w:left="97"/>
              <w:spacing w:after="0" w:line="137" w:lineRule="exact"/>
              <w:rPr>
                <w:sz w:val="20"/>
                <w:szCs w:val="20"/>
                <w:color w:val="auto"/>
              </w:rPr>
            </w:pPr>
            <w:r>
              <w:rPr>
                <w:rFonts w:ascii="Arial" w:cs="Arial" w:eastAsia="Arial" w:hAnsi="Arial"/>
                <w:sz w:val="13"/>
                <w:szCs w:val="13"/>
                <w:b w:val="1"/>
                <w:bCs w:val="1"/>
                <w:color w:val="auto"/>
                <w:w w:val="93"/>
              </w:rPr>
              <w:t>133,603</w:t>
            </w:r>
          </w:p>
        </w:tc>
        <w:tc>
          <w:tcPr>
            <w:tcW w:w="10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-33.2%</w:t>
            </w:r>
          </w:p>
        </w:tc>
        <w:tc>
          <w:tcPr>
            <w:tcW w:w="0" w:type="dxa"/>
            <w:vAlign w:val="bottom"/>
          </w:tcPr>
          <w:p>
            <w:pPr>
              <w:spacing w:after="0"/>
              <w:rPr>
                <w:sz w:val="1"/>
                <w:szCs w:val="1"/>
                <w:color w:val="auto"/>
              </w:rPr>
            </w:pPr>
          </w:p>
        </w:tc>
      </w:tr>
      <w:tr>
        <w:trPr>
          <w:trHeight w:val="135"/>
        </w:trPr>
        <w:tc>
          <w:tcPr>
            <w:tcW w:w="348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Operating expenses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9"/>
              </w:rPr>
              <w:t>(84,895)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6"/>
              </w:rPr>
              <w:t>(165,580)</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(176,482)</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6.6%</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107.9%</w:t>
            </w:r>
          </w:p>
        </w:tc>
        <w:tc>
          <w:tcPr>
            <w:tcW w:w="74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6"/>
              </w:rPr>
              <w:t>(300,773)</w:t>
            </w:r>
          </w:p>
        </w:tc>
        <w:tc>
          <w:tcPr>
            <w:tcW w:w="1120" w:type="dxa"/>
            <w:vAlign w:val="bottom"/>
            <w:tcBorders>
              <w:right w:val="single" w:sz="8" w:color="auto"/>
            </w:tcBorders>
          </w:tcPr>
          <w:p>
            <w:pPr>
              <w:jc w:val="center"/>
              <w:ind w:left="117"/>
              <w:spacing w:after="0" w:line="135" w:lineRule="exact"/>
              <w:rPr>
                <w:sz w:val="20"/>
                <w:szCs w:val="20"/>
                <w:color w:val="auto"/>
              </w:rPr>
            </w:pPr>
            <w:r>
              <w:rPr>
                <w:rFonts w:ascii="Arial" w:cs="Arial" w:eastAsia="Arial" w:hAnsi="Arial"/>
                <w:sz w:val="13"/>
                <w:szCs w:val="13"/>
                <w:color w:val="auto"/>
                <w:w w:val="96"/>
              </w:rPr>
              <w:t>(608,976)</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102.5%</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Other expenses</w:t>
            </w: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w w:val="99"/>
              </w:rPr>
              <w:t>(25,602)</w:t>
            </w:r>
          </w:p>
        </w:tc>
        <w:tc>
          <w:tcPr>
            <w:tcW w:w="980" w:type="dxa"/>
            <w:vAlign w:val="bottom"/>
          </w:tcPr>
          <w:p>
            <w:pPr>
              <w:jc w:val="center"/>
              <w:spacing w:after="0" w:line="133" w:lineRule="exact"/>
              <w:rPr>
                <w:sz w:val="20"/>
                <w:szCs w:val="20"/>
                <w:color w:val="auto"/>
              </w:rPr>
            </w:pPr>
            <w:r>
              <w:rPr>
                <w:rFonts w:ascii="Arial" w:cs="Arial" w:eastAsia="Arial" w:hAnsi="Arial"/>
                <w:sz w:val="13"/>
                <w:szCs w:val="13"/>
                <w:color w:val="auto"/>
                <w:w w:val="99"/>
              </w:rPr>
              <w:t>(18,325)</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(42,273)</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5"/>
              </w:rPr>
              <w:t>130.7%</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7"/>
              </w:rPr>
              <w:t>65.1%</w:t>
            </w:r>
          </w:p>
        </w:tc>
        <w:tc>
          <w:tcPr>
            <w:tcW w:w="740" w:type="dxa"/>
            <w:vAlign w:val="bottom"/>
          </w:tcPr>
          <w:p>
            <w:pPr>
              <w:jc w:val="center"/>
              <w:ind w:left="117"/>
              <w:spacing w:after="0" w:line="133" w:lineRule="exact"/>
              <w:rPr>
                <w:sz w:val="20"/>
                <w:szCs w:val="20"/>
                <w:color w:val="auto"/>
              </w:rPr>
            </w:pPr>
            <w:r>
              <w:rPr>
                <w:rFonts w:ascii="Arial" w:cs="Arial" w:eastAsia="Arial" w:hAnsi="Arial"/>
                <w:sz w:val="13"/>
                <w:szCs w:val="13"/>
                <w:color w:val="auto"/>
                <w:w w:val="99"/>
              </w:rPr>
              <w:t>(84,030)</w:t>
            </w:r>
          </w:p>
        </w:tc>
        <w:tc>
          <w:tcPr>
            <w:tcW w:w="1120" w:type="dxa"/>
            <w:vAlign w:val="bottom"/>
            <w:tcBorders>
              <w:right w:val="single" w:sz="8" w:color="auto"/>
            </w:tcBorders>
          </w:tcPr>
          <w:p>
            <w:pPr>
              <w:jc w:val="center"/>
              <w:ind w:left="97"/>
              <w:spacing w:after="0" w:line="133" w:lineRule="exact"/>
              <w:rPr>
                <w:sz w:val="20"/>
                <w:szCs w:val="20"/>
                <w:color w:val="auto"/>
              </w:rPr>
            </w:pPr>
            <w:r>
              <w:rPr>
                <w:rFonts w:ascii="Arial" w:cs="Arial" w:eastAsia="Arial" w:hAnsi="Arial"/>
                <w:sz w:val="13"/>
                <w:szCs w:val="13"/>
                <w:color w:val="auto"/>
                <w:w w:val="99"/>
              </w:rPr>
              <w:t>(90,257)</w:t>
            </w:r>
          </w:p>
        </w:tc>
        <w:tc>
          <w:tcPr>
            <w:tcW w:w="10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7.4%</w:t>
            </w:r>
          </w:p>
        </w:tc>
        <w:tc>
          <w:tcPr>
            <w:tcW w:w="0" w:type="dxa"/>
            <w:vAlign w:val="bottom"/>
          </w:tcPr>
          <w:p>
            <w:pPr>
              <w:spacing w:after="0"/>
              <w:rPr>
                <w:sz w:val="1"/>
                <w:szCs w:val="1"/>
                <w:color w:val="auto"/>
              </w:rPr>
            </w:pPr>
          </w:p>
        </w:tc>
      </w:tr>
      <w:tr>
        <w:trPr>
          <w:trHeight w:val="137"/>
        </w:trPr>
        <w:tc>
          <w:tcPr>
            <w:tcW w:w="3480" w:type="dxa"/>
            <w:vAlign w:val="bottom"/>
            <w:tcBorders>
              <w:left w:val="single" w:sz="8" w:color="auto"/>
              <w:right w:val="single" w:sz="8" w:color="auto"/>
            </w:tcBorders>
          </w:tcPr>
          <w:p>
            <w:pPr>
              <w:spacing w:after="0" w:line="137" w:lineRule="exact"/>
              <w:rPr>
                <w:sz w:val="20"/>
                <w:szCs w:val="20"/>
                <w:color w:val="auto"/>
              </w:rPr>
            </w:pPr>
            <w:r>
              <w:rPr>
                <w:rFonts w:ascii="Arial" w:cs="Arial" w:eastAsia="Arial" w:hAnsi="Arial"/>
                <w:sz w:val="13"/>
                <w:szCs w:val="13"/>
                <w:b w:val="1"/>
                <w:bCs w:val="1"/>
                <w:color w:val="auto"/>
              </w:rPr>
              <w:t>Total Expenses</w:t>
            </w:r>
          </w:p>
        </w:tc>
        <w:tc>
          <w:tcPr>
            <w:tcW w:w="10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(110,497)</w:t>
            </w:r>
          </w:p>
        </w:tc>
        <w:tc>
          <w:tcPr>
            <w:tcW w:w="9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6"/>
              </w:rPr>
              <w:t>(183,905)</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6"/>
              </w:rPr>
              <w:t>(218,755)</w:t>
            </w:r>
          </w:p>
        </w:tc>
        <w:tc>
          <w:tcPr>
            <w:tcW w:w="94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7"/>
              </w:rPr>
              <w:t>19.0%</w:t>
            </w:r>
          </w:p>
        </w:tc>
        <w:tc>
          <w:tcPr>
            <w:tcW w:w="98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98.0%</w:t>
            </w:r>
          </w:p>
        </w:tc>
        <w:tc>
          <w:tcPr>
            <w:tcW w:w="740" w:type="dxa"/>
            <w:vAlign w:val="bottom"/>
          </w:tcPr>
          <w:p>
            <w:pPr>
              <w:jc w:val="center"/>
              <w:ind w:left="97"/>
              <w:spacing w:after="0" w:line="137" w:lineRule="exact"/>
              <w:rPr>
                <w:sz w:val="20"/>
                <w:szCs w:val="20"/>
                <w:color w:val="auto"/>
              </w:rPr>
            </w:pPr>
            <w:r>
              <w:rPr>
                <w:rFonts w:ascii="Arial" w:cs="Arial" w:eastAsia="Arial" w:hAnsi="Arial"/>
                <w:sz w:val="13"/>
                <w:szCs w:val="13"/>
                <w:b w:val="1"/>
                <w:bCs w:val="1"/>
                <w:color w:val="auto"/>
                <w:w w:val="96"/>
              </w:rPr>
              <w:t>(384,803)</w:t>
            </w:r>
          </w:p>
        </w:tc>
        <w:tc>
          <w:tcPr>
            <w:tcW w:w="1120" w:type="dxa"/>
            <w:vAlign w:val="bottom"/>
            <w:tcBorders>
              <w:right w:val="single" w:sz="8" w:color="auto"/>
            </w:tcBorders>
          </w:tcPr>
          <w:p>
            <w:pPr>
              <w:jc w:val="center"/>
              <w:ind w:left="117"/>
              <w:spacing w:after="0" w:line="137" w:lineRule="exact"/>
              <w:rPr>
                <w:sz w:val="20"/>
                <w:szCs w:val="20"/>
                <w:color w:val="auto"/>
              </w:rPr>
            </w:pPr>
            <w:r>
              <w:rPr>
                <w:rFonts w:ascii="Arial" w:cs="Arial" w:eastAsia="Arial" w:hAnsi="Arial"/>
                <w:sz w:val="13"/>
                <w:szCs w:val="13"/>
                <w:b w:val="1"/>
                <w:bCs w:val="1"/>
                <w:color w:val="auto"/>
                <w:w w:val="96"/>
              </w:rPr>
              <w:t>(699,233)</w:t>
            </w:r>
          </w:p>
        </w:tc>
        <w:tc>
          <w:tcPr>
            <w:tcW w:w="106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7"/>
              </w:rPr>
              <w:t>81.7%</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Income tax</w:t>
            </w: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w w:val="99"/>
              </w:rPr>
              <w:t>(13,274)</w:t>
            </w:r>
          </w:p>
        </w:tc>
        <w:tc>
          <w:tcPr>
            <w:tcW w:w="980" w:type="dxa"/>
            <w:vAlign w:val="bottom"/>
          </w:tcPr>
          <w:p>
            <w:pPr>
              <w:jc w:val="center"/>
              <w:spacing w:after="0" w:line="133" w:lineRule="exact"/>
              <w:rPr>
                <w:sz w:val="20"/>
                <w:szCs w:val="20"/>
                <w:color w:val="auto"/>
              </w:rPr>
            </w:pPr>
            <w:r>
              <w:rPr>
                <w:rFonts w:ascii="Arial" w:cs="Arial" w:eastAsia="Arial" w:hAnsi="Arial"/>
                <w:sz w:val="13"/>
                <w:szCs w:val="13"/>
                <w:color w:val="auto"/>
                <w:w w:val="99"/>
              </w:rPr>
              <w:t>(49,398)</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(54,675)</w:t>
            </w:r>
          </w:p>
        </w:tc>
        <w:tc>
          <w:tcPr>
            <w:tcW w:w="940" w:type="dxa"/>
            <w:vAlign w:val="bottom"/>
          </w:tcPr>
          <w:p>
            <w:pPr>
              <w:jc w:val="center"/>
              <w:spacing w:after="0" w:line="133" w:lineRule="exact"/>
              <w:rPr>
                <w:sz w:val="20"/>
                <w:szCs w:val="20"/>
                <w:color w:val="auto"/>
              </w:rPr>
            </w:pPr>
            <w:r>
              <w:rPr>
                <w:rFonts w:ascii="Arial" w:cs="Arial" w:eastAsia="Arial" w:hAnsi="Arial"/>
                <w:sz w:val="13"/>
                <w:szCs w:val="13"/>
                <w:color w:val="auto"/>
                <w:w w:val="97"/>
              </w:rPr>
              <w:t>10.7%</w:t>
            </w:r>
          </w:p>
        </w:tc>
        <w:tc>
          <w:tcPr>
            <w:tcW w:w="98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5"/>
              </w:rPr>
              <w:t>311.9%</w:t>
            </w:r>
          </w:p>
        </w:tc>
        <w:tc>
          <w:tcPr>
            <w:tcW w:w="740" w:type="dxa"/>
            <w:vAlign w:val="bottom"/>
          </w:tcPr>
          <w:p>
            <w:pPr>
              <w:jc w:val="center"/>
              <w:ind w:left="117"/>
              <w:spacing w:after="0" w:line="133" w:lineRule="exact"/>
              <w:rPr>
                <w:sz w:val="20"/>
                <w:szCs w:val="20"/>
                <w:color w:val="auto"/>
              </w:rPr>
            </w:pPr>
            <w:r>
              <w:rPr>
                <w:rFonts w:ascii="Arial" w:cs="Arial" w:eastAsia="Arial" w:hAnsi="Arial"/>
                <w:sz w:val="13"/>
                <w:szCs w:val="13"/>
                <w:color w:val="auto"/>
                <w:w w:val="99"/>
              </w:rPr>
              <w:t>(44,280)</w:t>
            </w:r>
          </w:p>
        </w:tc>
        <w:tc>
          <w:tcPr>
            <w:tcW w:w="1120" w:type="dxa"/>
            <w:vAlign w:val="bottom"/>
            <w:tcBorders>
              <w:right w:val="single" w:sz="8" w:color="auto"/>
            </w:tcBorders>
          </w:tcPr>
          <w:p>
            <w:pPr>
              <w:jc w:val="center"/>
              <w:ind w:left="117"/>
              <w:spacing w:after="0" w:line="133" w:lineRule="exact"/>
              <w:rPr>
                <w:sz w:val="20"/>
                <w:szCs w:val="20"/>
                <w:color w:val="auto"/>
              </w:rPr>
            </w:pPr>
            <w:r>
              <w:rPr>
                <w:rFonts w:ascii="Arial" w:cs="Arial" w:eastAsia="Arial" w:hAnsi="Arial"/>
                <w:sz w:val="13"/>
                <w:szCs w:val="13"/>
                <w:color w:val="auto"/>
                <w:w w:val="96"/>
              </w:rPr>
              <w:t>(157,693)</w:t>
            </w:r>
          </w:p>
        </w:tc>
        <w:tc>
          <w:tcPr>
            <w:tcW w:w="106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5"/>
              </w:rPr>
              <w:t>256.1%</w:t>
            </w:r>
          </w:p>
        </w:tc>
        <w:tc>
          <w:tcPr>
            <w:tcW w:w="0" w:type="dxa"/>
            <w:vAlign w:val="bottom"/>
          </w:tcPr>
          <w:p>
            <w:pPr>
              <w:spacing w:after="0"/>
              <w:rPr>
                <w:sz w:val="1"/>
                <w:szCs w:val="1"/>
                <w:color w:val="auto"/>
              </w:rPr>
            </w:pPr>
          </w:p>
        </w:tc>
      </w:tr>
      <w:tr>
        <w:trPr>
          <w:trHeight w:val="159"/>
        </w:trPr>
        <w:tc>
          <w:tcPr>
            <w:tcW w:w="3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Net income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169,595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233,534</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231,115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36.3%</w:t>
            </w:r>
          </w:p>
        </w:tc>
        <w:tc>
          <w:tcPr>
            <w:tcW w:w="74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w w:val="93"/>
              </w:rPr>
              <w:t>769,775</w:t>
            </w:r>
          </w:p>
        </w:tc>
        <w:tc>
          <w:tcPr>
            <w:tcW w:w="1120" w:type="dxa"/>
            <w:vAlign w:val="bottom"/>
            <w:tcBorders>
              <w:bottom w:val="single" w:sz="8" w:color="auto"/>
              <w:right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93"/>
              </w:rPr>
              <w:t>871,819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13.3%</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*Financial statements without consolidation adjustments.</w:t>
      </w:r>
    </w:p>
    <w:p>
      <w:pPr>
        <w:spacing w:after="0" w:line="1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(1) Excluding investments in real estate.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Up to February 2025, Grupo Pacifico’s financial statements reflect the agreement with Banmedica (in equal parts) of the businesses of:</w:t>
      </w:r>
    </w:p>
    <w:p>
      <w:pPr>
        <w:spacing w:after="0" w:line="25" w:lineRule="exact"/>
        <w:rPr>
          <w:sz w:val="20"/>
          <w:szCs w:val="20"/>
          <w:color w:val="auto"/>
        </w:rPr>
      </w:pPr>
    </w:p>
    <w:p>
      <w:pPr>
        <w:ind w:left="800" w:hanging="326"/>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private health insurance managed by Grupo Pacifico and included in its Financial Statements in each of the accounting lines;</w:t>
      </w:r>
    </w:p>
    <w:p>
      <w:pPr>
        <w:spacing w:after="0" w:line="5" w:lineRule="exact"/>
        <w:rPr>
          <w:rFonts w:ascii="Arial" w:cs="Arial" w:eastAsia="Arial" w:hAnsi="Arial"/>
          <w:sz w:val="16"/>
          <w:szCs w:val="16"/>
          <w:color w:val="auto"/>
        </w:rPr>
      </w:pPr>
    </w:p>
    <w:p>
      <w:pPr>
        <w:ind w:left="800" w:hanging="326"/>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corporate health insurance (dependent workers); and</w:t>
      </w:r>
    </w:p>
    <w:p>
      <w:pPr>
        <w:spacing w:after="0" w:line="5" w:lineRule="exact"/>
        <w:rPr>
          <w:rFonts w:ascii="Arial" w:cs="Arial" w:eastAsia="Arial" w:hAnsi="Arial"/>
          <w:sz w:val="16"/>
          <w:szCs w:val="16"/>
          <w:color w:val="auto"/>
        </w:rPr>
      </w:pPr>
    </w:p>
    <w:p>
      <w:pPr>
        <w:ind w:left="800" w:hanging="326"/>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medical services.</w:t>
      </w:r>
    </w:p>
    <w:p>
      <w:pPr>
        <w:spacing w:after="0" w:line="17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21" w:lineRule="exact"/>
        <w:rPr>
          <w:sz w:val="20"/>
          <w:szCs w:val="20"/>
          <w:color w:val="auto"/>
        </w:rPr>
      </w:pPr>
    </w:p>
    <w:p>
      <w:pPr>
        <w:ind w:right="840"/>
        <w:spacing w:after="0" w:line="291" w:lineRule="auto"/>
        <w:rPr>
          <w:sz w:val="20"/>
          <w:szCs w:val="20"/>
          <w:color w:val="auto"/>
        </w:rPr>
      </w:pPr>
      <w:r>
        <w:rPr>
          <w:rFonts w:ascii="Arial" w:cs="Arial" w:eastAsia="Arial" w:hAnsi="Arial"/>
          <w:sz w:val="16"/>
          <w:szCs w:val="16"/>
          <w:color w:val="auto"/>
        </w:rPr>
        <w:t>As explained before, corporate health insurance and medical services businesses are consolidated by Banmedica. The following table reflects the consolidated results from which Grupo Pacifico receives the 50%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791210</wp:posOffset>
            </wp:positionV>
            <wp:extent cx="71577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88265</wp:posOffset>
            </wp:positionV>
            <wp:extent cx="6772275" cy="6000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72275" cy="600075"/>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72" w:name="page73"/>
    <w:bookmarkEnd w:id="72"/>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12.7.9. Investment Management &amp; Advisory </w:t>
      </w:r>
      <w:r>
        <w:rPr>
          <w:rFonts w:ascii="Arial" w:cs="Arial" w:eastAsia="Arial" w:hAnsi="Arial"/>
          <w:sz w:val="29"/>
          <w:szCs w:val="29"/>
          <w:b w:val="1"/>
          <w:bCs w:val="1"/>
          <w:color w:val="auto"/>
          <w:vertAlign w:val="superscript"/>
        </w:rPr>
        <w:t>*</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3860" w:type="dxa"/>
            <w:vAlign w:val="bottom"/>
            <w:tcBorders>
              <w:top w:val="single" w:sz="8" w:color="auto"/>
              <w:left w:val="single" w:sz="8" w:color="auto"/>
              <w:right w:val="single" w:sz="8" w:color="auto"/>
            </w:tcBorders>
            <w:shd w:val="clear" w:color="auto" w:fill="2AD2C9"/>
          </w:tcPr>
          <w:p>
            <w:pPr>
              <w:spacing w:after="0" w:line="115" w:lineRule="exact"/>
              <w:rPr>
                <w:sz w:val="20"/>
                <w:szCs w:val="20"/>
                <w:color w:val="auto"/>
              </w:rPr>
            </w:pPr>
            <w:r>
              <w:rPr>
                <w:rFonts w:ascii="Arial" w:cs="Arial" w:eastAsia="Arial" w:hAnsi="Arial"/>
                <w:sz w:val="13"/>
                <w:szCs w:val="13"/>
                <w:b w:val="1"/>
                <w:bCs w:val="1"/>
                <w:color w:val="FFFFFF"/>
              </w:rPr>
              <w:t>Investment Management &amp; Advisory *</w:t>
            </w:r>
          </w:p>
        </w:tc>
        <w:tc>
          <w:tcPr>
            <w:tcW w:w="1000" w:type="dxa"/>
            <w:vAlign w:val="bottom"/>
            <w:tcBorders>
              <w:top w:val="single" w:sz="8" w:color="auto"/>
            </w:tcBorders>
            <w:shd w:val="clear" w:color="auto" w:fill="2AD2C9"/>
          </w:tcPr>
          <w:p>
            <w:pPr>
              <w:spacing w:after="0"/>
              <w:rPr>
                <w:sz w:val="9"/>
                <w:szCs w:val="9"/>
                <w:color w:val="auto"/>
              </w:rPr>
            </w:pPr>
          </w:p>
        </w:tc>
        <w:tc>
          <w:tcPr>
            <w:tcW w:w="940" w:type="dxa"/>
            <w:vAlign w:val="bottom"/>
            <w:tcBorders>
              <w:top w:val="single" w:sz="8" w:color="auto"/>
            </w:tcBorders>
            <w:shd w:val="clear" w:color="auto" w:fill="2AD2C9"/>
          </w:tcPr>
          <w:p>
            <w:pPr>
              <w:ind w:left="200"/>
              <w:spacing w:after="0" w:line="115" w:lineRule="exact"/>
              <w:rPr>
                <w:sz w:val="20"/>
                <w:szCs w:val="20"/>
                <w:color w:val="auto"/>
              </w:rPr>
            </w:pPr>
            <w:r>
              <w:rPr>
                <w:rFonts w:ascii="Arial" w:cs="Arial" w:eastAsia="Arial" w:hAnsi="Arial"/>
                <w:sz w:val="13"/>
                <w:szCs w:val="13"/>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9"/>
                <w:szCs w:val="9"/>
                <w:color w:val="auto"/>
              </w:rPr>
            </w:pPr>
          </w:p>
        </w:tc>
        <w:tc>
          <w:tcPr>
            <w:tcW w:w="1800" w:type="dxa"/>
            <w:vAlign w:val="bottom"/>
            <w:tcBorders>
              <w:top w:val="single" w:sz="8" w:color="auto"/>
              <w:right w:val="single" w:sz="8" w:color="auto"/>
            </w:tcBorders>
            <w:gridSpan w:val="2"/>
            <w:shd w:val="clear" w:color="auto" w:fill="2AD2C9"/>
          </w:tcPr>
          <w:p>
            <w:pPr>
              <w:ind w:left="600"/>
              <w:spacing w:after="0" w:line="115" w:lineRule="exact"/>
              <w:rPr>
                <w:sz w:val="20"/>
                <w:szCs w:val="20"/>
                <w:color w:val="auto"/>
              </w:rPr>
            </w:pPr>
            <w:r>
              <w:rPr>
                <w:rFonts w:ascii="Arial" w:cs="Arial" w:eastAsia="Arial" w:hAnsi="Arial"/>
                <w:sz w:val="13"/>
                <w:szCs w:val="13"/>
                <w:b w:val="1"/>
                <w:bCs w:val="1"/>
                <w:color w:val="FFFFFF"/>
              </w:rPr>
              <w:t>% change</w:t>
            </w:r>
          </w:p>
        </w:tc>
        <w:tc>
          <w:tcPr>
            <w:tcW w:w="1160" w:type="dxa"/>
            <w:vAlign w:val="bottom"/>
            <w:tcBorders>
              <w:top w:val="single" w:sz="8" w:color="auto"/>
            </w:tcBorders>
            <w:shd w:val="clear" w:color="auto" w:fill="2AD2C9"/>
          </w:tcPr>
          <w:p>
            <w:pPr>
              <w:ind w:left="800"/>
              <w:spacing w:after="0" w:line="115" w:lineRule="exact"/>
              <w:rPr>
                <w:sz w:val="20"/>
                <w:szCs w:val="20"/>
                <w:color w:val="auto"/>
              </w:rPr>
            </w:pPr>
            <w:r>
              <w:rPr>
                <w:rFonts w:ascii="Arial" w:cs="Arial" w:eastAsia="Arial" w:hAnsi="Arial"/>
                <w:sz w:val="13"/>
                <w:szCs w:val="13"/>
                <w:b w:val="1"/>
                <w:bCs w:val="1"/>
                <w:color w:val="FFFFFF"/>
              </w:rPr>
              <w:t>Up to</w:t>
            </w:r>
          </w:p>
        </w:tc>
        <w:tc>
          <w:tcPr>
            <w:tcW w:w="800" w:type="dxa"/>
            <w:vAlign w:val="bottom"/>
            <w:tcBorders>
              <w:top w:val="single" w:sz="8" w:color="auto"/>
              <w:right w:val="single" w:sz="8" w:color="auto"/>
            </w:tcBorders>
            <w:shd w:val="clear" w:color="auto" w:fill="2AD2C9"/>
          </w:tcPr>
          <w:p>
            <w:pPr>
              <w:spacing w:after="0"/>
              <w:rPr>
                <w:sz w:val="9"/>
                <w:szCs w:val="9"/>
                <w:color w:val="auto"/>
              </w:rPr>
            </w:pPr>
          </w:p>
        </w:tc>
        <w:tc>
          <w:tcPr>
            <w:tcW w:w="780" w:type="dxa"/>
            <w:vAlign w:val="bottom"/>
            <w:tcBorders>
              <w:top w:val="single" w:sz="8" w:color="auto"/>
              <w:right w:val="single" w:sz="8" w:color="auto"/>
            </w:tcBorders>
            <w:shd w:val="clear" w:color="auto" w:fill="2AD2C9"/>
          </w:tcPr>
          <w:p>
            <w:pPr>
              <w:ind w:left="60"/>
              <w:spacing w:after="0" w:line="115" w:lineRule="exact"/>
              <w:rPr>
                <w:sz w:val="20"/>
                <w:szCs w:val="20"/>
                <w:color w:val="auto"/>
              </w:rPr>
            </w:pPr>
            <w:r>
              <w:rPr>
                <w:rFonts w:ascii="Arial" w:cs="Arial" w:eastAsia="Arial" w:hAnsi="Arial"/>
                <w:sz w:val="13"/>
                <w:szCs w:val="13"/>
                <w:b w:val="1"/>
                <w:bCs w:val="1"/>
                <w:color w:val="FFFFFF"/>
              </w:rPr>
              <w:t>% Change</w:t>
            </w:r>
          </w:p>
        </w:tc>
      </w:tr>
      <w:tr>
        <w:trPr>
          <w:trHeight w:val="159"/>
        </w:trPr>
        <w:tc>
          <w:tcPr>
            <w:tcW w:w="3860" w:type="dxa"/>
            <w:vAlign w:val="bottom"/>
            <w:tcBorders>
              <w:left w:val="single" w:sz="8" w:color="auto"/>
              <w:bottom w:val="single" w:sz="8" w:color="auto"/>
              <w:right w:val="single" w:sz="8" w:color="auto"/>
            </w:tcBorders>
            <w:shd w:val="clear" w:color="auto" w:fill="2AD2C9"/>
          </w:tcPr>
          <w:p>
            <w:pPr>
              <w:spacing w:after="0"/>
              <w:rPr>
                <w:sz w:val="20"/>
                <w:szCs w:val="20"/>
                <w:color w:val="auto"/>
              </w:rPr>
            </w:pPr>
            <w:r>
              <w:rPr>
                <w:rFonts w:ascii="Arial" w:cs="Arial" w:eastAsia="Arial" w:hAnsi="Arial"/>
                <w:sz w:val="13"/>
                <w:szCs w:val="13"/>
                <w:b w:val="1"/>
                <w:bCs w:val="1"/>
                <w:color w:val="FFFFFF"/>
              </w:rPr>
              <w:t>S/ 000</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4Q24</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3Q25</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4Q25</w:t>
            </w: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3"/>
                <w:szCs w:val="13"/>
                <w:b w:val="1"/>
                <w:bCs w:val="1"/>
                <w:color w:val="FFFFFF"/>
              </w:rPr>
              <w:t>YoY</w:t>
            </w:r>
          </w:p>
        </w:tc>
        <w:tc>
          <w:tcPr>
            <w:tcW w:w="1160" w:type="dxa"/>
            <w:vAlign w:val="bottom"/>
            <w:tcBorders>
              <w:bottom w:val="single" w:sz="8" w:color="auto"/>
            </w:tcBorders>
            <w:shd w:val="clear" w:color="auto" w:fill="2AD2C9"/>
          </w:tcPr>
          <w:p>
            <w:pPr>
              <w:jc w:val="center"/>
              <w:ind w:right="98"/>
              <w:spacing w:after="0"/>
              <w:rPr>
                <w:sz w:val="20"/>
                <w:szCs w:val="20"/>
                <w:color w:val="auto"/>
              </w:rPr>
            </w:pPr>
            <w:r>
              <w:rPr>
                <w:rFonts w:ascii="Arial" w:cs="Arial" w:eastAsia="Arial" w:hAnsi="Arial"/>
                <w:sz w:val="13"/>
                <w:szCs w:val="13"/>
                <w:b w:val="1"/>
                <w:bCs w:val="1"/>
                <w:color w:val="FFFFFF"/>
                <w:w w:val="96"/>
              </w:rPr>
              <w:t>2024</w:t>
            </w:r>
          </w:p>
        </w:tc>
        <w:tc>
          <w:tcPr>
            <w:tcW w:w="800" w:type="dxa"/>
            <w:vAlign w:val="bottom"/>
            <w:tcBorders>
              <w:bottom w:val="single" w:sz="8" w:color="auto"/>
              <w:right w:val="single" w:sz="8" w:color="auto"/>
            </w:tcBorders>
            <w:shd w:val="clear" w:color="auto" w:fill="2AD2C9"/>
          </w:tcPr>
          <w:p>
            <w:pPr>
              <w:jc w:val="center"/>
              <w:ind w:right="98"/>
              <w:spacing w:after="0"/>
              <w:rPr>
                <w:sz w:val="20"/>
                <w:szCs w:val="20"/>
                <w:color w:val="auto"/>
              </w:rPr>
            </w:pPr>
            <w:r>
              <w:rPr>
                <w:rFonts w:ascii="Arial" w:cs="Arial" w:eastAsia="Arial" w:hAnsi="Arial"/>
                <w:sz w:val="13"/>
                <w:szCs w:val="13"/>
                <w:b w:val="1"/>
                <w:bCs w:val="1"/>
                <w:color w:val="FFFFFF"/>
                <w:w w:val="96"/>
              </w:rPr>
              <w:t>2025</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6"/>
              </w:rPr>
              <w:t>2025 / 2024</w:t>
            </w:r>
          </w:p>
        </w:tc>
      </w:tr>
      <w:tr>
        <w:trPr>
          <w:trHeight w:val="107"/>
        </w:trPr>
        <w:tc>
          <w:tcPr>
            <w:tcW w:w="3860" w:type="dxa"/>
            <w:vAlign w:val="bottom"/>
            <w:tcBorders>
              <w:left w:val="single" w:sz="8" w:color="auto"/>
              <w:right w:val="single" w:sz="8" w:color="auto"/>
            </w:tcBorders>
          </w:tcPr>
          <w:p>
            <w:pPr>
              <w:spacing w:after="0" w:line="107" w:lineRule="exact"/>
              <w:rPr>
                <w:sz w:val="20"/>
                <w:szCs w:val="20"/>
                <w:color w:val="auto"/>
              </w:rPr>
            </w:pPr>
            <w:r>
              <w:rPr>
                <w:rFonts w:ascii="Arial" w:cs="Arial" w:eastAsia="Arial" w:hAnsi="Arial"/>
                <w:sz w:val="12"/>
                <w:szCs w:val="12"/>
                <w:color w:val="auto"/>
              </w:rPr>
              <w:t>Net interest income</w:t>
            </w:r>
          </w:p>
        </w:tc>
        <w:tc>
          <w:tcPr>
            <w:tcW w:w="1000" w:type="dxa"/>
            <w:vAlign w:val="bottom"/>
          </w:tcPr>
          <w:p>
            <w:pPr>
              <w:jc w:val="center"/>
              <w:spacing w:after="0" w:line="107" w:lineRule="exact"/>
              <w:rPr>
                <w:sz w:val="20"/>
                <w:szCs w:val="20"/>
                <w:color w:val="auto"/>
              </w:rPr>
            </w:pPr>
            <w:r>
              <w:rPr>
                <w:rFonts w:ascii="Arial" w:cs="Arial" w:eastAsia="Arial" w:hAnsi="Arial"/>
                <w:sz w:val="12"/>
                <w:szCs w:val="12"/>
                <w:color w:val="auto"/>
              </w:rPr>
              <w:t>(15,640)</w:t>
            </w:r>
          </w:p>
        </w:tc>
        <w:tc>
          <w:tcPr>
            <w:tcW w:w="940" w:type="dxa"/>
            <w:vAlign w:val="bottom"/>
          </w:tcPr>
          <w:p>
            <w:pPr>
              <w:jc w:val="center"/>
              <w:spacing w:after="0" w:line="107" w:lineRule="exact"/>
              <w:rPr>
                <w:sz w:val="20"/>
                <w:szCs w:val="20"/>
                <w:color w:val="auto"/>
              </w:rPr>
            </w:pPr>
            <w:r>
              <w:rPr>
                <w:rFonts w:ascii="Arial" w:cs="Arial" w:eastAsia="Arial" w:hAnsi="Arial"/>
                <w:sz w:val="12"/>
                <w:szCs w:val="12"/>
                <w:color w:val="auto"/>
              </w:rPr>
              <w:t>12,434</w:t>
            </w:r>
          </w:p>
        </w:tc>
        <w:tc>
          <w:tcPr>
            <w:tcW w:w="94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16,878</w:t>
            </w:r>
          </w:p>
        </w:tc>
        <w:tc>
          <w:tcPr>
            <w:tcW w:w="880" w:type="dxa"/>
            <w:vAlign w:val="bottom"/>
          </w:tcPr>
          <w:p>
            <w:pPr>
              <w:jc w:val="center"/>
              <w:spacing w:after="0" w:line="107" w:lineRule="exact"/>
              <w:rPr>
                <w:sz w:val="20"/>
                <w:szCs w:val="20"/>
                <w:color w:val="auto"/>
              </w:rPr>
            </w:pPr>
            <w:r>
              <w:rPr>
                <w:rFonts w:ascii="Arial" w:cs="Arial" w:eastAsia="Arial" w:hAnsi="Arial"/>
                <w:sz w:val="12"/>
                <w:szCs w:val="12"/>
                <w:color w:val="auto"/>
              </w:rPr>
              <w:t>35.7%</w:t>
            </w:r>
          </w:p>
        </w:tc>
        <w:tc>
          <w:tcPr>
            <w:tcW w:w="9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-207.9%</w:t>
            </w:r>
          </w:p>
        </w:tc>
        <w:tc>
          <w:tcPr>
            <w:tcW w:w="1160" w:type="dxa"/>
            <w:vAlign w:val="bottom"/>
          </w:tcPr>
          <w:p>
            <w:pPr>
              <w:jc w:val="center"/>
              <w:ind w:right="98"/>
              <w:spacing w:after="0" w:line="107" w:lineRule="exact"/>
              <w:rPr>
                <w:sz w:val="20"/>
                <w:szCs w:val="20"/>
                <w:color w:val="auto"/>
              </w:rPr>
            </w:pPr>
            <w:r>
              <w:rPr>
                <w:rFonts w:ascii="Arial" w:cs="Arial" w:eastAsia="Arial" w:hAnsi="Arial"/>
                <w:sz w:val="12"/>
                <w:szCs w:val="12"/>
                <w:color w:val="auto"/>
              </w:rPr>
              <w:t>6,032</w:t>
            </w:r>
          </w:p>
        </w:tc>
        <w:tc>
          <w:tcPr>
            <w:tcW w:w="800" w:type="dxa"/>
            <w:vAlign w:val="bottom"/>
            <w:tcBorders>
              <w:right w:val="single" w:sz="8" w:color="auto"/>
            </w:tcBorders>
          </w:tcPr>
          <w:p>
            <w:pPr>
              <w:jc w:val="center"/>
              <w:ind w:right="118"/>
              <w:spacing w:after="0" w:line="107" w:lineRule="exact"/>
              <w:rPr>
                <w:sz w:val="20"/>
                <w:szCs w:val="20"/>
                <w:color w:val="auto"/>
              </w:rPr>
            </w:pPr>
            <w:r>
              <w:rPr>
                <w:rFonts w:ascii="Arial" w:cs="Arial" w:eastAsia="Arial" w:hAnsi="Arial"/>
                <w:sz w:val="12"/>
                <w:szCs w:val="12"/>
                <w:color w:val="auto"/>
              </w:rPr>
              <w:t>53,731</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790.8%</w:t>
            </w:r>
          </w:p>
        </w:tc>
      </w:tr>
      <w:tr>
        <w:trPr>
          <w:trHeight w:val="135"/>
        </w:trPr>
        <w:tc>
          <w:tcPr>
            <w:tcW w:w="3860" w:type="dxa"/>
            <w:vAlign w:val="bottom"/>
            <w:tcBorders>
              <w:left w:val="single" w:sz="8" w:color="auto"/>
              <w:right w:val="single" w:sz="8" w:color="auto"/>
            </w:tcBorders>
          </w:tcPr>
          <w:p>
            <w:pPr>
              <w:spacing w:after="0" w:line="135" w:lineRule="exact"/>
              <w:rPr>
                <w:sz w:val="20"/>
                <w:szCs w:val="20"/>
                <w:color w:val="auto"/>
              </w:rPr>
            </w:pPr>
            <w:r>
              <w:rPr>
                <w:rFonts w:ascii="Arial" w:cs="Arial" w:eastAsia="Arial" w:hAnsi="Arial"/>
                <w:sz w:val="13"/>
                <w:szCs w:val="13"/>
                <w:color w:val="auto"/>
              </w:rPr>
              <w:t>Other income</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7"/>
              </w:rPr>
              <w:t>214,144</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3"/>
              </w:rPr>
              <w:t>260,937</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252,100</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4"/>
              </w:rPr>
              <w:t>-3.4%</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17.7%</w:t>
            </w:r>
          </w:p>
        </w:tc>
        <w:tc>
          <w:tcPr>
            <w:tcW w:w="1160" w:type="dxa"/>
            <w:vAlign w:val="bottom"/>
          </w:tcPr>
          <w:p>
            <w:pPr>
              <w:jc w:val="center"/>
              <w:ind w:right="98"/>
              <w:spacing w:after="0" w:line="135" w:lineRule="exact"/>
              <w:rPr>
                <w:sz w:val="20"/>
                <w:szCs w:val="20"/>
                <w:color w:val="auto"/>
              </w:rPr>
            </w:pPr>
            <w:r>
              <w:rPr>
                <w:rFonts w:ascii="Arial" w:cs="Arial" w:eastAsia="Arial" w:hAnsi="Arial"/>
                <w:sz w:val="13"/>
                <w:szCs w:val="13"/>
                <w:color w:val="auto"/>
                <w:w w:val="93"/>
              </w:rPr>
              <w:t>944,976</w:t>
            </w:r>
          </w:p>
        </w:tc>
        <w:tc>
          <w:tcPr>
            <w:tcW w:w="800" w:type="dxa"/>
            <w:vAlign w:val="bottom"/>
            <w:tcBorders>
              <w:right w:val="single" w:sz="8" w:color="auto"/>
            </w:tcBorders>
          </w:tcPr>
          <w:p>
            <w:pPr>
              <w:jc w:val="center"/>
              <w:ind w:right="98"/>
              <w:spacing w:after="0" w:line="135" w:lineRule="exact"/>
              <w:rPr>
                <w:sz w:val="20"/>
                <w:szCs w:val="20"/>
                <w:color w:val="auto"/>
              </w:rPr>
            </w:pPr>
            <w:r>
              <w:rPr>
                <w:rFonts w:ascii="Arial" w:cs="Arial" w:eastAsia="Arial" w:hAnsi="Arial"/>
                <w:sz w:val="13"/>
                <w:szCs w:val="13"/>
                <w:color w:val="auto"/>
                <w:w w:val="96"/>
              </w:rPr>
              <w:t>1,010,073</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6.9%</w:t>
            </w:r>
          </w:p>
        </w:tc>
      </w:tr>
      <w:tr>
        <w:trPr>
          <w:trHeight w:val="135"/>
        </w:trPr>
        <w:tc>
          <w:tcPr>
            <w:tcW w:w="38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Fee income</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7"/>
              </w:rPr>
              <w:t>145,476</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3"/>
              </w:rPr>
              <w:t>161,004</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168,396</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4"/>
              </w:rPr>
              <w:t>4.6%</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15.8%</w:t>
            </w:r>
          </w:p>
        </w:tc>
        <w:tc>
          <w:tcPr>
            <w:tcW w:w="1160" w:type="dxa"/>
            <w:vAlign w:val="bottom"/>
          </w:tcPr>
          <w:p>
            <w:pPr>
              <w:jc w:val="center"/>
              <w:ind w:right="98"/>
              <w:spacing w:after="0" w:line="135" w:lineRule="exact"/>
              <w:rPr>
                <w:sz w:val="20"/>
                <w:szCs w:val="20"/>
                <w:color w:val="auto"/>
              </w:rPr>
            </w:pPr>
            <w:r>
              <w:rPr>
                <w:rFonts w:ascii="Arial" w:cs="Arial" w:eastAsia="Arial" w:hAnsi="Arial"/>
                <w:sz w:val="13"/>
                <w:szCs w:val="13"/>
                <w:color w:val="auto"/>
                <w:w w:val="93"/>
              </w:rPr>
              <w:t>617,226</w:t>
            </w:r>
          </w:p>
        </w:tc>
        <w:tc>
          <w:tcPr>
            <w:tcW w:w="800" w:type="dxa"/>
            <w:vAlign w:val="bottom"/>
            <w:tcBorders>
              <w:right w:val="single" w:sz="8" w:color="auto"/>
            </w:tcBorders>
          </w:tcPr>
          <w:p>
            <w:pPr>
              <w:jc w:val="center"/>
              <w:ind w:right="118"/>
              <w:spacing w:after="0" w:line="135" w:lineRule="exact"/>
              <w:rPr>
                <w:sz w:val="20"/>
                <w:szCs w:val="20"/>
                <w:color w:val="auto"/>
              </w:rPr>
            </w:pPr>
            <w:r>
              <w:rPr>
                <w:rFonts w:ascii="Arial" w:cs="Arial" w:eastAsia="Arial" w:hAnsi="Arial"/>
                <w:sz w:val="13"/>
                <w:szCs w:val="13"/>
                <w:color w:val="auto"/>
                <w:w w:val="97"/>
              </w:rPr>
              <w:t>626,810</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1.6%</w:t>
            </w:r>
          </w:p>
        </w:tc>
      </w:tr>
      <w:tr>
        <w:trPr>
          <w:trHeight w:val="135"/>
        </w:trPr>
        <w:tc>
          <w:tcPr>
            <w:tcW w:w="38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5"/>
              </w:rPr>
              <w:t>15,356</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17,871</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31,462</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7"/>
              </w:rPr>
              <w:t>76.1%</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104.9%</w:t>
            </w:r>
          </w:p>
        </w:tc>
        <w:tc>
          <w:tcPr>
            <w:tcW w:w="1160" w:type="dxa"/>
            <w:vAlign w:val="bottom"/>
          </w:tcPr>
          <w:p>
            <w:pPr>
              <w:jc w:val="center"/>
              <w:ind w:right="98"/>
              <w:spacing w:after="0" w:line="135" w:lineRule="exact"/>
              <w:rPr>
                <w:sz w:val="20"/>
                <w:szCs w:val="20"/>
                <w:color w:val="auto"/>
              </w:rPr>
            </w:pPr>
            <w:r>
              <w:rPr>
                <w:rFonts w:ascii="Arial" w:cs="Arial" w:eastAsia="Arial" w:hAnsi="Arial"/>
                <w:sz w:val="13"/>
                <w:szCs w:val="13"/>
                <w:color w:val="auto"/>
              </w:rPr>
              <w:t>66,525</w:t>
            </w:r>
          </w:p>
        </w:tc>
        <w:tc>
          <w:tcPr>
            <w:tcW w:w="800" w:type="dxa"/>
            <w:vAlign w:val="bottom"/>
            <w:tcBorders>
              <w:right w:val="single" w:sz="8" w:color="auto"/>
            </w:tcBorders>
          </w:tcPr>
          <w:p>
            <w:pPr>
              <w:jc w:val="center"/>
              <w:ind w:right="118"/>
              <w:spacing w:after="0" w:line="135" w:lineRule="exact"/>
              <w:rPr>
                <w:sz w:val="20"/>
                <w:szCs w:val="20"/>
                <w:color w:val="auto"/>
              </w:rPr>
            </w:pPr>
            <w:r>
              <w:rPr>
                <w:rFonts w:ascii="Arial" w:cs="Arial" w:eastAsia="Arial" w:hAnsi="Arial"/>
                <w:sz w:val="13"/>
                <w:szCs w:val="13"/>
                <w:color w:val="auto"/>
                <w:w w:val="95"/>
              </w:rPr>
              <w:t>85,899</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29.1%</w:t>
            </w:r>
          </w:p>
        </w:tc>
      </w:tr>
      <w:tr>
        <w:trPr>
          <w:trHeight w:val="135"/>
        </w:trPr>
        <w:tc>
          <w:tcPr>
            <w:tcW w:w="38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5"/>
              </w:rPr>
              <w:t>15,289</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3"/>
              </w:rPr>
              <w:t>107,080</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44,433</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7"/>
              </w:rPr>
              <w:t>-58.5%</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190.6%</w:t>
            </w:r>
          </w:p>
        </w:tc>
        <w:tc>
          <w:tcPr>
            <w:tcW w:w="1160" w:type="dxa"/>
            <w:vAlign w:val="bottom"/>
          </w:tcPr>
          <w:p>
            <w:pPr>
              <w:jc w:val="center"/>
              <w:ind w:right="98"/>
              <w:spacing w:after="0" w:line="135" w:lineRule="exact"/>
              <w:rPr>
                <w:sz w:val="20"/>
                <w:szCs w:val="20"/>
                <w:color w:val="auto"/>
              </w:rPr>
            </w:pPr>
            <w:r>
              <w:rPr>
                <w:rFonts w:ascii="Arial" w:cs="Arial" w:eastAsia="Arial" w:hAnsi="Arial"/>
                <w:sz w:val="13"/>
                <w:szCs w:val="13"/>
                <w:color w:val="auto"/>
                <w:w w:val="93"/>
              </w:rPr>
              <w:t>187,604</w:t>
            </w:r>
          </w:p>
        </w:tc>
        <w:tc>
          <w:tcPr>
            <w:tcW w:w="800" w:type="dxa"/>
            <w:vAlign w:val="bottom"/>
            <w:tcBorders>
              <w:right w:val="single" w:sz="8" w:color="auto"/>
            </w:tcBorders>
          </w:tcPr>
          <w:p>
            <w:pPr>
              <w:jc w:val="center"/>
              <w:ind w:right="118"/>
              <w:spacing w:after="0" w:line="135" w:lineRule="exact"/>
              <w:rPr>
                <w:sz w:val="20"/>
                <w:szCs w:val="20"/>
                <w:color w:val="auto"/>
              </w:rPr>
            </w:pPr>
            <w:r>
              <w:rPr>
                <w:rFonts w:ascii="Arial" w:cs="Arial" w:eastAsia="Arial" w:hAnsi="Arial"/>
                <w:sz w:val="13"/>
                <w:szCs w:val="13"/>
                <w:color w:val="auto"/>
                <w:w w:val="97"/>
              </w:rPr>
              <w:t>257,003</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37.0%</w:t>
            </w:r>
          </w:p>
        </w:tc>
      </w:tr>
      <w:tr>
        <w:trPr>
          <w:trHeight w:val="135"/>
        </w:trPr>
        <w:tc>
          <w:tcPr>
            <w:tcW w:w="38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Derivative Result</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5"/>
              </w:rPr>
              <w:t>53,081</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9"/>
              </w:rPr>
              <w:t>(32,934)</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7"/>
              </w:rPr>
              <w:t>(1,392)</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7"/>
              </w:rPr>
              <w:t>-95.8%</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-102.6%</w:t>
            </w:r>
          </w:p>
        </w:tc>
        <w:tc>
          <w:tcPr>
            <w:tcW w:w="1160" w:type="dxa"/>
            <w:vAlign w:val="bottom"/>
          </w:tcPr>
          <w:p>
            <w:pPr>
              <w:jc w:val="center"/>
              <w:ind w:right="98"/>
              <w:spacing w:after="0" w:line="135" w:lineRule="exact"/>
              <w:rPr>
                <w:sz w:val="20"/>
                <w:szCs w:val="20"/>
                <w:color w:val="auto"/>
              </w:rPr>
            </w:pPr>
            <w:r>
              <w:rPr>
                <w:rFonts w:ascii="Arial" w:cs="Arial" w:eastAsia="Arial" w:hAnsi="Arial"/>
                <w:sz w:val="13"/>
                <w:szCs w:val="13"/>
                <w:color w:val="auto"/>
              </w:rPr>
              <w:t>78,521</w:t>
            </w:r>
          </w:p>
        </w:tc>
        <w:tc>
          <w:tcPr>
            <w:tcW w:w="800" w:type="dxa"/>
            <w:vAlign w:val="bottom"/>
            <w:tcBorders>
              <w:right w:val="single" w:sz="8" w:color="auto"/>
            </w:tcBorders>
          </w:tcPr>
          <w:p>
            <w:pPr>
              <w:jc w:val="center"/>
              <w:ind w:right="78"/>
              <w:spacing w:after="0" w:line="135" w:lineRule="exact"/>
              <w:rPr>
                <w:sz w:val="20"/>
                <w:szCs w:val="20"/>
                <w:color w:val="auto"/>
              </w:rPr>
            </w:pPr>
            <w:r>
              <w:rPr>
                <w:rFonts w:ascii="Arial" w:cs="Arial" w:eastAsia="Arial" w:hAnsi="Arial"/>
                <w:sz w:val="13"/>
                <w:szCs w:val="13"/>
                <w:color w:val="auto"/>
                <w:w w:val="94"/>
              </w:rPr>
              <w:t>(39,251)</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-150.0%</w:t>
            </w:r>
          </w:p>
        </w:tc>
      </w:tr>
      <w:tr>
        <w:trPr>
          <w:trHeight w:val="135"/>
        </w:trPr>
        <w:tc>
          <w:tcPr>
            <w:tcW w:w="3860" w:type="dxa"/>
            <w:vAlign w:val="bottom"/>
            <w:tcBorders>
              <w:left w:val="single" w:sz="8" w:color="auto"/>
              <w:right w:val="single" w:sz="8" w:color="auto"/>
            </w:tcBorders>
          </w:tcPr>
          <w:p>
            <w:pPr>
              <w:ind w:left="160"/>
              <w:spacing w:after="0" w:line="135" w:lineRule="exact"/>
              <w:rPr>
                <w:sz w:val="20"/>
                <w:szCs w:val="20"/>
                <w:color w:val="auto"/>
              </w:rPr>
            </w:pPr>
            <w:r>
              <w:rPr>
                <w:rFonts w:ascii="Arial" w:cs="Arial" w:eastAsia="Arial" w:hAnsi="Arial"/>
                <w:sz w:val="13"/>
                <w:szCs w:val="13"/>
                <w:color w:val="auto"/>
              </w:rPr>
              <w:t>Result from exposure to the exchange rate</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4"/>
              </w:rPr>
              <w:t>(21,323)</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8"/>
              </w:rPr>
              <w:t>4,028</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8,391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108.3%</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-139.4%</w:t>
            </w:r>
          </w:p>
        </w:tc>
        <w:tc>
          <w:tcPr>
            <w:tcW w:w="1160" w:type="dxa"/>
            <w:vAlign w:val="bottom"/>
          </w:tcPr>
          <w:p>
            <w:pPr>
              <w:jc w:val="center"/>
              <w:ind w:right="58"/>
              <w:spacing w:after="0" w:line="135" w:lineRule="exact"/>
              <w:rPr>
                <w:sz w:val="20"/>
                <w:szCs w:val="20"/>
                <w:color w:val="auto"/>
              </w:rPr>
            </w:pPr>
            <w:r>
              <w:rPr>
                <w:rFonts w:ascii="Arial" w:cs="Arial" w:eastAsia="Arial" w:hAnsi="Arial"/>
                <w:sz w:val="13"/>
                <w:szCs w:val="13"/>
                <w:color w:val="auto"/>
                <w:w w:val="99"/>
              </w:rPr>
              <w:t>(32,613)</w:t>
            </w:r>
          </w:p>
        </w:tc>
        <w:tc>
          <w:tcPr>
            <w:tcW w:w="800" w:type="dxa"/>
            <w:vAlign w:val="bottom"/>
            <w:tcBorders>
              <w:right w:val="single" w:sz="8" w:color="auto"/>
            </w:tcBorders>
          </w:tcPr>
          <w:p>
            <w:pPr>
              <w:jc w:val="center"/>
              <w:ind w:right="118"/>
              <w:spacing w:after="0" w:line="135" w:lineRule="exact"/>
              <w:rPr>
                <w:sz w:val="20"/>
                <w:szCs w:val="20"/>
                <w:color w:val="auto"/>
              </w:rPr>
            </w:pPr>
            <w:r>
              <w:rPr>
                <w:rFonts w:ascii="Arial" w:cs="Arial" w:eastAsia="Arial" w:hAnsi="Arial"/>
                <w:sz w:val="13"/>
                <w:szCs w:val="13"/>
                <w:color w:val="auto"/>
                <w:w w:val="95"/>
              </w:rPr>
              <w:t>29,888</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-191.6%</w:t>
            </w:r>
          </w:p>
        </w:tc>
      </w:tr>
      <w:tr>
        <w:trPr>
          <w:trHeight w:val="131"/>
        </w:trPr>
        <w:tc>
          <w:tcPr>
            <w:tcW w:w="38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3"/>
                <w:szCs w:val="13"/>
                <w:color w:val="auto"/>
              </w:rPr>
              <w:t>Other income</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w w:val="98"/>
              </w:rPr>
              <w:t>6,265</w:t>
            </w:r>
          </w:p>
        </w:tc>
        <w:tc>
          <w:tcPr>
            <w:tcW w:w="940" w:type="dxa"/>
            <w:vAlign w:val="bottom"/>
          </w:tcPr>
          <w:p>
            <w:pPr>
              <w:jc w:val="center"/>
              <w:spacing w:after="0" w:line="131" w:lineRule="exact"/>
              <w:rPr>
                <w:sz w:val="20"/>
                <w:szCs w:val="20"/>
                <w:color w:val="auto"/>
              </w:rPr>
            </w:pPr>
            <w:r>
              <w:rPr>
                <w:rFonts w:ascii="Arial" w:cs="Arial" w:eastAsia="Arial" w:hAnsi="Arial"/>
                <w:sz w:val="13"/>
                <w:szCs w:val="13"/>
                <w:color w:val="auto"/>
                <w:w w:val="98"/>
              </w:rPr>
              <w:t>3,888</w:t>
            </w:r>
          </w:p>
        </w:tc>
        <w:tc>
          <w:tcPr>
            <w:tcW w:w="9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rPr>
              <w:t>810</w:t>
            </w:r>
          </w:p>
        </w:tc>
        <w:tc>
          <w:tcPr>
            <w:tcW w:w="880" w:type="dxa"/>
            <w:vAlign w:val="bottom"/>
          </w:tcPr>
          <w:p>
            <w:pPr>
              <w:jc w:val="center"/>
              <w:spacing w:after="0" w:line="131" w:lineRule="exact"/>
              <w:rPr>
                <w:sz w:val="20"/>
                <w:szCs w:val="20"/>
                <w:color w:val="auto"/>
              </w:rPr>
            </w:pPr>
            <w:r>
              <w:rPr>
                <w:rFonts w:ascii="Arial" w:cs="Arial" w:eastAsia="Arial" w:hAnsi="Arial"/>
                <w:sz w:val="13"/>
                <w:szCs w:val="13"/>
                <w:color w:val="auto"/>
                <w:w w:val="97"/>
              </w:rPr>
              <w:t>-79.2%</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-87.1%</w:t>
            </w:r>
          </w:p>
        </w:tc>
        <w:tc>
          <w:tcPr>
            <w:tcW w:w="1160" w:type="dxa"/>
            <w:vAlign w:val="bottom"/>
          </w:tcPr>
          <w:p>
            <w:pPr>
              <w:jc w:val="center"/>
              <w:ind w:right="98"/>
              <w:spacing w:after="0" w:line="131" w:lineRule="exact"/>
              <w:rPr>
                <w:sz w:val="20"/>
                <w:szCs w:val="20"/>
                <w:color w:val="auto"/>
              </w:rPr>
            </w:pPr>
            <w:r>
              <w:rPr>
                <w:rFonts w:ascii="Arial" w:cs="Arial" w:eastAsia="Arial" w:hAnsi="Arial"/>
                <w:sz w:val="13"/>
                <w:szCs w:val="13"/>
                <w:color w:val="auto"/>
              </w:rPr>
              <w:t>27,713</w:t>
            </w:r>
          </w:p>
        </w:tc>
        <w:tc>
          <w:tcPr>
            <w:tcW w:w="800" w:type="dxa"/>
            <w:vAlign w:val="bottom"/>
            <w:tcBorders>
              <w:right w:val="single" w:sz="8" w:color="auto"/>
            </w:tcBorders>
          </w:tcPr>
          <w:p>
            <w:pPr>
              <w:jc w:val="center"/>
              <w:ind w:right="118"/>
              <w:spacing w:after="0" w:line="131" w:lineRule="exact"/>
              <w:rPr>
                <w:sz w:val="20"/>
                <w:szCs w:val="20"/>
                <w:color w:val="auto"/>
              </w:rPr>
            </w:pPr>
            <w:r>
              <w:rPr>
                <w:rFonts w:ascii="Arial" w:cs="Arial" w:eastAsia="Arial" w:hAnsi="Arial"/>
                <w:sz w:val="13"/>
                <w:szCs w:val="13"/>
                <w:color w:val="auto"/>
                <w:w w:val="95"/>
              </w:rPr>
              <w:t>49,724</w:t>
            </w:r>
          </w:p>
        </w:tc>
        <w:tc>
          <w:tcPr>
            <w:tcW w:w="7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79.4%</w:t>
            </w:r>
          </w:p>
        </w:tc>
      </w:tr>
      <w:tr>
        <w:trPr>
          <w:trHeight w:val="161"/>
        </w:trPr>
        <w:tc>
          <w:tcPr>
            <w:tcW w:w="386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2"/>
                <w:szCs w:val="12"/>
                <w:color w:val="auto"/>
              </w:rPr>
              <w:t xml:space="preserve">Operating expenses </w:t>
            </w:r>
            <w:r>
              <w:rPr>
                <w:rFonts w:ascii="Arial" w:cs="Arial" w:eastAsia="Arial" w:hAnsi="Arial"/>
                <w:sz w:val="18"/>
                <w:szCs w:val="18"/>
                <w:color w:val="auto"/>
                <w:vertAlign w:val="superscript"/>
              </w:rPr>
              <w:t>(1)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(145,999)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(190,831)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(207,372)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8.7%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42.0%</w:t>
            </w: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color w:val="auto"/>
                <w:w w:val="96"/>
              </w:rPr>
              <w:t>(686,698)</w:t>
            </w:r>
          </w:p>
        </w:tc>
        <w:tc>
          <w:tcPr>
            <w:tcW w:w="80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3"/>
                <w:szCs w:val="13"/>
                <w:color w:val="auto"/>
                <w:w w:val="96"/>
              </w:rPr>
              <w:t>(783,973)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14.2%</w:t>
            </w:r>
          </w:p>
        </w:tc>
      </w:tr>
      <w:tr>
        <w:trPr>
          <w:trHeight w:val="129"/>
        </w:trPr>
        <w:tc>
          <w:tcPr>
            <w:tcW w:w="38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Operating income</w:t>
            </w:r>
          </w:p>
        </w:tc>
        <w:tc>
          <w:tcPr>
            <w:tcW w:w="10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52,505</w:t>
            </w:r>
          </w:p>
        </w:tc>
        <w:tc>
          <w:tcPr>
            <w:tcW w:w="9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82,540</w:t>
            </w:r>
          </w:p>
        </w:tc>
        <w:tc>
          <w:tcPr>
            <w:tcW w:w="9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61,606</w:t>
            </w:r>
          </w:p>
        </w:tc>
        <w:tc>
          <w:tcPr>
            <w:tcW w:w="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-25.4%</w:t>
            </w:r>
          </w:p>
        </w:tc>
        <w:tc>
          <w:tcPr>
            <w:tcW w:w="9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17.3%</w:t>
            </w:r>
          </w:p>
        </w:tc>
        <w:tc>
          <w:tcPr>
            <w:tcW w:w="1160" w:type="dxa"/>
            <w:vAlign w:val="bottom"/>
            <w:tcBorders>
              <w:bottom w:val="single" w:sz="8" w:color="auto"/>
            </w:tcBorders>
          </w:tcPr>
          <w:p>
            <w:pPr>
              <w:jc w:val="center"/>
              <w:ind w:right="98"/>
              <w:spacing w:after="0" w:line="129" w:lineRule="exact"/>
              <w:rPr>
                <w:sz w:val="20"/>
                <w:szCs w:val="20"/>
                <w:color w:val="auto"/>
              </w:rPr>
            </w:pPr>
            <w:r>
              <w:rPr>
                <w:rFonts w:ascii="Arial" w:cs="Arial" w:eastAsia="Arial" w:hAnsi="Arial"/>
                <w:sz w:val="13"/>
                <w:szCs w:val="13"/>
                <w:b w:val="1"/>
                <w:bCs w:val="1"/>
                <w:color w:val="auto"/>
                <w:w w:val="93"/>
              </w:rPr>
              <w:t>264,310</w:t>
            </w:r>
          </w:p>
        </w:tc>
        <w:tc>
          <w:tcPr>
            <w:tcW w:w="800" w:type="dxa"/>
            <w:vAlign w:val="bottom"/>
            <w:tcBorders>
              <w:bottom w:val="single" w:sz="8" w:color="auto"/>
              <w:right w:val="single" w:sz="8" w:color="auto"/>
            </w:tcBorders>
          </w:tcPr>
          <w:p>
            <w:pPr>
              <w:jc w:val="center"/>
              <w:ind w:right="118"/>
              <w:spacing w:after="0" w:line="129" w:lineRule="exact"/>
              <w:rPr>
                <w:sz w:val="20"/>
                <w:szCs w:val="20"/>
                <w:color w:val="auto"/>
              </w:rPr>
            </w:pPr>
            <w:r>
              <w:rPr>
                <w:rFonts w:ascii="Arial" w:cs="Arial" w:eastAsia="Arial" w:hAnsi="Arial"/>
                <w:sz w:val="13"/>
                <w:szCs w:val="13"/>
                <w:b w:val="1"/>
                <w:bCs w:val="1"/>
                <w:color w:val="auto"/>
                <w:w w:val="97"/>
              </w:rPr>
              <w:t>279,831</w:t>
            </w:r>
          </w:p>
        </w:tc>
        <w:tc>
          <w:tcPr>
            <w:tcW w:w="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5.9%</w:t>
            </w:r>
          </w:p>
        </w:tc>
      </w:tr>
      <w:tr>
        <w:trPr>
          <w:trHeight w:val="107"/>
        </w:trPr>
        <w:tc>
          <w:tcPr>
            <w:tcW w:w="3860" w:type="dxa"/>
            <w:vAlign w:val="bottom"/>
            <w:tcBorders>
              <w:left w:val="single" w:sz="8" w:color="auto"/>
              <w:right w:val="single" w:sz="8" w:color="auto"/>
            </w:tcBorders>
          </w:tcPr>
          <w:p>
            <w:pPr>
              <w:spacing w:after="0" w:line="107" w:lineRule="exact"/>
              <w:rPr>
                <w:sz w:val="20"/>
                <w:szCs w:val="20"/>
                <w:color w:val="auto"/>
              </w:rPr>
            </w:pPr>
            <w:r>
              <w:rPr>
                <w:rFonts w:ascii="Arial" w:cs="Arial" w:eastAsia="Arial" w:hAnsi="Arial"/>
                <w:sz w:val="12"/>
                <w:szCs w:val="12"/>
                <w:color w:val="auto"/>
              </w:rPr>
              <w:t>Income taxes</w:t>
            </w:r>
          </w:p>
        </w:tc>
        <w:tc>
          <w:tcPr>
            <w:tcW w:w="1000" w:type="dxa"/>
            <w:vAlign w:val="bottom"/>
          </w:tcPr>
          <w:p>
            <w:pPr>
              <w:jc w:val="center"/>
              <w:spacing w:after="0" w:line="107" w:lineRule="exact"/>
              <w:rPr>
                <w:sz w:val="20"/>
                <w:szCs w:val="20"/>
                <w:color w:val="auto"/>
              </w:rPr>
            </w:pPr>
            <w:r>
              <w:rPr>
                <w:rFonts w:ascii="Arial" w:cs="Arial" w:eastAsia="Arial" w:hAnsi="Arial"/>
                <w:sz w:val="12"/>
                <w:szCs w:val="12"/>
                <w:color w:val="auto"/>
              </w:rPr>
              <w:t>(22,722)</w:t>
            </w:r>
          </w:p>
        </w:tc>
        <w:tc>
          <w:tcPr>
            <w:tcW w:w="940" w:type="dxa"/>
            <w:vAlign w:val="bottom"/>
          </w:tcPr>
          <w:p>
            <w:pPr>
              <w:jc w:val="center"/>
              <w:spacing w:after="0" w:line="107" w:lineRule="exact"/>
              <w:rPr>
                <w:sz w:val="20"/>
                <w:szCs w:val="20"/>
                <w:color w:val="auto"/>
              </w:rPr>
            </w:pPr>
            <w:r>
              <w:rPr>
                <w:rFonts w:ascii="Arial" w:cs="Arial" w:eastAsia="Arial" w:hAnsi="Arial"/>
                <w:sz w:val="12"/>
                <w:szCs w:val="12"/>
                <w:color w:val="auto"/>
              </w:rPr>
              <w:t>(21,056)</w:t>
            </w:r>
          </w:p>
        </w:tc>
        <w:tc>
          <w:tcPr>
            <w:tcW w:w="94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(10,592)</w:t>
            </w:r>
          </w:p>
        </w:tc>
        <w:tc>
          <w:tcPr>
            <w:tcW w:w="880" w:type="dxa"/>
            <w:vAlign w:val="bottom"/>
          </w:tcPr>
          <w:p>
            <w:pPr>
              <w:jc w:val="center"/>
              <w:spacing w:after="0" w:line="107" w:lineRule="exact"/>
              <w:rPr>
                <w:sz w:val="20"/>
                <w:szCs w:val="20"/>
                <w:color w:val="auto"/>
              </w:rPr>
            </w:pPr>
            <w:r>
              <w:rPr>
                <w:rFonts w:ascii="Arial" w:cs="Arial" w:eastAsia="Arial" w:hAnsi="Arial"/>
                <w:sz w:val="12"/>
                <w:szCs w:val="12"/>
                <w:color w:val="auto"/>
              </w:rPr>
              <w:t>-49.7%</w:t>
            </w:r>
          </w:p>
        </w:tc>
        <w:tc>
          <w:tcPr>
            <w:tcW w:w="9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-53.4%</w:t>
            </w:r>
          </w:p>
        </w:tc>
        <w:tc>
          <w:tcPr>
            <w:tcW w:w="1160" w:type="dxa"/>
            <w:vAlign w:val="bottom"/>
          </w:tcPr>
          <w:p>
            <w:pPr>
              <w:jc w:val="center"/>
              <w:ind w:right="58"/>
              <w:spacing w:after="0" w:line="107" w:lineRule="exact"/>
              <w:rPr>
                <w:sz w:val="20"/>
                <w:szCs w:val="20"/>
                <w:color w:val="auto"/>
              </w:rPr>
            </w:pPr>
            <w:r>
              <w:rPr>
                <w:rFonts w:ascii="Arial" w:cs="Arial" w:eastAsia="Arial" w:hAnsi="Arial"/>
                <w:sz w:val="12"/>
                <w:szCs w:val="12"/>
                <w:color w:val="auto"/>
              </w:rPr>
              <w:t>(68,660)</w:t>
            </w:r>
          </w:p>
        </w:tc>
        <w:tc>
          <w:tcPr>
            <w:tcW w:w="800" w:type="dxa"/>
            <w:vAlign w:val="bottom"/>
            <w:tcBorders>
              <w:right w:val="single" w:sz="8" w:color="auto"/>
            </w:tcBorders>
          </w:tcPr>
          <w:p>
            <w:pPr>
              <w:jc w:val="center"/>
              <w:ind w:right="78"/>
              <w:spacing w:after="0" w:line="107" w:lineRule="exact"/>
              <w:rPr>
                <w:sz w:val="20"/>
                <w:szCs w:val="20"/>
                <w:color w:val="auto"/>
              </w:rPr>
            </w:pPr>
            <w:r>
              <w:rPr>
                <w:rFonts w:ascii="Arial" w:cs="Arial" w:eastAsia="Arial" w:hAnsi="Arial"/>
                <w:sz w:val="12"/>
                <w:szCs w:val="12"/>
                <w:color w:val="auto"/>
              </w:rPr>
              <w:t>(54,432)</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color w:val="auto"/>
              </w:rPr>
              <w:t>-20.7%</w:t>
            </w:r>
          </w:p>
        </w:tc>
      </w:tr>
      <w:tr>
        <w:trPr>
          <w:trHeight w:val="157"/>
        </w:trPr>
        <w:tc>
          <w:tcPr>
            <w:tcW w:w="38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Non-controlling interest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156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142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(27)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-119.0%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-117.3%</w:t>
            </w: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color w:val="auto"/>
                <w:w w:val="92"/>
              </w:rPr>
              <w:t>392</w:t>
            </w:r>
          </w:p>
        </w:tc>
        <w:tc>
          <w:tcPr>
            <w:tcW w:w="800" w:type="dxa"/>
            <w:vAlign w:val="bottom"/>
            <w:tcBorders>
              <w:bottom w:val="single" w:sz="8" w:color="auto"/>
              <w:right w:val="single" w:sz="8" w:color="auto"/>
            </w:tcBorders>
          </w:tcPr>
          <w:p>
            <w:pPr>
              <w:jc w:val="center"/>
              <w:ind w:right="118"/>
              <w:spacing w:after="0"/>
              <w:rPr>
                <w:sz w:val="20"/>
                <w:szCs w:val="20"/>
                <w:color w:val="auto"/>
              </w:rPr>
            </w:pPr>
            <w:r>
              <w:rPr>
                <w:rFonts w:ascii="Arial" w:cs="Arial" w:eastAsia="Arial" w:hAnsi="Arial"/>
                <w:sz w:val="13"/>
                <w:szCs w:val="13"/>
                <w:color w:val="auto"/>
              </w:rPr>
              <w:t>434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10.7%</w:t>
            </w:r>
          </w:p>
        </w:tc>
      </w:tr>
      <w:tr>
        <w:trPr>
          <w:trHeight w:val="129"/>
        </w:trPr>
        <w:tc>
          <w:tcPr>
            <w:tcW w:w="3860" w:type="dxa"/>
            <w:vAlign w:val="bottom"/>
            <w:tcBorders>
              <w:left w:val="single" w:sz="8" w:color="auto"/>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10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29,627</w:t>
            </w:r>
          </w:p>
        </w:tc>
        <w:tc>
          <w:tcPr>
            <w:tcW w:w="9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61,342</w:t>
            </w:r>
          </w:p>
        </w:tc>
        <w:tc>
          <w:tcPr>
            <w:tcW w:w="9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51,041</w:t>
            </w:r>
          </w:p>
        </w:tc>
        <w:tc>
          <w:tcPr>
            <w:tcW w:w="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-16.8%</w:t>
            </w:r>
          </w:p>
        </w:tc>
        <w:tc>
          <w:tcPr>
            <w:tcW w:w="9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72.3%</w:t>
            </w:r>
          </w:p>
        </w:tc>
        <w:tc>
          <w:tcPr>
            <w:tcW w:w="1160" w:type="dxa"/>
            <w:vAlign w:val="bottom"/>
            <w:tcBorders>
              <w:bottom w:val="single" w:sz="8" w:color="auto"/>
            </w:tcBorders>
          </w:tcPr>
          <w:p>
            <w:pPr>
              <w:jc w:val="center"/>
              <w:ind w:right="98"/>
              <w:spacing w:after="0" w:line="129" w:lineRule="exact"/>
              <w:rPr>
                <w:sz w:val="20"/>
                <w:szCs w:val="20"/>
                <w:color w:val="auto"/>
              </w:rPr>
            </w:pPr>
            <w:r>
              <w:rPr>
                <w:rFonts w:ascii="Arial" w:cs="Arial" w:eastAsia="Arial" w:hAnsi="Arial"/>
                <w:sz w:val="13"/>
                <w:szCs w:val="13"/>
                <w:b w:val="1"/>
                <w:bCs w:val="1"/>
                <w:color w:val="auto"/>
                <w:w w:val="93"/>
              </w:rPr>
              <w:t>195,258</w:t>
            </w:r>
          </w:p>
        </w:tc>
        <w:tc>
          <w:tcPr>
            <w:tcW w:w="800" w:type="dxa"/>
            <w:vAlign w:val="bottom"/>
            <w:tcBorders>
              <w:bottom w:val="single" w:sz="8" w:color="auto"/>
              <w:right w:val="single" w:sz="8" w:color="auto"/>
            </w:tcBorders>
          </w:tcPr>
          <w:p>
            <w:pPr>
              <w:jc w:val="center"/>
              <w:ind w:right="118"/>
              <w:spacing w:after="0" w:line="129" w:lineRule="exact"/>
              <w:rPr>
                <w:sz w:val="20"/>
                <w:szCs w:val="20"/>
                <w:color w:val="auto"/>
              </w:rPr>
            </w:pPr>
            <w:r>
              <w:rPr>
                <w:rFonts w:ascii="Arial" w:cs="Arial" w:eastAsia="Arial" w:hAnsi="Arial"/>
                <w:sz w:val="13"/>
                <w:szCs w:val="13"/>
                <w:b w:val="1"/>
                <w:bCs w:val="1"/>
                <w:color w:val="auto"/>
                <w:w w:val="97"/>
              </w:rPr>
              <w:t>224,965</w:t>
            </w:r>
          </w:p>
        </w:tc>
        <w:tc>
          <w:tcPr>
            <w:tcW w:w="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15.2%</w:t>
            </w:r>
          </w:p>
        </w:tc>
      </w:tr>
    </w:tbl>
    <w:p>
      <w:pPr>
        <w:spacing w:after="0" w:line="177"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*Includes ASB and Credicorp Capital. Does not include Wealth Management at BCP.</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12"/>
          <w:szCs w:val="12"/>
          <w:color w:val="auto"/>
        </w:rPr>
        <w:t>(1) Includes: Salaries and employees benefits + Administrative expenses + Assigned expenses + Depreciation and amortization + Tax and contributions +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776605</wp:posOffset>
            </wp:positionV>
            <wp:extent cx="71577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116840</wp:posOffset>
            </wp:positionV>
            <wp:extent cx="6764020" cy="5575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64020" cy="557530"/>
                    </a:xfrm>
                    <a:prstGeom prst="rect">
                      <a:avLst/>
                    </a:prstGeom>
                    <a:noFill/>
                  </pic:spPr>
                </pic:pic>
              </a:graphicData>
            </a:graphic>
          </wp:anchor>
        </w:drawing>
      </w:r>
    </w:p>
    <w:p>
      <w:pPr>
        <w:sectPr>
          <w:pgSz w:w="11920" w:h="16838" w:orient="portrait"/>
          <w:cols w:equalWidth="0" w:num="1">
            <w:col w:w="11260"/>
          </w:cols>
          <w:pgMar w:left="340" w:top="515" w:right="318" w:bottom="1440" w:gutter="0" w:footer="0" w:header="0"/>
        </w:sectPr>
      </w:pPr>
    </w:p>
    <w:bookmarkStart w:id="73" w:name="page74"/>
    <w:bookmarkEnd w:id="73"/>
    <w:p>
      <w:pPr>
        <w:jc w:val="both"/>
        <w:ind w:left="2707"/>
        <w:spacing w:after="0"/>
        <w:tabs>
          <w:tab w:leader="none" w:pos="2967" w:val="left"/>
          <w:tab w:leader="none" w:pos="9447"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315595</wp:posOffset>
            </wp:positionV>
            <wp:extent cx="7157720" cy="2228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7"/>
        <w:spacing w:after="0"/>
        <w:rPr>
          <w:sz w:val="20"/>
          <w:szCs w:val="20"/>
          <w:color w:val="auto"/>
        </w:rPr>
      </w:pPr>
      <w:r>
        <w:rPr>
          <w:rFonts w:ascii="Arial" w:cs="Arial" w:eastAsia="Arial" w:hAnsi="Arial"/>
          <w:sz w:val="22"/>
          <w:szCs w:val="22"/>
          <w:b w:val="1"/>
          <w:bCs w:val="1"/>
          <w:color w:val="FFFFFF"/>
        </w:rPr>
        <w:t>12. Appendix</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12.8.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141605</wp:posOffset>
            </wp:positionV>
            <wp:extent cx="6437630" cy="69265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437630" cy="6926580"/>
                    </a:xfrm>
                    <a:prstGeom prst="rect">
                      <a:avLst/>
                    </a:prstGeom>
                    <a:noFill/>
                  </pic:spPr>
                </pic:pic>
              </a:graphicData>
            </a:graphic>
          </wp:anchor>
        </w:drawing>
      </w:r>
    </w:p>
    <w:p>
      <w:pPr>
        <w:spacing w:after="0" w:line="222" w:lineRule="exact"/>
        <w:rPr>
          <w:sz w:val="20"/>
          <w:szCs w:val="20"/>
          <w:color w:val="auto"/>
        </w:rPr>
      </w:pPr>
    </w:p>
    <w:p>
      <w:pPr>
        <w:jc w:val="center"/>
        <w:ind w:right="-46"/>
        <w:spacing w:after="0"/>
        <w:rPr>
          <w:sz w:val="20"/>
          <w:szCs w:val="20"/>
          <w:color w:val="auto"/>
        </w:rPr>
      </w:pPr>
      <w:r>
        <w:rPr>
          <w:rFonts w:ascii="Arial" w:cs="Arial" w:eastAsia="Arial" w:hAnsi="Arial"/>
          <w:sz w:val="14"/>
          <w:szCs w:val="14"/>
          <w:b w:val="1"/>
          <w:bCs w:val="1"/>
          <w:color w:val="FFFFFF"/>
        </w:rPr>
        <w:t xml:space="preserve">Table of calculations </w:t>
      </w:r>
      <w:r>
        <w:rPr>
          <w:rFonts w:ascii="Arial" w:cs="Arial" w:eastAsia="Arial" w:hAnsi="Arial"/>
          <w:sz w:val="23"/>
          <w:szCs w:val="23"/>
          <w:color w:val="FFFFFF"/>
          <w:vertAlign w:val="superscript"/>
        </w:rPr>
        <w:t>(1)</w:t>
      </w:r>
    </w:p>
    <w:tbl>
      <w:tblPr>
        <w:tblLayout w:type="fixed"/>
        <w:tblInd w:w="567" w:type="dxa"/>
        <w:tblCellMar>
          <w:top w:w="0" w:type="dxa"/>
          <w:left w:w="0" w:type="dxa"/>
          <w:bottom w:w="0" w:type="dxa"/>
          <w:right w:w="0" w:type="dxa"/>
        </w:tblCellMar>
      </w:tblPr>
      <w:tr>
        <w:trPr>
          <w:trHeight w:val="196"/>
        </w:trPr>
        <w:tc>
          <w:tcPr>
            <w:tcW w:w="1200" w:type="dxa"/>
            <w:vAlign w:val="bottom"/>
            <w:tcBorders>
              <w:top w:val="single" w:sz="8" w:color="auto"/>
              <w:right w:val="single" w:sz="8" w:color="auto"/>
            </w:tcBorders>
          </w:tcPr>
          <w:p>
            <w:pPr>
              <w:spacing w:after="0"/>
              <w:rPr>
                <w:sz w:val="17"/>
                <w:szCs w:val="17"/>
                <w:color w:val="auto"/>
              </w:rPr>
            </w:pPr>
          </w:p>
        </w:tc>
        <w:tc>
          <w:tcPr>
            <w:tcW w:w="264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Interest earning assets</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720" w:type="dxa"/>
            <w:vAlign w:val="bottom"/>
            <w:tcBorders>
              <w:top w:val="single" w:sz="8" w:color="auto"/>
            </w:tcBorders>
            <w:gridSpan w:val="26"/>
          </w:tcPr>
          <w:p>
            <w:pPr>
              <w:jc w:val="center"/>
              <w:ind w:right="1600"/>
              <w:spacing w:after="0"/>
              <w:rPr>
                <w:sz w:val="20"/>
                <w:szCs w:val="20"/>
                <w:color w:val="auto"/>
              </w:rPr>
            </w:pPr>
            <w:r>
              <w:rPr>
                <w:rFonts w:ascii="Arial" w:cs="Arial" w:eastAsia="Arial" w:hAnsi="Arial"/>
                <w:sz w:val="14"/>
                <w:szCs w:val="14"/>
                <w:color w:val="auto"/>
              </w:rPr>
              <w:t>Cash and due from banks + Total investments</w:t>
            </w:r>
          </w:p>
        </w:tc>
        <w:tc>
          <w:tcPr>
            <w:tcW w:w="0" w:type="dxa"/>
            <w:vAlign w:val="bottom"/>
          </w:tcPr>
          <w:p>
            <w:pPr>
              <w:spacing w:after="0"/>
              <w:rPr>
                <w:sz w:val="1"/>
                <w:szCs w:val="1"/>
                <w:color w:val="auto"/>
              </w:rPr>
            </w:pPr>
          </w:p>
        </w:tc>
      </w:tr>
      <w:tr>
        <w:trPr>
          <w:trHeight w:val="119"/>
        </w:trPr>
        <w:tc>
          <w:tcPr>
            <w:tcW w:w="120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900" w:type="dxa"/>
            <w:vAlign w:val="bottom"/>
            <w:gridSpan w:val="30"/>
            <w:vMerge w:val="restart"/>
          </w:tcPr>
          <w:p>
            <w:pPr>
              <w:jc w:val="center"/>
              <w:ind w:right="420"/>
              <w:spacing w:after="0"/>
              <w:rPr>
                <w:sz w:val="20"/>
                <w:szCs w:val="20"/>
                <w:color w:val="auto"/>
              </w:rPr>
            </w:pPr>
            <w:r>
              <w:rPr>
                <w:rFonts w:ascii="Arial" w:cs="Arial" w:eastAsia="Arial" w:hAnsi="Arial"/>
                <w:sz w:val="14"/>
                <w:szCs w:val="14"/>
                <w:color w:val="auto"/>
              </w:rPr>
              <w:t>+ Cash collateral, reverse repurchase agreements and securities borrowing + Loans</w:t>
            </w:r>
          </w:p>
        </w:tc>
        <w:tc>
          <w:tcPr>
            <w:tcW w:w="0" w:type="dxa"/>
            <w:vAlign w:val="bottom"/>
          </w:tcPr>
          <w:p>
            <w:pPr>
              <w:spacing w:after="0"/>
              <w:rPr>
                <w:sz w:val="1"/>
                <w:szCs w:val="1"/>
                <w:color w:val="auto"/>
              </w:rPr>
            </w:pPr>
          </w:p>
        </w:tc>
      </w:tr>
      <w:tr>
        <w:trPr>
          <w:trHeight w:val="75"/>
        </w:trPr>
        <w:tc>
          <w:tcPr>
            <w:tcW w:w="1200" w:type="dxa"/>
            <w:vAlign w:val="bottom"/>
            <w:tcBorders>
              <w:righ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900" w:type="dxa"/>
            <w:vAlign w:val="bottom"/>
            <w:gridSpan w:val="3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200" w:type="dxa"/>
            <w:vAlign w:val="bottom"/>
            <w:tcBorders>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Funding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00" w:type="dxa"/>
            <w:vAlign w:val="bottom"/>
            <w:gridSpan w:val="30"/>
          </w:tcPr>
          <w:p>
            <w:pPr>
              <w:jc w:val="center"/>
              <w:ind w:right="420"/>
              <w:spacing w:after="0"/>
              <w:rPr>
                <w:sz w:val="20"/>
                <w:szCs w:val="20"/>
                <w:color w:val="auto"/>
              </w:rPr>
            </w:pPr>
            <w:r>
              <w:rPr>
                <w:rFonts w:ascii="Arial" w:cs="Arial" w:eastAsia="Arial" w:hAnsi="Arial"/>
                <w:sz w:val="14"/>
                <w:szCs w:val="14"/>
                <w:color w:val="auto"/>
              </w:rPr>
              <w:t>Deposits and obligations + Due to banks and correspondents + BCRP instruments</w:t>
            </w:r>
          </w:p>
        </w:tc>
        <w:tc>
          <w:tcPr>
            <w:tcW w:w="0" w:type="dxa"/>
            <w:vAlign w:val="bottom"/>
          </w:tcPr>
          <w:p>
            <w:pPr>
              <w:spacing w:after="0"/>
              <w:rPr>
                <w:sz w:val="1"/>
                <w:szCs w:val="1"/>
                <w:color w:val="auto"/>
              </w:rPr>
            </w:pPr>
          </w:p>
        </w:tc>
      </w:tr>
      <w:tr>
        <w:trPr>
          <w:trHeight w:val="119"/>
        </w:trPr>
        <w:tc>
          <w:tcPr>
            <w:tcW w:w="120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900" w:type="dxa"/>
            <w:vAlign w:val="bottom"/>
            <w:gridSpan w:val="30"/>
            <w:vMerge w:val="restart"/>
          </w:tcPr>
          <w:p>
            <w:pPr>
              <w:jc w:val="center"/>
              <w:ind w:right="420"/>
              <w:spacing w:after="0"/>
              <w:rPr>
                <w:sz w:val="20"/>
                <w:szCs w:val="20"/>
                <w:color w:val="auto"/>
              </w:rPr>
            </w:pPr>
            <w:r>
              <w:rPr>
                <w:rFonts w:ascii="Arial" w:cs="Arial" w:eastAsia="Arial" w:hAnsi="Arial"/>
                <w:sz w:val="14"/>
                <w:szCs w:val="14"/>
                <w:color w:val="auto"/>
              </w:rPr>
              <w:t>+ Repurchase agreements with clients and third parties + Bonds and notes issued</w:t>
            </w:r>
          </w:p>
        </w:tc>
        <w:tc>
          <w:tcPr>
            <w:tcW w:w="0" w:type="dxa"/>
            <w:vAlign w:val="bottom"/>
          </w:tcPr>
          <w:p>
            <w:pPr>
              <w:spacing w:after="0"/>
              <w:rPr>
                <w:sz w:val="1"/>
                <w:szCs w:val="1"/>
                <w:color w:val="auto"/>
              </w:rPr>
            </w:pPr>
          </w:p>
        </w:tc>
      </w:tr>
      <w:tr>
        <w:trPr>
          <w:trHeight w:val="75"/>
        </w:trPr>
        <w:tc>
          <w:tcPr>
            <w:tcW w:w="1200" w:type="dxa"/>
            <w:vAlign w:val="bottom"/>
            <w:tcBorders>
              <w:righ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900" w:type="dxa"/>
            <w:vAlign w:val="bottom"/>
            <w:gridSpan w:val="3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200" w:type="dxa"/>
            <w:vAlign w:val="bottom"/>
            <w:tcBorders>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Net Interest Margin (NIM)</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bottom w:val="single" w:sz="8" w:color="auto"/>
            </w:tcBorders>
            <w:gridSpan w:val="20"/>
          </w:tcPr>
          <w:p>
            <w:pPr>
              <w:jc w:val="center"/>
              <w:spacing w:after="0"/>
              <w:rPr>
                <w:sz w:val="20"/>
                <w:szCs w:val="20"/>
                <w:color w:val="auto"/>
              </w:rPr>
            </w:pPr>
            <w:r>
              <w:rPr>
                <w:rFonts w:ascii="Arial" w:cs="Arial" w:eastAsia="Arial" w:hAnsi="Arial"/>
                <w:sz w:val="14"/>
                <w:szCs w:val="14"/>
                <w:color w:val="auto"/>
              </w:rPr>
              <w:t>Net Interest Income (excluding Net Insurance Financial Expenses)</w:t>
            </w:r>
          </w:p>
        </w:tc>
        <w:tc>
          <w:tcPr>
            <w:tcW w:w="10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560" w:type="dxa"/>
            <w:vAlign w:val="bottom"/>
            <w:gridSpan w:val="25"/>
            <w:vMerge w:val="restart"/>
          </w:tcPr>
          <w:p>
            <w:pPr>
              <w:jc w:val="center"/>
              <w:ind w:right="1760"/>
              <w:spacing w:after="0"/>
              <w:rPr>
                <w:sz w:val="20"/>
                <w:szCs w:val="20"/>
                <w:color w:val="auto"/>
              </w:rPr>
            </w:pPr>
            <w:r>
              <w:rPr>
                <w:rFonts w:ascii="Arial" w:cs="Arial" w:eastAsia="Arial" w:hAnsi="Arial"/>
                <w:sz w:val="14"/>
                <w:szCs w:val="14"/>
                <w:color w:val="auto"/>
              </w:rPr>
              <w:t>Average Interest Earning Assets</w:t>
            </w: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560" w:type="dxa"/>
            <w:vAlign w:val="bottom"/>
            <w:gridSpan w:val="2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Risk-adjusted Net Interest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20" w:type="dxa"/>
            <w:vAlign w:val="bottom"/>
            <w:gridSpan w:val="32"/>
          </w:tcPr>
          <w:p>
            <w:pPr>
              <w:jc w:val="center"/>
              <w:ind w:right="200"/>
              <w:spacing w:after="0"/>
              <w:rPr>
                <w:sz w:val="20"/>
                <w:szCs w:val="20"/>
                <w:color w:val="auto"/>
              </w:rPr>
            </w:pPr>
            <w:r>
              <w:rPr>
                <w:rFonts w:ascii="Arial" w:cs="Arial" w:eastAsia="Arial" w:hAnsi="Arial"/>
                <w:sz w:val="14"/>
                <w:szCs w:val="14"/>
                <w:color w:val="auto"/>
              </w:rPr>
              <w:t>Annualized Net Interest Income (excluding Net Insurance Financial Expenses)-Annualized</w:t>
            </w:r>
          </w:p>
        </w:tc>
        <w:tc>
          <w:tcPr>
            <w:tcW w:w="0" w:type="dxa"/>
            <w:vAlign w:val="bottom"/>
          </w:tcPr>
          <w:p>
            <w:pPr>
              <w:spacing w:after="0"/>
              <w:rPr>
                <w:sz w:val="1"/>
                <w:szCs w:val="1"/>
                <w:color w:val="auto"/>
              </w:rPr>
            </w:pPr>
          </w:p>
        </w:tc>
      </w:tr>
      <w:tr>
        <w:trPr>
          <w:trHeight w:val="59"/>
        </w:trPr>
        <w:tc>
          <w:tcPr>
            <w:tcW w:w="1200" w:type="dxa"/>
            <w:vAlign w:val="bottom"/>
            <w:tcBorders>
              <w:right w:val="single" w:sz="8" w:color="auto"/>
            </w:tcBorders>
          </w:tcPr>
          <w:p>
            <w:pPr>
              <w:spacing w:after="0"/>
              <w:rPr>
                <w:sz w:val="5"/>
                <w:szCs w:val="5"/>
                <w:color w:val="auto"/>
              </w:rPr>
            </w:pPr>
          </w:p>
        </w:tc>
        <w:tc>
          <w:tcPr>
            <w:tcW w:w="264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vMerge w:val="restart"/>
          </w:tcPr>
          <w:p>
            <w:pPr>
              <w:spacing w:after="0"/>
              <w:rPr>
                <w:sz w:val="5"/>
                <w:szCs w:val="5"/>
                <w:color w:val="auto"/>
              </w:rPr>
            </w:pPr>
          </w:p>
        </w:tc>
        <w:tc>
          <w:tcPr>
            <w:tcW w:w="720" w:type="dxa"/>
            <w:vAlign w:val="bottom"/>
            <w:tcBorders>
              <w:top w:val="single" w:sz="8" w:color="auto"/>
            </w:tcBorders>
            <w:gridSpan w:val="5"/>
            <w:vMerge w:val="restart"/>
          </w:tcPr>
          <w:p>
            <w:pPr>
              <w:jc w:val="center"/>
              <w:spacing w:after="0" w:line="142" w:lineRule="exact"/>
              <w:rPr>
                <w:sz w:val="20"/>
                <w:szCs w:val="20"/>
                <w:color w:val="auto"/>
              </w:rPr>
            </w:pPr>
            <w:r>
              <w:rPr>
                <w:rFonts w:ascii="Arial" w:cs="Arial" w:eastAsia="Arial" w:hAnsi="Arial"/>
                <w:sz w:val="14"/>
                <w:szCs w:val="14"/>
                <w:color w:val="auto"/>
              </w:rPr>
              <w:t>Provisions)</w:t>
            </w:r>
          </w:p>
        </w:tc>
        <w:tc>
          <w:tcPr>
            <w:tcW w:w="2500" w:type="dxa"/>
            <w:vAlign w:val="bottom"/>
            <w:tcBorders>
              <w:top w:val="single" w:sz="8" w:color="auto"/>
            </w:tcBorders>
            <w:gridSpan w:val="11"/>
            <w:vMerge w:val="restart"/>
          </w:tcPr>
          <w:p>
            <w:pPr>
              <w:spacing w:after="0"/>
              <w:rPr>
                <w:sz w:val="5"/>
                <w:szCs w:val="5"/>
                <w:color w:val="auto"/>
              </w:rPr>
            </w:pPr>
          </w:p>
        </w:tc>
        <w:tc>
          <w:tcPr>
            <w:tcW w:w="300" w:type="dxa"/>
            <w:vAlign w:val="bottom"/>
            <w:gridSpan w:val="3"/>
            <w:vMerge w:val="restart"/>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Margin (Risk-adjusted NIM)</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20" w:type="dxa"/>
            <w:vAlign w:val="bottom"/>
            <w:tcBorders>
              <w:bottom w:val="single" w:sz="8" w:color="auto"/>
            </w:tcBorders>
            <w:gridSpan w:val="5"/>
            <w:vMerge w:val="continue"/>
          </w:tcPr>
          <w:p>
            <w:pPr>
              <w:spacing w:after="0"/>
              <w:rPr>
                <w:sz w:val="7"/>
                <w:szCs w:val="7"/>
                <w:color w:val="auto"/>
              </w:rPr>
            </w:pPr>
          </w:p>
        </w:tc>
        <w:tc>
          <w:tcPr>
            <w:tcW w:w="2500" w:type="dxa"/>
            <w:vAlign w:val="bottom"/>
            <w:gridSpan w:val="11"/>
            <w:vMerge w:val="continue"/>
          </w:tcPr>
          <w:p>
            <w:pPr>
              <w:spacing w:after="0"/>
              <w:rPr>
                <w:sz w:val="7"/>
                <w:szCs w:val="7"/>
                <w:color w:val="auto"/>
              </w:rPr>
            </w:pPr>
          </w:p>
        </w:tc>
        <w:tc>
          <w:tcPr>
            <w:tcW w:w="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300" w:type="dxa"/>
            <w:vAlign w:val="bottom"/>
            <w:gridSpan w:val="27"/>
            <w:vMerge w:val="restart"/>
          </w:tcPr>
          <w:p>
            <w:pPr>
              <w:jc w:val="center"/>
              <w:ind w:right="1020"/>
              <w:spacing w:after="0"/>
              <w:rPr>
                <w:sz w:val="20"/>
                <w:szCs w:val="20"/>
                <w:color w:val="auto"/>
              </w:rPr>
            </w:pPr>
            <w:r>
              <w:rPr>
                <w:rFonts w:ascii="Arial" w:cs="Arial" w:eastAsia="Arial" w:hAnsi="Arial"/>
                <w:sz w:val="14"/>
                <w:szCs w:val="14"/>
                <w:color w:val="auto"/>
              </w:rPr>
              <w:t>Average period end and period beginning interest earning assets</w:t>
            </w: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300" w:type="dxa"/>
            <w:vAlign w:val="bottom"/>
            <w:gridSpan w:val="2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Funding cost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tcBorders>
              <w:bottom w:val="single" w:sz="8" w:color="auto"/>
            </w:tcBorders>
            <w:gridSpan w:val="22"/>
          </w:tcPr>
          <w:p>
            <w:pPr>
              <w:jc w:val="center"/>
              <w:spacing w:after="0"/>
              <w:rPr>
                <w:sz w:val="20"/>
                <w:szCs w:val="20"/>
                <w:color w:val="auto"/>
              </w:rPr>
            </w:pPr>
            <w:r>
              <w:rPr>
                <w:rFonts w:ascii="Arial" w:cs="Arial" w:eastAsia="Arial" w:hAnsi="Arial"/>
                <w:sz w:val="14"/>
                <w:szCs w:val="14"/>
                <w:color w:val="auto"/>
              </w:rPr>
              <w:t>Interest Expense (Does not Include Net Insurance Financial Expenses)</w:t>
            </w:r>
          </w:p>
        </w:tc>
        <w:tc>
          <w:tcPr>
            <w:tcW w:w="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720" w:type="dxa"/>
            <w:vAlign w:val="bottom"/>
            <w:gridSpan w:val="20"/>
            <w:vMerge w:val="restart"/>
          </w:tcPr>
          <w:p>
            <w:pPr>
              <w:jc w:val="center"/>
              <w:ind w:right="2600"/>
              <w:spacing w:after="0"/>
              <w:rPr>
                <w:sz w:val="20"/>
                <w:szCs w:val="20"/>
                <w:color w:val="auto"/>
              </w:rPr>
            </w:pPr>
            <w:r>
              <w:rPr>
                <w:rFonts w:ascii="Arial" w:cs="Arial" w:eastAsia="Arial" w:hAnsi="Arial"/>
                <w:sz w:val="14"/>
                <w:szCs w:val="14"/>
                <w:color w:val="auto"/>
              </w:rPr>
              <w:t>Average Funding</w:t>
            </w: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720" w:type="dxa"/>
            <w:vAlign w:val="bottom"/>
            <w:gridSpan w:val="2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120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Core income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00" w:type="dxa"/>
            <w:vAlign w:val="bottom"/>
            <w:gridSpan w:val="30"/>
          </w:tcPr>
          <w:p>
            <w:pPr>
              <w:jc w:val="center"/>
              <w:ind w:right="420"/>
              <w:spacing w:after="0"/>
              <w:rPr>
                <w:sz w:val="20"/>
                <w:szCs w:val="20"/>
                <w:color w:val="auto"/>
              </w:rPr>
            </w:pPr>
            <w:r>
              <w:rPr>
                <w:rFonts w:ascii="Arial" w:cs="Arial" w:eastAsia="Arial" w:hAnsi="Arial"/>
                <w:sz w:val="14"/>
                <w:szCs w:val="14"/>
                <w:color w:val="auto"/>
              </w:rPr>
              <w:t>Net Interest Income + Fee Income + Net Gain on Foreign exchange transactions</w:t>
            </w:r>
          </w:p>
        </w:tc>
        <w:tc>
          <w:tcPr>
            <w:tcW w:w="0" w:type="dxa"/>
            <w:vAlign w:val="bottom"/>
          </w:tcPr>
          <w:p>
            <w:pPr>
              <w:spacing w:after="0"/>
              <w:rPr>
                <w:sz w:val="1"/>
                <w:szCs w:val="1"/>
                <w:color w:val="auto"/>
              </w:rPr>
            </w:pPr>
          </w:p>
        </w:tc>
      </w:tr>
      <w:tr>
        <w:trPr>
          <w:trHeight w:val="29"/>
        </w:trPr>
        <w:tc>
          <w:tcPr>
            <w:tcW w:w="1200" w:type="dxa"/>
            <w:vAlign w:val="bottom"/>
            <w:tcBorders>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20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Other core income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27"/>
          </w:tcPr>
          <w:p>
            <w:pPr>
              <w:jc w:val="center"/>
              <w:ind w:right="1020"/>
              <w:spacing w:after="0"/>
              <w:rPr>
                <w:sz w:val="20"/>
                <w:szCs w:val="20"/>
                <w:color w:val="auto"/>
              </w:rPr>
            </w:pPr>
            <w:r>
              <w:rPr>
                <w:rFonts w:ascii="Arial" w:cs="Arial" w:eastAsia="Arial" w:hAnsi="Arial"/>
                <w:sz w:val="14"/>
                <w:szCs w:val="14"/>
                <w:color w:val="auto"/>
              </w:rPr>
              <w:t>Fee Income + Net Gain on Foreign exchange transactions</w:t>
            </w:r>
          </w:p>
        </w:tc>
        <w:tc>
          <w:tcPr>
            <w:tcW w:w="0" w:type="dxa"/>
            <w:vAlign w:val="bottom"/>
          </w:tcPr>
          <w:p>
            <w:pPr>
              <w:spacing w:after="0"/>
              <w:rPr>
                <w:sz w:val="1"/>
                <w:szCs w:val="1"/>
                <w:color w:val="auto"/>
              </w:rPr>
            </w:pPr>
          </w:p>
        </w:tc>
      </w:tr>
      <w:tr>
        <w:trPr>
          <w:trHeight w:val="29"/>
        </w:trPr>
        <w:tc>
          <w:tcPr>
            <w:tcW w:w="1200" w:type="dxa"/>
            <w:vAlign w:val="bottom"/>
            <w:tcBorders>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Other non-core income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gridSpan w:val="31"/>
          </w:tcPr>
          <w:p>
            <w:pPr>
              <w:jc w:val="center"/>
              <w:ind w:right="300"/>
              <w:spacing w:after="0"/>
              <w:rPr>
                <w:sz w:val="20"/>
                <w:szCs w:val="20"/>
                <w:color w:val="auto"/>
              </w:rPr>
            </w:pPr>
            <w:r>
              <w:rPr>
                <w:rFonts w:ascii="Arial" w:cs="Arial" w:eastAsia="Arial" w:hAnsi="Arial"/>
                <w:sz w:val="14"/>
                <w:szCs w:val="14"/>
                <w:color w:val="auto"/>
              </w:rPr>
              <w:t>Net Gain Securities + Net Gain from associates + Net Gain of derivatives held for trading</w:t>
            </w:r>
          </w:p>
        </w:tc>
        <w:tc>
          <w:tcPr>
            <w:tcW w:w="0" w:type="dxa"/>
            <w:vAlign w:val="bottom"/>
          </w:tcPr>
          <w:p>
            <w:pPr>
              <w:spacing w:after="0"/>
              <w:rPr>
                <w:sz w:val="1"/>
                <w:szCs w:val="1"/>
                <w:color w:val="auto"/>
              </w:rPr>
            </w:pPr>
          </w:p>
        </w:tc>
      </w:tr>
      <w:tr>
        <w:trPr>
          <w:trHeight w:val="119"/>
        </w:trPr>
        <w:tc>
          <w:tcPr>
            <w:tcW w:w="120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20" w:type="dxa"/>
            <w:vAlign w:val="bottom"/>
            <w:gridSpan w:val="28"/>
            <w:vMerge w:val="restart"/>
          </w:tcPr>
          <w:p>
            <w:pPr>
              <w:jc w:val="center"/>
              <w:ind w:right="900"/>
              <w:spacing w:after="0"/>
              <w:rPr>
                <w:sz w:val="20"/>
                <w:szCs w:val="20"/>
                <w:color w:val="auto"/>
              </w:rPr>
            </w:pPr>
            <w:r>
              <w:rPr>
                <w:rFonts w:ascii="Arial" w:cs="Arial" w:eastAsia="Arial" w:hAnsi="Arial"/>
                <w:sz w:val="14"/>
                <w:szCs w:val="14"/>
                <w:color w:val="auto"/>
              </w:rPr>
              <w:t>+ Net Gain from exchange differences + Other non operative income</w:t>
            </w:r>
          </w:p>
        </w:tc>
        <w:tc>
          <w:tcPr>
            <w:tcW w:w="0" w:type="dxa"/>
            <w:vAlign w:val="bottom"/>
          </w:tcPr>
          <w:p>
            <w:pPr>
              <w:spacing w:after="0"/>
              <w:rPr>
                <w:sz w:val="1"/>
                <w:szCs w:val="1"/>
                <w:color w:val="auto"/>
              </w:rPr>
            </w:pPr>
          </w:p>
        </w:tc>
      </w:tr>
      <w:tr>
        <w:trPr>
          <w:trHeight w:val="75"/>
        </w:trPr>
        <w:tc>
          <w:tcPr>
            <w:tcW w:w="1200" w:type="dxa"/>
            <w:vAlign w:val="bottom"/>
            <w:tcBorders>
              <w:righ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20" w:type="dxa"/>
            <w:vAlign w:val="bottom"/>
            <w:gridSpan w:val="2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200" w:type="dxa"/>
            <w:vAlign w:val="bottom"/>
            <w:tcBorders>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Return on average assets (ROA)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Annualized Net</w:t>
            </w:r>
          </w:p>
        </w:tc>
        <w:tc>
          <w:tcPr>
            <w:tcW w:w="2120" w:type="dxa"/>
            <w:vAlign w:val="bottom"/>
            <w:tcBorders>
              <w:bottom w:val="single" w:sz="8" w:color="auto"/>
            </w:tcBorders>
            <w:gridSpan w:val="12"/>
          </w:tcPr>
          <w:p>
            <w:pPr>
              <w:ind w:left="60"/>
              <w:spacing w:after="0"/>
              <w:rPr>
                <w:sz w:val="20"/>
                <w:szCs w:val="20"/>
                <w:color w:val="auto"/>
              </w:rPr>
            </w:pPr>
            <w:r>
              <w:rPr>
                <w:rFonts w:ascii="Arial" w:cs="Arial" w:eastAsia="Arial" w:hAnsi="Arial"/>
                <w:sz w:val="14"/>
                <w:szCs w:val="14"/>
                <w:color w:val="auto"/>
              </w:rPr>
              <w:t>Income attributable to Credicorp</w:t>
            </w:r>
          </w:p>
        </w:tc>
        <w:tc>
          <w:tcPr>
            <w:tcW w:w="1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720" w:type="dxa"/>
            <w:vAlign w:val="bottom"/>
            <w:gridSpan w:val="20"/>
            <w:vMerge w:val="restart"/>
          </w:tcPr>
          <w:p>
            <w:pPr>
              <w:jc w:val="center"/>
              <w:ind w:right="2600"/>
              <w:spacing w:after="0"/>
              <w:rPr>
                <w:sz w:val="20"/>
                <w:szCs w:val="20"/>
                <w:color w:val="auto"/>
              </w:rPr>
            </w:pPr>
            <w:r>
              <w:rPr>
                <w:rFonts w:ascii="Arial" w:cs="Arial" w:eastAsia="Arial" w:hAnsi="Arial"/>
                <w:sz w:val="14"/>
                <w:szCs w:val="14"/>
                <w:color w:val="auto"/>
              </w:rPr>
              <w:t>Average Assets</w:t>
            </w: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720" w:type="dxa"/>
            <w:vAlign w:val="bottom"/>
            <w:gridSpan w:val="2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Return on average equity (ROE)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Annualized Net</w:t>
            </w:r>
          </w:p>
        </w:tc>
        <w:tc>
          <w:tcPr>
            <w:tcW w:w="2120" w:type="dxa"/>
            <w:vAlign w:val="bottom"/>
            <w:tcBorders>
              <w:bottom w:val="single" w:sz="8" w:color="auto"/>
            </w:tcBorders>
            <w:gridSpan w:val="12"/>
          </w:tcPr>
          <w:p>
            <w:pPr>
              <w:ind w:left="60"/>
              <w:spacing w:after="0"/>
              <w:rPr>
                <w:sz w:val="20"/>
                <w:szCs w:val="20"/>
                <w:color w:val="auto"/>
              </w:rPr>
            </w:pPr>
            <w:r>
              <w:rPr>
                <w:rFonts w:ascii="Arial" w:cs="Arial" w:eastAsia="Arial" w:hAnsi="Arial"/>
                <w:sz w:val="14"/>
                <w:szCs w:val="14"/>
                <w:color w:val="auto"/>
              </w:rPr>
              <w:t>Income attributable to Credicorp</w:t>
            </w:r>
          </w:p>
        </w:tc>
        <w:tc>
          <w:tcPr>
            <w:tcW w:w="1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920" w:type="dxa"/>
            <w:vAlign w:val="bottom"/>
            <w:gridSpan w:val="22"/>
            <w:vMerge w:val="restart"/>
          </w:tcPr>
          <w:p>
            <w:pPr>
              <w:jc w:val="center"/>
              <w:ind w:right="2400"/>
              <w:spacing w:after="0"/>
              <w:rPr>
                <w:sz w:val="20"/>
                <w:szCs w:val="20"/>
                <w:color w:val="auto"/>
              </w:rPr>
            </w:pPr>
            <w:r>
              <w:rPr>
                <w:rFonts w:ascii="Arial" w:cs="Arial" w:eastAsia="Arial" w:hAnsi="Arial"/>
                <w:sz w:val="14"/>
                <w:szCs w:val="14"/>
                <w:color w:val="auto"/>
              </w:rPr>
              <w:t>Average Net Equity</w:t>
            </w: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920" w:type="dxa"/>
            <w:vAlign w:val="bottom"/>
            <w:gridSpan w:val="2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Internal overdue ratio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23"/>
          </w:tcPr>
          <w:p>
            <w:pPr>
              <w:jc w:val="center"/>
              <w:ind w:right="2320"/>
              <w:spacing w:after="0"/>
              <w:rPr>
                <w:sz w:val="20"/>
                <w:szCs w:val="20"/>
                <w:color w:val="auto"/>
              </w:rPr>
            </w:pPr>
            <w:r>
              <w:rPr>
                <w:rFonts w:ascii="Arial" w:cs="Arial" w:eastAsia="Arial" w:hAnsi="Arial"/>
                <w:sz w:val="14"/>
                <w:szCs w:val="14"/>
                <w:color w:val="auto"/>
              </w:rPr>
              <w:t>(Internal overdue loans)</w:t>
            </w:r>
          </w:p>
        </w:tc>
        <w:tc>
          <w:tcPr>
            <w:tcW w:w="0" w:type="dxa"/>
            <w:vAlign w:val="bottom"/>
          </w:tcPr>
          <w:p>
            <w:pPr>
              <w:spacing w:after="0"/>
              <w:rPr>
                <w:sz w:val="1"/>
                <w:szCs w:val="1"/>
                <w:color w:val="auto"/>
              </w:rPr>
            </w:pPr>
          </w:p>
        </w:tc>
      </w:tr>
      <w:tr>
        <w:trPr>
          <w:trHeight w:val="100"/>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gridSpan w:val="8"/>
            <w:vMerge w:val="restart"/>
          </w:tcPr>
          <w:p>
            <w:pPr>
              <w:jc w:val="center"/>
              <w:ind w:right="200"/>
              <w:spacing w:after="0"/>
              <w:rPr>
                <w:sz w:val="20"/>
                <w:szCs w:val="20"/>
                <w:color w:val="auto"/>
              </w:rPr>
            </w:pPr>
            <w:r>
              <w:rPr>
                <w:rFonts w:ascii="Arial" w:cs="Arial" w:eastAsia="Arial" w:hAnsi="Arial"/>
                <w:sz w:val="14"/>
                <w:szCs w:val="14"/>
                <w:color w:val="auto"/>
                <w:w w:val="98"/>
              </w:rPr>
              <w:t>Total Loans</w:t>
            </w:r>
          </w:p>
        </w:tc>
        <w:tc>
          <w:tcPr>
            <w:tcW w:w="2400" w:type="dxa"/>
            <w:vAlign w:val="bottom"/>
            <w:gridSpan w:val="12"/>
            <w:vMerge w:val="restart"/>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20" w:type="dxa"/>
            <w:vAlign w:val="bottom"/>
            <w:gridSpan w:val="8"/>
            <w:vMerge w:val="continue"/>
          </w:tcPr>
          <w:p>
            <w:pPr>
              <w:spacing w:after="0"/>
              <w:rPr>
                <w:sz w:val="7"/>
                <w:szCs w:val="7"/>
                <w:color w:val="auto"/>
              </w:rPr>
            </w:pPr>
          </w:p>
        </w:tc>
        <w:tc>
          <w:tcPr>
            <w:tcW w:w="240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Non – performing loans ratio (NPL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20" w:type="dxa"/>
            <w:vAlign w:val="bottom"/>
            <w:gridSpan w:val="26"/>
          </w:tcPr>
          <w:p>
            <w:pPr>
              <w:jc w:val="center"/>
              <w:ind w:right="1600"/>
              <w:spacing w:after="0"/>
              <w:rPr>
                <w:sz w:val="20"/>
                <w:szCs w:val="20"/>
                <w:color w:val="auto"/>
              </w:rPr>
            </w:pPr>
            <w:r>
              <w:rPr>
                <w:rFonts w:ascii="Arial" w:cs="Arial" w:eastAsia="Arial" w:hAnsi="Arial"/>
                <w:sz w:val="14"/>
                <w:szCs w:val="14"/>
                <w:color w:val="auto"/>
              </w:rPr>
              <w:t>(Internal overdue loans + Refinanced loans)</w:t>
            </w:r>
          </w:p>
        </w:tc>
        <w:tc>
          <w:tcPr>
            <w:tcW w:w="0" w:type="dxa"/>
            <w:vAlign w:val="bottom"/>
          </w:tcPr>
          <w:p>
            <w:pPr>
              <w:spacing w:after="0"/>
              <w:rPr>
                <w:sz w:val="1"/>
                <w:szCs w:val="1"/>
                <w:color w:val="auto"/>
              </w:rPr>
            </w:pPr>
          </w:p>
        </w:tc>
      </w:tr>
      <w:tr>
        <w:trPr>
          <w:trHeight w:val="188"/>
        </w:trPr>
        <w:tc>
          <w:tcPr>
            <w:tcW w:w="12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11"/>
          </w:tcPr>
          <w:p>
            <w:pPr>
              <w:jc w:val="center"/>
              <w:ind w:right="840"/>
              <w:spacing w:after="0"/>
              <w:rPr>
                <w:sz w:val="20"/>
                <w:szCs w:val="20"/>
                <w:color w:val="auto"/>
              </w:rPr>
            </w:pPr>
            <w:r>
              <w:rPr>
                <w:rFonts w:ascii="Arial" w:cs="Arial" w:eastAsia="Arial" w:hAnsi="Arial"/>
                <w:sz w:val="14"/>
                <w:szCs w:val="14"/>
                <w:color w:val="auto"/>
                <w:w w:val="98"/>
              </w:rPr>
              <w:t>Total Loans</w:t>
            </w:r>
          </w:p>
        </w:tc>
        <w:tc>
          <w:tcPr>
            <w:tcW w:w="92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Coverage ratio of internal overdue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23"/>
          </w:tcPr>
          <w:p>
            <w:pPr>
              <w:jc w:val="center"/>
              <w:ind w:right="2320"/>
              <w:spacing w:after="0"/>
              <w:rPr>
                <w:sz w:val="20"/>
                <w:szCs w:val="20"/>
                <w:color w:val="auto"/>
              </w:rPr>
            </w:pPr>
            <w:r>
              <w:rPr>
                <w:rFonts w:ascii="Arial" w:cs="Arial" w:eastAsia="Arial" w:hAnsi="Arial"/>
                <w:sz w:val="14"/>
                <w:szCs w:val="14"/>
                <w:color w:val="auto"/>
              </w:rPr>
              <w:t>Allowance for loans losses</w:t>
            </w:r>
          </w:p>
        </w:tc>
        <w:tc>
          <w:tcPr>
            <w:tcW w:w="0" w:type="dxa"/>
            <w:vAlign w:val="bottom"/>
          </w:tcPr>
          <w:p>
            <w:pPr>
              <w:spacing w:after="0"/>
              <w:rPr>
                <w:sz w:val="1"/>
                <w:szCs w:val="1"/>
                <w:color w:val="auto"/>
              </w:rPr>
            </w:pPr>
          </w:p>
        </w:tc>
      </w:tr>
      <w:tr>
        <w:trPr>
          <w:trHeight w:val="188"/>
        </w:trPr>
        <w:tc>
          <w:tcPr>
            <w:tcW w:w="12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11"/>
          </w:tcPr>
          <w:p>
            <w:pPr>
              <w:jc w:val="center"/>
              <w:ind w:right="80"/>
              <w:spacing w:after="0"/>
              <w:rPr>
                <w:sz w:val="20"/>
                <w:szCs w:val="20"/>
                <w:color w:val="auto"/>
              </w:rPr>
            </w:pPr>
            <w:r>
              <w:rPr>
                <w:rFonts w:ascii="Arial" w:cs="Arial" w:eastAsia="Arial" w:hAnsi="Arial"/>
                <w:sz w:val="14"/>
                <w:szCs w:val="14"/>
                <w:color w:val="auto"/>
              </w:rPr>
              <w:t>Internal overdue loans</w:t>
            </w:r>
          </w:p>
        </w:tc>
        <w:tc>
          <w:tcPr>
            <w:tcW w:w="20" w:type="dxa"/>
            <w:vAlign w:val="bottom"/>
          </w:tcPr>
          <w:p>
            <w:pPr>
              <w:spacing w:after="0"/>
              <w:rPr>
                <w:sz w:val="16"/>
                <w:szCs w:val="16"/>
                <w:color w:val="auto"/>
              </w:rPr>
            </w:pPr>
          </w:p>
        </w:tc>
        <w:tc>
          <w:tcPr>
            <w:tcW w:w="1460" w:type="dxa"/>
            <w:vAlign w:val="bottom"/>
            <w:gridSpan w:val="5"/>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Coverage ratio of non – performing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23"/>
          </w:tcPr>
          <w:p>
            <w:pPr>
              <w:jc w:val="center"/>
              <w:ind w:right="2320"/>
              <w:spacing w:after="0"/>
              <w:rPr>
                <w:sz w:val="20"/>
                <w:szCs w:val="20"/>
                <w:color w:val="auto"/>
              </w:rPr>
            </w:pPr>
            <w:r>
              <w:rPr>
                <w:rFonts w:ascii="Arial" w:cs="Arial" w:eastAsia="Arial" w:hAnsi="Arial"/>
                <w:sz w:val="14"/>
                <w:szCs w:val="14"/>
                <w:color w:val="auto"/>
              </w:rPr>
              <w:t>Allowance for loans losses</w:t>
            </w:r>
          </w:p>
        </w:tc>
        <w:tc>
          <w:tcPr>
            <w:tcW w:w="0" w:type="dxa"/>
            <w:vAlign w:val="bottom"/>
          </w:tcPr>
          <w:p>
            <w:pPr>
              <w:spacing w:after="0"/>
              <w:rPr>
                <w:sz w:val="1"/>
                <w:szCs w:val="1"/>
                <w:color w:val="auto"/>
              </w:rPr>
            </w:pPr>
          </w:p>
        </w:tc>
      </w:tr>
      <w:tr>
        <w:trPr>
          <w:trHeight w:val="188"/>
        </w:trPr>
        <w:tc>
          <w:tcPr>
            <w:tcW w:w="12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11"/>
          </w:tcPr>
          <w:p>
            <w:pPr>
              <w:jc w:val="center"/>
              <w:ind w:right="80"/>
              <w:spacing w:after="0"/>
              <w:rPr>
                <w:sz w:val="20"/>
                <w:szCs w:val="20"/>
                <w:color w:val="auto"/>
              </w:rPr>
            </w:pPr>
            <w:r>
              <w:rPr>
                <w:rFonts w:ascii="Arial" w:cs="Arial" w:eastAsia="Arial" w:hAnsi="Arial"/>
                <w:sz w:val="14"/>
                <w:szCs w:val="14"/>
                <w:color w:val="auto"/>
              </w:rPr>
              <w:t>Non-performing loans</w:t>
            </w:r>
          </w:p>
        </w:tc>
        <w:tc>
          <w:tcPr>
            <w:tcW w:w="20" w:type="dxa"/>
            <w:vAlign w:val="bottom"/>
          </w:tcPr>
          <w:p>
            <w:pPr>
              <w:spacing w:after="0"/>
              <w:rPr>
                <w:sz w:val="16"/>
                <w:szCs w:val="16"/>
                <w:color w:val="auto"/>
              </w:rPr>
            </w:pPr>
          </w:p>
        </w:tc>
        <w:tc>
          <w:tcPr>
            <w:tcW w:w="1460" w:type="dxa"/>
            <w:vAlign w:val="bottom"/>
            <w:gridSpan w:val="5"/>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Cost of risk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00" w:type="dxa"/>
            <w:vAlign w:val="bottom"/>
            <w:gridSpan w:val="30"/>
          </w:tcPr>
          <w:p>
            <w:pPr>
              <w:jc w:val="center"/>
              <w:ind w:right="420"/>
              <w:spacing w:after="0"/>
              <w:rPr>
                <w:sz w:val="20"/>
                <w:szCs w:val="20"/>
                <w:color w:val="auto"/>
              </w:rPr>
            </w:pPr>
            <w:r>
              <w:rPr>
                <w:rFonts w:ascii="Arial" w:cs="Arial" w:eastAsia="Arial" w:hAnsi="Arial"/>
                <w:sz w:val="14"/>
                <w:szCs w:val="14"/>
                <w:color w:val="auto"/>
              </w:rPr>
              <w:t>Annualized provision for credit losses on loans portfolio, net of recoveries</w:t>
            </w:r>
          </w:p>
        </w:tc>
        <w:tc>
          <w:tcPr>
            <w:tcW w:w="0" w:type="dxa"/>
            <w:vAlign w:val="bottom"/>
          </w:tcPr>
          <w:p>
            <w:pPr>
              <w:spacing w:after="0"/>
              <w:rPr>
                <w:sz w:val="1"/>
                <w:szCs w:val="1"/>
                <w:color w:val="auto"/>
              </w:rPr>
            </w:pPr>
          </w:p>
        </w:tc>
      </w:tr>
      <w:tr>
        <w:trPr>
          <w:trHeight w:val="100"/>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80" w:type="dxa"/>
            <w:vAlign w:val="bottom"/>
            <w:tcBorders>
              <w:top w:val="single" w:sz="8" w:color="auto"/>
            </w:tcBorders>
            <w:gridSpan w:val="17"/>
            <w:vMerge w:val="restart"/>
          </w:tcPr>
          <w:p>
            <w:pPr>
              <w:jc w:val="center"/>
              <w:ind w:right="1560"/>
              <w:spacing w:after="0"/>
              <w:rPr>
                <w:sz w:val="20"/>
                <w:szCs w:val="20"/>
                <w:color w:val="auto"/>
              </w:rPr>
            </w:pPr>
            <w:r>
              <w:rPr>
                <w:rFonts w:ascii="Arial" w:cs="Arial" w:eastAsia="Arial" w:hAnsi="Arial"/>
                <w:sz w:val="14"/>
                <w:szCs w:val="14"/>
                <w:color w:val="auto"/>
              </w:rPr>
              <w:t>Average Total Loans</w:t>
            </w:r>
          </w:p>
        </w:tc>
        <w:tc>
          <w:tcPr>
            <w:tcW w:w="840" w:type="dxa"/>
            <w:vAlign w:val="bottom"/>
            <w:gridSpan w:val="5"/>
            <w:vMerge w:val="restart"/>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80" w:type="dxa"/>
            <w:vAlign w:val="bottom"/>
            <w:gridSpan w:val="17"/>
            <w:vMerge w:val="continue"/>
          </w:tcPr>
          <w:p>
            <w:pPr>
              <w:spacing w:after="0"/>
              <w:rPr>
                <w:sz w:val="7"/>
                <w:szCs w:val="7"/>
                <w:color w:val="auto"/>
              </w:rPr>
            </w:pPr>
          </w:p>
        </w:tc>
        <w:tc>
          <w:tcPr>
            <w:tcW w:w="8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20" w:type="dxa"/>
            <w:vAlign w:val="bottom"/>
            <w:gridSpan w:val="32"/>
          </w:tcPr>
          <w:p>
            <w:pPr>
              <w:jc w:val="center"/>
              <w:ind w:right="200"/>
              <w:spacing w:after="0"/>
              <w:rPr>
                <w:sz w:val="20"/>
                <w:szCs w:val="20"/>
                <w:color w:val="auto"/>
              </w:rPr>
            </w:pPr>
            <w:r>
              <w:rPr>
                <w:rFonts w:ascii="Arial" w:cs="Arial" w:eastAsia="Arial" w:hAnsi="Arial"/>
                <w:sz w:val="14"/>
                <w:szCs w:val="14"/>
                <w:color w:val="auto"/>
              </w:rPr>
              <w:t>Salaries and employees benefits + Administrtive expenses + Depreciation and amortization</w:t>
            </w:r>
          </w:p>
        </w:tc>
        <w:tc>
          <w:tcPr>
            <w:tcW w:w="0" w:type="dxa"/>
            <w:vAlign w:val="bottom"/>
          </w:tcPr>
          <w:p>
            <w:pPr>
              <w:spacing w:after="0"/>
              <w:rPr>
                <w:sz w:val="1"/>
                <w:szCs w:val="1"/>
                <w:color w:val="auto"/>
              </w:rPr>
            </w:pPr>
          </w:p>
        </w:tc>
      </w:tr>
      <w:tr>
        <w:trPr>
          <w:trHeight w:val="119"/>
        </w:trPr>
        <w:tc>
          <w:tcPr>
            <w:tcW w:w="120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720" w:type="dxa"/>
            <w:vAlign w:val="bottom"/>
            <w:gridSpan w:val="26"/>
            <w:vMerge w:val="restart"/>
          </w:tcPr>
          <w:p>
            <w:pPr>
              <w:jc w:val="center"/>
              <w:ind w:right="1600"/>
              <w:spacing w:after="0"/>
              <w:rPr>
                <w:sz w:val="20"/>
                <w:szCs w:val="20"/>
                <w:color w:val="auto"/>
              </w:rPr>
            </w:pPr>
            <w:r>
              <w:rPr>
                <w:rFonts w:ascii="Arial" w:cs="Arial" w:eastAsia="Arial" w:hAnsi="Arial"/>
                <w:sz w:val="14"/>
                <w:szCs w:val="14"/>
                <w:color w:val="auto"/>
              </w:rPr>
              <w:t>+ Association in participation + Acquisition cost</w:t>
            </w:r>
          </w:p>
        </w:tc>
        <w:tc>
          <w:tcPr>
            <w:tcW w:w="0" w:type="dxa"/>
            <w:vAlign w:val="bottom"/>
          </w:tcPr>
          <w:p>
            <w:pPr>
              <w:spacing w:after="0"/>
              <w:rPr>
                <w:sz w:val="1"/>
                <w:szCs w:val="1"/>
                <w:color w:val="auto"/>
              </w:rPr>
            </w:pPr>
          </w:p>
        </w:tc>
      </w:tr>
      <w:tr>
        <w:trPr>
          <w:trHeight w:val="75"/>
        </w:trPr>
        <w:tc>
          <w:tcPr>
            <w:tcW w:w="1200" w:type="dxa"/>
            <w:vAlign w:val="bottom"/>
            <w:tcBorders>
              <w:righ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720" w:type="dxa"/>
            <w:vAlign w:val="bottom"/>
            <w:gridSpan w:val="2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200" w:type="dxa"/>
            <w:vAlign w:val="bottom"/>
            <w:tcBorders>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gridSpan w:val="31"/>
          </w:tcPr>
          <w:p>
            <w:pPr>
              <w:jc w:val="center"/>
              <w:ind w:right="300"/>
              <w:spacing w:after="0"/>
              <w:rPr>
                <w:sz w:val="20"/>
                <w:szCs w:val="20"/>
                <w:color w:val="auto"/>
              </w:rPr>
            </w:pPr>
            <w:r>
              <w:rPr>
                <w:rFonts w:ascii="Arial" w:cs="Arial" w:eastAsia="Arial" w:hAnsi="Arial"/>
                <w:sz w:val="14"/>
                <w:szCs w:val="14"/>
                <w:color w:val="auto"/>
              </w:rPr>
              <w:t>Net interest, similar income, and expenses + Fee income + Net gain on foreign exchange</w:t>
            </w:r>
          </w:p>
        </w:tc>
        <w:tc>
          <w:tcPr>
            <w:tcW w:w="0" w:type="dxa"/>
            <w:vAlign w:val="bottom"/>
          </w:tcPr>
          <w:p>
            <w:pPr>
              <w:spacing w:after="0"/>
              <w:rPr>
                <w:sz w:val="1"/>
                <w:szCs w:val="1"/>
                <w:color w:val="auto"/>
              </w:rPr>
            </w:pPr>
          </w:p>
        </w:tc>
      </w:tr>
      <w:tr>
        <w:trPr>
          <w:trHeight w:val="162"/>
        </w:trPr>
        <w:tc>
          <w:tcPr>
            <w:tcW w:w="120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20" w:type="dxa"/>
            <w:vAlign w:val="bottom"/>
            <w:gridSpan w:val="20"/>
          </w:tcPr>
          <w:p>
            <w:pPr>
              <w:jc w:val="center"/>
              <w:ind w:right="2600"/>
              <w:spacing w:after="0"/>
              <w:rPr>
                <w:sz w:val="20"/>
                <w:szCs w:val="20"/>
                <w:color w:val="auto"/>
              </w:rPr>
            </w:pPr>
            <w:r>
              <w:rPr>
                <w:rFonts w:ascii="Arial" w:cs="Arial" w:eastAsia="Arial" w:hAnsi="Arial"/>
                <w:sz w:val="14"/>
                <w:szCs w:val="14"/>
                <w:color w:val="auto"/>
              </w:rPr>
              <w:t>transactions</w:t>
            </w:r>
          </w:p>
        </w:tc>
        <w:tc>
          <w:tcPr>
            <w:tcW w:w="0" w:type="dxa"/>
            <w:vAlign w:val="bottom"/>
          </w:tcPr>
          <w:p>
            <w:pPr>
              <w:spacing w:after="0"/>
              <w:rPr>
                <w:sz w:val="1"/>
                <w:szCs w:val="1"/>
                <w:color w:val="auto"/>
              </w:rPr>
            </w:pPr>
          </w:p>
        </w:tc>
      </w:tr>
      <w:tr>
        <w:trPr>
          <w:trHeight w:val="119"/>
        </w:trPr>
        <w:tc>
          <w:tcPr>
            <w:tcW w:w="120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200" w:type="dxa"/>
            <w:vAlign w:val="bottom"/>
            <w:gridSpan w:val="33"/>
            <w:vMerge w:val="restart"/>
          </w:tcPr>
          <w:p>
            <w:pPr>
              <w:jc w:val="center"/>
              <w:ind w:right="120"/>
              <w:spacing w:after="0"/>
              <w:rPr>
                <w:sz w:val="20"/>
                <w:szCs w:val="20"/>
                <w:color w:val="auto"/>
              </w:rPr>
            </w:pPr>
            <w:r>
              <w:rPr>
                <w:rFonts w:ascii="Arial" w:cs="Arial" w:eastAsia="Arial" w:hAnsi="Arial"/>
                <w:sz w:val="14"/>
                <w:szCs w:val="14"/>
                <w:color w:val="auto"/>
              </w:rPr>
              <w:t>+ Net gain from associates + Net gain on derivatives held for trading + Net gain from echange</w:t>
            </w:r>
          </w:p>
        </w:tc>
        <w:tc>
          <w:tcPr>
            <w:tcW w:w="0" w:type="dxa"/>
            <w:vAlign w:val="bottom"/>
          </w:tcPr>
          <w:p>
            <w:pPr>
              <w:spacing w:after="0"/>
              <w:rPr>
                <w:sz w:val="1"/>
                <w:szCs w:val="1"/>
                <w:color w:val="auto"/>
              </w:rPr>
            </w:pPr>
          </w:p>
        </w:tc>
      </w:tr>
      <w:tr>
        <w:trPr>
          <w:trHeight w:val="43"/>
        </w:trPr>
        <w:tc>
          <w:tcPr>
            <w:tcW w:w="1200" w:type="dxa"/>
            <w:vAlign w:val="bottom"/>
            <w:tcBorders>
              <w:right w:val="single" w:sz="8" w:color="auto"/>
            </w:tcBorders>
          </w:tcPr>
          <w:p>
            <w:pPr>
              <w:spacing w:after="0"/>
              <w:rPr>
                <w:sz w:val="3"/>
                <w:szCs w:val="3"/>
                <w:color w:val="auto"/>
              </w:rPr>
            </w:pPr>
          </w:p>
        </w:tc>
        <w:tc>
          <w:tcPr>
            <w:tcW w:w="26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0" w:type="dxa"/>
            <w:vAlign w:val="bottom"/>
            <w:gridSpan w:val="3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2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19"/>
          </w:tcPr>
          <w:p>
            <w:pPr>
              <w:jc w:val="center"/>
              <w:ind w:right="2820"/>
              <w:spacing w:after="0"/>
              <w:rPr>
                <w:sz w:val="20"/>
                <w:szCs w:val="20"/>
                <w:color w:val="auto"/>
              </w:rPr>
            </w:pPr>
            <w:r>
              <w:rPr>
                <w:rFonts w:ascii="Arial" w:cs="Arial" w:eastAsia="Arial" w:hAnsi="Arial"/>
                <w:sz w:val="14"/>
                <w:szCs w:val="14"/>
                <w:color w:val="auto"/>
              </w:rPr>
              <w:t>differences</w:t>
            </w:r>
          </w:p>
        </w:tc>
        <w:tc>
          <w:tcPr>
            <w:tcW w:w="0" w:type="dxa"/>
            <w:vAlign w:val="bottom"/>
          </w:tcPr>
          <w:p>
            <w:pPr>
              <w:spacing w:after="0"/>
              <w:rPr>
                <w:sz w:val="1"/>
                <w:szCs w:val="1"/>
                <w:color w:val="auto"/>
              </w:rPr>
            </w:pPr>
          </w:p>
        </w:tc>
      </w:tr>
      <w:tr>
        <w:trPr>
          <w:trHeight w:val="35"/>
        </w:trPr>
        <w:tc>
          <w:tcPr>
            <w:tcW w:w="1200" w:type="dxa"/>
            <w:vAlign w:val="bottom"/>
            <w:tcBorders>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20" w:type="dxa"/>
            <w:vAlign w:val="bottom"/>
            <w:gridSpan w:val="32"/>
          </w:tcPr>
          <w:p>
            <w:pPr>
              <w:jc w:val="center"/>
              <w:ind w:right="200"/>
              <w:spacing w:after="0"/>
              <w:rPr>
                <w:sz w:val="20"/>
                <w:szCs w:val="20"/>
                <w:color w:val="auto"/>
              </w:rPr>
            </w:pPr>
            <w:r>
              <w:rPr>
                <w:rFonts w:ascii="Arial" w:cs="Arial" w:eastAsia="Arial" w:hAnsi="Arial"/>
                <w:sz w:val="14"/>
                <w:szCs w:val="14"/>
                <w:color w:val="auto"/>
              </w:rPr>
              <w:t>Salaries and employee benefits + Administrative expenses + Depreciation and amortization +</w:t>
            </w:r>
          </w:p>
        </w:tc>
        <w:tc>
          <w:tcPr>
            <w:tcW w:w="0" w:type="dxa"/>
            <w:vAlign w:val="bottom"/>
          </w:tcPr>
          <w:p>
            <w:pPr>
              <w:spacing w:after="0"/>
              <w:rPr>
                <w:sz w:val="1"/>
                <w:szCs w:val="1"/>
                <w:color w:val="auto"/>
              </w:rPr>
            </w:pPr>
          </w:p>
        </w:tc>
      </w:tr>
      <w:tr>
        <w:trPr>
          <w:trHeight w:val="142"/>
        </w:trPr>
        <w:tc>
          <w:tcPr>
            <w:tcW w:w="1200" w:type="dxa"/>
            <w:vAlign w:val="bottom"/>
            <w:tcBorders>
              <w:right w:val="single" w:sz="8" w:color="auto"/>
            </w:tcBorders>
          </w:tcPr>
          <w:p>
            <w:pPr>
              <w:spacing w:after="0"/>
              <w:rPr>
                <w:sz w:val="12"/>
                <w:szCs w:val="12"/>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Efficiency ratio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14"/>
          </w:tcPr>
          <w:p>
            <w:pPr>
              <w:jc w:val="center"/>
              <w:spacing w:after="0" w:line="142" w:lineRule="exact"/>
              <w:rPr>
                <w:sz w:val="20"/>
                <w:szCs w:val="20"/>
                <w:color w:val="auto"/>
              </w:rPr>
            </w:pPr>
            <w:r>
              <w:rPr>
                <w:rFonts w:ascii="Arial" w:cs="Arial" w:eastAsia="Arial" w:hAnsi="Arial"/>
                <w:sz w:val="14"/>
                <w:szCs w:val="14"/>
                <w:color w:val="auto"/>
              </w:rPr>
              <w:t>Association in participation</w:t>
            </w:r>
          </w:p>
        </w:tc>
        <w:tc>
          <w:tcPr>
            <w:tcW w:w="2100" w:type="dxa"/>
            <w:vAlign w:val="bottom"/>
            <w:tcBorders>
              <w:top w:val="single" w:sz="8" w:color="auto"/>
            </w:tcBorders>
            <w:gridSpan w:val="8"/>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right w:val="single" w:sz="8" w:color="auto"/>
            </w:tcBorders>
          </w:tcPr>
          <w:p>
            <w:pPr>
              <w:spacing w:after="0"/>
              <w:rPr>
                <w:sz w:val="12"/>
                <w:szCs w:val="12"/>
                <w:color w:val="auto"/>
              </w:rPr>
            </w:pPr>
          </w:p>
        </w:tc>
        <w:tc>
          <w:tcPr>
            <w:tcW w:w="264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6"/>
          </w:tcPr>
          <w:p>
            <w:pPr>
              <w:ind w:left="260"/>
              <w:spacing w:after="0" w:line="143" w:lineRule="exact"/>
              <w:rPr>
                <w:sz w:val="20"/>
                <w:szCs w:val="20"/>
                <w:color w:val="auto"/>
              </w:rPr>
            </w:pPr>
            <w:r>
              <w:rPr>
                <w:rFonts w:ascii="Arial" w:cs="Arial" w:eastAsia="Arial" w:hAnsi="Arial"/>
                <w:sz w:val="14"/>
                <w:szCs w:val="14"/>
                <w:color w:val="auto"/>
                <w:w w:val="94"/>
              </w:rPr>
              <w:t>Net interest, similar income</w:t>
            </w:r>
          </w:p>
        </w:tc>
        <w:tc>
          <w:tcPr>
            <w:tcW w:w="4020" w:type="dxa"/>
            <w:vAlign w:val="bottom"/>
            <w:gridSpan w:val="24"/>
          </w:tcPr>
          <w:p>
            <w:pPr>
              <w:ind w:left="140"/>
              <w:spacing w:after="0" w:line="143" w:lineRule="exact"/>
              <w:rPr>
                <w:sz w:val="20"/>
                <w:szCs w:val="20"/>
                <w:color w:val="auto"/>
              </w:rPr>
            </w:pPr>
            <w:r>
              <w:rPr>
                <w:rFonts w:ascii="Arial" w:cs="Arial" w:eastAsia="Arial" w:hAnsi="Arial"/>
                <w:sz w:val="14"/>
                <w:szCs w:val="14"/>
                <w:color w:val="auto"/>
              </w:rPr>
              <w:t>and expenses + Fee Income + Net gain on foreign</w:t>
            </w:r>
          </w:p>
        </w:tc>
        <w:tc>
          <w:tcPr>
            <w:tcW w:w="0" w:type="dxa"/>
            <w:vAlign w:val="bottom"/>
          </w:tcPr>
          <w:p>
            <w:pPr>
              <w:spacing w:after="0"/>
              <w:rPr>
                <w:sz w:val="1"/>
                <w:szCs w:val="1"/>
                <w:color w:val="auto"/>
              </w:rPr>
            </w:pPr>
          </w:p>
        </w:tc>
      </w:tr>
      <w:tr>
        <w:trPr>
          <w:trHeight w:val="162"/>
        </w:trPr>
        <w:tc>
          <w:tcPr>
            <w:tcW w:w="120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20" w:type="dxa"/>
            <w:vAlign w:val="bottom"/>
            <w:gridSpan w:val="32"/>
          </w:tcPr>
          <w:p>
            <w:pPr>
              <w:jc w:val="center"/>
              <w:ind w:right="200"/>
              <w:spacing w:after="0"/>
              <w:rPr>
                <w:sz w:val="20"/>
                <w:szCs w:val="20"/>
                <w:color w:val="auto"/>
              </w:rPr>
            </w:pPr>
            <w:r>
              <w:rPr>
                <w:rFonts w:ascii="Arial" w:cs="Arial" w:eastAsia="Arial" w:hAnsi="Arial"/>
                <w:sz w:val="14"/>
                <w:szCs w:val="14"/>
                <w:color w:val="auto"/>
              </w:rPr>
              <w:t>exchange transactions + Net gain from associates + Net gain on derivatives held for trading</w:t>
            </w:r>
          </w:p>
        </w:tc>
        <w:tc>
          <w:tcPr>
            <w:tcW w:w="0" w:type="dxa"/>
            <w:vAlign w:val="bottom"/>
          </w:tcPr>
          <w:p>
            <w:pPr>
              <w:spacing w:after="0"/>
              <w:rPr>
                <w:sz w:val="1"/>
                <w:szCs w:val="1"/>
                <w:color w:val="auto"/>
              </w:rPr>
            </w:pPr>
          </w:p>
        </w:tc>
      </w:tr>
      <w:tr>
        <w:trPr>
          <w:trHeight w:val="194"/>
        </w:trPr>
        <w:tc>
          <w:tcPr>
            <w:tcW w:w="12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00" w:type="dxa"/>
            <w:vAlign w:val="bottom"/>
            <w:gridSpan w:val="27"/>
          </w:tcPr>
          <w:p>
            <w:pPr>
              <w:jc w:val="center"/>
              <w:ind w:right="1020"/>
              <w:spacing w:after="0"/>
              <w:rPr>
                <w:sz w:val="20"/>
                <w:szCs w:val="20"/>
                <w:color w:val="auto"/>
              </w:rPr>
            </w:pPr>
            <w:r>
              <w:rPr>
                <w:rFonts w:ascii="Arial" w:cs="Arial" w:eastAsia="Arial" w:hAnsi="Arial"/>
                <w:sz w:val="14"/>
                <w:szCs w:val="14"/>
                <w:color w:val="auto"/>
              </w:rPr>
              <w:t>+ Result on exchange differences + Insurance Underwriting Result</w:t>
            </w:r>
          </w:p>
        </w:tc>
        <w:tc>
          <w:tcPr>
            <w:tcW w:w="0" w:type="dxa"/>
            <w:vAlign w:val="bottom"/>
          </w:tcPr>
          <w:p>
            <w:pPr>
              <w:spacing w:after="0"/>
              <w:rPr>
                <w:sz w:val="1"/>
                <w:szCs w:val="1"/>
                <w:color w:val="auto"/>
              </w:rPr>
            </w:pPr>
          </w:p>
        </w:tc>
      </w:tr>
      <w:tr>
        <w:trPr>
          <w:trHeight w:val="35"/>
        </w:trPr>
        <w:tc>
          <w:tcPr>
            <w:tcW w:w="1200" w:type="dxa"/>
            <w:vAlign w:val="bottom"/>
            <w:tcBorders>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Liquidity Coverage ratio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gridSpan w:val="31"/>
          </w:tcPr>
          <w:p>
            <w:pPr>
              <w:jc w:val="center"/>
              <w:ind w:right="300"/>
              <w:spacing w:after="0"/>
              <w:rPr>
                <w:sz w:val="20"/>
                <w:szCs w:val="20"/>
                <w:color w:val="auto"/>
              </w:rPr>
            </w:pPr>
            <w:r>
              <w:rPr>
                <w:rFonts w:ascii="Arial" w:cs="Arial" w:eastAsia="Arial" w:hAnsi="Arial"/>
                <w:sz w:val="14"/>
                <w:szCs w:val="14"/>
                <w:color w:val="auto"/>
              </w:rPr>
              <w:t xml:space="preserve">Total High Quality Liquid Assets + Min(Total Inflow </w:t>
            </w:r>
            <w:r>
              <w:rPr>
                <w:rFonts w:ascii="Arial" w:cs="Arial" w:eastAsia="Arial" w:hAnsi="Arial"/>
                <w:sz w:val="11"/>
                <w:szCs w:val="11"/>
                <w:color w:val="auto"/>
              </w:rPr>
              <w:t>30 days</w:t>
            </w:r>
            <w:r>
              <w:rPr>
                <w:rFonts w:ascii="Arial" w:cs="Arial" w:eastAsia="Arial" w:hAnsi="Arial"/>
                <w:sz w:val="14"/>
                <w:szCs w:val="14"/>
                <w:color w:val="auto"/>
              </w:rPr>
              <w:t xml:space="preserve">; 75% * Total Outflow </w:t>
            </w:r>
            <w:r>
              <w:rPr>
                <w:rFonts w:ascii="Arial" w:cs="Arial" w:eastAsia="Arial" w:hAnsi="Arial"/>
                <w:sz w:val="11"/>
                <w:szCs w:val="11"/>
                <w:color w:val="auto"/>
              </w:rPr>
              <w:t>30 days</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500" w:type="dxa"/>
            <w:vAlign w:val="bottom"/>
            <w:tcBorders>
              <w:top w:val="single" w:sz="8" w:color="auto"/>
            </w:tcBorders>
            <w:gridSpan w:val="18"/>
            <w:vMerge w:val="restart"/>
          </w:tcPr>
          <w:p>
            <w:pPr>
              <w:jc w:val="center"/>
              <w:ind w:right="1980"/>
              <w:spacing w:after="0"/>
              <w:rPr>
                <w:sz w:val="20"/>
                <w:szCs w:val="20"/>
                <w:color w:val="auto"/>
              </w:rPr>
            </w:pPr>
            <w:r>
              <w:rPr>
                <w:rFonts w:ascii="Arial" w:cs="Arial" w:eastAsia="Arial" w:hAnsi="Arial"/>
                <w:sz w:val="14"/>
                <w:szCs w:val="14"/>
                <w:color w:val="auto"/>
              </w:rPr>
              <w:t xml:space="preserve">Total Outflow </w:t>
            </w:r>
            <w:r>
              <w:rPr>
                <w:rFonts w:ascii="Arial" w:cs="Arial" w:eastAsia="Arial" w:hAnsi="Arial"/>
                <w:sz w:val="11"/>
                <w:szCs w:val="11"/>
                <w:color w:val="auto"/>
              </w:rPr>
              <w:t>30 days</w:t>
            </w:r>
          </w:p>
        </w:tc>
        <w:tc>
          <w:tcPr>
            <w:tcW w:w="42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18"/>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Regulatory Capital ratio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rPr>
              <w:t>Regulatory Capital</w:t>
            </w:r>
          </w:p>
        </w:tc>
        <w:tc>
          <w:tcPr>
            <w:tcW w:w="2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920" w:type="dxa"/>
            <w:vAlign w:val="bottom"/>
            <w:gridSpan w:val="22"/>
            <w:vMerge w:val="restart"/>
          </w:tcPr>
          <w:p>
            <w:pPr>
              <w:jc w:val="center"/>
              <w:ind w:right="2400"/>
              <w:spacing w:after="0"/>
              <w:rPr>
                <w:sz w:val="20"/>
                <w:szCs w:val="20"/>
                <w:color w:val="auto"/>
              </w:rPr>
            </w:pPr>
            <w:r>
              <w:rPr>
                <w:rFonts w:ascii="Arial" w:cs="Arial" w:eastAsia="Arial" w:hAnsi="Arial"/>
                <w:sz w:val="14"/>
                <w:szCs w:val="14"/>
                <w:color w:val="auto"/>
              </w:rPr>
              <w:t>(Risk -weighted assets)</w:t>
            </w: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920" w:type="dxa"/>
            <w:vAlign w:val="bottom"/>
            <w:gridSpan w:val="2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Tier 1 ratio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gridSpan w:val="3"/>
          </w:tcPr>
          <w:p>
            <w:pPr>
              <w:jc w:val="center"/>
              <w:spacing w:after="0" w:line="195" w:lineRule="exact"/>
              <w:rPr>
                <w:sz w:val="20"/>
                <w:szCs w:val="20"/>
                <w:color w:val="auto"/>
              </w:rPr>
            </w:pPr>
            <w:r>
              <w:rPr>
                <w:rFonts w:ascii="Arial" w:cs="Arial" w:eastAsia="Arial" w:hAnsi="Arial"/>
                <w:sz w:val="14"/>
                <w:szCs w:val="14"/>
                <w:color w:val="auto"/>
                <w:w w:val="96"/>
              </w:rPr>
              <w:t>Tier 1</w:t>
            </w:r>
            <w:r>
              <w:rPr>
                <w:rFonts w:ascii="Arial" w:cs="Arial" w:eastAsia="Arial" w:hAnsi="Arial"/>
                <w:sz w:val="22"/>
                <w:szCs w:val="22"/>
                <w:color w:val="auto"/>
                <w:w w:val="96"/>
                <w:vertAlign w:val="superscript"/>
              </w:rPr>
              <w:t>(2)</w:t>
            </w:r>
          </w:p>
        </w:tc>
        <w:tc>
          <w:tcPr>
            <w:tcW w:w="29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20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920" w:type="dxa"/>
            <w:vAlign w:val="bottom"/>
            <w:gridSpan w:val="22"/>
            <w:vMerge w:val="restart"/>
          </w:tcPr>
          <w:p>
            <w:pPr>
              <w:jc w:val="center"/>
              <w:ind w:right="2400"/>
              <w:spacing w:after="0"/>
              <w:rPr>
                <w:sz w:val="20"/>
                <w:szCs w:val="20"/>
                <w:color w:val="auto"/>
              </w:rPr>
            </w:pPr>
            <w:r>
              <w:rPr>
                <w:rFonts w:ascii="Arial" w:cs="Arial" w:eastAsia="Arial" w:hAnsi="Arial"/>
                <w:sz w:val="14"/>
                <w:szCs w:val="14"/>
                <w:color w:val="auto"/>
              </w:rPr>
              <w:t>Risk -weighted assets</w:t>
            </w:r>
          </w:p>
        </w:tc>
        <w:tc>
          <w:tcPr>
            <w:tcW w:w="0" w:type="dxa"/>
            <w:vAlign w:val="bottom"/>
          </w:tcPr>
          <w:p>
            <w:pPr>
              <w:spacing w:after="0"/>
              <w:rPr>
                <w:sz w:val="1"/>
                <w:szCs w:val="1"/>
                <w:color w:val="auto"/>
              </w:rPr>
            </w:pPr>
          </w:p>
        </w:tc>
      </w:tr>
      <w:tr>
        <w:trPr>
          <w:trHeight w:val="88"/>
        </w:trPr>
        <w:tc>
          <w:tcPr>
            <w:tcW w:w="1200" w:type="dxa"/>
            <w:vAlign w:val="bottom"/>
            <w:tcBorders>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920" w:type="dxa"/>
            <w:vAlign w:val="bottom"/>
            <w:gridSpan w:val="2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00" w:type="dxa"/>
            <w:vAlign w:val="bottom"/>
            <w:tcBorders>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 xml:space="preserve">Common Equity Tier 1 ratio </w:t>
            </w:r>
            <w:r>
              <w:rPr>
                <w:rFonts w:ascii="Arial" w:cs="Arial" w:eastAsia="Arial" w:hAnsi="Arial"/>
                <w:sz w:val="23"/>
                <w:szCs w:val="23"/>
                <w:b w:val="1"/>
                <w:bCs w:val="1"/>
                <w:color w:val="auto"/>
                <w:vertAlign w:val="superscript"/>
              </w:rPr>
              <w:t>(3)</w:t>
            </w:r>
          </w:p>
        </w:tc>
        <w:tc>
          <w:tcPr>
            <w:tcW w:w="100" w:type="dxa"/>
            <w:vAlign w:val="bottom"/>
          </w:tcPr>
          <w:p>
            <w:pPr>
              <w:spacing w:after="0"/>
              <w:rPr>
                <w:sz w:val="17"/>
                <w:szCs w:val="17"/>
                <w:color w:val="auto"/>
              </w:rPr>
            </w:pPr>
          </w:p>
        </w:tc>
        <w:tc>
          <w:tcPr>
            <w:tcW w:w="6200" w:type="dxa"/>
            <w:vAlign w:val="bottom"/>
            <w:gridSpan w:val="33"/>
          </w:tcPr>
          <w:p>
            <w:pPr>
              <w:jc w:val="center"/>
              <w:ind w:right="120"/>
              <w:spacing w:after="0" w:line="195" w:lineRule="exact"/>
              <w:rPr>
                <w:sz w:val="20"/>
                <w:szCs w:val="20"/>
                <w:color w:val="auto"/>
              </w:rPr>
            </w:pPr>
            <w:r>
              <w:rPr>
                <w:rFonts w:ascii="Arial" w:cs="Arial" w:eastAsia="Arial" w:hAnsi="Arial"/>
                <w:sz w:val="14"/>
                <w:szCs w:val="14"/>
                <w:color w:val="auto"/>
              </w:rPr>
              <w:t xml:space="preserve">Capital+Reserves -100% of applicable deductions </w:t>
            </w:r>
            <w:r>
              <w:rPr>
                <w:rFonts w:ascii="Arial" w:cs="Arial" w:eastAsia="Arial" w:hAnsi="Arial"/>
                <w:sz w:val="22"/>
                <w:szCs w:val="22"/>
                <w:color w:val="auto"/>
                <w:vertAlign w:val="superscript"/>
              </w:rPr>
              <w:t>(4)</w:t>
            </w:r>
            <w:r>
              <w:rPr>
                <w:rFonts w:ascii="Arial" w:cs="Arial" w:eastAsia="Arial" w:hAnsi="Arial"/>
                <w:sz w:val="14"/>
                <w:szCs w:val="14"/>
                <w:color w:val="auto"/>
              </w:rPr>
              <w:t xml:space="preserve"> + Retained Earnings+Unrealized gains or</w:t>
            </w:r>
          </w:p>
        </w:tc>
        <w:tc>
          <w:tcPr>
            <w:tcW w:w="0" w:type="dxa"/>
            <w:vAlign w:val="bottom"/>
          </w:tcPr>
          <w:p>
            <w:pPr>
              <w:spacing w:after="0"/>
              <w:rPr>
                <w:sz w:val="1"/>
                <w:szCs w:val="1"/>
                <w:color w:val="auto"/>
              </w:rPr>
            </w:pPr>
          </w:p>
        </w:tc>
      </w:tr>
      <w:tr>
        <w:trPr>
          <w:trHeight w:val="142"/>
        </w:trPr>
        <w:tc>
          <w:tcPr>
            <w:tcW w:w="1200" w:type="dxa"/>
            <w:vAlign w:val="bottom"/>
            <w:tcBorders>
              <w:right w:val="single" w:sz="8" w:color="auto"/>
            </w:tcBorders>
          </w:tcPr>
          <w:p>
            <w:pPr>
              <w:spacing w:after="0"/>
              <w:rPr>
                <w:sz w:val="12"/>
                <w:szCs w:val="12"/>
                <w:color w:val="auto"/>
              </w:rPr>
            </w:pPr>
          </w:p>
        </w:tc>
        <w:tc>
          <w:tcPr>
            <w:tcW w:w="264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16"/>
          </w:tcPr>
          <w:p>
            <w:pPr>
              <w:jc w:val="center"/>
              <w:ind w:right="2840"/>
              <w:spacing w:after="0" w:line="142"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5"/>
          </w:tcPr>
          <w:p>
            <w:pPr>
              <w:ind w:left="60"/>
              <w:spacing w:after="0"/>
              <w:rPr>
                <w:sz w:val="20"/>
                <w:szCs w:val="20"/>
                <w:color w:val="auto"/>
              </w:rPr>
            </w:pPr>
            <w:r>
              <w:rPr>
                <w:rFonts w:ascii="Arial" w:cs="Arial" w:eastAsia="Arial" w:hAnsi="Arial"/>
                <w:sz w:val="14"/>
                <w:szCs w:val="14"/>
                <w:color w:val="auto"/>
              </w:rPr>
              <w:t>Risk -</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71"/>
              </w:rPr>
              <w:t>weighted</w:t>
            </w:r>
          </w:p>
        </w:tc>
        <w:tc>
          <w:tcPr>
            <w:tcW w:w="2960" w:type="dxa"/>
            <w:vAlign w:val="bottom"/>
            <w:gridSpan w:val="16"/>
          </w:tcPr>
          <w:p>
            <w:pPr>
              <w:ind w:left="80"/>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67" w:hanging="167"/>
        <w:spacing w:after="0"/>
        <w:tabs>
          <w:tab w:leader="none" w:pos="167" w:val="left"/>
        </w:tabs>
        <w:numPr>
          <w:ilvl w:val="0"/>
          <w:numId w:val="66"/>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spacing w:after="0" w:line="11" w:lineRule="exact"/>
        <w:rPr>
          <w:rFonts w:ascii="Arial" w:cs="Arial" w:eastAsia="Arial" w:hAnsi="Arial"/>
          <w:sz w:val="12"/>
          <w:szCs w:val="12"/>
          <w:color w:val="auto"/>
        </w:rPr>
      </w:pPr>
    </w:p>
    <w:p>
      <w:pPr>
        <w:ind w:left="167" w:hanging="167"/>
        <w:spacing w:after="0" w:line="234" w:lineRule="auto"/>
        <w:tabs>
          <w:tab w:leader="none" w:pos="167"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Includes investment in subsidiaries, goodwill, intangibles and deferred tax that rely on future profitability.</w:t>
      </w:r>
    </w:p>
    <w:p>
      <w:pPr>
        <w:ind w:left="7" w:right="20" w:hanging="7"/>
        <w:spacing w:after="0" w:line="234" w:lineRule="auto"/>
        <w:tabs>
          <w:tab w:leader="none" w:pos="182" w:val="left"/>
        </w:tabs>
        <w:numPr>
          <w:ilvl w:val="0"/>
          <w:numId w:val="66"/>
        </w:numPr>
        <w:rPr>
          <w:rFonts w:ascii="Arial" w:cs="Arial" w:eastAsia="Arial" w:hAnsi="Arial"/>
          <w:sz w:val="12"/>
          <w:szCs w:val="12"/>
          <w:color w:val="auto"/>
        </w:rPr>
      </w:pPr>
      <w:r>
        <w:rPr>
          <w:rFonts w:ascii="Arial" w:cs="Arial" w:eastAsia="Arial" w:hAnsi="Arial"/>
          <w:sz w:val="12"/>
          <w:szCs w:val="12"/>
          <w:color w:val="auto"/>
        </w:rPr>
        <w:t>Common Equity Tier 1 = Capital Stock + Reserves + Accumulated earnings – Unrealized profits or losses - 100% deductions (investment in subsidiaries, goodwill, intangible assets and deferred tax assets based on future returns).</w:t>
      </w:r>
    </w:p>
    <w:p>
      <w:pPr>
        <w:ind w:left="167" w:hanging="167"/>
        <w:spacing w:after="0"/>
        <w:tabs>
          <w:tab w:leader="none" w:pos="167"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Includes investment in subsidiaries, goodwill, intangible assets and deferred taxes based on future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819785</wp:posOffset>
            </wp:positionV>
            <wp:extent cx="71577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116840</wp:posOffset>
            </wp:positionV>
            <wp:extent cx="6772275" cy="6000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72275" cy="600075"/>
                    </a:xfrm>
                    <a:prstGeom prst="rect">
                      <a:avLst/>
                    </a:prstGeom>
                    <a:noFill/>
                  </pic:spPr>
                </pic:pic>
              </a:graphicData>
            </a:graphic>
          </wp:anchor>
        </w:drawing>
      </w:r>
    </w:p>
    <w:p>
      <w:pPr>
        <w:sectPr>
          <w:pgSz w:w="11920" w:h="16838" w:orient="portrait"/>
          <w:cols w:equalWidth="0" w:num="1">
            <w:col w:w="11227"/>
          </w:cols>
          <w:pgMar w:left="333" w:top="515" w:right="358" w:bottom="1440" w:gutter="0" w:footer="0" w:header="0"/>
        </w:sectPr>
      </w:pPr>
    </w:p>
    <w:bookmarkStart w:id="74" w:name="page75"/>
    <w:bookmarkEnd w:id="74"/>
    <w:p>
      <w:pPr>
        <w:ind w:left="2700"/>
        <w:spacing w:after="0"/>
        <w:tabs>
          <w:tab w:leader="none" w:pos="2960" w:val="left"/>
          <w:tab w:leader="none" w:pos="9440" w:val="left"/>
        </w:tabs>
        <w:rPr>
          <w:sz w:val="20"/>
          <w:szCs w:val="20"/>
          <w:color w:val="auto"/>
        </w:rPr>
      </w:pPr>
      <w:r>
        <w:rPr>
          <w:rFonts w:ascii="Arial" w:cs="Arial" w:eastAsia="Arial" w:hAnsi="Arial"/>
          <w:sz w:val="20"/>
          <w:szCs w:val="20"/>
          <w:color w:val="A6A6A6"/>
        </w:rPr>
        <w:drawing>
          <wp:anchor simplePos="0" relativeHeight="251657728" behindDoc="1" locked="0" layoutInCell="0" allowOverlap="1">
            <wp:simplePos x="0" y="0"/>
            <wp:positionH relativeFrom="page">
              <wp:posOffset>211455</wp:posOffset>
            </wp:positionH>
            <wp:positionV relativeFrom="page">
              <wp:posOffset>85725</wp:posOffset>
            </wp:positionV>
            <wp:extent cx="7157720" cy="7029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702945"/>
                    </a:xfrm>
                    <a:prstGeom prst="rect">
                      <a:avLst/>
                    </a:prstGeom>
                    <a:noFill/>
                  </pic:spPr>
                </pic:pic>
              </a:graphicData>
            </a:graphic>
          </wp:anchor>
        </w:drawing>
        <w:t>|</w:t>
      </w:r>
      <w:r>
        <w:rPr>
          <w:sz w:val="20"/>
          <w:szCs w:val="20"/>
          <w:color w:val="auto"/>
        </w:rPr>
        <w:tab/>
      </w:r>
      <w:r>
        <w:rPr>
          <w:rFonts w:ascii="Arial" w:cs="Arial" w:eastAsia="Arial" w:hAnsi="Arial"/>
          <w:sz w:val="14"/>
          <w:szCs w:val="14"/>
          <w:color w:val="FFFFFF"/>
        </w:rPr>
        <w:t>Earnings Release 4Q / 2025</w:t>
      </w:r>
      <w:r>
        <w:rPr>
          <w:sz w:val="20"/>
          <w:szCs w:val="20"/>
          <w:color w:val="auto"/>
        </w:rPr>
        <w:tab/>
      </w:r>
      <w:r>
        <w:rPr>
          <w:rFonts w:ascii="Arial" w:cs="Arial" w:eastAsia="Arial" w:hAnsi="Arial"/>
          <w:sz w:val="14"/>
          <w:szCs w:val="14"/>
          <w:color w:val="ED3FA8"/>
        </w:rPr>
        <w:t>4Q25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7720" cy="2228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22288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12. Appendix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12.9. Glossary of terms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600" w:type="dxa"/>
            <w:vAlign w:val="bottom"/>
            <w:tcBorders>
              <w:top w:val="single" w:sz="8" w:color="auto"/>
              <w:left w:val="single" w:sz="8" w:color="auto"/>
              <w:bottom w:val="single" w:sz="8" w:color="auto"/>
              <w:right w:val="single" w:sz="8" w:color="auto"/>
            </w:tcBorders>
            <w:shd w:val="clear" w:color="auto" w:fill="2AD2C9"/>
          </w:tcPr>
          <w:p>
            <w:pPr>
              <w:ind w:left="1680"/>
              <w:spacing w:after="0"/>
              <w:rPr>
                <w:sz w:val="20"/>
                <w:szCs w:val="20"/>
                <w:color w:val="auto"/>
              </w:rPr>
            </w:pPr>
            <w:r>
              <w:rPr>
                <w:rFonts w:ascii="Arial" w:cs="Arial" w:eastAsia="Arial" w:hAnsi="Arial"/>
                <w:sz w:val="14"/>
                <w:szCs w:val="14"/>
                <w:b w:val="1"/>
                <w:bCs w:val="1"/>
                <w:color w:val="FFFFFF"/>
              </w:rPr>
              <w:t>Term</w:t>
            </w:r>
          </w:p>
        </w:tc>
        <w:tc>
          <w:tcPr>
            <w:tcW w:w="7680" w:type="dxa"/>
            <w:vAlign w:val="bottom"/>
            <w:tcBorders>
              <w:top w:val="single" w:sz="8" w:color="auto"/>
              <w:bottom w:val="single" w:sz="8" w:color="auto"/>
              <w:right w:val="single" w:sz="8" w:color="auto"/>
            </w:tcBorders>
            <w:shd w:val="clear" w:color="auto" w:fill="2AD2C9"/>
          </w:tcPr>
          <w:p>
            <w:pPr>
              <w:ind w:left="3540"/>
              <w:spacing w:after="0"/>
              <w:rPr>
                <w:sz w:val="20"/>
                <w:szCs w:val="20"/>
                <w:color w:val="auto"/>
              </w:rPr>
            </w:pPr>
            <w:r>
              <w:rPr>
                <w:rFonts w:ascii="Arial" w:cs="Arial" w:eastAsia="Arial" w:hAnsi="Arial"/>
                <w:sz w:val="14"/>
                <w:szCs w:val="14"/>
                <w:b w:val="1"/>
                <w:bCs w:val="1"/>
                <w:color w:val="FFFFFF"/>
              </w:rPr>
              <w:t>Definition</w:t>
            </w:r>
          </w:p>
        </w:tc>
        <w:tc>
          <w:tcPr>
            <w:tcW w:w="0" w:type="dxa"/>
            <w:vAlign w:val="bottom"/>
          </w:tcPr>
          <w:p>
            <w:pPr>
              <w:spacing w:after="0"/>
              <w:rPr>
                <w:sz w:val="1"/>
                <w:szCs w:val="1"/>
                <w:color w:val="auto"/>
              </w:rPr>
            </w:pPr>
          </w:p>
        </w:tc>
      </w:tr>
      <w:tr>
        <w:trPr>
          <w:trHeight w:val="183"/>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AFP</w:t>
            </w: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Administradora de Fondo de Pensiones or Private Pension Funds Administrators</w:t>
            </w:r>
          </w:p>
        </w:tc>
        <w:tc>
          <w:tcPr>
            <w:tcW w:w="0" w:type="dxa"/>
            <w:vAlign w:val="bottom"/>
          </w:tcPr>
          <w:p>
            <w:pPr>
              <w:spacing w:after="0"/>
              <w:rPr>
                <w:sz w:val="1"/>
                <w:szCs w:val="1"/>
                <w:color w:val="auto"/>
              </w:rPr>
            </w:pPr>
          </w:p>
        </w:tc>
      </w:tr>
      <w:tr>
        <w:trPr>
          <w:trHeight w:val="183"/>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BCRP</w:t>
            </w: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Banco Central de Reserva del Perú or Peruvian Central Bank</w:t>
            </w:r>
          </w:p>
        </w:tc>
        <w:tc>
          <w:tcPr>
            <w:tcW w:w="0" w:type="dxa"/>
            <w:vAlign w:val="bottom"/>
          </w:tcPr>
          <w:p>
            <w:pPr>
              <w:spacing w:after="0"/>
              <w:rPr>
                <w:sz w:val="1"/>
                <w:szCs w:val="1"/>
                <w:color w:val="auto"/>
              </w:rPr>
            </w:pPr>
          </w:p>
        </w:tc>
      </w:tr>
      <w:tr>
        <w:trPr>
          <w:trHeight w:val="183"/>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EAP</w:t>
            </w: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Economically active population</w:t>
            </w:r>
          </w:p>
        </w:tc>
        <w:tc>
          <w:tcPr>
            <w:tcW w:w="0" w:type="dxa"/>
            <w:vAlign w:val="bottom"/>
          </w:tcPr>
          <w:p>
            <w:pPr>
              <w:spacing w:after="0"/>
              <w:rPr>
                <w:sz w:val="1"/>
                <w:szCs w:val="1"/>
                <w:color w:val="auto"/>
              </w:rPr>
            </w:pPr>
          </w:p>
        </w:tc>
      </w:tr>
      <w:tr>
        <w:trPr>
          <w:trHeight w:val="142"/>
        </w:trPr>
        <w:tc>
          <w:tcPr>
            <w:tcW w:w="3600" w:type="dxa"/>
            <w:vAlign w:val="bottom"/>
            <w:tcBorders>
              <w:left w:val="single" w:sz="8" w:color="auto"/>
              <w:right w:val="single" w:sz="8" w:color="auto"/>
            </w:tcBorders>
          </w:tcPr>
          <w:p>
            <w:pPr>
              <w:spacing w:after="0"/>
              <w:rPr>
                <w:sz w:val="12"/>
                <w:szCs w:val="12"/>
                <w:color w:val="auto"/>
              </w:rPr>
            </w:pPr>
          </w:p>
        </w:tc>
        <w:tc>
          <w:tcPr>
            <w:tcW w:w="768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Stock of financially included clients through BCP since 2020. New clients with BCP</w:t>
            </w:r>
          </w:p>
        </w:tc>
        <w:tc>
          <w:tcPr>
            <w:tcW w:w="0" w:type="dxa"/>
            <w:vAlign w:val="bottom"/>
          </w:tcPr>
          <w:p>
            <w:pPr>
              <w:spacing w:after="0"/>
              <w:rPr>
                <w:sz w:val="1"/>
                <w:szCs w:val="1"/>
                <w:color w:val="auto"/>
              </w:rPr>
            </w:pPr>
          </w:p>
        </w:tc>
      </w:tr>
      <w:tr>
        <w:trPr>
          <w:trHeight w:val="162"/>
        </w:trPr>
        <w:tc>
          <w:tcPr>
            <w:tcW w:w="3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Financially Included</w:t>
            </w:r>
          </w:p>
        </w:tc>
        <w:tc>
          <w:tcPr>
            <w:tcW w:w="76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savings accounts or new Yape affiliates that: (i) Do not have debt in the financial system nor other BCP products in the</w:t>
            </w:r>
          </w:p>
        </w:tc>
        <w:tc>
          <w:tcPr>
            <w:tcW w:w="0" w:type="dxa"/>
            <w:vAlign w:val="bottom"/>
          </w:tcPr>
          <w:p>
            <w:pPr>
              <w:spacing w:after="0"/>
              <w:rPr>
                <w:sz w:val="1"/>
                <w:szCs w:val="1"/>
                <w:color w:val="auto"/>
              </w:rPr>
            </w:pPr>
          </w:p>
        </w:tc>
      </w:tr>
      <w:tr>
        <w:trPr>
          <w:trHeight w:val="119"/>
        </w:trPr>
        <w:tc>
          <w:tcPr>
            <w:tcW w:w="3600" w:type="dxa"/>
            <w:vAlign w:val="bottom"/>
            <w:tcBorders>
              <w:left w:val="single" w:sz="8" w:color="auto"/>
              <w:right w:val="single" w:sz="8" w:color="auto"/>
            </w:tcBorders>
            <w:vMerge w:val="continue"/>
          </w:tcPr>
          <w:p>
            <w:pPr>
              <w:spacing w:after="0"/>
              <w:rPr>
                <w:sz w:val="10"/>
                <w:szCs w:val="10"/>
                <w:color w:val="auto"/>
              </w:rPr>
            </w:pPr>
          </w:p>
        </w:tc>
        <w:tc>
          <w:tcPr>
            <w:tcW w:w="7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12 months prior to their inclusion, and (ii) Have performed at least 3 monthly transactions on average through any BCP</w:t>
            </w:r>
          </w:p>
        </w:tc>
        <w:tc>
          <w:tcPr>
            <w:tcW w:w="0" w:type="dxa"/>
            <w:vAlign w:val="bottom"/>
          </w:tcPr>
          <w:p>
            <w:pPr>
              <w:spacing w:after="0"/>
              <w:rPr>
                <w:sz w:val="1"/>
                <w:szCs w:val="1"/>
                <w:color w:val="auto"/>
              </w:rPr>
            </w:pPr>
          </w:p>
        </w:tc>
      </w:tr>
      <w:tr>
        <w:trPr>
          <w:trHeight w:val="43"/>
        </w:trPr>
        <w:tc>
          <w:tcPr>
            <w:tcW w:w="3600" w:type="dxa"/>
            <w:vAlign w:val="bottom"/>
            <w:tcBorders>
              <w:left w:val="single" w:sz="8" w:color="auto"/>
              <w:right w:val="single" w:sz="8" w:color="auto"/>
            </w:tcBorders>
          </w:tcPr>
          <w:p>
            <w:pPr>
              <w:spacing w:after="0"/>
              <w:rPr>
                <w:sz w:val="3"/>
                <w:szCs w:val="3"/>
                <w:color w:val="auto"/>
              </w:rPr>
            </w:pPr>
          </w:p>
        </w:tc>
        <w:tc>
          <w:tcPr>
            <w:tcW w:w="76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600" w:type="dxa"/>
            <w:vAlign w:val="bottom"/>
            <w:tcBorders>
              <w:left w:val="single" w:sz="8" w:color="auto"/>
              <w:bottom w:val="single" w:sz="8" w:color="auto"/>
              <w:right w:val="single" w:sz="8" w:color="auto"/>
            </w:tcBorders>
          </w:tcPr>
          <w:p>
            <w:pPr>
              <w:spacing w:after="0"/>
              <w:rPr>
                <w:sz w:val="15"/>
                <w:szCs w:val="15"/>
                <w:color w:val="auto"/>
              </w:rPr>
            </w:pP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channel in the last 3 months</w:t>
            </w:r>
          </w:p>
        </w:tc>
        <w:tc>
          <w:tcPr>
            <w:tcW w:w="0" w:type="dxa"/>
            <w:vAlign w:val="bottom"/>
          </w:tcPr>
          <w:p>
            <w:pPr>
              <w:spacing w:after="0"/>
              <w:rPr>
                <w:sz w:val="1"/>
                <w:szCs w:val="1"/>
                <w:color w:val="auto"/>
              </w:rPr>
            </w:pPr>
          </w:p>
        </w:tc>
      </w:tr>
      <w:tr>
        <w:trPr>
          <w:trHeight w:val="183"/>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GMV</w:t>
            </w: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Gross Merchant Volume</w:t>
            </w:r>
          </w:p>
        </w:tc>
        <w:tc>
          <w:tcPr>
            <w:tcW w:w="0" w:type="dxa"/>
            <w:vAlign w:val="bottom"/>
          </w:tcPr>
          <w:p>
            <w:pPr>
              <w:spacing w:after="0"/>
              <w:rPr>
                <w:sz w:val="1"/>
                <w:szCs w:val="1"/>
                <w:color w:val="auto"/>
              </w:rPr>
            </w:pPr>
          </w:p>
        </w:tc>
      </w:tr>
      <w:tr>
        <w:trPr>
          <w:trHeight w:val="142"/>
        </w:trPr>
        <w:tc>
          <w:tcPr>
            <w:tcW w:w="3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Government Program Loans (“GP” or “GP Loans”)</w:t>
            </w:r>
          </w:p>
        </w:tc>
        <w:tc>
          <w:tcPr>
            <w:tcW w:w="768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4"/>
                <w:szCs w:val="14"/>
                <w:color w:val="auto"/>
              </w:rPr>
              <w:t>Loan Portfolio related to Reactiva Peru, FAE-Mype and Impulso Myperu programs to respond quickly and effectively to</w:t>
            </w:r>
          </w:p>
        </w:tc>
        <w:tc>
          <w:tcPr>
            <w:tcW w:w="0" w:type="dxa"/>
            <w:vAlign w:val="bottom"/>
          </w:tcPr>
          <w:p>
            <w:pPr>
              <w:spacing w:after="0"/>
              <w:rPr>
                <w:sz w:val="1"/>
                <w:szCs w:val="1"/>
                <w:color w:val="auto"/>
              </w:rPr>
            </w:pPr>
          </w:p>
        </w:tc>
      </w:tr>
      <w:tr>
        <w:trPr>
          <w:trHeight w:val="175"/>
        </w:trPr>
        <w:tc>
          <w:tcPr>
            <w:tcW w:w="36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liquidity needs and maintain the payment chain</w:t>
            </w:r>
          </w:p>
        </w:tc>
        <w:tc>
          <w:tcPr>
            <w:tcW w:w="0" w:type="dxa"/>
            <w:vAlign w:val="bottom"/>
          </w:tcPr>
          <w:p>
            <w:pPr>
              <w:spacing w:after="0"/>
              <w:rPr>
                <w:sz w:val="1"/>
                <w:szCs w:val="1"/>
                <w:color w:val="auto"/>
              </w:rPr>
            </w:pPr>
          </w:p>
        </w:tc>
      </w:tr>
      <w:tr>
        <w:trPr>
          <w:trHeight w:val="183"/>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MAU</w:t>
            </w: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Monthly Active Users</w:t>
            </w:r>
          </w:p>
        </w:tc>
        <w:tc>
          <w:tcPr>
            <w:tcW w:w="0" w:type="dxa"/>
            <w:vAlign w:val="bottom"/>
          </w:tcPr>
          <w:p>
            <w:pPr>
              <w:spacing w:after="0"/>
              <w:rPr>
                <w:sz w:val="1"/>
                <w:szCs w:val="1"/>
                <w:color w:val="auto"/>
              </w:rPr>
            </w:pPr>
          </w:p>
        </w:tc>
      </w:tr>
      <w:tr>
        <w:trPr>
          <w:trHeight w:val="183"/>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MEF</w:t>
            </w: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Ministry of Economy and Finance of Peru</w:t>
            </w:r>
          </w:p>
        </w:tc>
        <w:tc>
          <w:tcPr>
            <w:tcW w:w="0" w:type="dxa"/>
            <w:vAlign w:val="bottom"/>
          </w:tcPr>
          <w:p>
            <w:pPr>
              <w:spacing w:after="0"/>
              <w:rPr>
                <w:sz w:val="1"/>
                <w:szCs w:val="1"/>
                <w:color w:val="auto"/>
              </w:rPr>
            </w:pPr>
          </w:p>
        </w:tc>
      </w:tr>
      <w:tr>
        <w:trPr>
          <w:trHeight w:val="183"/>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TPV</w:t>
            </w:r>
          </w:p>
        </w:tc>
        <w:tc>
          <w:tcPr>
            <w:tcW w:w="7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Total Payment Volume</w:t>
            </w:r>
          </w:p>
        </w:tc>
        <w:tc>
          <w:tcPr>
            <w:tcW w:w="0" w:type="dxa"/>
            <w:vAlign w:val="bottom"/>
          </w:tcPr>
          <w:p>
            <w:pPr>
              <w:spacing w:after="0"/>
              <w:rPr>
                <w:sz w:val="1"/>
                <w:szCs w:val="1"/>
                <w:color w:val="auto"/>
              </w:rPr>
            </w:pPr>
          </w:p>
        </w:tc>
      </w:tr>
      <w:tr>
        <w:trPr>
          <w:trHeight w:val="1364"/>
        </w:trPr>
        <w:tc>
          <w:tcPr>
            <w:tcW w:w="36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-642620</wp:posOffset>
            </wp:positionV>
            <wp:extent cx="6772275" cy="5746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72275" cy="574675"/>
                    </a:xfrm>
                    <a:prstGeom prst="rect">
                      <a:avLst/>
                    </a:prstGeom>
                    <a:noFill/>
                  </pic:spPr>
                </pic:pic>
              </a:graphicData>
            </a:graphic>
          </wp:anchor>
        </w:drawing>
      </w:r>
    </w:p>
    <w:sectPr>
      <w:pgSz w:w="11920" w:h="16838" w:orient="portrait"/>
      <w:cols w:equalWidth="0" w:num="1">
        <w:col w:w="11260"/>
      </w:cols>
      <w:pgMar w:left="340" w:top="515"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o"/>
      <w:numFmt w:val="bullet"/>
      <w:start w:val="1"/>
    </w:lvl>
  </w:abstractNum>
  <w:abstractNum w:abstractNumId="8">
    <w:nsid w:val="7724C67E"/>
    <w:multiLevelType w:val="hybridMultilevel"/>
    <w:lvl w:ilvl="0">
      <w:lvlJc w:val="left"/>
      <w:lvlText w:val="o"/>
      <w:numFmt w:val="bullet"/>
      <w:start w:val="1"/>
    </w:lvl>
    <w:lvl w:ilvl="1">
      <w:lvlJc w:val="left"/>
      <w:lvlText w:val="■"/>
      <w:numFmt w:val="bullet"/>
      <w:start w:val="1"/>
    </w:lvl>
  </w:abstractNum>
  <w:abstractNum w:abstractNumId="9">
    <w:nsid w:val="5C482A97"/>
    <w:multiLevelType w:val="hybridMultilevel"/>
    <w:lvl w:ilvl="0">
      <w:lvlJc w:val="left"/>
      <w:lvlText w:val="o"/>
      <w:numFmt w:val="bullet"/>
      <w:start w:val="1"/>
    </w:lvl>
  </w:abstractNum>
  <w:abstractNum w:abstractNumId="10">
    <w:nsid w:val="2463B9EA"/>
    <w:multiLevelType w:val="hybridMultilevel"/>
    <w:lvl w:ilvl="0">
      <w:lvlJc w:val="left"/>
      <w:lvlText w:val="1"/>
      <w:numFmt w:val="bullet"/>
      <w:start w:val="1"/>
    </w:lvl>
  </w:abstractNum>
  <w:abstractNum w:abstractNumId="11">
    <w:nsid w:val="5E884ADC"/>
    <w:multiLevelType w:val="hybridMultilevel"/>
    <w:lvl w:ilvl="0">
      <w:lvlJc w:val="left"/>
      <w:lvlText w:val="2"/>
      <w:numFmt w:val="bullet"/>
      <w:start w:val="1"/>
    </w:lvl>
  </w:abstractNum>
  <w:abstractNum w:abstractNumId="12">
    <w:nsid w:val="51EAD36B"/>
    <w:multiLevelType w:val="hybridMultilevel"/>
    <w:lvl w:ilvl="0">
      <w:lvlJc w:val="left"/>
      <w:lvlText w:val="3"/>
      <w:numFmt w:val="bullet"/>
      <w:start w:val="1"/>
    </w:lvl>
  </w:abstractNum>
  <w:abstractNum w:abstractNumId="13">
    <w:nsid w:val="2D517796"/>
    <w:multiLevelType w:val="hybridMultilevel"/>
    <w:lvl w:ilvl="0">
      <w:lvlJc w:val="left"/>
      <w:lvlText w:val="1"/>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3"/>
    </w:lvl>
  </w:abstractNum>
  <w:abstractNum w:abstractNumId="21">
    <w:nsid w:val="725A06FB"/>
    <w:multiLevelType w:val="hybridMultilevel"/>
    <w:lvl w:ilvl="0">
      <w:lvlJc w:val="left"/>
      <w:lvlText w:val="%1"/>
      <w:numFmt w:val="decimal"/>
      <w:start w:val="4"/>
    </w:lvl>
  </w:abstractNum>
  <w:abstractNum w:abstractNumId="22">
    <w:nsid w:val="2CD89A32"/>
    <w:multiLevelType w:val="hybridMultilevel"/>
    <w:lvl w:ilvl="0">
      <w:lvlJc w:val="left"/>
      <w:lvlText w:val="1"/>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5"/>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decimal"/>
      <w:start w:val="6"/>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7"/>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
      <w:numFmt w:val="bullet"/>
      <w:start w:val="1"/>
    </w:lvl>
    <w:lvl w:ilvl="1">
      <w:lvlJc w:val="left"/>
      <w:lvlText w:val="•"/>
      <w:numFmt w:val="bullet"/>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lowerRoman"/>
      <w:start w:val="2"/>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2026-02-17T17:16:18Z</dcterms:created>
  <dcterms:modified xsi:type="dcterms:W3CDTF">2026-02-17T17:16:18Z</dcterms:modified>
</cp:coreProperties>
</file>