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February 2020</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 xml:space="preserve">Lima 12, Peru </w:t>
      </w: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7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02" w:right="1440" w:bottom="1440" w:gutter="0" w:footer="0" w:header="0"/>
        </w:sectPr>
      </w:pPr>
    </w:p>
    <w:bookmarkStart w:id="1" w:name="page2"/>
    <w:bookmarkEnd w:id="1"/>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February 27,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Credicorp Ltd. (the ‘Company’) notifies you, as a Material Event, that in its session held on February 27, 2020, the Company’s Board of Directors agreed unanimously on the following matters:</w:t>
      </w:r>
    </w:p>
    <w:p>
      <w:pPr>
        <w:spacing w:after="0" w:line="170" w:lineRule="exact"/>
        <w:rPr>
          <w:sz w:val="20"/>
          <w:szCs w:val="20"/>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Annual Report of the Company for the financial year ended December 31, 2019 that the Chairman will present at the Annual General Meeting of Shareholders on March 27, 2020.</w:t>
      </w:r>
    </w:p>
    <w:p>
      <w:pPr>
        <w:spacing w:after="0" w:line="17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Approved the audited consolidated financial statements of the Company and its subsidiaries, for the financial year ended December 31, 2019, including the report of the external independent auditors Gaveglio, Aparicio y Asociados Sociedad de Responsabilidad Limitada, members of PricewaterhouseCoopers in Peru, to be submitted for evaluation and approval of the Annual General Meeting of Shareholders on March 27, 2020.</w:t>
      </w:r>
    </w:p>
    <w:p>
      <w:pPr>
        <w:spacing w:after="0" w:line="165"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Approved to present for approval to the Annual General Meeting of Shareholders: (i) the list of proposed candidates that will hold office for the period</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2020 – 2023, and (ii) their remuneration. The proposed candidates are:</w:t>
      </w:r>
    </w:p>
    <w:p>
      <w:pPr>
        <w:spacing w:after="0" w:line="9" w:lineRule="exact"/>
        <w:rPr>
          <w:rFonts w:ascii="Arial" w:cs="Arial" w:eastAsia="Arial" w:hAnsi="Arial"/>
          <w:sz w:val="16"/>
          <w:szCs w:val="16"/>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Antonio Abruña Puyol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Maite Aranzábal Harreguy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Fernando Fort Marie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Alexandre Gouvea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Patricia Lizárraga Guthertz</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Raimundo Morales Dasso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Luis Enrique Romero Belismelis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Dionisio Romero Paoletti</w:t>
      </w:r>
    </w:p>
    <w:p>
      <w:pPr>
        <w:spacing w:after="0" w:line="21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recommend for approval to the Annual General Meeting of Shareholders the partial amendment of the Bye-laws, to amend, among other provisions, Bye-law 4.11 with respect to the number of Directors.</w:t>
      </w:r>
    </w:p>
    <w:p>
      <w:pPr>
        <w:spacing w:after="0" w:line="170"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Agreed to recommend (i) the reappointment of Gaveglio, Aparicio y Asociados Sociedad de Responsabilidad Limitada, members of PricewaterhouseCoopers in Peru, as the external independent auditors of the Company and its subsidiaries for the financial year 2020, with the previous authorization of the Audit Committee; and (ii) to confirm the Audit Committee’s approval of the fees for such audit services. The aforementioned agreements will be submitted for consideration at the Annual General Meeting of Shareholders on March 27,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Board of Directors also agreed unanimously the following:</w:t>
      </w:r>
    </w:p>
    <w:p>
      <w:pPr>
        <w:spacing w:after="0" w:line="225" w:lineRule="exact"/>
        <w:rPr>
          <w:sz w:val="20"/>
          <w:szCs w:val="20"/>
          <w:color w:val="auto"/>
        </w:rPr>
      </w:pPr>
    </w:p>
    <w:p>
      <w:pPr>
        <w:jc w:val="both"/>
        <w:ind w:left="34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pay its shareholders a cash dividend of S/2,831,469,510.00 for a total of 94,382,317 outstanding shares, which is equivalent to S/30.0000 per share. The cash dividend will be paid out on May 8, 2020, without withholding tax at source, to shareholders of record on April 13, 2020. The dividend will be paid in US Dollars using the weighted exchange rate registered by the Superintendency of Banks, Insurance and Pension Funds (</w:t>
      </w:r>
      <w:r>
        <w:rPr>
          <w:rFonts w:ascii="Arial" w:cs="Arial" w:eastAsia="Arial" w:hAnsi="Arial"/>
          <w:sz w:val="18"/>
          <w:szCs w:val="18"/>
          <w:i w:val="1"/>
          <w:iCs w:val="1"/>
          <w:color w:val="auto"/>
        </w:rPr>
        <w:t>Superintendencia de</w:t>
      </w:r>
      <w:r>
        <w:rPr>
          <w:rFonts w:ascii="Arial" w:cs="Arial" w:eastAsia="Arial" w:hAnsi="Arial"/>
          <w:sz w:val="18"/>
          <w:szCs w:val="18"/>
          <w:color w:val="auto"/>
        </w:rPr>
        <w:t xml:space="preserve"> </w:t>
      </w:r>
      <w:r>
        <w:rPr>
          <w:rFonts w:ascii="Arial" w:cs="Arial" w:eastAsia="Arial" w:hAnsi="Arial"/>
          <w:sz w:val="18"/>
          <w:szCs w:val="18"/>
          <w:i w:val="1"/>
          <w:iCs w:val="1"/>
          <w:color w:val="auto"/>
        </w:rPr>
        <w:t>Banca, Seguros y AFP</w:t>
      </w:r>
      <w:r>
        <w:rPr>
          <w:rFonts w:ascii="Arial" w:cs="Arial" w:eastAsia="Arial" w:hAnsi="Arial"/>
          <w:sz w:val="18"/>
          <w:szCs w:val="18"/>
          <w:color w:val="auto"/>
        </w:rPr>
        <w:t>) for the transactions at the close of business on May 6, 2020. The US Dollar dividend amount will be rounded up to four decimals.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approved the distribution of dividend according to the Bye-Laws of the Company and considering a total net income attained in the financial year 2019 of S/4,265,303,602.96.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both"/>
        <w:ind w:left="340" w:hanging="332"/>
        <w:spacing w:after="0" w:line="286"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transfer: (i) S/1,279,591,081.00 to restricted special reserves, and (ii) S/697,499,597.67 to special reserves; both amounts resulting from earnings corresponding to fiscal year 2019 (S/4,265,303,602.96). As a result, restricted special reserves will amount to S/14,744,906,847.47, which cannot be used without the authorization of the Superintendency of Banks, Insurance and Pension Fund Managers of Peru.</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1314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27,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lowerLetter"/>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2020-02-28T05:30:43Z</dcterms:created>
  <dcterms:modified xsi:type="dcterms:W3CDTF">2020-02-28T05:30:43Z</dcterms:modified>
</cp:coreProperties>
</file>