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194310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January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206375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ind w:right="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455930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600"/>
          </w:cols>
          <w:pgMar w:left="700" w:top="472" w:right="5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32635"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32635" cy="60007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January 26, 2012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N° 093-2002-EF and CONASEV Resolution for Material Events and Reserved Information and Other Communications number 107-2002-EF/94.10, as modified by CONASEV Resolution number 009-2003-EF/94.10, Credicorp Ltd. complies with notifying you of the following Material Event: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its session held on January 25, 2012, Credicorp’s Board of Directors agreed to set the date for the Annual General Meeting of Shareholders for March 30, 2012, at 3 p.m. (Peruvian time), at the main offices of Banco de Credito del Peru, located at 156 Calle Centenario, Laderas de Melgarejo, in La Molina, Lima, Peru. In accordance with the Company’s By-laws, if the required quorum is not met in the first instance, the meeting will be postponed until April 9, 2012 at the same place and time.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has established that those shareholders who are officially registered as shareholders of the Company as of February 13, 2012 (“Record Date”) will be entitled to attend and vote in the above mentioned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Agenda defined for such meeting will attend to the following matters:</w:t>
      </w:r>
    </w:p>
    <w:p>
      <w:pPr>
        <w:spacing w:after="0" w:line="22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Presentation, by the Chairman of the Board, of the Annual Report for the financial year ended December 31, 2011.</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consider and approve the audited consolidated financial statements of the Company and its subsidiaries for the financial year ended December 31, 2011 including the report of the independent auditors of the Company thereon.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define the remuneration of Directors of the Company and of Directors that perform the role of members or advisors of the Board’s Committees.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appoint the external auditors of the Company to perform such services for the financial year 2012 and to define the fees for such audit services.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-10160</wp:posOffset>
            </wp:positionV>
            <wp:extent cx="761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13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December 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January 26, 2012</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Mario Ferrari</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780"/>
      </w:cols>
      <w:pgMar w:left="240" w:top="1391"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2019-12-09T11:41:49Z</dcterms:created>
  <dcterms:modified xsi:type="dcterms:W3CDTF">2019-12-09T11:41:49Z</dcterms:modified>
</cp:coreProperties>
</file>