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220"/>
        <w:spacing w:after="0"/>
        <w:rPr>
          <w:sz w:val="20"/>
          <w:szCs w:val="20"/>
          <w:color w:val="auto"/>
        </w:rPr>
      </w:pPr>
      <w:r>
        <w:rPr>
          <w:rFonts w:ascii="Arial" w:cs="Arial" w:eastAsia="Arial" w:hAnsi="Arial"/>
          <w:sz w:val="18"/>
          <w:szCs w:val="18"/>
          <w:b w:val="1"/>
          <w:bCs w:val="1"/>
          <w:color w:val="auto"/>
        </w:rPr>
        <w:t>SECURITIES AND EXCHANGE COMMISSION</w:t>
      </w:r>
    </w:p>
    <w:p>
      <w:pPr>
        <w:spacing w:after="0" w:line="27"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FORM 6-K</w:t>
      </w:r>
    </w:p>
    <w:p>
      <w:pPr>
        <w:spacing w:after="0" w:line="229" w:lineRule="exact"/>
        <w:rPr>
          <w:sz w:val="24"/>
          <w:szCs w:val="24"/>
          <w:color w:val="auto"/>
        </w:rPr>
      </w:pPr>
    </w:p>
    <w:p>
      <w:pPr>
        <w:jc w:val="center"/>
        <w:ind w:right="-1220"/>
        <w:spacing w:after="0"/>
        <w:rPr>
          <w:sz w:val="20"/>
          <w:szCs w:val="20"/>
          <w:color w:val="auto"/>
        </w:rPr>
      </w:pPr>
      <w:r>
        <w:rPr>
          <w:rFonts w:ascii="Arial" w:cs="Arial" w:eastAsia="Arial" w:hAnsi="Arial"/>
          <w:sz w:val="18"/>
          <w:szCs w:val="18"/>
          <w:color w:val="auto"/>
        </w:rPr>
        <w:t>Report of Foreign Private Issuer</w:t>
      </w:r>
    </w:p>
    <w:p>
      <w:pPr>
        <w:spacing w:after="0" w:line="23" w:lineRule="exact"/>
        <w:rPr>
          <w:sz w:val="24"/>
          <w:szCs w:val="24"/>
          <w:color w:val="auto"/>
        </w:rPr>
      </w:pPr>
    </w:p>
    <w:p>
      <w:pPr>
        <w:jc w:val="center"/>
        <w:ind w:right="-1220"/>
        <w:spacing w:after="0"/>
        <w:rPr>
          <w:sz w:val="20"/>
          <w:szCs w:val="20"/>
          <w:color w:val="auto"/>
        </w:rPr>
      </w:pPr>
      <w:r>
        <w:rPr>
          <w:rFonts w:ascii="Arial" w:cs="Arial" w:eastAsia="Arial" w:hAnsi="Arial"/>
          <w:sz w:val="18"/>
          <w:szCs w:val="18"/>
          <w:color w:val="auto"/>
        </w:rPr>
        <w:t>Pursuant to Rule 13a-16 or 15d-16 under the</w:t>
      </w:r>
    </w:p>
    <w:p>
      <w:pPr>
        <w:spacing w:after="0" w:line="9" w:lineRule="exact"/>
        <w:rPr>
          <w:sz w:val="24"/>
          <w:szCs w:val="24"/>
          <w:color w:val="auto"/>
        </w:rPr>
      </w:pPr>
    </w:p>
    <w:p>
      <w:pPr>
        <w:jc w:val="center"/>
        <w:ind w:right="-1220"/>
        <w:spacing w:after="0"/>
        <w:rPr>
          <w:sz w:val="20"/>
          <w:szCs w:val="20"/>
          <w:color w:val="auto"/>
        </w:rPr>
      </w:pPr>
      <w:r>
        <w:rPr>
          <w:rFonts w:ascii="Arial" w:cs="Arial" w:eastAsia="Arial" w:hAnsi="Arial"/>
          <w:sz w:val="18"/>
          <w:szCs w:val="18"/>
          <w:color w:val="auto"/>
        </w:rPr>
        <w:t>Securities Exchange Act of 1934</w:t>
      </w:r>
    </w:p>
    <w:p>
      <w:pPr>
        <w:spacing w:after="0" w:line="207"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For the month of September 2014</w:t>
      </w:r>
    </w:p>
    <w:p>
      <w:pPr>
        <w:spacing w:after="0" w:line="229" w:lineRule="exact"/>
        <w:rPr>
          <w:sz w:val="24"/>
          <w:szCs w:val="24"/>
          <w:color w:val="auto"/>
        </w:rPr>
      </w:pPr>
    </w:p>
    <w:p>
      <w:pPr>
        <w:jc w:val="center"/>
        <w:ind w:right="-1220"/>
        <w:spacing w:after="0"/>
        <w:rPr>
          <w:sz w:val="20"/>
          <w:szCs w:val="20"/>
          <w:color w:val="auto"/>
        </w:rPr>
      </w:pPr>
      <w:r>
        <w:rPr>
          <w:rFonts w:ascii="Arial" w:cs="Arial" w:eastAsia="Arial" w:hAnsi="Arial"/>
          <w:sz w:val="18"/>
          <w:szCs w:val="18"/>
          <w:color w:val="auto"/>
        </w:rPr>
        <w:t>Commission File Number: 001-14014</w:t>
      </w:r>
    </w:p>
    <w:p>
      <w:pPr>
        <w:spacing w:after="0" w:line="221"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CREDICORP LTD.</w:t>
      </w:r>
    </w:p>
    <w:p>
      <w:pPr>
        <w:spacing w:after="0" w:line="27" w:lineRule="exact"/>
        <w:rPr>
          <w:sz w:val="24"/>
          <w:szCs w:val="24"/>
          <w:color w:val="auto"/>
        </w:rPr>
      </w:pPr>
    </w:p>
    <w:p>
      <w:pPr>
        <w:jc w:val="center"/>
        <w:ind w:right="-1220"/>
        <w:spacing w:after="0"/>
        <w:rPr>
          <w:sz w:val="20"/>
          <w:szCs w:val="20"/>
          <w:color w:val="auto"/>
        </w:rPr>
      </w:pPr>
      <w:r>
        <w:rPr>
          <w:rFonts w:ascii="Arial" w:cs="Arial" w:eastAsia="Arial" w:hAnsi="Arial"/>
          <w:sz w:val="18"/>
          <w:szCs w:val="18"/>
          <w:color w:val="auto"/>
        </w:rPr>
        <w:t>(Translation of registrant’s name into English))</w:t>
      </w:r>
    </w:p>
    <w:p>
      <w:pPr>
        <w:spacing w:after="0" w:line="207"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Clarendon House</w:t>
      </w:r>
    </w:p>
    <w:p>
      <w:pPr>
        <w:spacing w:after="0" w:line="27"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Church Street</w:t>
      </w:r>
    </w:p>
    <w:p>
      <w:pPr>
        <w:spacing w:after="0" w:line="9"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Hamilton HM 11 Bermuda</w:t>
      </w:r>
    </w:p>
    <w:p>
      <w:pPr>
        <w:spacing w:after="0" w:line="9" w:lineRule="exact"/>
        <w:rPr>
          <w:sz w:val="24"/>
          <w:szCs w:val="24"/>
          <w:color w:val="auto"/>
        </w:rPr>
      </w:pPr>
    </w:p>
    <w:p>
      <w:pPr>
        <w:jc w:val="center"/>
        <w:ind w:right="-1220"/>
        <w:spacing w:after="0"/>
        <w:rPr>
          <w:sz w:val="20"/>
          <w:szCs w:val="20"/>
          <w:color w:val="auto"/>
        </w:rPr>
      </w:pPr>
      <w:r>
        <w:rPr>
          <w:rFonts w:ascii="Arial" w:cs="Arial" w:eastAsia="Arial" w:hAnsi="Arial"/>
          <w:sz w:val="18"/>
          <w:szCs w:val="18"/>
          <w:color w:val="auto"/>
        </w:rPr>
        <w:t>(Address of principal executive office)</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p>
      <w:pPr>
        <w:spacing w:after="0" w:line="193" w:lineRule="exact"/>
        <w:rPr>
          <w:sz w:val="24"/>
          <w:szCs w:val="24"/>
          <w:color w:val="auto"/>
        </w:rPr>
      </w:pPr>
    </w:p>
    <w:p>
      <w:pPr>
        <w:ind w:left="4740"/>
        <w:spacing w:after="0" w:line="207" w:lineRule="exact"/>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rFonts w:ascii="Arial" w:cs="Arial" w:eastAsia="Arial" w:hAnsi="Arial"/>
          <w:sz w:val="18"/>
          <w:szCs w:val="18"/>
          <w:color w:val="auto"/>
        </w:rPr>
        <w:t xml:space="preserve"> Form 40-F</w:t>
      </w:r>
      <w:r>
        <w:rPr>
          <w:rFonts w:ascii="MS PGothic" w:cs="MS PGothic" w:eastAsia="MS PGothic" w:hAnsi="MS PGothic"/>
          <w:sz w:val="18"/>
          <w:szCs w:val="18"/>
          <w:color w:val="auto"/>
        </w:rPr>
        <w:t>☐</w:t>
      </w:r>
    </w:p>
    <w:p>
      <w:pPr>
        <w:spacing w:after="0" w:line="258" w:lineRule="exact"/>
        <w:rPr>
          <w:sz w:val="24"/>
          <w:szCs w:val="24"/>
          <w:color w:val="auto"/>
        </w:rPr>
      </w:pPr>
    </w:p>
    <w:p>
      <w:pPr>
        <w:ind w:left="60"/>
        <w:spacing w:after="0"/>
        <w:rPr>
          <w:sz w:val="20"/>
          <w:szCs w:val="20"/>
          <w:color w:val="auto"/>
        </w:rPr>
      </w:pPr>
      <w:r>
        <w:rPr>
          <w:rFonts w:ascii="Arial" w:cs="Arial" w:eastAsia="Arial" w:hAnsi="Arial"/>
          <w:sz w:val="16"/>
          <w:szCs w:val="16"/>
          <w:color w:val="auto"/>
        </w:rPr>
        <w:t>Indicate by check mark if the registrant is submitting the Form 6-K in paper as permitted by Regulation S-T Rule 101(b)(1): ____</w:t>
      </w:r>
    </w:p>
    <w:p>
      <w:pPr>
        <w:spacing w:after="0" w:line="248" w:lineRule="exact"/>
        <w:rPr>
          <w:sz w:val="24"/>
          <w:szCs w:val="24"/>
          <w:color w:val="auto"/>
        </w:rPr>
      </w:pPr>
    </w:p>
    <w:p>
      <w:pPr>
        <w:ind w:left="60"/>
        <w:spacing w:after="0"/>
        <w:rPr>
          <w:sz w:val="20"/>
          <w:szCs w:val="20"/>
          <w:color w:val="auto"/>
        </w:rPr>
      </w:pPr>
      <w:r>
        <w:rPr>
          <w:rFonts w:ascii="Arial" w:cs="Arial" w:eastAsia="Arial" w:hAnsi="Arial"/>
          <w:sz w:val="16"/>
          <w:szCs w:val="16"/>
          <w:color w:val="auto"/>
        </w:rPr>
        <w:t>Indicate by check mark if the registrant is submitting the Form 6-K in paper as permitted by Regulation S-T Rule 101(b)(7): 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441325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472" w:right="1440"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5346065</wp:posOffset>
            </wp:positionH>
            <wp:positionV relativeFrom="page">
              <wp:posOffset>586105</wp:posOffset>
            </wp:positionV>
            <wp:extent cx="2058035" cy="5746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clrChange>
                        <a:clrFrom>
                          <a:srgbClr val="FFFFFF"/>
                        </a:clrFrom>
                        <a:clrTo>
                          <a:srgbClr val="FFFFFF">
                            <a:alpha val="0"/>
                          </a:srgbClr>
                        </a:clrTo>
                      </a:clrChange>
                      <a:extLst>
                        <a:ext uri="{28A0092B-C50C-407E-A947-70E740481C1C}"/>
                      </a:extLst>
                    </a:blip>
                    <a:srcRect/>
                    <a:stretch>
                      <a:fillRect/>
                    </a:stretch>
                  </pic:blipFill>
                  <pic:spPr bwMode="auto">
                    <a:xfrm>
                      <a:off x="0" y="0"/>
                      <a:ext cx="2058035" cy="574675"/>
                    </a:xfrm>
                    <a:prstGeom prst="rect">
                      <a:avLst/>
                    </a:prstGeom>
                    <a:noFill/>
                  </pic:spPr>
                </pic:pic>
              </a:graphicData>
            </a:graphic>
          </wp:anchor>
        </w:drawing>
      </w: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color w:val="auto"/>
        </w:rPr>
        <w:t>Lima, September 25</w:t>
      </w:r>
      <w:r>
        <w:rPr>
          <w:rFonts w:ascii="Arial" w:cs="Arial" w:eastAsia="Arial" w:hAnsi="Arial"/>
          <w:sz w:val="30"/>
          <w:szCs w:val="30"/>
          <w:color w:val="auto"/>
          <w:vertAlign w:val="superscript"/>
        </w:rPr>
        <w:t>th</w:t>
      </w:r>
      <w:r>
        <w:rPr>
          <w:rFonts w:ascii="Arial" w:cs="Arial" w:eastAsia="Arial" w:hAnsi="Arial"/>
          <w:sz w:val="18"/>
          <w:szCs w:val="18"/>
          <w:color w:val="auto"/>
        </w:rPr>
        <w:t>, 2014</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SUPERINTENDENCIA DEL MERCADO DE VALORES - SMV</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Dear Sirs: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accordance with the rules of the Regulation for Material Events and Restricted Information approved by SMV Resolution N° 005-2014-SMV/01, Credicorp hereby notifies you that:</w:t>
      </w:r>
    </w:p>
    <w:p>
      <w:pPr>
        <w:spacing w:after="0" w:line="170" w:lineRule="exact"/>
        <w:rPr>
          <w:sz w:val="20"/>
          <w:szCs w:val="20"/>
          <w:color w:val="auto"/>
        </w:rPr>
      </w:pPr>
    </w:p>
    <w:p>
      <w:pPr>
        <w:ind w:right="480"/>
        <w:spacing w:after="0" w:line="264" w:lineRule="auto"/>
        <w:rPr>
          <w:sz w:val="20"/>
          <w:szCs w:val="20"/>
          <w:color w:val="auto"/>
        </w:rPr>
      </w:pPr>
      <w:r>
        <w:rPr>
          <w:rFonts w:ascii="Arial" w:cs="Arial" w:eastAsia="Arial" w:hAnsi="Arial"/>
          <w:sz w:val="18"/>
          <w:szCs w:val="18"/>
          <w:color w:val="auto"/>
        </w:rPr>
        <w:t>Our subsidiary, El Pacifico Peruano Suiza Compañia de Seguros y Reaseguros, has reached an initial agreement with Banmedica S.A. (Santiago Stock Exchange listed company), which aims to establish the preliminary terms and conditions under which both parties would jointly develop business in the healthcare industry in Peru by providing medical services, health insurance and health plans.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If negotiations progress according to the plan, the two organizations aim to reach a final agreement by December 31, 2014, which would be communicated timely.</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information in this Form 6-K (including any exhibit hereto)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8"/>
          <w:szCs w:val="18"/>
          <w:u w:val="single" w:color="auto"/>
          <w:color w:val="auto"/>
        </w:rPr>
        <w:t>Mario Ferrari</w:t>
      </w:r>
      <w:r>
        <w:rPr>
          <w:rFonts w:ascii="Arial" w:cs="Arial" w:eastAsia="Arial" w:hAnsi="Arial"/>
          <w:sz w:val="18"/>
          <w:szCs w:val="18"/>
          <w:color w:val="auto"/>
        </w:rPr>
        <w:t>_</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Stock Market Representative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Credicorp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2" w:name="page3"/>
    <w:bookmarkEnd w:id="2"/>
    <w:p>
      <w:pPr>
        <w:jc w:val="center"/>
        <w:ind w:right="-59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53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September 25, 2014</w:t>
      </w:r>
    </w:p>
    <w:p>
      <w:pPr>
        <w:spacing w:after="0" w:line="23"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CREDICORP LTD.</w:t>
      </w:r>
    </w:p>
    <w:p>
      <w:pPr>
        <w:spacing w:after="0" w:line="9"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227" w:lineRule="exact"/>
        <w:rPr>
          <w:sz w:val="20"/>
          <w:szCs w:val="20"/>
          <w:color w:val="auto"/>
        </w:rPr>
      </w:pPr>
    </w:p>
    <w:p>
      <w:pPr>
        <w:ind w:left="5820"/>
        <w:spacing w:after="0"/>
        <w:tabs>
          <w:tab w:leader="none" w:pos="63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Mario Ferrari</w:t>
      </w:r>
    </w:p>
    <w:p>
      <w:pPr>
        <w:spacing w:after="0" w:line="23"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Mario Ferrari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4070350</wp:posOffset>
            </wp:positionH>
            <wp:positionV relativeFrom="paragraph">
              <wp:posOffset>-130810</wp:posOffset>
            </wp:positionV>
            <wp:extent cx="231521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3"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Authorized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0820"/>
      </w:cols>
      <w:pgMar w:left="240" w:top="904" w:right="8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2019-12-06T13:57:26Z</dcterms:created>
  <dcterms:modified xsi:type="dcterms:W3CDTF">2019-12-06T13:57:26Z</dcterms:modified>
</cp:coreProperties>
</file>