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Report of Foreign Private Issuer</w:t>
      </w:r>
    </w:p>
    <w:p>
      <w:pPr>
        <w:jc w:val="center"/>
        <w:ind w:right="-19"/>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19"/>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month of November,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Church Street</w:t>
      </w:r>
    </w:p>
    <w:p>
      <w:pPr>
        <w:jc w:val="center"/>
        <w:ind w:right="-19"/>
        <w:spacing w:after="0"/>
        <w:rPr>
          <w:sz w:val="20"/>
          <w:szCs w:val="20"/>
          <w:color w:val="auto"/>
        </w:rPr>
      </w:pPr>
      <w:r>
        <w:rPr>
          <w:rFonts w:ascii="Arial" w:cs="Arial" w:eastAsia="Arial" w:hAnsi="Arial"/>
          <w:sz w:val="22"/>
          <w:szCs w:val="22"/>
          <w:b w:val="1"/>
          <w:bCs w:val="1"/>
          <w:color w:val="auto"/>
        </w:rPr>
        <w:t>Hamilton HM 11 Bermuda</w:t>
      </w: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347"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6" w:lineRule="exact"/>
        <w:rPr>
          <w:sz w:val="24"/>
          <w:szCs w:val="24"/>
          <w:color w:val="auto"/>
        </w:rPr>
      </w:pPr>
    </w:p>
    <w:p>
      <w:pPr>
        <w:ind w:left="392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firstLine="54"/>
        <w:spacing w:after="0" w:line="251" w:lineRule="auto"/>
        <w:rPr>
          <w:sz w:val="20"/>
          <w:szCs w:val="20"/>
          <w:color w:val="auto"/>
        </w:rPr>
      </w:pPr>
      <w:r>
        <w:rPr>
          <w:rFonts w:ascii="Arial" w:cs="Arial" w:eastAsia="Arial" w:hAnsi="Arial"/>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3"/>
          <w:szCs w:val="13"/>
          <w:color w:val="auto"/>
        </w:rPr>
        <w:t>For additional information please contact: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Jose N. Hung</w:t>
      </w:r>
    </w:p>
    <w:p>
      <w:pPr>
        <w:spacing w:after="0" w:line="225" w:lineRule="auto"/>
        <w:rPr>
          <w:sz w:val="20"/>
          <w:szCs w:val="20"/>
          <w:color w:val="auto"/>
        </w:rPr>
      </w:pPr>
      <w:r>
        <w:rPr>
          <w:rFonts w:ascii="Arial" w:cs="Arial" w:eastAsia="Arial" w:hAnsi="Arial"/>
          <w:sz w:val="15"/>
          <w:szCs w:val="15"/>
          <w:color w:val="auto"/>
        </w:rPr>
        <w:t>Phone: (511) 313-2123</w:t>
      </w:r>
    </w:p>
    <w:p>
      <w:pPr>
        <w:spacing w:after="0"/>
        <w:rPr>
          <w:sz w:val="20"/>
          <w:szCs w:val="20"/>
          <w:color w:val="auto"/>
        </w:rPr>
      </w:pPr>
      <w:r>
        <w:rPr>
          <w:rFonts w:ascii="Arial" w:cs="Arial" w:eastAsia="Arial" w:hAnsi="Arial"/>
          <w:sz w:val="15"/>
          <w:szCs w:val="15"/>
          <w:color w:val="auto"/>
        </w:rPr>
        <w:t>E-mail: jhung@bcp.com.pe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Alfredo Montero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-789305</wp:posOffset>
            </wp:positionV>
            <wp:extent cx="5574030"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4030" cy="548640"/>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15"/>
          <w:szCs w:val="15"/>
          <w:color w:val="auto"/>
        </w:rPr>
        <w:t>Phone: (305) 448-0971</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E-mail: amontero@bcpmiami.com</w:t>
      </w:r>
    </w:p>
    <w:p>
      <w:pPr>
        <w:spacing w:after="0" w:line="222" w:lineRule="exact"/>
        <w:rPr>
          <w:sz w:val="20"/>
          <w:szCs w:val="20"/>
          <w:color w:val="auto"/>
        </w:rPr>
      </w:pPr>
    </w:p>
    <w:p>
      <w:pPr>
        <w:sectPr>
          <w:pgSz w:w="11900" w:h="16838" w:orient="portrait"/>
          <w:cols w:equalWidth="0" w:num="2">
            <w:col w:w="5500" w:space="720"/>
            <w:col w:w="5180"/>
          </w:cols>
          <w:pgMar w:left="240" w:top="1049" w:right="259" w:bottom="1440" w:gutter="0" w:footer="0" w:header="0"/>
        </w:sectPr>
      </w:pPr>
    </w:p>
    <w:p>
      <w:pPr>
        <w:spacing w:after="0" w:line="219"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CREDICORP LTD. ANNOUNCES FINANCIAL RESULTS</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FOR THE QUARTER ENDED SEPTEMBER 30, 2005</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HIGHLIGHTS</w:t>
      </w:r>
    </w:p>
    <w:p>
      <w:pPr>
        <w:spacing w:after="0" w:line="212" w:lineRule="exact"/>
        <w:rPr>
          <w:sz w:val="20"/>
          <w:szCs w:val="20"/>
          <w:color w:val="auto"/>
        </w:rPr>
      </w:pPr>
    </w:p>
    <w:p>
      <w:pPr>
        <w:jc w:val="both"/>
        <w:ind w:left="540" w:right="180"/>
        <w:spacing w:after="0"/>
        <w:rPr>
          <w:sz w:val="20"/>
          <w:szCs w:val="20"/>
          <w:color w:val="auto"/>
        </w:rPr>
      </w:pPr>
      <w:r>
        <w:rPr>
          <w:rFonts w:ascii="Arial" w:cs="Arial" w:eastAsia="Arial" w:hAnsi="Arial"/>
          <w:sz w:val="22"/>
          <w:szCs w:val="22"/>
          <w:color w:val="auto"/>
        </w:rPr>
        <w:t>Results for the third quarter 2005 continue showing a strong earnings generation recovery, reaching a year-on-year increase in 3Q05 results of 44.4% with US$47.6 million, and 43.5% for year-to-date results with total earnings as of September 30, 2005, reaching US$137.5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right="40"/>
        <w:spacing w:after="0" w:line="258" w:lineRule="auto"/>
        <w:rPr>
          <w:sz w:val="20"/>
          <w:szCs w:val="20"/>
          <w:color w:val="auto"/>
        </w:rPr>
      </w:pPr>
      <w:r>
        <w:rPr>
          <w:rFonts w:ascii="Arial" w:cs="Arial" w:eastAsia="Arial" w:hAnsi="Arial"/>
          <w:sz w:val="21"/>
          <w:szCs w:val="21"/>
          <w:color w:val="auto"/>
        </w:rPr>
        <w:t>Higher earnings generation is the result of loan growth as the country’s economic recovery and growth continues, improved NIM, and a clear strategy for Credicorp’s banking operations to develop its retail and transactional business leading to steady growth of its fees for banking services and contributing to its NIM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4" w:lineRule="exact"/>
        <w:rPr>
          <w:sz w:val="20"/>
          <w:szCs w:val="20"/>
          <w:color w:val="auto"/>
        </w:rPr>
      </w:pPr>
    </w:p>
    <w:p>
      <w:pPr>
        <w:ind w:left="540" w:right="180"/>
        <w:spacing w:after="0" w:line="251" w:lineRule="auto"/>
        <w:rPr>
          <w:sz w:val="20"/>
          <w:szCs w:val="20"/>
          <w:color w:val="auto"/>
        </w:rPr>
      </w:pPr>
      <w:r>
        <w:rPr>
          <w:rFonts w:ascii="Arial" w:cs="Arial" w:eastAsia="Arial" w:hAnsi="Arial"/>
          <w:sz w:val="22"/>
          <w:szCs w:val="22"/>
          <w:color w:val="auto"/>
        </w:rPr>
        <w:t>Efficient cost controls have also led to a definite improvement in the corporation’s efficiency ratio from 48.72% to 42.28%, for the year-to-date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jc w:val="both"/>
        <w:ind w:left="540"/>
        <w:spacing w:after="0"/>
        <w:rPr>
          <w:sz w:val="20"/>
          <w:szCs w:val="20"/>
          <w:color w:val="auto"/>
        </w:rPr>
      </w:pPr>
      <w:r>
        <w:rPr>
          <w:rFonts w:ascii="Arial" w:cs="Arial" w:eastAsia="Arial" w:hAnsi="Arial"/>
          <w:sz w:val="22"/>
          <w:szCs w:val="22"/>
          <w:color w:val="auto"/>
        </w:rPr>
        <w:t>Credicorp has also benefited this quarter and throughout the year, of its conservative loan provisioning policy applied during the past loan crisis, leading to low provision requirements and recoveries of previously charged-off loans, as its loan portfolio quality improves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right="260"/>
        <w:spacing w:after="0" w:line="297" w:lineRule="auto"/>
        <w:rPr>
          <w:sz w:val="20"/>
          <w:szCs w:val="20"/>
          <w:color w:val="auto"/>
        </w:rPr>
      </w:pPr>
      <w:r>
        <w:rPr>
          <w:rFonts w:ascii="Arial" w:cs="Arial" w:eastAsia="Arial" w:hAnsi="Arial"/>
          <w:sz w:val="19"/>
          <w:szCs w:val="19"/>
          <w:color w:val="auto"/>
        </w:rPr>
        <w:t>The improved results of Credicorp’s overall banking business were strong enough to offset the downturn in the insurance business with its drop in earnings contribution to Credicorp to US$2.7 million for the quarter, compared to US$3.6 million for the same quarter of 2004, and US$6.3 million year-to-date’s results compared to US$11.1 million in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1" w:lineRule="exact"/>
        <w:rPr>
          <w:sz w:val="20"/>
          <w:szCs w:val="20"/>
          <w:color w:val="auto"/>
        </w:rPr>
      </w:pPr>
    </w:p>
    <w:p>
      <w:pPr>
        <w:ind w:left="540" w:right="700"/>
        <w:spacing w:after="0" w:line="251" w:lineRule="auto"/>
        <w:rPr>
          <w:sz w:val="20"/>
          <w:szCs w:val="20"/>
          <w:color w:val="auto"/>
        </w:rPr>
      </w:pPr>
      <w:r>
        <w:rPr>
          <w:rFonts w:ascii="Arial" w:cs="Arial" w:eastAsia="Arial" w:hAnsi="Arial"/>
          <w:sz w:val="22"/>
          <w:szCs w:val="22"/>
          <w:color w:val="auto"/>
        </w:rPr>
        <w:t>The improved earning generation was also strong enough to support an extraordinary provision for Credicorp’s Stock Options Plan resulting from the strong appreciation of our stock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300"/>
        <w:spacing w:after="0" w:line="251" w:lineRule="auto"/>
        <w:rPr>
          <w:sz w:val="20"/>
          <w:szCs w:val="20"/>
          <w:color w:val="auto"/>
        </w:rPr>
      </w:pPr>
      <w:r>
        <w:rPr>
          <w:rFonts w:ascii="Arial" w:cs="Arial" w:eastAsia="Arial" w:hAnsi="Arial"/>
          <w:sz w:val="22"/>
          <w:szCs w:val="22"/>
          <w:color w:val="auto"/>
        </w:rPr>
        <w:t>The initial results of the newly started Pension Fund business through Prima AFP are better than expected with a portfolio growth that exceeds its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9" w:right="259" w:bottom="1440" w:gutter="0" w:footer="0" w:header="0"/>
          <w:type w:val="continuous"/>
        </w:sectPr>
      </w:pPr>
    </w:p>
    <w:bookmarkStart w:id="2" w:name="page3"/>
    <w:bookmarkEnd w:id="2"/>
    <w:p>
      <w:pPr>
        <w:jc w:val="both"/>
        <w:spacing w:after="0" w:line="252" w:lineRule="auto"/>
        <w:rPr>
          <w:sz w:val="20"/>
          <w:szCs w:val="20"/>
          <w:color w:val="auto"/>
        </w:rPr>
      </w:pPr>
      <w:r>
        <w:rPr>
          <w:rFonts w:ascii="Arial" w:cs="Arial" w:eastAsia="Arial" w:hAnsi="Arial"/>
          <w:sz w:val="21"/>
          <w:szCs w:val="21"/>
          <w:color w:val="auto"/>
        </w:rPr>
        <w:t>Credicorp (NYSE:BAP; LSE:BAPC1) reported a consolidated net attributable income for the nine month period ended September 30, 2005 of US$137.5 million, 43.5% above net profit in the first nine months of 2004 of US$95.9 million, or US$1.72 and US$1.20 per share, respectively. Net attributable income in third quarter 2005 was US$47.6 million, or US$0.60 per share, 44.4% above net income of US$32.9 million, or US$0.41 per share, in the third quarter of 2004.</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Results in the first nine months of 2005 and in the third quarter are higher than profits in the same periods of 2004 mainly because of higher NIM combined with loan volume growth and growth of non-interest income. Credicorp’s results this quarter also benefited from its previous conservative loan loss reserve policy since the significant and continuing improvement of the quality of loans led to further recoveries of previously charged-off loans that exceeded provision requirements. This is reflected in the reversed loan loss provision expense. These income improvements were stronger than the related increase in operating expense and translation losses, due to Nuevo Sol devaluation.</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mentioned, loan loss provisions, net of recoveries, had a positive effect in the current quarter’s results and also cumulative through September 2005. Loan quality improvement is noted through a lower past-due loan ratio, that decreased from 4.8% at September 2004, to 2.5% at the end of September 2005, and by the improved coverage of overdue loans by provisions which improved from 122.0% to 172.4%, respectively.</w:t>
      </w:r>
    </w:p>
    <w:p>
      <w:pPr>
        <w:spacing w:after="0" w:line="179"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I. CREDICORP LTD. AND SUBSIDIARIES</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CREDICORP LTD.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Borders>
              <w:top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w w:val="90"/>
              </w:rPr>
              <w:t>Three months ended</w:t>
            </w:r>
          </w:p>
        </w:tc>
        <w:tc>
          <w:tcPr>
            <w:tcW w:w="10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80" w:type="dxa"/>
            <w:vAlign w:val="bottom"/>
            <w:tcBorders>
              <w:top w:val="single" w:sz="8" w:color="auto"/>
              <w:bottom w:val="single" w:sz="8" w:color="auto"/>
            </w:tcBorders>
            <w:gridSpan w:val="2"/>
          </w:tcPr>
          <w:p>
            <w:pPr>
              <w:jc w:val="right"/>
              <w:ind w:right="586"/>
              <w:spacing w:after="0"/>
              <w:rPr>
                <w:sz w:val="20"/>
                <w:szCs w:val="20"/>
                <w:color w:val="auto"/>
              </w:rPr>
            </w:pPr>
            <w:r>
              <w:rPr>
                <w:rFonts w:ascii="Arial" w:cs="Arial" w:eastAsia="Arial" w:hAnsi="Arial"/>
                <w:sz w:val="15"/>
                <w:szCs w:val="15"/>
                <w:b w:val="1"/>
                <w:bCs w:val="1"/>
                <w:color w:val="auto"/>
              </w:rPr>
              <w:t>Nine months ended</w:t>
            </w:r>
          </w:p>
        </w:tc>
      </w:tr>
      <w:tr>
        <w:trPr>
          <w:trHeight w:val="169"/>
        </w:trPr>
        <w:tc>
          <w:tcPr>
            <w:tcW w:w="482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i w:val="1"/>
                <w:iCs w:val="1"/>
                <w:color w:val="auto"/>
              </w:rPr>
              <w:t>(In U.S.$ millions)</w:t>
            </w:r>
          </w:p>
        </w:tc>
        <w:tc>
          <w:tcPr>
            <w:tcW w:w="1220" w:type="dxa"/>
            <w:vAlign w:val="bottom"/>
            <w:tcBorders>
              <w:bottom w:val="single" w:sz="8" w:color="auto"/>
            </w:tcBorders>
          </w:tcPr>
          <w:p>
            <w:pPr>
              <w:jc w:val="right"/>
              <w:ind w:right="46"/>
              <w:spacing w:after="0" w:line="169" w:lineRule="exact"/>
              <w:rPr>
                <w:sz w:val="20"/>
                <w:szCs w:val="20"/>
                <w:color w:val="auto"/>
              </w:rPr>
            </w:pPr>
            <w:r>
              <w:rPr>
                <w:rFonts w:ascii="Arial" w:cs="Arial" w:eastAsia="Arial" w:hAnsi="Arial"/>
                <w:sz w:val="15"/>
                <w:szCs w:val="15"/>
                <w:b w:val="1"/>
                <w:bCs w:val="1"/>
                <w:color w:val="auto"/>
              </w:rPr>
              <w:t>30.09.04</w:t>
            </w:r>
          </w:p>
        </w:tc>
        <w:tc>
          <w:tcPr>
            <w:tcW w:w="1600" w:type="dxa"/>
            <w:vAlign w:val="bottom"/>
            <w:tcBorders>
              <w:bottom w:val="single" w:sz="8" w:color="auto"/>
            </w:tcBorders>
          </w:tcPr>
          <w:p>
            <w:pPr>
              <w:jc w:val="right"/>
              <w:ind w:right="566"/>
              <w:spacing w:after="0" w:line="169" w:lineRule="exact"/>
              <w:rPr>
                <w:sz w:val="20"/>
                <w:szCs w:val="20"/>
                <w:color w:val="auto"/>
              </w:rPr>
            </w:pPr>
            <w:r>
              <w:rPr>
                <w:rFonts w:ascii="Arial" w:cs="Arial" w:eastAsia="Arial" w:hAnsi="Arial"/>
                <w:sz w:val="15"/>
                <w:szCs w:val="15"/>
                <w:b w:val="1"/>
                <w:bCs w:val="1"/>
                <w:color w:val="auto"/>
              </w:rPr>
              <w:t>30.06.05</w:t>
            </w:r>
          </w:p>
        </w:tc>
        <w:tc>
          <w:tcPr>
            <w:tcW w:w="108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30.09.05</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06"/>
              <w:spacing w:after="0" w:line="169" w:lineRule="exact"/>
              <w:rPr>
                <w:sz w:val="20"/>
                <w:szCs w:val="20"/>
                <w:color w:val="auto"/>
              </w:rPr>
            </w:pPr>
            <w:r>
              <w:rPr>
                <w:rFonts w:ascii="Arial" w:cs="Arial" w:eastAsia="Arial" w:hAnsi="Arial"/>
                <w:sz w:val="15"/>
                <w:szCs w:val="15"/>
                <w:b w:val="1"/>
                <w:bCs w:val="1"/>
                <w:color w:val="auto"/>
              </w:rPr>
              <w:t>30.09.04</w:t>
            </w:r>
          </w:p>
        </w:tc>
        <w:tc>
          <w:tcPr>
            <w:tcW w:w="110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30.09.05</w:t>
            </w:r>
          </w:p>
        </w:tc>
      </w:tr>
      <w:tr>
        <w:trPr>
          <w:trHeight w:val="160"/>
        </w:trPr>
        <w:tc>
          <w:tcPr>
            <w:tcW w:w="4820" w:type="dxa"/>
            <w:vAlign w:val="bottom"/>
          </w:tcPr>
          <w:p>
            <w:pPr>
              <w:spacing w:after="0" w:line="160" w:lineRule="exact"/>
              <w:rPr>
                <w:sz w:val="20"/>
                <w:szCs w:val="20"/>
                <w:color w:val="auto"/>
              </w:rPr>
            </w:pPr>
            <w:r>
              <w:rPr>
                <w:rFonts w:ascii="Arial" w:cs="Arial" w:eastAsia="Arial" w:hAnsi="Arial"/>
                <w:sz w:val="15"/>
                <w:szCs w:val="15"/>
                <w:color w:val="auto"/>
              </w:rPr>
              <w:t>Net interest income</w:t>
            </w:r>
          </w:p>
        </w:tc>
        <w:tc>
          <w:tcPr>
            <w:tcW w:w="1220" w:type="dxa"/>
            <w:vAlign w:val="bottom"/>
          </w:tcPr>
          <w:p>
            <w:pPr>
              <w:jc w:val="right"/>
              <w:ind w:right="46"/>
              <w:spacing w:after="0" w:line="160" w:lineRule="exact"/>
              <w:rPr>
                <w:sz w:val="20"/>
                <w:szCs w:val="20"/>
                <w:color w:val="auto"/>
              </w:rPr>
            </w:pPr>
            <w:r>
              <w:rPr>
                <w:rFonts w:ascii="Arial" w:cs="Arial" w:eastAsia="Arial" w:hAnsi="Arial"/>
                <w:sz w:val="15"/>
                <w:szCs w:val="15"/>
                <w:color w:val="auto"/>
              </w:rPr>
              <w:t>93.5</w:t>
            </w:r>
          </w:p>
        </w:tc>
        <w:tc>
          <w:tcPr>
            <w:tcW w:w="160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104.7</w:t>
            </w:r>
          </w:p>
        </w:tc>
        <w:tc>
          <w:tcPr>
            <w:tcW w:w="1080" w:type="dxa"/>
            <w:vAlign w:val="bottom"/>
          </w:tcPr>
          <w:p>
            <w:pPr>
              <w:jc w:val="right"/>
              <w:spacing w:after="0" w:line="160" w:lineRule="exact"/>
              <w:rPr>
                <w:sz w:val="20"/>
                <w:szCs w:val="20"/>
                <w:color w:val="auto"/>
              </w:rPr>
            </w:pPr>
            <w:r>
              <w:rPr>
                <w:rFonts w:ascii="Arial" w:cs="Arial" w:eastAsia="Arial" w:hAnsi="Arial"/>
                <w:sz w:val="15"/>
                <w:szCs w:val="15"/>
                <w:color w:val="auto"/>
              </w:rPr>
              <w:t>114.3</w:t>
            </w:r>
          </w:p>
        </w:tc>
        <w:tc>
          <w:tcPr>
            <w:tcW w:w="220" w:type="dxa"/>
            <w:vAlign w:val="bottom"/>
          </w:tcPr>
          <w:p>
            <w:pPr>
              <w:spacing w:after="0"/>
              <w:rPr>
                <w:sz w:val="13"/>
                <w:szCs w:val="13"/>
                <w:color w:val="auto"/>
              </w:rPr>
            </w:pPr>
          </w:p>
        </w:tc>
        <w:tc>
          <w:tcPr>
            <w:tcW w:w="1380" w:type="dxa"/>
            <w:vAlign w:val="bottom"/>
          </w:tcPr>
          <w:p>
            <w:pPr>
              <w:jc w:val="right"/>
              <w:ind w:right="206"/>
              <w:spacing w:after="0" w:line="160" w:lineRule="exact"/>
              <w:rPr>
                <w:sz w:val="20"/>
                <w:szCs w:val="20"/>
                <w:color w:val="auto"/>
              </w:rPr>
            </w:pPr>
            <w:r>
              <w:rPr>
                <w:rFonts w:ascii="Arial" w:cs="Arial" w:eastAsia="Arial" w:hAnsi="Arial"/>
                <w:sz w:val="15"/>
                <w:szCs w:val="15"/>
                <w:color w:val="auto"/>
              </w:rPr>
              <w:t>276.4</w:t>
            </w:r>
          </w:p>
        </w:tc>
        <w:tc>
          <w:tcPr>
            <w:tcW w:w="1100" w:type="dxa"/>
            <w:vAlign w:val="bottom"/>
          </w:tcPr>
          <w:p>
            <w:pPr>
              <w:jc w:val="right"/>
              <w:spacing w:after="0" w:line="160" w:lineRule="exact"/>
              <w:rPr>
                <w:sz w:val="20"/>
                <w:szCs w:val="20"/>
                <w:color w:val="auto"/>
              </w:rPr>
            </w:pPr>
            <w:r>
              <w:rPr>
                <w:rFonts w:ascii="Arial" w:cs="Arial" w:eastAsia="Arial" w:hAnsi="Arial"/>
                <w:sz w:val="15"/>
                <w:szCs w:val="15"/>
                <w:color w:val="auto"/>
              </w:rPr>
              <w:t>322.8</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Provisions for possible loan losses, net(1)</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3.8</w:t>
            </w:r>
          </w:p>
        </w:tc>
        <w:tc>
          <w:tcPr>
            <w:tcW w:w="160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(1.9)</w:t>
            </w:r>
          </w:p>
        </w:tc>
        <w:tc>
          <w:tcPr>
            <w:tcW w:w="13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(4.9)</w:t>
            </w: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10.9</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(9.9)</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Other income</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64.7</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63.2</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72.5</w:t>
            </w:r>
          </w:p>
        </w:tc>
        <w:tc>
          <w:tcPr>
            <w:tcW w:w="220" w:type="dxa"/>
            <w:vAlign w:val="bottom"/>
          </w:tcPr>
          <w:p>
            <w:pPr>
              <w:spacing w:after="0"/>
              <w:rPr>
                <w:sz w:val="14"/>
                <w:szCs w:val="14"/>
                <w:color w:val="auto"/>
              </w:rPr>
            </w:pP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180.4</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197.6</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Premiums, net of claims on insurance</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18.3</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8.4</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13.6</w:t>
            </w:r>
          </w:p>
        </w:tc>
        <w:tc>
          <w:tcPr>
            <w:tcW w:w="220" w:type="dxa"/>
            <w:vAlign w:val="bottom"/>
          </w:tcPr>
          <w:p>
            <w:pPr>
              <w:spacing w:after="0"/>
              <w:rPr>
                <w:sz w:val="14"/>
                <w:szCs w:val="14"/>
                <w:color w:val="auto"/>
              </w:rPr>
            </w:pP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37.8</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34.7</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Other expenses</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124.5</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115.8</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128.7</w:t>
            </w:r>
          </w:p>
        </w:tc>
        <w:tc>
          <w:tcPr>
            <w:tcW w:w="220" w:type="dxa"/>
            <w:vAlign w:val="bottom"/>
          </w:tcPr>
          <w:p>
            <w:pPr>
              <w:spacing w:after="0"/>
              <w:rPr>
                <w:sz w:val="14"/>
                <w:szCs w:val="14"/>
                <w:color w:val="auto"/>
              </w:rPr>
            </w:pP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340.8</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354.6</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Merger costs</w:t>
            </w:r>
          </w:p>
        </w:tc>
        <w:tc>
          <w:tcPr>
            <w:tcW w:w="1220" w:type="dxa"/>
            <w:vAlign w:val="bottom"/>
          </w:tcPr>
          <w:p>
            <w:pPr>
              <w:jc w:val="right"/>
              <w:ind w:right="46"/>
              <w:spacing w:after="0" w:line="162" w:lineRule="exact"/>
              <w:rPr>
                <w:sz w:val="20"/>
                <w:szCs w:val="20"/>
                <w:color w:val="auto"/>
              </w:rPr>
            </w:pPr>
            <w:r>
              <w:rPr>
                <w:rFonts w:ascii="Arial" w:cs="Arial" w:eastAsia="Arial" w:hAnsi="Arial"/>
                <w:sz w:val="15"/>
                <w:szCs w:val="15"/>
                <w:color w:val="auto"/>
              </w:rPr>
              <w:t>0.5</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0.0</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0.0</w:t>
            </w:r>
          </w:p>
        </w:tc>
        <w:tc>
          <w:tcPr>
            <w:tcW w:w="220" w:type="dxa"/>
            <w:vAlign w:val="bottom"/>
          </w:tcPr>
          <w:p>
            <w:pPr>
              <w:spacing w:after="0"/>
              <w:rPr>
                <w:sz w:val="14"/>
                <w:szCs w:val="14"/>
                <w:color w:val="auto"/>
              </w:rPr>
            </w:pP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3.7</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0.0</w:t>
            </w:r>
          </w:p>
        </w:tc>
      </w:tr>
      <w:tr>
        <w:trPr>
          <w:trHeight w:val="158"/>
        </w:trPr>
        <w:tc>
          <w:tcPr>
            <w:tcW w:w="4820" w:type="dxa"/>
            <w:vAlign w:val="bottom"/>
          </w:tcPr>
          <w:p>
            <w:pPr>
              <w:spacing w:after="0" w:line="158" w:lineRule="exact"/>
              <w:rPr>
                <w:sz w:val="20"/>
                <w:szCs w:val="20"/>
                <w:color w:val="auto"/>
              </w:rPr>
            </w:pPr>
            <w:r>
              <w:rPr>
                <w:rFonts w:ascii="Arial" w:cs="Arial" w:eastAsia="Arial" w:hAnsi="Arial"/>
                <w:sz w:val="15"/>
                <w:szCs w:val="15"/>
                <w:color w:val="auto"/>
              </w:rPr>
              <w:t>Translation result</w:t>
            </w:r>
          </w:p>
        </w:tc>
        <w:tc>
          <w:tcPr>
            <w:tcW w:w="1220" w:type="dxa"/>
            <w:vAlign w:val="bottom"/>
          </w:tcPr>
          <w:p>
            <w:pPr>
              <w:jc w:val="right"/>
              <w:ind w:right="6"/>
              <w:spacing w:after="0" w:line="158" w:lineRule="exact"/>
              <w:rPr>
                <w:sz w:val="20"/>
                <w:szCs w:val="20"/>
                <w:color w:val="auto"/>
              </w:rPr>
            </w:pPr>
            <w:r>
              <w:rPr>
                <w:rFonts w:ascii="Arial" w:cs="Arial" w:eastAsia="Arial" w:hAnsi="Arial"/>
                <w:sz w:val="15"/>
                <w:szCs w:val="15"/>
                <w:color w:val="auto"/>
              </w:rPr>
              <w:t>(0.2)</w:t>
            </w:r>
          </w:p>
        </w:tc>
        <w:tc>
          <w:tcPr>
            <w:tcW w:w="1600" w:type="dxa"/>
            <w:vAlign w:val="bottom"/>
          </w:tcPr>
          <w:p>
            <w:pPr>
              <w:jc w:val="right"/>
              <w:ind w:right="266"/>
              <w:spacing w:after="0" w:line="158" w:lineRule="exact"/>
              <w:rPr>
                <w:sz w:val="20"/>
                <w:szCs w:val="20"/>
                <w:color w:val="auto"/>
              </w:rPr>
            </w:pPr>
            <w:r>
              <w:rPr>
                <w:rFonts w:ascii="Arial" w:cs="Arial" w:eastAsia="Arial" w:hAnsi="Arial"/>
                <w:sz w:val="15"/>
                <w:szCs w:val="15"/>
                <w:color w:val="auto"/>
              </w:rPr>
              <w:t>1.3</w:t>
            </w:r>
          </w:p>
        </w:tc>
        <w:tc>
          <w:tcPr>
            <w:tcW w:w="130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(5.7)</w:t>
            </w:r>
          </w:p>
        </w:tc>
        <w:tc>
          <w:tcPr>
            <w:tcW w:w="138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3.9</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(3.7)</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b w:val="1"/>
                <w:bCs w:val="1"/>
                <w:color w:val="auto"/>
              </w:rPr>
              <w:t>Income before profit sharing</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820" w:type="dxa"/>
            <w:vAlign w:val="bottom"/>
          </w:tcPr>
          <w:p>
            <w:pPr>
              <w:ind w:left="120"/>
              <w:spacing w:after="0" w:line="167" w:lineRule="exact"/>
              <w:rPr>
                <w:sz w:val="20"/>
                <w:szCs w:val="20"/>
                <w:color w:val="auto"/>
              </w:rPr>
            </w:pPr>
            <w:r>
              <w:rPr>
                <w:rFonts w:ascii="Arial" w:cs="Arial" w:eastAsia="Arial" w:hAnsi="Arial"/>
                <w:sz w:val="15"/>
                <w:szCs w:val="15"/>
                <w:b w:val="1"/>
                <w:bCs w:val="1"/>
                <w:color w:val="auto"/>
              </w:rPr>
              <w:t>and income tax</w:t>
            </w:r>
          </w:p>
        </w:tc>
        <w:tc>
          <w:tcPr>
            <w:tcW w:w="1220" w:type="dxa"/>
            <w:vAlign w:val="bottom"/>
          </w:tcPr>
          <w:p>
            <w:pPr>
              <w:jc w:val="right"/>
              <w:ind w:right="46"/>
              <w:spacing w:after="0" w:line="167" w:lineRule="exact"/>
              <w:rPr>
                <w:sz w:val="20"/>
                <w:szCs w:val="20"/>
                <w:color w:val="auto"/>
              </w:rPr>
            </w:pPr>
            <w:r>
              <w:rPr>
                <w:rFonts w:ascii="Arial" w:cs="Arial" w:eastAsia="Arial" w:hAnsi="Arial"/>
                <w:sz w:val="15"/>
                <w:szCs w:val="15"/>
                <w:b w:val="1"/>
                <w:bCs w:val="1"/>
                <w:color w:val="auto"/>
              </w:rPr>
              <w:t>47.5</w:t>
            </w:r>
          </w:p>
        </w:tc>
        <w:tc>
          <w:tcPr>
            <w:tcW w:w="1600" w:type="dxa"/>
            <w:vAlign w:val="bottom"/>
          </w:tcPr>
          <w:p>
            <w:pPr>
              <w:jc w:val="right"/>
              <w:ind w:right="266"/>
              <w:spacing w:after="0" w:line="167" w:lineRule="exact"/>
              <w:rPr>
                <w:sz w:val="20"/>
                <w:szCs w:val="20"/>
                <w:color w:val="auto"/>
              </w:rPr>
            </w:pPr>
            <w:r>
              <w:rPr>
                <w:rFonts w:ascii="Arial" w:cs="Arial" w:eastAsia="Arial" w:hAnsi="Arial"/>
                <w:sz w:val="15"/>
                <w:szCs w:val="15"/>
                <w:b w:val="1"/>
                <w:bCs w:val="1"/>
                <w:color w:val="auto"/>
              </w:rPr>
              <w:t>63.7</w:t>
            </w:r>
          </w:p>
        </w:tc>
        <w:tc>
          <w:tcPr>
            <w:tcW w:w="108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70.9</w:t>
            </w:r>
          </w:p>
        </w:tc>
        <w:tc>
          <w:tcPr>
            <w:tcW w:w="220" w:type="dxa"/>
            <w:vAlign w:val="bottom"/>
          </w:tcPr>
          <w:p>
            <w:pPr>
              <w:spacing w:after="0"/>
              <w:rPr>
                <w:sz w:val="14"/>
                <w:szCs w:val="14"/>
                <w:color w:val="auto"/>
              </w:rPr>
            </w:pPr>
          </w:p>
        </w:tc>
        <w:tc>
          <w:tcPr>
            <w:tcW w:w="138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143.0</w:t>
            </w:r>
          </w:p>
        </w:tc>
        <w:tc>
          <w:tcPr>
            <w:tcW w:w="110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206.8</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Employee profit sharing(2)</w:t>
            </w:r>
          </w:p>
        </w:tc>
        <w:tc>
          <w:tcPr>
            <w:tcW w:w="1220" w:type="dxa"/>
            <w:vAlign w:val="bottom"/>
          </w:tcPr>
          <w:p>
            <w:pPr>
              <w:jc w:val="right"/>
              <w:ind w:right="6"/>
              <w:spacing w:after="0" w:line="162" w:lineRule="exact"/>
              <w:rPr>
                <w:sz w:val="20"/>
                <w:szCs w:val="20"/>
                <w:color w:val="auto"/>
              </w:rPr>
            </w:pPr>
            <w:r>
              <w:rPr>
                <w:rFonts w:ascii="Arial" w:cs="Arial" w:eastAsia="Arial" w:hAnsi="Arial"/>
                <w:sz w:val="15"/>
                <w:szCs w:val="15"/>
                <w:color w:val="auto"/>
              </w:rPr>
              <w:t>(1.6)</w:t>
            </w:r>
          </w:p>
        </w:tc>
        <w:tc>
          <w:tcPr>
            <w:tcW w:w="160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(1.7)</w:t>
            </w:r>
          </w:p>
        </w:tc>
        <w:tc>
          <w:tcPr>
            <w:tcW w:w="13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(3.6)</w:t>
            </w:r>
          </w:p>
        </w:tc>
        <w:tc>
          <w:tcPr>
            <w:tcW w:w="138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(4.4)</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(8.2)</w:t>
            </w:r>
          </w:p>
        </w:tc>
      </w:tr>
      <w:tr>
        <w:trPr>
          <w:trHeight w:val="158"/>
        </w:trPr>
        <w:tc>
          <w:tcPr>
            <w:tcW w:w="4820" w:type="dxa"/>
            <w:vAlign w:val="bottom"/>
          </w:tcPr>
          <w:p>
            <w:pPr>
              <w:spacing w:after="0" w:line="158" w:lineRule="exact"/>
              <w:rPr>
                <w:sz w:val="20"/>
                <w:szCs w:val="20"/>
                <w:color w:val="auto"/>
              </w:rPr>
            </w:pPr>
            <w:r>
              <w:rPr>
                <w:rFonts w:ascii="Arial" w:cs="Arial" w:eastAsia="Arial" w:hAnsi="Arial"/>
                <w:sz w:val="15"/>
                <w:szCs w:val="15"/>
                <w:color w:val="auto"/>
              </w:rPr>
              <w:t>Income Tax</w:t>
            </w:r>
          </w:p>
        </w:tc>
        <w:tc>
          <w:tcPr>
            <w:tcW w:w="1220" w:type="dxa"/>
            <w:vAlign w:val="bottom"/>
          </w:tcPr>
          <w:p>
            <w:pPr>
              <w:jc w:val="right"/>
              <w:ind w:right="6"/>
              <w:spacing w:after="0" w:line="158" w:lineRule="exact"/>
              <w:rPr>
                <w:sz w:val="20"/>
                <w:szCs w:val="20"/>
                <w:color w:val="auto"/>
              </w:rPr>
            </w:pPr>
            <w:r>
              <w:rPr>
                <w:rFonts w:ascii="Arial" w:cs="Arial" w:eastAsia="Arial" w:hAnsi="Arial"/>
                <w:sz w:val="15"/>
                <w:szCs w:val="15"/>
                <w:color w:val="auto"/>
              </w:rPr>
              <w:t>(10.8)</w:t>
            </w:r>
          </w:p>
        </w:tc>
        <w:tc>
          <w:tcPr>
            <w:tcW w:w="1600" w:type="dxa"/>
            <w:vAlign w:val="bottom"/>
          </w:tcPr>
          <w:p>
            <w:pPr>
              <w:jc w:val="right"/>
              <w:ind w:right="226"/>
              <w:spacing w:after="0" w:line="158" w:lineRule="exact"/>
              <w:rPr>
                <w:sz w:val="20"/>
                <w:szCs w:val="20"/>
                <w:color w:val="auto"/>
              </w:rPr>
            </w:pPr>
            <w:r>
              <w:rPr>
                <w:rFonts w:ascii="Arial" w:cs="Arial" w:eastAsia="Arial" w:hAnsi="Arial"/>
                <w:sz w:val="15"/>
                <w:szCs w:val="15"/>
                <w:color w:val="auto"/>
              </w:rPr>
              <w:t>(13.7)</w:t>
            </w:r>
          </w:p>
        </w:tc>
        <w:tc>
          <w:tcPr>
            <w:tcW w:w="130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(16.7)</w:t>
            </w:r>
          </w:p>
        </w:tc>
        <w:tc>
          <w:tcPr>
            <w:tcW w:w="1380" w:type="dxa"/>
            <w:vAlign w:val="bottom"/>
          </w:tcPr>
          <w:p>
            <w:pPr>
              <w:jc w:val="right"/>
              <w:ind w:right="186"/>
              <w:spacing w:after="0" w:line="158" w:lineRule="exact"/>
              <w:rPr>
                <w:sz w:val="20"/>
                <w:szCs w:val="20"/>
                <w:color w:val="auto"/>
              </w:rPr>
            </w:pPr>
            <w:r>
              <w:rPr>
                <w:rFonts w:ascii="Arial" w:cs="Arial" w:eastAsia="Arial" w:hAnsi="Arial"/>
                <w:sz w:val="15"/>
                <w:szCs w:val="15"/>
                <w:color w:val="auto"/>
              </w:rPr>
              <w:t>(35.1)</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(53.2)</w:t>
            </w:r>
          </w:p>
        </w:tc>
      </w:tr>
      <w:tr>
        <w:trPr>
          <w:trHeight w:val="166"/>
        </w:trPr>
        <w:tc>
          <w:tcPr>
            <w:tcW w:w="4820" w:type="dxa"/>
            <w:vAlign w:val="bottom"/>
          </w:tcPr>
          <w:p>
            <w:pPr>
              <w:ind w:left="1920"/>
              <w:spacing w:after="0" w:line="167" w:lineRule="exact"/>
              <w:rPr>
                <w:sz w:val="20"/>
                <w:szCs w:val="20"/>
                <w:color w:val="auto"/>
              </w:rPr>
            </w:pPr>
            <w:r>
              <w:rPr>
                <w:rFonts w:ascii="Arial" w:cs="Arial" w:eastAsia="Arial" w:hAnsi="Arial"/>
                <w:sz w:val="15"/>
                <w:szCs w:val="15"/>
                <w:b w:val="1"/>
                <w:bCs w:val="1"/>
                <w:color w:val="auto"/>
              </w:rPr>
              <w:t>Net Income</w:t>
            </w:r>
          </w:p>
        </w:tc>
        <w:tc>
          <w:tcPr>
            <w:tcW w:w="1220" w:type="dxa"/>
            <w:vAlign w:val="bottom"/>
          </w:tcPr>
          <w:p>
            <w:pPr>
              <w:jc w:val="right"/>
              <w:ind w:right="46"/>
              <w:spacing w:after="0" w:line="167" w:lineRule="exact"/>
              <w:rPr>
                <w:sz w:val="20"/>
                <w:szCs w:val="20"/>
                <w:color w:val="auto"/>
              </w:rPr>
            </w:pPr>
            <w:r>
              <w:rPr>
                <w:rFonts w:ascii="Arial" w:cs="Arial" w:eastAsia="Arial" w:hAnsi="Arial"/>
                <w:sz w:val="15"/>
                <w:szCs w:val="15"/>
                <w:b w:val="1"/>
                <w:bCs w:val="1"/>
                <w:color w:val="auto"/>
              </w:rPr>
              <w:t>35.1</w:t>
            </w:r>
          </w:p>
        </w:tc>
        <w:tc>
          <w:tcPr>
            <w:tcW w:w="1600" w:type="dxa"/>
            <w:vAlign w:val="bottom"/>
          </w:tcPr>
          <w:p>
            <w:pPr>
              <w:jc w:val="right"/>
              <w:ind w:right="266"/>
              <w:spacing w:after="0" w:line="167" w:lineRule="exact"/>
              <w:rPr>
                <w:sz w:val="20"/>
                <w:szCs w:val="20"/>
                <w:color w:val="auto"/>
              </w:rPr>
            </w:pPr>
            <w:r>
              <w:rPr>
                <w:rFonts w:ascii="Arial" w:cs="Arial" w:eastAsia="Arial" w:hAnsi="Arial"/>
                <w:sz w:val="15"/>
                <w:szCs w:val="15"/>
                <w:b w:val="1"/>
                <w:bCs w:val="1"/>
                <w:color w:val="auto"/>
              </w:rPr>
              <w:t>48.3</w:t>
            </w:r>
          </w:p>
        </w:tc>
        <w:tc>
          <w:tcPr>
            <w:tcW w:w="108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50.6</w:t>
            </w:r>
          </w:p>
        </w:tc>
        <w:tc>
          <w:tcPr>
            <w:tcW w:w="220" w:type="dxa"/>
            <w:vAlign w:val="bottom"/>
          </w:tcPr>
          <w:p>
            <w:pPr>
              <w:spacing w:after="0"/>
              <w:rPr>
                <w:sz w:val="14"/>
                <w:szCs w:val="14"/>
                <w:color w:val="auto"/>
              </w:rPr>
            </w:pPr>
          </w:p>
        </w:tc>
        <w:tc>
          <w:tcPr>
            <w:tcW w:w="138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103.5</w:t>
            </w:r>
          </w:p>
        </w:tc>
        <w:tc>
          <w:tcPr>
            <w:tcW w:w="110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145.4</w:t>
            </w:r>
          </w:p>
        </w:tc>
      </w:tr>
      <w:tr>
        <w:trPr>
          <w:trHeight w:val="158"/>
        </w:trPr>
        <w:tc>
          <w:tcPr>
            <w:tcW w:w="4820" w:type="dxa"/>
            <w:vAlign w:val="bottom"/>
          </w:tcPr>
          <w:p>
            <w:pPr>
              <w:spacing w:after="0" w:line="158" w:lineRule="exact"/>
              <w:rPr>
                <w:sz w:val="20"/>
                <w:szCs w:val="20"/>
                <w:color w:val="auto"/>
              </w:rPr>
            </w:pPr>
            <w:r>
              <w:rPr>
                <w:rFonts w:ascii="Arial" w:cs="Arial" w:eastAsia="Arial" w:hAnsi="Arial"/>
                <w:sz w:val="15"/>
                <w:szCs w:val="15"/>
                <w:color w:val="auto"/>
              </w:rPr>
              <w:t>Minority Interest</w:t>
            </w:r>
          </w:p>
        </w:tc>
        <w:tc>
          <w:tcPr>
            <w:tcW w:w="1220" w:type="dxa"/>
            <w:vAlign w:val="bottom"/>
          </w:tcPr>
          <w:p>
            <w:pPr>
              <w:jc w:val="right"/>
              <w:ind w:right="6"/>
              <w:spacing w:after="0" w:line="158" w:lineRule="exact"/>
              <w:rPr>
                <w:sz w:val="20"/>
                <w:szCs w:val="20"/>
                <w:color w:val="auto"/>
              </w:rPr>
            </w:pPr>
            <w:r>
              <w:rPr>
                <w:rFonts w:ascii="Arial" w:cs="Arial" w:eastAsia="Arial" w:hAnsi="Arial"/>
                <w:sz w:val="15"/>
                <w:szCs w:val="15"/>
                <w:color w:val="auto"/>
              </w:rPr>
              <w:t>(2.1)</w:t>
            </w:r>
          </w:p>
        </w:tc>
        <w:tc>
          <w:tcPr>
            <w:tcW w:w="1600" w:type="dxa"/>
            <w:vAlign w:val="bottom"/>
          </w:tcPr>
          <w:p>
            <w:pPr>
              <w:jc w:val="right"/>
              <w:ind w:right="226"/>
              <w:spacing w:after="0" w:line="158" w:lineRule="exact"/>
              <w:rPr>
                <w:sz w:val="20"/>
                <w:szCs w:val="20"/>
                <w:color w:val="auto"/>
              </w:rPr>
            </w:pPr>
            <w:r>
              <w:rPr>
                <w:rFonts w:ascii="Arial" w:cs="Arial" w:eastAsia="Arial" w:hAnsi="Arial"/>
                <w:sz w:val="15"/>
                <w:szCs w:val="15"/>
                <w:color w:val="auto"/>
              </w:rPr>
              <w:t>(1.9)</w:t>
            </w:r>
          </w:p>
        </w:tc>
        <w:tc>
          <w:tcPr>
            <w:tcW w:w="130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(3.0)</w:t>
            </w:r>
          </w:p>
        </w:tc>
        <w:tc>
          <w:tcPr>
            <w:tcW w:w="1380" w:type="dxa"/>
            <w:vAlign w:val="bottom"/>
          </w:tcPr>
          <w:p>
            <w:pPr>
              <w:jc w:val="right"/>
              <w:ind w:right="186"/>
              <w:spacing w:after="0" w:line="158" w:lineRule="exact"/>
              <w:rPr>
                <w:sz w:val="20"/>
                <w:szCs w:val="20"/>
                <w:color w:val="auto"/>
              </w:rPr>
            </w:pPr>
            <w:r>
              <w:rPr>
                <w:rFonts w:ascii="Arial" w:cs="Arial" w:eastAsia="Arial" w:hAnsi="Arial"/>
                <w:sz w:val="15"/>
                <w:szCs w:val="15"/>
                <w:color w:val="auto"/>
              </w:rPr>
              <w:t>(7.6)</w:t>
            </w:r>
          </w:p>
        </w:tc>
        <w:tc>
          <w:tcPr>
            <w:tcW w:w="1100" w:type="dxa"/>
            <w:vAlign w:val="bottom"/>
          </w:tcPr>
          <w:p>
            <w:pPr>
              <w:jc w:val="right"/>
              <w:spacing w:after="0" w:line="158" w:lineRule="exact"/>
              <w:rPr>
                <w:sz w:val="20"/>
                <w:szCs w:val="20"/>
                <w:color w:val="auto"/>
              </w:rPr>
            </w:pPr>
            <w:r>
              <w:rPr>
                <w:rFonts w:ascii="Arial" w:cs="Arial" w:eastAsia="Arial" w:hAnsi="Arial"/>
                <w:sz w:val="15"/>
                <w:szCs w:val="15"/>
                <w:color w:val="auto"/>
              </w:rPr>
              <w:t>(7.8)</w:t>
            </w:r>
          </w:p>
        </w:tc>
      </w:tr>
      <w:tr>
        <w:trPr>
          <w:trHeight w:val="166"/>
        </w:trPr>
        <w:tc>
          <w:tcPr>
            <w:tcW w:w="4820" w:type="dxa"/>
            <w:vAlign w:val="bottom"/>
          </w:tcPr>
          <w:p>
            <w:pPr>
              <w:ind w:left="1000"/>
              <w:spacing w:after="0" w:line="167" w:lineRule="exact"/>
              <w:rPr>
                <w:sz w:val="20"/>
                <w:szCs w:val="20"/>
                <w:color w:val="auto"/>
              </w:rPr>
            </w:pPr>
            <w:r>
              <w:rPr>
                <w:rFonts w:ascii="Arial" w:cs="Arial" w:eastAsia="Arial" w:hAnsi="Arial"/>
                <w:sz w:val="15"/>
                <w:szCs w:val="15"/>
                <w:b w:val="1"/>
                <w:bCs w:val="1"/>
                <w:color w:val="auto"/>
              </w:rPr>
              <w:t>Net Income attributable to shareholders</w:t>
            </w:r>
          </w:p>
        </w:tc>
        <w:tc>
          <w:tcPr>
            <w:tcW w:w="1220" w:type="dxa"/>
            <w:vAlign w:val="bottom"/>
          </w:tcPr>
          <w:p>
            <w:pPr>
              <w:jc w:val="right"/>
              <w:ind w:right="46"/>
              <w:spacing w:after="0" w:line="167" w:lineRule="exact"/>
              <w:rPr>
                <w:sz w:val="20"/>
                <w:szCs w:val="20"/>
                <w:color w:val="auto"/>
              </w:rPr>
            </w:pPr>
            <w:r>
              <w:rPr>
                <w:rFonts w:ascii="Arial" w:cs="Arial" w:eastAsia="Arial" w:hAnsi="Arial"/>
                <w:sz w:val="15"/>
                <w:szCs w:val="15"/>
                <w:b w:val="1"/>
                <w:bCs w:val="1"/>
                <w:color w:val="auto"/>
              </w:rPr>
              <w:t>32.9</w:t>
            </w:r>
          </w:p>
        </w:tc>
        <w:tc>
          <w:tcPr>
            <w:tcW w:w="1600" w:type="dxa"/>
            <w:vAlign w:val="bottom"/>
          </w:tcPr>
          <w:p>
            <w:pPr>
              <w:jc w:val="right"/>
              <w:ind w:right="266"/>
              <w:spacing w:after="0" w:line="167" w:lineRule="exact"/>
              <w:rPr>
                <w:sz w:val="20"/>
                <w:szCs w:val="20"/>
                <w:color w:val="auto"/>
              </w:rPr>
            </w:pPr>
            <w:r>
              <w:rPr>
                <w:rFonts w:ascii="Arial" w:cs="Arial" w:eastAsia="Arial" w:hAnsi="Arial"/>
                <w:sz w:val="15"/>
                <w:szCs w:val="15"/>
                <w:b w:val="1"/>
                <w:bCs w:val="1"/>
                <w:color w:val="auto"/>
              </w:rPr>
              <w:t>46.4</w:t>
            </w:r>
          </w:p>
        </w:tc>
        <w:tc>
          <w:tcPr>
            <w:tcW w:w="108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47.6</w:t>
            </w:r>
          </w:p>
        </w:tc>
        <w:tc>
          <w:tcPr>
            <w:tcW w:w="220" w:type="dxa"/>
            <w:vAlign w:val="bottom"/>
          </w:tcPr>
          <w:p>
            <w:pPr>
              <w:spacing w:after="0"/>
              <w:rPr>
                <w:sz w:val="14"/>
                <w:szCs w:val="14"/>
                <w:color w:val="auto"/>
              </w:rPr>
            </w:pPr>
          </w:p>
        </w:tc>
        <w:tc>
          <w:tcPr>
            <w:tcW w:w="138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95.9</w:t>
            </w:r>
          </w:p>
        </w:tc>
        <w:tc>
          <w:tcPr>
            <w:tcW w:w="110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137.5</w:t>
            </w:r>
          </w:p>
        </w:tc>
      </w:tr>
      <w:tr>
        <w:trPr>
          <w:trHeight w:val="171"/>
        </w:trPr>
        <w:tc>
          <w:tcPr>
            <w:tcW w:w="482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Net attributable income per share (US$) (3)</w:t>
            </w:r>
          </w:p>
        </w:tc>
        <w:tc>
          <w:tcPr>
            <w:tcW w:w="1220" w:type="dxa"/>
            <w:vAlign w:val="bottom"/>
            <w:tcBorders>
              <w:bottom w:val="single" w:sz="8" w:color="auto"/>
            </w:tcBorders>
          </w:tcPr>
          <w:p>
            <w:pPr>
              <w:jc w:val="right"/>
              <w:ind w:right="46"/>
              <w:spacing w:after="0" w:line="172" w:lineRule="exact"/>
              <w:rPr>
                <w:sz w:val="20"/>
                <w:szCs w:val="20"/>
                <w:color w:val="auto"/>
              </w:rPr>
            </w:pPr>
            <w:r>
              <w:rPr>
                <w:rFonts w:ascii="Arial" w:cs="Arial" w:eastAsia="Arial" w:hAnsi="Arial"/>
                <w:sz w:val="15"/>
                <w:szCs w:val="15"/>
                <w:color w:val="auto"/>
              </w:rPr>
              <w:t>0.41</w:t>
            </w:r>
          </w:p>
        </w:tc>
        <w:tc>
          <w:tcPr>
            <w:tcW w:w="1600" w:type="dxa"/>
            <w:vAlign w:val="bottom"/>
            <w:tcBorders>
              <w:bottom w:val="single" w:sz="8" w:color="auto"/>
            </w:tcBorders>
          </w:tcPr>
          <w:p>
            <w:pPr>
              <w:jc w:val="right"/>
              <w:ind w:right="266"/>
              <w:spacing w:after="0" w:line="172" w:lineRule="exact"/>
              <w:rPr>
                <w:sz w:val="20"/>
                <w:szCs w:val="20"/>
                <w:color w:val="auto"/>
              </w:rPr>
            </w:pPr>
            <w:r>
              <w:rPr>
                <w:rFonts w:ascii="Arial" w:cs="Arial" w:eastAsia="Arial" w:hAnsi="Arial"/>
                <w:sz w:val="15"/>
                <w:szCs w:val="15"/>
                <w:color w:val="auto"/>
              </w:rPr>
              <w:t>0.58</w:t>
            </w: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0.60</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06"/>
              <w:spacing w:after="0" w:line="172" w:lineRule="exact"/>
              <w:rPr>
                <w:sz w:val="20"/>
                <w:szCs w:val="20"/>
                <w:color w:val="auto"/>
              </w:rPr>
            </w:pPr>
            <w:r>
              <w:rPr>
                <w:rFonts w:ascii="Arial" w:cs="Arial" w:eastAsia="Arial" w:hAnsi="Arial"/>
                <w:sz w:val="15"/>
                <w:szCs w:val="15"/>
                <w:color w:val="auto"/>
              </w:rPr>
              <w:t>1.20</w:t>
            </w:r>
          </w:p>
        </w:tc>
        <w:tc>
          <w:tcPr>
            <w:tcW w:w="11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1.72</w:t>
            </w:r>
          </w:p>
        </w:tc>
      </w:tr>
    </w:tbl>
    <w:p>
      <w:pPr>
        <w:spacing w:after="0" w:line="4"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5"/>
          <w:szCs w:val="15"/>
          <w:i w:val="1"/>
          <w:iCs w:val="1"/>
          <w:color w:val="auto"/>
        </w:rPr>
      </w:pPr>
      <w:r>
        <w:rPr>
          <w:rFonts w:ascii="Arial" w:cs="Arial" w:eastAsia="Arial" w:hAnsi="Arial"/>
          <w:sz w:val="15"/>
          <w:szCs w:val="15"/>
          <w:i w:val="1"/>
          <w:iCs w:val="1"/>
          <w:color w:val="auto"/>
        </w:rPr>
        <w:t>Net of income from recoveries of charged-off loans.</w:t>
      </w:r>
    </w:p>
    <w:p>
      <w:pPr>
        <w:spacing w:after="0" w:line="1" w:lineRule="exact"/>
        <w:rPr>
          <w:rFonts w:ascii="Arial" w:cs="Arial" w:eastAsia="Arial" w:hAnsi="Arial"/>
          <w:sz w:val="15"/>
          <w:szCs w:val="15"/>
          <w:i w:val="1"/>
          <w:iCs w:val="1"/>
          <w:color w:val="auto"/>
        </w:rPr>
      </w:pPr>
    </w:p>
    <w:p>
      <w:pPr>
        <w:ind w:left="220" w:hanging="212"/>
        <w:spacing w:after="0" w:line="225" w:lineRule="auto"/>
        <w:tabs>
          <w:tab w:leader="none" w:pos="220" w:val="left"/>
        </w:tabs>
        <w:numPr>
          <w:ilvl w:val="0"/>
          <w:numId w:val="1"/>
        </w:numPr>
        <w:rPr>
          <w:rFonts w:ascii="Arial" w:cs="Arial" w:eastAsia="Arial" w:hAnsi="Arial"/>
          <w:sz w:val="15"/>
          <w:szCs w:val="15"/>
          <w:i w:val="1"/>
          <w:iCs w:val="1"/>
          <w:color w:val="auto"/>
        </w:rPr>
      </w:pPr>
      <w:r>
        <w:rPr>
          <w:rFonts w:ascii="Arial" w:cs="Arial" w:eastAsia="Arial" w:hAnsi="Arial"/>
          <w:sz w:val="15"/>
          <w:szCs w:val="15"/>
          <w:i w:val="1"/>
          <w:iCs w:val="1"/>
          <w:color w:val="auto"/>
        </w:rPr>
        <w:t>Previously reported as part of personnel expenses.</w:t>
      </w:r>
    </w:p>
    <w:p>
      <w:pPr>
        <w:ind w:left="220" w:hanging="212"/>
        <w:spacing w:after="0"/>
        <w:tabs>
          <w:tab w:leader="none" w:pos="220" w:val="left"/>
        </w:tabs>
        <w:numPr>
          <w:ilvl w:val="0"/>
          <w:numId w:val="1"/>
        </w:numPr>
        <w:rPr>
          <w:rFonts w:ascii="Arial" w:cs="Arial" w:eastAsia="Arial" w:hAnsi="Arial"/>
          <w:sz w:val="15"/>
          <w:szCs w:val="15"/>
          <w:i w:val="1"/>
          <w:iCs w:val="1"/>
          <w:color w:val="auto"/>
        </w:rPr>
      </w:pPr>
      <w:r>
        <w:rPr>
          <w:rFonts w:ascii="Arial" w:cs="Arial" w:eastAsia="Arial" w:hAnsi="Arial"/>
          <w:sz w:val="15"/>
          <w:szCs w:val="15"/>
          <w:i w:val="1"/>
          <w:iCs w:val="1"/>
          <w:color w:val="auto"/>
        </w:rPr>
        <w:t>Applies 79.8 million net outstanding shares in all periods. Treasury shares amount to 14.6 million, which are netted from 94.4 million total outstanding shares.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Changes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Prima AFP began operating in the first week of August 2005. During year 2005 it is expected to run operating losses for approximately US$10 million. In third quarter 2005, losses were US$3.1 million, and of US$3.5 million cumulative through September 2005.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i w:val="1"/>
          <w:iCs w:val="1"/>
          <w:color w:val="auto"/>
        </w:rPr>
        <w:t>Net Income from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Credicorp’s principal subsidiaries contributed to consolidated net income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(US$Mn)</w:t>
            </w:r>
          </w:p>
        </w:tc>
        <w:tc>
          <w:tcPr>
            <w:tcW w:w="264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5"/>
                <w:szCs w:val="15"/>
                <w:b w:val="1"/>
                <w:bCs w:val="1"/>
                <w:color w:val="auto"/>
              </w:rPr>
              <w:t>3Q04</w:t>
            </w:r>
          </w:p>
        </w:tc>
        <w:tc>
          <w:tcPr>
            <w:tcW w:w="144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2Q05</w:t>
            </w:r>
          </w:p>
        </w:tc>
        <w:tc>
          <w:tcPr>
            <w:tcW w:w="146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b w:val="1"/>
                <w:bCs w:val="1"/>
                <w:color w:val="auto"/>
              </w:rPr>
              <w:t>3Q05</w:t>
            </w:r>
          </w:p>
        </w:tc>
        <w:tc>
          <w:tcPr>
            <w:tcW w:w="124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9m04</w:t>
            </w:r>
          </w:p>
        </w:tc>
        <w:tc>
          <w:tcPr>
            <w:tcW w:w="10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9m05</w:t>
            </w:r>
          </w:p>
        </w:tc>
      </w:tr>
      <w:tr>
        <w:trPr>
          <w:trHeight w:val="160"/>
        </w:trPr>
        <w:tc>
          <w:tcPr>
            <w:tcW w:w="3560" w:type="dxa"/>
            <w:vAlign w:val="bottom"/>
          </w:tcPr>
          <w:p>
            <w:pPr>
              <w:spacing w:after="0" w:line="160" w:lineRule="exact"/>
              <w:rPr>
                <w:sz w:val="20"/>
                <w:szCs w:val="20"/>
                <w:color w:val="auto"/>
              </w:rPr>
            </w:pPr>
            <w:r>
              <w:rPr>
                <w:rFonts w:ascii="Arial" w:cs="Arial" w:eastAsia="Arial" w:hAnsi="Arial"/>
                <w:sz w:val="15"/>
                <w:szCs w:val="15"/>
                <w:color w:val="auto"/>
              </w:rPr>
              <w:t>Banco de Crédito BCP(1)</w:t>
            </w:r>
          </w:p>
        </w:tc>
        <w:tc>
          <w:tcPr>
            <w:tcW w:w="2640" w:type="dxa"/>
            <w:vAlign w:val="bottom"/>
          </w:tcPr>
          <w:p>
            <w:pPr>
              <w:jc w:val="right"/>
              <w:ind w:right="206"/>
              <w:spacing w:after="0" w:line="160" w:lineRule="exact"/>
              <w:rPr>
                <w:sz w:val="20"/>
                <w:szCs w:val="20"/>
                <w:color w:val="auto"/>
              </w:rPr>
            </w:pPr>
            <w:r>
              <w:rPr>
                <w:rFonts w:ascii="Arial" w:cs="Arial" w:eastAsia="Arial" w:hAnsi="Arial"/>
                <w:sz w:val="15"/>
                <w:szCs w:val="15"/>
                <w:color w:val="auto"/>
              </w:rPr>
              <w:t>US$32.0</w:t>
            </w:r>
          </w:p>
        </w:tc>
        <w:tc>
          <w:tcPr>
            <w:tcW w:w="144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US$42.6</w:t>
            </w:r>
          </w:p>
        </w:tc>
        <w:tc>
          <w:tcPr>
            <w:tcW w:w="1460" w:type="dxa"/>
            <w:vAlign w:val="bottom"/>
          </w:tcPr>
          <w:p>
            <w:pPr>
              <w:jc w:val="right"/>
              <w:ind w:right="346"/>
              <w:spacing w:after="0" w:line="160" w:lineRule="exact"/>
              <w:rPr>
                <w:sz w:val="20"/>
                <w:szCs w:val="20"/>
                <w:color w:val="auto"/>
              </w:rPr>
            </w:pPr>
            <w:r>
              <w:rPr>
                <w:rFonts w:ascii="Arial" w:cs="Arial" w:eastAsia="Arial" w:hAnsi="Arial"/>
                <w:sz w:val="15"/>
                <w:szCs w:val="15"/>
                <w:color w:val="auto"/>
              </w:rPr>
              <w:t>US$44.2</w:t>
            </w:r>
          </w:p>
        </w:tc>
        <w:tc>
          <w:tcPr>
            <w:tcW w:w="1240" w:type="dxa"/>
            <w:vAlign w:val="bottom"/>
          </w:tcPr>
          <w:p>
            <w:pPr>
              <w:jc w:val="right"/>
              <w:ind w:right="226"/>
              <w:spacing w:after="0" w:line="160" w:lineRule="exact"/>
              <w:rPr>
                <w:sz w:val="20"/>
                <w:szCs w:val="20"/>
                <w:color w:val="auto"/>
              </w:rPr>
            </w:pPr>
            <w:r>
              <w:rPr>
                <w:rFonts w:ascii="Arial" w:cs="Arial" w:eastAsia="Arial" w:hAnsi="Arial"/>
                <w:sz w:val="15"/>
                <w:szCs w:val="15"/>
                <w:color w:val="auto"/>
              </w:rPr>
              <w:t>US$85.3</w:t>
            </w:r>
          </w:p>
        </w:tc>
        <w:tc>
          <w:tcPr>
            <w:tcW w:w="1080" w:type="dxa"/>
            <w:vAlign w:val="bottom"/>
          </w:tcPr>
          <w:p>
            <w:pPr>
              <w:jc w:val="right"/>
              <w:spacing w:after="0" w:line="160" w:lineRule="exact"/>
              <w:rPr>
                <w:sz w:val="20"/>
                <w:szCs w:val="20"/>
                <w:color w:val="auto"/>
              </w:rPr>
            </w:pPr>
            <w:r>
              <w:rPr>
                <w:rFonts w:ascii="Arial" w:cs="Arial" w:eastAsia="Arial" w:hAnsi="Arial"/>
                <w:sz w:val="15"/>
                <w:szCs w:val="15"/>
                <w:color w:val="auto"/>
              </w:rPr>
              <w:t>US$130.5</w:t>
            </w:r>
          </w:p>
        </w:tc>
      </w:tr>
      <w:tr>
        <w:trPr>
          <w:trHeight w:val="162"/>
        </w:trPr>
        <w:tc>
          <w:tcPr>
            <w:tcW w:w="3560" w:type="dxa"/>
            <w:vAlign w:val="bottom"/>
          </w:tcPr>
          <w:p>
            <w:pPr>
              <w:spacing w:after="0" w:line="162" w:lineRule="exact"/>
              <w:rPr>
                <w:sz w:val="20"/>
                <w:szCs w:val="20"/>
                <w:color w:val="auto"/>
              </w:rPr>
            </w:pPr>
            <w:r>
              <w:rPr>
                <w:rFonts w:ascii="Arial" w:cs="Arial" w:eastAsia="Arial" w:hAnsi="Arial"/>
                <w:sz w:val="15"/>
                <w:szCs w:val="15"/>
                <w:color w:val="auto"/>
              </w:rPr>
              <w:t>Atlantic</w:t>
            </w:r>
          </w:p>
        </w:tc>
        <w:tc>
          <w:tcPr>
            <w:tcW w:w="26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2.8</w:t>
            </w:r>
          </w:p>
        </w:tc>
        <w:tc>
          <w:tcPr>
            <w:tcW w:w="144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3.0</w:t>
            </w:r>
          </w:p>
        </w:tc>
        <w:tc>
          <w:tcPr>
            <w:tcW w:w="146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3.6</w:t>
            </w:r>
          </w:p>
        </w:tc>
        <w:tc>
          <w:tcPr>
            <w:tcW w:w="124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9.3</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10.0</w:t>
            </w:r>
          </w:p>
        </w:tc>
      </w:tr>
      <w:tr>
        <w:trPr>
          <w:trHeight w:val="162"/>
        </w:trPr>
        <w:tc>
          <w:tcPr>
            <w:tcW w:w="3560" w:type="dxa"/>
            <w:vAlign w:val="bottom"/>
          </w:tcPr>
          <w:p>
            <w:pPr>
              <w:spacing w:after="0" w:line="162" w:lineRule="exact"/>
              <w:rPr>
                <w:sz w:val="20"/>
                <w:szCs w:val="20"/>
                <w:color w:val="auto"/>
              </w:rPr>
            </w:pPr>
            <w:r>
              <w:rPr>
                <w:rFonts w:ascii="Arial" w:cs="Arial" w:eastAsia="Arial" w:hAnsi="Arial"/>
                <w:sz w:val="15"/>
                <w:szCs w:val="15"/>
                <w:color w:val="auto"/>
              </w:rPr>
              <w:t>PPS</w:t>
            </w:r>
          </w:p>
        </w:tc>
        <w:tc>
          <w:tcPr>
            <w:tcW w:w="26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3.0</w:t>
            </w:r>
          </w:p>
        </w:tc>
        <w:tc>
          <w:tcPr>
            <w:tcW w:w="144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0.1</w:t>
            </w:r>
          </w:p>
        </w:tc>
        <w:tc>
          <w:tcPr>
            <w:tcW w:w="146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2.4</w:t>
            </w:r>
          </w:p>
        </w:tc>
        <w:tc>
          <w:tcPr>
            <w:tcW w:w="124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7.7</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4.7</w:t>
            </w:r>
          </w:p>
        </w:tc>
      </w:tr>
      <w:tr>
        <w:trPr>
          <w:trHeight w:val="162"/>
        </w:trPr>
        <w:tc>
          <w:tcPr>
            <w:tcW w:w="3560" w:type="dxa"/>
            <w:vAlign w:val="bottom"/>
          </w:tcPr>
          <w:p>
            <w:pPr>
              <w:spacing w:after="0" w:line="162" w:lineRule="exact"/>
              <w:rPr>
                <w:sz w:val="20"/>
                <w:szCs w:val="20"/>
                <w:color w:val="auto"/>
              </w:rPr>
            </w:pPr>
            <w:r>
              <w:rPr>
                <w:rFonts w:ascii="Arial" w:cs="Arial" w:eastAsia="Arial" w:hAnsi="Arial"/>
                <w:sz w:val="15"/>
                <w:szCs w:val="15"/>
                <w:color w:val="auto"/>
              </w:rPr>
              <w:t>Banco Tequendama</w:t>
            </w:r>
          </w:p>
        </w:tc>
        <w:tc>
          <w:tcPr>
            <w:tcW w:w="26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0.9</w:t>
            </w:r>
          </w:p>
        </w:tc>
        <w:tc>
          <w:tcPr>
            <w:tcW w:w="144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w:t>
            </w:r>
          </w:p>
        </w:tc>
        <w:tc>
          <w:tcPr>
            <w:tcW w:w="146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w:t>
            </w:r>
          </w:p>
        </w:tc>
        <w:tc>
          <w:tcPr>
            <w:tcW w:w="124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1.9</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88"/>
        </w:trPr>
        <w:tc>
          <w:tcPr>
            <w:tcW w:w="3560" w:type="dxa"/>
            <w:vAlign w:val="bottom"/>
          </w:tcPr>
          <w:p>
            <w:pPr>
              <w:spacing w:after="0"/>
              <w:rPr>
                <w:sz w:val="20"/>
                <w:szCs w:val="20"/>
                <w:color w:val="auto"/>
              </w:rPr>
            </w:pPr>
            <w:r>
              <w:rPr>
                <w:rFonts w:ascii="Arial" w:cs="Arial" w:eastAsia="Arial" w:hAnsi="Arial"/>
                <w:sz w:val="15"/>
                <w:szCs w:val="15"/>
                <w:color w:val="auto"/>
              </w:rPr>
              <w:t>Credicorp and others(2)</w:t>
            </w:r>
          </w:p>
        </w:tc>
        <w:tc>
          <w:tcPr>
            <w:tcW w:w="2640" w:type="dxa"/>
            <w:vAlign w:val="bottom"/>
          </w:tcPr>
          <w:p>
            <w:pPr>
              <w:jc w:val="right"/>
              <w:ind w:right="206"/>
              <w:spacing w:after="0"/>
              <w:rPr>
                <w:sz w:val="20"/>
                <w:szCs w:val="20"/>
                <w:color w:val="auto"/>
              </w:rPr>
            </w:pPr>
            <w:r>
              <w:rPr>
                <w:rFonts w:ascii="Arial" w:cs="Arial" w:eastAsia="Arial" w:hAnsi="Arial"/>
                <w:sz w:val="15"/>
                <w:szCs w:val="15"/>
                <w:color w:val="auto"/>
              </w:rPr>
              <w:t>-5.8</w:t>
            </w:r>
          </w:p>
        </w:tc>
        <w:tc>
          <w:tcPr>
            <w:tcW w:w="1440" w:type="dxa"/>
            <w:vAlign w:val="bottom"/>
          </w:tcPr>
          <w:p>
            <w:pPr>
              <w:jc w:val="right"/>
              <w:ind w:right="266"/>
              <w:spacing w:after="0"/>
              <w:rPr>
                <w:sz w:val="20"/>
                <w:szCs w:val="20"/>
                <w:color w:val="auto"/>
              </w:rPr>
            </w:pPr>
            <w:r>
              <w:rPr>
                <w:rFonts w:ascii="Arial" w:cs="Arial" w:eastAsia="Arial" w:hAnsi="Arial"/>
                <w:sz w:val="15"/>
                <w:szCs w:val="15"/>
                <w:color w:val="auto"/>
              </w:rPr>
              <w:t>0.7</w:t>
            </w:r>
          </w:p>
        </w:tc>
        <w:tc>
          <w:tcPr>
            <w:tcW w:w="1460" w:type="dxa"/>
            <w:vAlign w:val="bottom"/>
          </w:tcPr>
          <w:p>
            <w:pPr>
              <w:jc w:val="right"/>
              <w:ind w:right="346"/>
              <w:spacing w:after="0"/>
              <w:rPr>
                <w:sz w:val="20"/>
                <w:szCs w:val="20"/>
                <w:color w:val="auto"/>
              </w:rPr>
            </w:pPr>
            <w:r>
              <w:rPr>
                <w:rFonts w:ascii="Arial" w:cs="Arial" w:eastAsia="Arial" w:hAnsi="Arial"/>
                <w:sz w:val="15"/>
                <w:szCs w:val="15"/>
                <w:color w:val="auto"/>
              </w:rPr>
              <w:t>-2.7</w:t>
            </w:r>
          </w:p>
        </w:tc>
        <w:tc>
          <w:tcPr>
            <w:tcW w:w="1240" w:type="dxa"/>
            <w:vAlign w:val="bottom"/>
          </w:tcPr>
          <w:p>
            <w:pPr>
              <w:jc w:val="right"/>
              <w:ind w:right="226"/>
              <w:spacing w:after="0"/>
              <w:rPr>
                <w:sz w:val="20"/>
                <w:szCs w:val="20"/>
                <w:color w:val="auto"/>
              </w:rPr>
            </w:pPr>
            <w:r>
              <w:rPr>
                <w:rFonts w:ascii="Arial" w:cs="Arial" w:eastAsia="Arial" w:hAnsi="Arial"/>
                <w:sz w:val="15"/>
                <w:szCs w:val="15"/>
                <w:color w:val="auto"/>
              </w:rPr>
              <w:t>-8.3</w:t>
            </w:r>
          </w:p>
        </w:tc>
        <w:tc>
          <w:tcPr>
            <w:tcW w:w="108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307"/>
        </w:trPr>
        <w:tc>
          <w:tcPr>
            <w:tcW w:w="35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Net income due to shareholders</w:t>
            </w:r>
          </w:p>
        </w:tc>
        <w:tc>
          <w:tcPr>
            <w:tcW w:w="26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US$32.9</w:t>
            </w:r>
          </w:p>
        </w:tc>
        <w:tc>
          <w:tcPr>
            <w:tcW w:w="144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US$46.4</w:t>
            </w:r>
          </w:p>
        </w:tc>
        <w:tc>
          <w:tcPr>
            <w:tcW w:w="146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US$47.6</w:t>
            </w:r>
          </w:p>
        </w:tc>
        <w:tc>
          <w:tcPr>
            <w:tcW w:w="124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US$95.9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US$137.5</w:t>
            </w:r>
          </w:p>
        </w:tc>
      </w:tr>
    </w:tbl>
    <w:p>
      <w:pPr>
        <w:spacing w:after="0" w:line="4" w:lineRule="exact"/>
        <w:rPr>
          <w:sz w:val="20"/>
          <w:szCs w:val="20"/>
          <w:color w:val="auto"/>
        </w:rPr>
      </w:pPr>
    </w:p>
    <w:p>
      <w:pPr>
        <w:ind w:left="480" w:hanging="212"/>
        <w:spacing w:after="0"/>
        <w:tabs>
          <w:tab w:leader="none" w:pos="480" w:val="left"/>
        </w:tabs>
        <w:numPr>
          <w:ilvl w:val="0"/>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Includes Banco de Crédito de Bolivia.</w:t>
      </w:r>
    </w:p>
    <w:p>
      <w:pPr>
        <w:spacing w:after="0" w:line="1" w:lineRule="exact"/>
        <w:rPr>
          <w:rFonts w:ascii="Arial" w:cs="Arial" w:eastAsia="Arial" w:hAnsi="Arial"/>
          <w:sz w:val="15"/>
          <w:szCs w:val="15"/>
          <w:i w:val="1"/>
          <w:iCs w:val="1"/>
          <w:color w:val="auto"/>
        </w:rPr>
      </w:pPr>
    </w:p>
    <w:p>
      <w:pPr>
        <w:ind w:left="480" w:hanging="212"/>
        <w:spacing w:after="0"/>
        <w:tabs>
          <w:tab w:leader="none" w:pos="480" w:val="left"/>
        </w:tabs>
        <w:numPr>
          <w:ilvl w:val="0"/>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Includes Grupo Crédito (formerly Inversiones Crédito), Credicorp Securities and others.</w:t>
      </w: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In the third quarter of 2005, the </w:t>
      </w:r>
      <w:r>
        <w:rPr>
          <w:rFonts w:ascii="Arial" w:cs="Arial" w:eastAsia="Arial" w:hAnsi="Arial"/>
          <w:sz w:val="22"/>
          <w:szCs w:val="22"/>
          <w:b w:val="1"/>
          <w:bCs w:val="1"/>
          <w:color w:val="auto"/>
        </w:rPr>
        <w:t>Credicorp and others</w:t>
      </w:r>
      <w:r>
        <w:rPr>
          <w:rFonts w:ascii="Arial" w:cs="Arial" w:eastAsia="Arial" w:hAnsi="Arial"/>
          <w:sz w:val="22"/>
          <w:szCs w:val="22"/>
          <w:color w:val="auto"/>
        </w:rPr>
        <w:t xml:space="preserve"> concept contributed net losses of US$2.7 million, mainly due to the above mentioned losses at Prima AFP.</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 xml:space="preserve">In the current quarter, the contributions to Credicorp’s net attributable income from </w:t>
      </w:r>
      <w:r>
        <w:rPr>
          <w:rFonts w:ascii="Arial" w:cs="Arial" w:eastAsia="Arial" w:hAnsi="Arial"/>
          <w:sz w:val="22"/>
          <w:szCs w:val="22"/>
          <w:b w:val="1"/>
          <w:bCs w:val="1"/>
          <w:color w:val="auto"/>
        </w:rPr>
        <w:t>Banco de Crédito BCP</w:t>
      </w:r>
      <w:r>
        <w:rPr>
          <w:rFonts w:ascii="Arial" w:cs="Arial" w:eastAsia="Arial" w:hAnsi="Arial"/>
          <w:sz w:val="22"/>
          <w:szCs w:val="22"/>
          <w:color w:val="auto"/>
        </w:rPr>
        <w:t xml:space="preserve"> and from </w:t>
      </w:r>
      <w:r>
        <w:rPr>
          <w:rFonts w:ascii="Arial" w:cs="Arial" w:eastAsia="Arial" w:hAnsi="Arial"/>
          <w:sz w:val="22"/>
          <w:szCs w:val="22"/>
          <w:b w:val="1"/>
          <w:bCs w:val="1"/>
          <w:color w:val="auto"/>
        </w:rPr>
        <w:t>Pacífico</w:t>
      </w:r>
      <w:r>
        <w:rPr>
          <w:rFonts w:ascii="Arial" w:cs="Arial" w:eastAsia="Arial" w:hAnsi="Arial"/>
          <w:sz w:val="22"/>
          <w:szCs w:val="22"/>
          <w:color w:val="auto"/>
        </w:rPr>
        <w:t xml:space="preserve"> </w:t>
      </w:r>
      <w:r>
        <w:rPr>
          <w:rFonts w:ascii="Arial" w:cs="Arial" w:eastAsia="Arial" w:hAnsi="Arial"/>
          <w:sz w:val="22"/>
          <w:szCs w:val="22"/>
          <w:b w:val="1"/>
          <w:bCs w:val="1"/>
          <w:color w:val="auto"/>
        </w:rPr>
        <w:t>Peruano Suiza</w:t>
      </w:r>
      <w:r>
        <w:rPr>
          <w:rFonts w:ascii="Arial" w:cs="Arial" w:eastAsia="Arial" w:hAnsi="Arial"/>
          <w:sz w:val="22"/>
          <w:szCs w:val="22"/>
          <w:color w:val="auto"/>
        </w:rPr>
        <w:t>, are the results obtained under IFRS rules in U.S. Dollars, net of minority interests and of eliminations for</w:t>
      </w:r>
      <w:r>
        <w:rPr>
          <w:rFonts w:ascii="Arial" w:cs="Arial" w:eastAsia="Arial" w:hAnsi="Arial"/>
          <w:sz w:val="22"/>
          <w:szCs w:val="22"/>
          <w:b w:val="1"/>
          <w:bCs w:val="1"/>
          <w:color w:val="auto"/>
        </w:rPr>
        <w:t xml:space="preserve"> </w:t>
      </w:r>
      <w:r>
        <w:rPr>
          <w:rFonts w:ascii="Arial" w:cs="Arial" w:eastAsia="Arial" w:hAnsi="Arial"/>
          <w:sz w:val="22"/>
          <w:szCs w:val="22"/>
          <w:color w:val="auto"/>
        </w:rPr>
        <w:t>consolidation purposes.</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Section II, BCP reports net income of US$46.6 million, which net of US$2.3 million of minority interest and consolidation adjustments, results in its US$44.3 million contribution.</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the case of PPS (Section IV), its net income according to IFRS is US$2.7 million, of which US$0.3 million for minority interests are deducted to reach its US$2.4 million contribution.</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The contribution of </w:t>
      </w:r>
      <w:r>
        <w:rPr>
          <w:rFonts w:ascii="Arial" w:cs="Arial" w:eastAsia="Arial" w:hAnsi="Arial"/>
          <w:sz w:val="22"/>
          <w:szCs w:val="22"/>
          <w:b w:val="1"/>
          <w:bCs w:val="1"/>
          <w:color w:val="auto"/>
        </w:rPr>
        <w:t>Atlantic Security Holding Corporation</w:t>
      </w:r>
      <w:r>
        <w:rPr>
          <w:rFonts w:ascii="Arial" w:cs="Arial" w:eastAsia="Arial" w:hAnsi="Arial"/>
          <w:sz w:val="22"/>
          <w:szCs w:val="22"/>
          <w:color w:val="auto"/>
        </w:rPr>
        <w:t xml:space="preserve"> of US$3.6 million in the current quarter is the same as net income in its own records. Atlantic’s September 2005 year-to-date contribution of US$10.0 million is below US$21.7 million net income shown in its books (see Section III) because of the elimination, for consolidation purposes, of US$11.7 million of dividends received from Credicorp.</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Banco Tequendama</w:t>
      </w:r>
      <w:r>
        <w:rPr>
          <w:rFonts w:ascii="Arial" w:cs="Arial" w:eastAsia="Arial" w:hAnsi="Arial"/>
          <w:sz w:val="22"/>
          <w:szCs w:val="22"/>
          <w:color w:val="auto"/>
        </w:rPr>
        <w:t>, which sale was only registered last March 2005 due to regulatory delays, did not contribute to Credicorp’s</w:t>
      </w:r>
      <w:r>
        <w:rPr>
          <w:rFonts w:ascii="Arial" w:cs="Arial" w:eastAsia="Arial" w:hAnsi="Arial"/>
          <w:sz w:val="22"/>
          <w:szCs w:val="22"/>
          <w:b w:val="1"/>
          <w:bCs w:val="1"/>
          <w:color w:val="auto"/>
        </w:rPr>
        <w:t xml:space="preserve"> </w:t>
      </w:r>
      <w:r>
        <w:rPr>
          <w:rFonts w:ascii="Arial" w:cs="Arial" w:eastAsia="Arial" w:hAnsi="Arial"/>
          <w:sz w:val="22"/>
          <w:szCs w:val="22"/>
          <w:color w:val="auto"/>
        </w:rPr>
        <w:t>net income since the fourth quarter of 2004 as its sale price was fixed prior to that period.</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I.1 INTEREST INCOME AND OTHER INCOME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u w:val="single" w:color="auto"/>
          <w:color w:val="auto"/>
        </w:rPr>
        <w:t>Note:</w:t>
      </w:r>
      <w:r>
        <w:rPr>
          <w:rFonts w:ascii="Arial" w:cs="Arial" w:eastAsia="Arial" w:hAnsi="Arial"/>
          <w:sz w:val="21"/>
          <w:szCs w:val="21"/>
          <w:color w:val="auto"/>
        </w:rPr>
        <w:t xml:space="preserve"> For comparison purposes, in periods prior to 2005, income from recoveries of previously charged-off loans, which were reported in the </w:t>
      </w:r>
      <w:r>
        <w:rPr>
          <w:rFonts w:ascii="Arial" w:cs="Arial" w:eastAsia="Arial" w:hAnsi="Arial"/>
          <w:sz w:val="21"/>
          <w:szCs w:val="21"/>
          <w:i w:val="1"/>
          <w:iCs w:val="1"/>
          <w:u w:val="single" w:color="auto"/>
          <w:color w:val="auto"/>
        </w:rPr>
        <w:t>Other non-interest income</w:t>
      </w:r>
      <w:r>
        <w:rPr>
          <w:rFonts w:ascii="Arial" w:cs="Arial" w:eastAsia="Arial" w:hAnsi="Arial"/>
          <w:sz w:val="21"/>
          <w:szCs w:val="21"/>
          <w:color w:val="auto"/>
        </w:rPr>
        <w:t xml:space="preserve"> concept, have been reclassified into the </w:t>
      </w:r>
      <w:r>
        <w:rPr>
          <w:rFonts w:ascii="Arial" w:cs="Arial" w:eastAsia="Arial" w:hAnsi="Arial"/>
          <w:sz w:val="21"/>
          <w:szCs w:val="21"/>
          <w:i w:val="1"/>
          <w:iCs w:val="1"/>
          <w:u w:val="single" w:color="auto"/>
          <w:color w:val="auto"/>
        </w:rPr>
        <w:t>Provision for possible loan losses</w:t>
      </w:r>
      <w:r>
        <w:rPr>
          <w:rFonts w:ascii="Arial" w:cs="Arial" w:eastAsia="Arial" w:hAnsi="Arial"/>
          <w:sz w:val="21"/>
          <w:szCs w:val="21"/>
          <w:color w:val="auto"/>
        </w:rPr>
        <w:t xml:space="preserve"> concept, with no effect on net income. Additional minor reclassifications, also with no effect on net income, have been made affecting the captions of </w:t>
      </w:r>
      <w:r>
        <w:rPr>
          <w:rFonts w:ascii="Arial" w:cs="Arial" w:eastAsia="Arial" w:hAnsi="Arial"/>
          <w:sz w:val="21"/>
          <w:szCs w:val="21"/>
          <w:i w:val="1"/>
          <w:iCs w:val="1"/>
          <w:u w:val="single" w:color="auto"/>
          <w:color w:val="auto"/>
        </w:rPr>
        <w:t>Commissions for banking services</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Net premiums earned</w:t>
      </w:r>
      <w:r>
        <w:rPr>
          <w:rFonts w:ascii="Arial" w:cs="Arial" w:eastAsia="Arial" w:hAnsi="Arial"/>
          <w:sz w:val="21"/>
          <w:szCs w:val="21"/>
          <w:color w:val="auto"/>
        </w:rPr>
        <w:t xml:space="preserve">, and </w:t>
      </w:r>
      <w:r>
        <w:rPr>
          <w:rFonts w:ascii="Arial" w:cs="Arial" w:eastAsia="Arial" w:hAnsi="Arial"/>
          <w:sz w:val="21"/>
          <w:szCs w:val="21"/>
          <w:i w:val="1"/>
          <w:iCs w:val="1"/>
          <w:u w:val="single" w:color="auto"/>
          <w:color w:val="auto"/>
        </w:rPr>
        <w:t>Other expenses</w:t>
      </w:r>
      <w:r>
        <w:rPr>
          <w:rFonts w:ascii="Arial" w:cs="Arial" w:eastAsia="Arial" w:hAnsi="Arial"/>
          <w:sz w:val="21"/>
          <w:szCs w:val="21"/>
          <w:color w:val="auto"/>
        </w:rPr>
        <w:t>.</w:t>
      </w:r>
    </w:p>
    <w:p>
      <w:pPr>
        <w:spacing w:after="0" w:line="17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Net interest income in the third quarter of 2005 was US$114.3 million, increasing over US$93.5 million earned in the third quarter of 2004, mostly due to higher interest earning assets, compounded by an increase in interest margins.</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During the current quarter U.S. Dollar loan rates continued their positive trend and increased slightly, widening their spread over deposit rates. During third quarter 2005, the net interest margin (net interest income over average interest earning assets), on an annualized basis, was 5.79%, above 5.19% in the year-ago quarter, and increases also compared to 5.42% in the preceding second quarter.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both"/>
        <w:spacing w:after="0" w:line="241" w:lineRule="auto"/>
        <w:rPr>
          <w:sz w:val="20"/>
          <w:szCs w:val="20"/>
          <w:color w:val="auto"/>
        </w:rPr>
      </w:pPr>
      <w:r>
        <w:rPr>
          <w:rFonts w:ascii="Arial" w:cs="Arial" w:eastAsia="Arial" w:hAnsi="Arial"/>
          <w:sz w:val="22"/>
          <w:szCs w:val="22"/>
          <w:color w:val="auto"/>
        </w:rPr>
        <w:t>The volume of interest earning assets, as an average of quarter-end balances, reached US$7.9 billion in third quarter 2005, increasing 2.1% during the current quarter and is 9.6% higher compared to US$7.2 billion in the third quarter of 2004, mainly due to higher investments and loans.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Non-interest income, without including premiums and health fees, was US$72.5 million in the third quarter of 2005, 12.0% higher than US$64.8 million in the same period of 2004, principally due to improved results on sale of securities and higher fees on banking services. Non-interest income components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3Q05 vs.</w:t>
            </w:r>
          </w:p>
        </w:tc>
        <w:tc>
          <w:tcPr>
            <w:tcW w:w="1120" w:type="dxa"/>
            <w:vAlign w:val="bottom"/>
            <w:tcBorders>
              <w:top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3Q05 vs.</w:t>
            </w:r>
          </w:p>
        </w:tc>
      </w:tr>
      <w:tr>
        <w:trPr>
          <w:trHeight w:val="175"/>
        </w:trPr>
        <w:tc>
          <w:tcPr>
            <w:tcW w:w="364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(In US$Mn)</w:t>
            </w:r>
          </w:p>
        </w:tc>
        <w:tc>
          <w:tcPr>
            <w:tcW w:w="2620" w:type="dxa"/>
            <w:vAlign w:val="bottom"/>
            <w:tcBorders>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3Q04</w:t>
            </w:r>
          </w:p>
        </w:tc>
        <w:tc>
          <w:tcPr>
            <w:tcW w:w="1380" w:type="dxa"/>
            <w:vAlign w:val="bottom"/>
            <w:tcBorders>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2Q05</w:t>
            </w:r>
          </w:p>
        </w:tc>
        <w:tc>
          <w:tcPr>
            <w:tcW w:w="130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b w:val="1"/>
                <w:bCs w:val="1"/>
                <w:color w:val="auto"/>
              </w:rPr>
              <w:t>3Q05</w:t>
            </w:r>
          </w:p>
        </w:tc>
        <w:tc>
          <w:tcPr>
            <w:tcW w:w="136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b w:val="1"/>
                <w:bCs w:val="1"/>
                <w:color w:val="auto"/>
              </w:rPr>
              <w:t>2Q05</w:t>
            </w:r>
          </w:p>
        </w:tc>
        <w:tc>
          <w:tcPr>
            <w:tcW w:w="11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3Q04</w:t>
            </w:r>
          </w:p>
        </w:tc>
      </w:tr>
      <w:tr>
        <w:trPr>
          <w:trHeight w:val="160"/>
        </w:trPr>
        <w:tc>
          <w:tcPr>
            <w:tcW w:w="3640" w:type="dxa"/>
            <w:vAlign w:val="bottom"/>
          </w:tcPr>
          <w:p>
            <w:pPr>
              <w:spacing w:after="0" w:line="160" w:lineRule="exact"/>
              <w:rPr>
                <w:sz w:val="20"/>
                <w:szCs w:val="20"/>
                <w:color w:val="auto"/>
              </w:rPr>
            </w:pPr>
            <w:r>
              <w:rPr>
                <w:rFonts w:ascii="Arial" w:cs="Arial" w:eastAsia="Arial" w:hAnsi="Arial"/>
                <w:sz w:val="15"/>
                <w:szCs w:val="15"/>
                <w:color w:val="auto"/>
              </w:rPr>
              <w:t>Commissions for banking services</w:t>
            </w:r>
          </w:p>
        </w:tc>
        <w:tc>
          <w:tcPr>
            <w:tcW w:w="262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49.5</w:t>
            </w:r>
          </w:p>
        </w:tc>
        <w:tc>
          <w:tcPr>
            <w:tcW w:w="138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51.6</w:t>
            </w:r>
          </w:p>
        </w:tc>
        <w:tc>
          <w:tcPr>
            <w:tcW w:w="1300" w:type="dxa"/>
            <w:vAlign w:val="bottom"/>
          </w:tcPr>
          <w:p>
            <w:pPr>
              <w:jc w:val="right"/>
              <w:ind w:right="186"/>
              <w:spacing w:after="0" w:line="160" w:lineRule="exact"/>
              <w:rPr>
                <w:sz w:val="20"/>
                <w:szCs w:val="20"/>
                <w:color w:val="auto"/>
              </w:rPr>
            </w:pPr>
            <w:r>
              <w:rPr>
                <w:rFonts w:ascii="Arial" w:cs="Arial" w:eastAsia="Arial" w:hAnsi="Arial"/>
                <w:sz w:val="15"/>
                <w:szCs w:val="15"/>
                <w:color w:val="auto"/>
              </w:rPr>
              <w:t>51.2</w:t>
            </w:r>
          </w:p>
        </w:tc>
        <w:tc>
          <w:tcPr>
            <w:tcW w:w="1360" w:type="dxa"/>
            <w:vAlign w:val="bottom"/>
          </w:tcPr>
          <w:p>
            <w:pPr>
              <w:jc w:val="right"/>
              <w:ind w:right="186"/>
              <w:spacing w:after="0" w:line="160" w:lineRule="exact"/>
              <w:rPr>
                <w:sz w:val="20"/>
                <w:szCs w:val="20"/>
                <w:color w:val="auto"/>
              </w:rPr>
            </w:pPr>
            <w:r>
              <w:rPr>
                <w:rFonts w:ascii="Arial" w:cs="Arial" w:eastAsia="Arial" w:hAnsi="Arial"/>
                <w:sz w:val="15"/>
                <w:szCs w:val="15"/>
                <w:color w:val="auto"/>
              </w:rPr>
              <w:t>-0.7%</w:t>
            </w:r>
          </w:p>
        </w:tc>
        <w:tc>
          <w:tcPr>
            <w:tcW w:w="1120" w:type="dxa"/>
            <w:vAlign w:val="bottom"/>
          </w:tcPr>
          <w:p>
            <w:pPr>
              <w:jc w:val="right"/>
              <w:spacing w:after="0" w:line="160" w:lineRule="exact"/>
              <w:rPr>
                <w:sz w:val="20"/>
                <w:szCs w:val="20"/>
                <w:color w:val="auto"/>
              </w:rPr>
            </w:pPr>
            <w:r>
              <w:rPr>
                <w:rFonts w:ascii="Arial" w:cs="Arial" w:eastAsia="Arial" w:hAnsi="Arial"/>
                <w:sz w:val="15"/>
                <w:szCs w:val="15"/>
                <w:color w:val="auto"/>
              </w:rPr>
              <w:t>3.4%</w:t>
            </w:r>
          </w:p>
        </w:tc>
      </w:tr>
      <w:tr>
        <w:trPr>
          <w:trHeight w:val="162"/>
        </w:trPr>
        <w:tc>
          <w:tcPr>
            <w:tcW w:w="3640" w:type="dxa"/>
            <w:vAlign w:val="bottom"/>
          </w:tcPr>
          <w:p>
            <w:pPr>
              <w:spacing w:after="0" w:line="162" w:lineRule="exact"/>
              <w:rPr>
                <w:sz w:val="20"/>
                <w:szCs w:val="20"/>
                <w:color w:val="auto"/>
              </w:rPr>
            </w:pPr>
            <w:r>
              <w:rPr>
                <w:rFonts w:ascii="Arial" w:cs="Arial" w:eastAsia="Arial" w:hAnsi="Arial"/>
                <w:sz w:val="15"/>
                <w:szCs w:val="15"/>
                <w:color w:val="auto"/>
              </w:rPr>
              <w:t>Gains from sale of securities</w:t>
            </w:r>
          </w:p>
        </w:tc>
        <w:tc>
          <w:tcPr>
            <w:tcW w:w="2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3.2</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0.9</w:t>
            </w:r>
          </w:p>
        </w:tc>
        <w:tc>
          <w:tcPr>
            <w:tcW w:w="130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7.1</w:t>
            </w: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676.1%</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122.6%</w:t>
            </w:r>
          </w:p>
        </w:tc>
      </w:tr>
      <w:tr>
        <w:trPr>
          <w:trHeight w:val="162"/>
        </w:trPr>
        <w:tc>
          <w:tcPr>
            <w:tcW w:w="3640" w:type="dxa"/>
            <w:vAlign w:val="bottom"/>
          </w:tcPr>
          <w:p>
            <w:pPr>
              <w:spacing w:after="0" w:line="162" w:lineRule="exact"/>
              <w:rPr>
                <w:sz w:val="20"/>
                <w:szCs w:val="20"/>
                <w:color w:val="auto"/>
              </w:rPr>
            </w:pPr>
            <w:r>
              <w:rPr>
                <w:rFonts w:ascii="Arial" w:cs="Arial" w:eastAsia="Arial" w:hAnsi="Arial"/>
                <w:sz w:val="15"/>
                <w:szCs w:val="15"/>
                <w:color w:val="auto"/>
              </w:rPr>
              <w:t>Gains from foreign exchange</w:t>
            </w:r>
          </w:p>
        </w:tc>
        <w:tc>
          <w:tcPr>
            <w:tcW w:w="262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6.6</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7.2</w:t>
            </w:r>
          </w:p>
        </w:tc>
        <w:tc>
          <w:tcPr>
            <w:tcW w:w="130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7.6</w:t>
            </w: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5.3%</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15.4%</w:t>
            </w:r>
          </w:p>
        </w:tc>
      </w:tr>
      <w:tr>
        <w:trPr>
          <w:trHeight w:val="188"/>
        </w:trPr>
        <w:tc>
          <w:tcPr>
            <w:tcW w:w="3640" w:type="dxa"/>
            <w:vAlign w:val="bottom"/>
          </w:tcPr>
          <w:p>
            <w:pPr>
              <w:spacing w:after="0"/>
              <w:rPr>
                <w:sz w:val="20"/>
                <w:szCs w:val="20"/>
                <w:color w:val="auto"/>
              </w:rPr>
            </w:pPr>
            <w:r>
              <w:rPr>
                <w:rFonts w:ascii="Arial" w:cs="Arial" w:eastAsia="Arial" w:hAnsi="Arial"/>
                <w:sz w:val="15"/>
                <w:szCs w:val="15"/>
                <w:color w:val="auto"/>
              </w:rPr>
              <w:t>Other non-interest income</w:t>
            </w:r>
          </w:p>
        </w:tc>
        <w:tc>
          <w:tcPr>
            <w:tcW w:w="2620" w:type="dxa"/>
            <w:vAlign w:val="bottom"/>
          </w:tcPr>
          <w:p>
            <w:pPr>
              <w:jc w:val="right"/>
              <w:ind w:right="266"/>
              <w:spacing w:after="0"/>
              <w:rPr>
                <w:sz w:val="20"/>
                <w:szCs w:val="20"/>
                <w:color w:val="auto"/>
              </w:rPr>
            </w:pPr>
            <w:r>
              <w:rPr>
                <w:rFonts w:ascii="Arial" w:cs="Arial" w:eastAsia="Arial" w:hAnsi="Arial"/>
                <w:sz w:val="15"/>
                <w:szCs w:val="15"/>
                <w:color w:val="auto"/>
              </w:rPr>
              <w:t>5.5</w:t>
            </w:r>
          </w:p>
        </w:tc>
        <w:tc>
          <w:tcPr>
            <w:tcW w:w="1380" w:type="dxa"/>
            <w:vAlign w:val="bottom"/>
          </w:tcPr>
          <w:p>
            <w:pPr>
              <w:jc w:val="right"/>
              <w:ind w:right="266"/>
              <w:spacing w:after="0"/>
              <w:rPr>
                <w:sz w:val="20"/>
                <w:szCs w:val="20"/>
                <w:color w:val="auto"/>
              </w:rPr>
            </w:pPr>
            <w:r>
              <w:rPr>
                <w:rFonts w:ascii="Arial" w:cs="Arial" w:eastAsia="Arial" w:hAnsi="Arial"/>
                <w:sz w:val="15"/>
                <w:szCs w:val="15"/>
                <w:color w:val="auto"/>
              </w:rPr>
              <w:t>3.5</w:t>
            </w:r>
          </w:p>
        </w:tc>
        <w:tc>
          <w:tcPr>
            <w:tcW w:w="1300" w:type="dxa"/>
            <w:vAlign w:val="bottom"/>
          </w:tcPr>
          <w:p>
            <w:pPr>
              <w:jc w:val="right"/>
              <w:ind w:right="186"/>
              <w:spacing w:after="0"/>
              <w:rPr>
                <w:sz w:val="20"/>
                <w:szCs w:val="20"/>
                <w:color w:val="auto"/>
              </w:rPr>
            </w:pPr>
            <w:r>
              <w:rPr>
                <w:rFonts w:ascii="Arial" w:cs="Arial" w:eastAsia="Arial" w:hAnsi="Arial"/>
                <w:sz w:val="15"/>
                <w:szCs w:val="15"/>
                <w:color w:val="auto"/>
              </w:rPr>
              <w:t>6.5</w:t>
            </w:r>
          </w:p>
        </w:tc>
        <w:tc>
          <w:tcPr>
            <w:tcW w:w="1360" w:type="dxa"/>
            <w:vAlign w:val="bottom"/>
          </w:tcPr>
          <w:p>
            <w:pPr>
              <w:jc w:val="right"/>
              <w:ind w:right="186"/>
              <w:spacing w:after="0"/>
              <w:rPr>
                <w:sz w:val="20"/>
                <w:szCs w:val="20"/>
                <w:color w:val="auto"/>
              </w:rPr>
            </w:pPr>
            <w:r>
              <w:rPr>
                <w:rFonts w:ascii="Arial" w:cs="Arial" w:eastAsia="Arial" w:hAnsi="Arial"/>
                <w:sz w:val="15"/>
                <w:szCs w:val="15"/>
                <w:color w:val="auto"/>
              </w:rPr>
              <w:t>87.9%</w:t>
            </w:r>
          </w:p>
        </w:tc>
        <w:tc>
          <w:tcPr>
            <w:tcW w:w="1120" w:type="dxa"/>
            <w:vAlign w:val="bottom"/>
          </w:tcPr>
          <w:p>
            <w:pPr>
              <w:jc w:val="right"/>
              <w:spacing w:after="0"/>
              <w:rPr>
                <w:sz w:val="20"/>
                <w:szCs w:val="20"/>
                <w:color w:val="auto"/>
              </w:rPr>
            </w:pPr>
            <w:r>
              <w:rPr>
                <w:rFonts w:ascii="Arial" w:cs="Arial" w:eastAsia="Arial" w:hAnsi="Arial"/>
                <w:sz w:val="15"/>
                <w:szCs w:val="15"/>
                <w:color w:val="auto"/>
              </w:rPr>
              <w:t>18.3%</w:t>
            </w:r>
          </w:p>
        </w:tc>
      </w:tr>
      <w:tr>
        <w:trPr>
          <w:trHeight w:val="307"/>
        </w:trPr>
        <w:tc>
          <w:tcPr>
            <w:tcW w:w="36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Non-Interest Income</w:t>
            </w:r>
          </w:p>
        </w:tc>
        <w:tc>
          <w:tcPr>
            <w:tcW w:w="26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64.8</w:t>
            </w:r>
          </w:p>
        </w:tc>
        <w:tc>
          <w:tcPr>
            <w:tcW w:w="13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63.2</w:t>
            </w:r>
          </w:p>
        </w:tc>
        <w:tc>
          <w:tcPr>
            <w:tcW w:w="13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72.5</w:t>
            </w:r>
          </w:p>
        </w:tc>
        <w:tc>
          <w:tcPr>
            <w:tcW w:w="1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14.7%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12.0%</w:t>
            </w:r>
          </w:p>
        </w:tc>
      </w:tr>
    </w:tbl>
    <w:p>
      <w:pPr>
        <w:spacing w:after="0" w:line="200" w:lineRule="exact"/>
        <w:rPr>
          <w:sz w:val="20"/>
          <w:szCs w:val="20"/>
          <w:color w:val="auto"/>
        </w:rPr>
      </w:pPr>
    </w:p>
    <w:p>
      <w:pPr>
        <w:spacing w:after="0" w:line="25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altogether better results of Credicorp’s banking activities was strong enough to offset the downturn of the insurance business with its drop in earnings compared to the previous year.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Net revenue from the insurance activity, premiums and health fees net of claims and health costs,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5"/>
                <w:szCs w:val="15"/>
                <w:b w:val="1"/>
                <w:bCs w:val="1"/>
                <w:color w:val="auto"/>
                <w:w w:val="90"/>
              </w:rPr>
              <w:t>3Q05 vs</w:t>
            </w:r>
          </w:p>
        </w:tc>
        <w:tc>
          <w:tcPr>
            <w:tcW w:w="112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5"/>
                <w:szCs w:val="15"/>
                <w:b w:val="1"/>
                <w:bCs w:val="1"/>
                <w:color w:val="auto"/>
              </w:rPr>
              <w:t>3Q05 vs</w:t>
            </w:r>
          </w:p>
        </w:tc>
      </w:tr>
      <w:tr>
        <w:trPr>
          <w:trHeight w:val="175"/>
        </w:trPr>
        <w:tc>
          <w:tcPr>
            <w:tcW w:w="3800" w:type="dxa"/>
            <w:vAlign w:val="bottom"/>
            <w:tcBorders>
              <w:bottom w:val="single" w:sz="8" w:color="auto"/>
            </w:tcBorders>
            <w:gridSpan w:val="3"/>
          </w:tcPr>
          <w:p>
            <w:pPr>
              <w:spacing w:after="0"/>
              <w:rPr>
                <w:sz w:val="20"/>
                <w:szCs w:val="20"/>
                <w:color w:val="auto"/>
              </w:rPr>
            </w:pPr>
            <w:r>
              <w:rPr>
                <w:rFonts w:ascii="Arial" w:cs="Arial" w:eastAsia="Arial" w:hAnsi="Arial"/>
                <w:sz w:val="15"/>
                <w:szCs w:val="15"/>
                <w:i w:val="1"/>
                <w:iCs w:val="1"/>
                <w:color w:val="auto"/>
              </w:rPr>
              <w:t>(In US$ Mn)</w:t>
            </w:r>
          </w:p>
        </w:tc>
        <w:tc>
          <w:tcPr>
            <w:tcW w:w="24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5"/>
                <w:szCs w:val="15"/>
                <w:b w:val="1"/>
                <w:bCs w:val="1"/>
                <w:color w:val="auto"/>
              </w:rPr>
              <w:t>3Q04</w:t>
            </w:r>
          </w:p>
        </w:tc>
        <w:tc>
          <w:tcPr>
            <w:tcW w:w="13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5"/>
                <w:szCs w:val="15"/>
                <w:b w:val="1"/>
                <w:bCs w:val="1"/>
                <w:color w:val="auto"/>
              </w:rPr>
              <w:t>2Q05</w:t>
            </w:r>
          </w:p>
        </w:tc>
        <w:tc>
          <w:tcPr>
            <w:tcW w:w="13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5"/>
                <w:szCs w:val="15"/>
                <w:b w:val="1"/>
                <w:bCs w:val="1"/>
                <w:color w:val="auto"/>
              </w:rPr>
              <w:t>3Q05</w:t>
            </w:r>
          </w:p>
        </w:tc>
        <w:tc>
          <w:tcPr>
            <w:tcW w:w="13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5"/>
                <w:szCs w:val="15"/>
                <w:b w:val="1"/>
                <w:bCs w:val="1"/>
                <w:color w:val="auto"/>
                <w:w w:val="92"/>
              </w:rPr>
              <w:t>2Q05</w:t>
            </w:r>
          </w:p>
        </w:tc>
        <w:tc>
          <w:tcPr>
            <w:tcW w:w="11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5"/>
                <w:szCs w:val="15"/>
                <w:b w:val="1"/>
                <w:bCs w:val="1"/>
                <w:color w:val="auto"/>
              </w:rPr>
              <w:t>3Q04</w:t>
            </w:r>
          </w:p>
        </w:tc>
      </w:tr>
      <w:tr>
        <w:trPr>
          <w:trHeight w:val="160"/>
        </w:trPr>
        <w:tc>
          <w:tcPr>
            <w:tcW w:w="3800" w:type="dxa"/>
            <w:vAlign w:val="bottom"/>
            <w:gridSpan w:val="3"/>
          </w:tcPr>
          <w:p>
            <w:pPr>
              <w:spacing w:after="0" w:line="160" w:lineRule="exact"/>
              <w:rPr>
                <w:sz w:val="20"/>
                <w:szCs w:val="20"/>
                <w:color w:val="auto"/>
              </w:rPr>
            </w:pPr>
            <w:r>
              <w:rPr>
                <w:rFonts w:ascii="Arial" w:cs="Arial" w:eastAsia="Arial" w:hAnsi="Arial"/>
                <w:sz w:val="15"/>
                <w:szCs w:val="15"/>
                <w:color w:val="auto"/>
              </w:rPr>
              <w:t>Net premiums earned and</w:t>
            </w: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380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Health fees</w:t>
            </w:r>
          </w:p>
        </w:tc>
        <w:tc>
          <w:tcPr>
            <w:tcW w:w="246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66.9</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53.2</w:t>
            </w:r>
          </w:p>
        </w:tc>
        <w:tc>
          <w:tcPr>
            <w:tcW w:w="340" w:type="dxa"/>
            <w:vAlign w:val="bottom"/>
          </w:tcPr>
          <w:p>
            <w:pPr>
              <w:spacing w:after="0"/>
              <w:rPr>
                <w:sz w:val="14"/>
                <w:szCs w:val="14"/>
                <w:color w:val="auto"/>
              </w:rPr>
            </w:pPr>
          </w:p>
        </w:tc>
        <w:tc>
          <w:tcPr>
            <w:tcW w:w="132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57.2</w:t>
            </w:r>
          </w:p>
        </w:tc>
        <w:tc>
          <w:tcPr>
            <w:tcW w:w="1340" w:type="dxa"/>
            <w:vAlign w:val="bottom"/>
            <w:gridSpan w:val="3"/>
          </w:tcPr>
          <w:p>
            <w:pPr>
              <w:jc w:val="right"/>
              <w:ind w:right="260"/>
              <w:spacing w:after="0" w:line="162" w:lineRule="exact"/>
              <w:rPr>
                <w:sz w:val="20"/>
                <w:szCs w:val="20"/>
                <w:color w:val="auto"/>
              </w:rPr>
            </w:pPr>
            <w:r>
              <w:rPr>
                <w:rFonts w:ascii="Arial" w:cs="Arial" w:eastAsia="Arial" w:hAnsi="Arial"/>
                <w:sz w:val="15"/>
                <w:szCs w:val="15"/>
                <w:color w:val="auto"/>
              </w:rPr>
              <w:t>7.5%</w:t>
            </w:r>
          </w:p>
        </w:tc>
        <w:tc>
          <w:tcPr>
            <w:tcW w:w="112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-14.6%</w:t>
            </w:r>
          </w:p>
        </w:tc>
      </w:tr>
      <w:tr>
        <w:trPr>
          <w:trHeight w:val="162"/>
        </w:trPr>
        <w:tc>
          <w:tcPr>
            <w:tcW w:w="3800" w:type="dxa"/>
            <w:vAlign w:val="bottom"/>
            <w:gridSpan w:val="3"/>
          </w:tcPr>
          <w:p>
            <w:pPr>
              <w:spacing w:after="0" w:line="162" w:lineRule="exact"/>
              <w:rPr>
                <w:sz w:val="20"/>
                <w:szCs w:val="20"/>
                <w:color w:val="auto"/>
              </w:rPr>
            </w:pPr>
            <w:r>
              <w:rPr>
                <w:rFonts w:ascii="Arial" w:cs="Arial" w:eastAsia="Arial" w:hAnsi="Arial"/>
                <w:sz w:val="15"/>
                <w:szCs w:val="15"/>
                <w:color w:val="auto"/>
              </w:rPr>
              <w:t>Less:</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80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Net claims and health costs incurred</w:t>
            </w:r>
          </w:p>
        </w:tc>
        <w:tc>
          <w:tcPr>
            <w:tcW w:w="246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8.7</w:t>
            </w:r>
          </w:p>
        </w:tc>
        <w:tc>
          <w:tcPr>
            <w:tcW w:w="138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11.4</w:t>
            </w:r>
          </w:p>
        </w:tc>
        <w:tc>
          <w:tcPr>
            <w:tcW w:w="132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9.0</w:t>
            </w:r>
          </w:p>
        </w:tc>
        <w:tc>
          <w:tcPr>
            <w:tcW w:w="1340" w:type="dxa"/>
            <w:vAlign w:val="bottom"/>
            <w:gridSpan w:val="3"/>
          </w:tcPr>
          <w:p>
            <w:pPr>
              <w:jc w:val="right"/>
              <w:ind w:right="260"/>
              <w:spacing w:after="0" w:line="162" w:lineRule="exact"/>
              <w:rPr>
                <w:sz w:val="20"/>
                <w:szCs w:val="20"/>
                <w:color w:val="auto"/>
              </w:rPr>
            </w:pPr>
            <w:r>
              <w:rPr>
                <w:rFonts w:ascii="Arial" w:cs="Arial" w:eastAsia="Arial" w:hAnsi="Arial"/>
                <w:sz w:val="15"/>
                <w:szCs w:val="15"/>
                <w:color w:val="auto"/>
              </w:rPr>
              <w:t>-20.6%</w:t>
            </w:r>
          </w:p>
        </w:tc>
        <w:tc>
          <w:tcPr>
            <w:tcW w:w="112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4.5%</w:t>
            </w:r>
          </w:p>
        </w:tc>
      </w:tr>
      <w:tr>
        <w:trPr>
          <w:trHeight w:val="162"/>
        </w:trPr>
        <w:tc>
          <w:tcPr>
            <w:tcW w:w="380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Increase in costs for future benefits for</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80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Life and health policies</w:t>
            </w:r>
          </w:p>
        </w:tc>
        <w:tc>
          <w:tcPr>
            <w:tcW w:w="246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40.0</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33.4</w:t>
            </w:r>
          </w:p>
        </w:tc>
        <w:tc>
          <w:tcPr>
            <w:tcW w:w="340" w:type="dxa"/>
            <w:vAlign w:val="bottom"/>
          </w:tcPr>
          <w:p>
            <w:pPr>
              <w:spacing w:after="0"/>
              <w:rPr>
                <w:sz w:val="14"/>
                <w:szCs w:val="14"/>
                <w:color w:val="auto"/>
              </w:rPr>
            </w:pPr>
          </w:p>
        </w:tc>
        <w:tc>
          <w:tcPr>
            <w:tcW w:w="132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34.5</w:t>
            </w:r>
          </w:p>
        </w:tc>
        <w:tc>
          <w:tcPr>
            <w:tcW w:w="1340" w:type="dxa"/>
            <w:vAlign w:val="bottom"/>
            <w:gridSpan w:val="3"/>
          </w:tcPr>
          <w:p>
            <w:pPr>
              <w:jc w:val="right"/>
              <w:ind w:right="260"/>
              <w:spacing w:after="0" w:line="162" w:lineRule="exact"/>
              <w:rPr>
                <w:sz w:val="20"/>
                <w:szCs w:val="20"/>
                <w:color w:val="auto"/>
              </w:rPr>
            </w:pPr>
            <w:r>
              <w:rPr>
                <w:rFonts w:ascii="Arial" w:cs="Arial" w:eastAsia="Arial" w:hAnsi="Arial"/>
                <w:sz w:val="15"/>
                <w:szCs w:val="15"/>
                <w:color w:val="auto"/>
              </w:rPr>
              <w:t>3.5%</w:t>
            </w:r>
          </w:p>
        </w:tc>
        <w:tc>
          <w:tcPr>
            <w:tcW w:w="112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-13.6%</w:t>
            </w:r>
          </w:p>
        </w:tc>
      </w:tr>
      <w:tr>
        <w:trPr>
          <w:trHeight w:val="158"/>
        </w:trPr>
        <w:tc>
          <w:tcPr>
            <w:tcW w:w="460" w:type="dxa"/>
            <w:vAlign w:val="bottom"/>
          </w:tcPr>
          <w:p>
            <w:pPr>
              <w:spacing w:after="0"/>
              <w:rPr>
                <w:sz w:val="13"/>
                <w:szCs w:val="13"/>
                <w:color w:val="auto"/>
              </w:rPr>
            </w:pPr>
          </w:p>
        </w:tc>
        <w:tc>
          <w:tcPr>
            <w:tcW w:w="3340" w:type="dxa"/>
            <w:vAlign w:val="bottom"/>
            <w:gridSpan w:val="2"/>
          </w:tcPr>
          <w:p>
            <w:pPr>
              <w:spacing w:after="0" w:line="158" w:lineRule="exact"/>
              <w:rPr>
                <w:sz w:val="20"/>
                <w:szCs w:val="20"/>
                <w:color w:val="auto"/>
              </w:rPr>
            </w:pPr>
            <w:r>
              <w:rPr>
                <w:rFonts w:ascii="Arial" w:cs="Arial" w:eastAsia="Arial" w:hAnsi="Arial"/>
                <w:sz w:val="15"/>
                <w:szCs w:val="15"/>
                <w:color w:val="auto"/>
              </w:rPr>
              <w:t>Sub-total: Claims and costs</w:t>
            </w:r>
          </w:p>
        </w:tc>
        <w:tc>
          <w:tcPr>
            <w:tcW w:w="2460" w:type="dxa"/>
            <w:vAlign w:val="bottom"/>
            <w:gridSpan w:val="3"/>
          </w:tcPr>
          <w:p>
            <w:pPr>
              <w:jc w:val="right"/>
              <w:ind w:right="340"/>
              <w:spacing w:after="0" w:line="158" w:lineRule="exact"/>
              <w:rPr>
                <w:sz w:val="20"/>
                <w:szCs w:val="20"/>
                <w:color w:val="auto"/>
              </w:rPr>
            </w:pPr>
            <w:r>
              <w:rPr>
                <w:rFonts w:ascii="Arial" w:cs="Arial" w:eastAsia="Arial" w:hAnsi="Arial"/>
                <w:sz w:val="15"/>
                <w:szCs w:val="15"/>
                <w:color w:val="auto"/>
              </w:rPr>
              <w:t>48.</w:t>
            </w:r>
            <w:r>
              <w:rPr>
                <w:rFonts w:ascii="Arial" w:cs="Arial" w:eastAsia="Arial" w:hAnsi="Arial"/>
                <w:sz w:val="15"/>
                <w:szCs w:val="15"/>
                <w:u w:val="single" w:color="auto"/>
                <w:color w:val="auto"/>
              </w:rPr>
              <w:t>7</w:t>
            </w:r>
          </w:p>
        </w:tc>
        <w:tc>
          <w:tcPr>
            <w:tcW w:w="10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44.</w:t>
            </w:r>
            <w:r>
              <w:rPr>
                <w:rFonts w:ascii="Arial" w:cs="Arial" w:eastAsia="Arial" w:hAnsi="Arial"/>
                <w:sz w:val="15"/>
                <w:szCs w:val="15"/>
                <w:u w:val="single" w:color="auto"/>
                <w:color w:val="auto"/>
              </w:rPr>
              <w:t>8</w:t>
            </w:r>
          </w:p>
        </w:tc>
        <w:tc>
          <w:tcPr>
            <w:tcW w:w="340" w:type="dxa"/>
            <w:vAlign w:val="bottom"/>
          </w:tcPr>
          <w:p>
            <w:pPr>
              <w:spacing w:after="0"/>
              <w:rPr>
                <w:sz w:val="13"/>
                <w:szCs w:val="13"/>
                <w:color w:val="auto"/>
              </w:rPr>
            </w:pPr>
          </w:p>
        </w:tc>
        <w:tc>
          <w:tcPr>
            <w:tcW w:w="1320" w:type="dxa"/>
            <w:vAlign w:val="bottom"/>
            <w:gridSpan w:val="3"/>
          </w:tcPr>
          <w:p>
            <w:pPr>
              <w:jc w:val="right"/>
              <w:ind w:right="280"/>
              <w:spacing w:after="0" w:line="158" w:lineRule="exact"/>
              <w:rPr>
                <w:sz w:val="20"/>
                <w:szCs w:val="20"/>
                <w:color w:val="auto"/>
              </w:rPr>
            </w:pPr>
            <w:r>
              <w:rPr>
                <w:rFonts w:ascii="Arial" w:cs="Arial" w:eastAsia="Arial" w:hAnsi="Arial"/>
                <w:sz w:val="15"/>
                <w:szCs w:val="15"/>
                <w:color w:val="auto"/>
              </w:rPr>
              <w:t>43.</w:t>
            </w:r>
            <w:r>
              <w:rPr>
                <w:rFonts w:ascii="Arial" w:cs="Arial" w:eastAsia="Arial" w:hAnsi="Arial"/>
                <w:sz w:val="15"/>
                <w:szCs w:val="15"/>
                <w:u w:val="single" w:color="auto"/>
                <w:color w:val="auto"/>
              </w:rPr>
              <w:t>5</w:t>
            </w:r>
          </w:p>
        </w:tc>
        <w:tc>
          <w:tcPr>
            <w:tcW w:w="1340" w:type="dxa"/>
            <w:vAlign w:val="bottom"/>
            <w:gridSpan w:val="3"/>
          </w:tcPr>
          <w:p>
            <w:pPr>
              <w:jc w:val="right"/>
              <w:ind w:right="260"/>
              <w:spacing w:after="0" w:line="158" w:lineRule="exact"/>
              <w:rPr>
                <w:sz w:val="20"/>
                <w:szCs w:val="20"/>
                <w:color w:val="auto"/>
              </w:rPr>
            </w:pPr>
            <w:r>
              <w:rPr>
                <w:rFonts w:ascii="Arial" w:cs="Arial" w:eastAsia="Arial" w:hAnsi="Arial"/>
                <w:sz w:val="15"/>
                <w:szCs w:val="15"/>
                <w:color w:val="auto"/>
              </w:rPr>
              <w:t>-2.6%</w:t>
            </w:r>
          </w:p>
        </w:tc>
        <w:tc>
          <w:tcPr>
            <w:tcW w:w="112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-10.3%</w:t>
            </w:r>
          </w:p>
        </w:tc>
      </w:tr>
      <w:tr>
        <w:trPr>
          <w:trHeight w:val="20"/>
        </w:trPr>
        <w:tc>
          <w:tcPr>
            <w:tcW w:w="4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380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Net revenue from insurance activities</w:t>
            </w:r>
          </w:p>
        </w:tc>
        <w:tc>
          <w:tcPr>
            <w:tcW w:w="24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5"/>
                <w:szCs w:val="15"/>
                <w:b w:val="1"/>
                <w:bCs w:val="1"/>
                <w:color w:val="auto"/>
              </w:rPr>
              <w:t>18.3</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8.4</w:t>
            </w: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5"/>
                <w:szCs w:val="15"/>
                <w:b w:val="1"/>
                <w:bCs w:val="1"/>
                <w:color w:val="auto"/>
              </w:rPr>
              <w:t>13.6</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61.8%</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-25.9%</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the preceding chart, comparing third quarter 2005 figures with the year-ago quarter significant declines are noted which are mainly due to the merger in third quarter 2004 of Novasalud EPS, which was acquired by PPS in March 2004. In third quarter 2004, Premiums and health fees, as well as Claims and health costs, generated by Novasalud from March through August 2004 were retroactively registered in third quarter 2004.</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I.2 OTHER NON-INTEREST EXPENSES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u w:val="single" w:color="auto"/>
          <w:color w:val="auto"/>
        </w:rPr>
        <w:t>Note:</w:t>
      </w:r>
      <w:r>
        <w:rPr>
          <w:rFonts w:ascii="Arial" w:cs="Arial" w:eastAsia="Arial" w:hAnsi="Arial"/>
          <w:sz w:val="19"/>
          <w:szCs w:val="19"/>
          <w:color w:val="auto"/>
        </w:rPr>
        <w:t xml:space="preserve"> For comparison purposes, in prior periods, expense for </w:t>
      </w:r>
      <w:r>
        <w:rPr>
          <w:rFonts w:ascii="Arial" w:cs="Arial" w:eastAsia="Arial" w:hAnsi="Arial"/>
          <w:sz w:val="19"/>
          <w:szCs w:val="19"/>
          <w:i w:val="1"/>
          <w:iCs w:val="1"/>
          <w:u w:val="single" w:color="auto"/>
          <w:color w:val="auto"/>
        </w:rPr>
        <w:t>Legal employee profit sharing,</w:t>
      </w:r>
      <w:r>
        <w:rPr>
          <w:rFonts w:ascii="Arial" w:cs="Arial" w:eastAsia="Arial" w:hAnsi="Arial"/>
          <w:sz w:val="19"/>
          <w:szCs w:val="19"/>
          <w:color w:val="auto"/>
        </w:rPr>
        <w:t xml:space="preserve"> which was previously reported within the </w:t>
      </w:r>
      <w:r>
        <w:rPr>
          <w:rFonts w:ascii="Arial" w:cs="Arial" w:eastAsia="Arial" w:hAnsi="Arial"/>
          <w:sz w:val="19"/>
          <w:szCs w:val="19"/>
          <w:i w:val="1"/>
          <w:iCs w:val="1"/>
          <w:u w:val="single" w:color="auto"/>
          <w:color w:val="auto"/>
        </w:rPr>
        <w:t>Salaries and employee benefits</w:t>
      </w:r>
      <w:r>
        <w:rPr>
          <w:rFonts w:ascii="Arial" w:cs="Arial" w:eastAsia="Arial" w:hAnsi="Arial"/>
          <w:sz w:val="19"/>
          <w:szCs w:val="19"/>
          <w:color w:val="auto"/>
        </w:rPr>
        <w:t xml:space="preserve"> concept, have been reclassified into a separate line item, with no effect on net income.</w:t>
      </w:r>
    </w:p>
    <w:p>
      <w:pPr>
        <w:spacing w:after="0" w:line="10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Other non-interest expenses amounted to US$128.7 million in third quarter 2005, 2.9% over expenses in the same period of the previous year, and increase 11.2% with respect to the preceding second quarter 2005, mainly due to higher provisions for appreciation of stocks awarded under the stock options plan. Credicorp’s other expense components had the following variations: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6"/>
        </w:trPr>
        <w:tc>
          <w:tcPr>
            <w:tcW w:w="362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3Q05 vs.</w:t>
            </w:r>
          </w:p>
        </w:tc>
        <w:tc>
          <w:tcPr>
            <w:tcW w:w="1120" w:type="dxa"/>
            <w:vAlign w:val="bottom"/>
            <w:tcBorders>
              <w:top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3Q05 vs.</w:t>
            </w:r>
          </w:p>
        </w:tc>
      </w:tr>
      <w:tr>
        <w:trPr>
          <w:trHeight w:val="175"/>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 change and US$Mn)</w:t>
            </w:r>
          </w:p>
        </w:tc>
        <w:tc>
          <w:tcPr>
            <w:tcW w:w="2640" w:type="dxa"/>
            <w:vAlign w:val="bottom"/>
            <w:tcBorders>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3Q04</w:t>
            </w:r>
          </w:p>
        </w:tc>
        <w:tc>
          <w:tcPr>
            <w:tcW w:w="1380" w:type="dxa"/>
            <w:vAlign w:val="bottom"/>
            <w:tcBorders>
              <w:bottom w:val="single" w:sz="8" w:color="auto"/>
            </w:tcBorders>
          </w:tcPr>
          <w:p>
            <w:pPr>
              <w:jc w:val="right"/>
              <w:ind w:right="646"/>
              <w:spacing w:after="0"/>
              <w:rPr>
                <w:sz w:val="20"/>
                <w:szCs w:val="20"/>
                <w:color w:val="auto"/>
              </w:rPr>
            </w:pPr>
            <w:r>
              <w:rPr>
                <w:rFonts w:ascii="Arial" w:cs="Arial" w:eastAsia="Arial" w:hAnsi="Arial"/>
                <w:sz w:val="15"/>
                <w:szCs w:val="15"/>
                <w:b w:val="1"/>
                <w:bCs w:val="1"/>
                <w:color w:val="auto"/>
              </w:rPr>
              <w:t>2Q05</w:t>
            </w:r>
          </w:p>
        </w:tc>
        <w:tc>
          <w:tcPr>
            <w:tcW w:w="130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b w:val="1"/>
                <w:bCs w:val="1"/>
                <w:color w:val="auto"/>
              </w:rPr>
              <w:t>3Q05</w:t>
            </w:r>
          </w:p>
        </w:tc>
        <w:tc>
          <w:tcPr>
            <w:tcW w:w="136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b w:val="1"/>
                <w:bCs w:val="1"/>
                <w:color w:val="auto"/>
              </w:rPr>
              <w:t>2Q05</w:t>
            </w:r>
          </w:p>
        </w:tc>
        <w:tc>
          <w:tcPr>
            <w:tcW w:w="11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3Q04</w:t>
            </w:r>
          </w:p>
        </w:tc>
      </w:tr>
      <w:tr>
        <w:trPr>
          <w:trHeight w:val="160"/>
        </w:trPr>
        <w:tc>
          <w:tcPr>
            <w:tcW w:w="3620" w:type="dxa"/>
            <w:vAlign w:val="bottom"/>
          </w:tcPr>
          <w:p>
            <w:pPr>
              <w:spacing w:after="0" w:line="160" w:lineRule="exact"/>
              <w:rPr>
                <w:sz w:val="20"/>
                <w:szCs w:val="20"/>
                <w:color w:val="auto"/>
              </w:rPr>
            </w:pPr>
            <w:r>
              <w:rPr>
                <w:rFonts w:ascii="Arial" w:cs="Arial" w:eastAsia="Arial" w:hAnsi="Arial"/>
                <w:sz w:val="15"/>
                <w:szCs w:val="15"/>
                <w:color w:val="auto"/>
              </w:rPr>
              <w:t>Salaries and employee benefits</w:t>
            </w:r>
          </w:p>
        </w:tc>
        <w:tc>
          <w:tcPr>
            <w:tcW w:w="264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48.4</w:t>
            </w:r>
          </w:p>
        </w:tc>
        <w:tc>
          <w:tcPr>
            <w:tcW w:w="138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49.4</w:t>
            </w:r>
          </w:p>
        </w:tc>
        <w:tc>
          <w:tcPr>
            <w:tcW w:w="1300" w:type="dxa"/>
            <w:vAlign w:val="bottom"/>
          </w:tcPr>
          <w:p>
            <w:pPr>
              <w:jc w:val="right"/>
              <w:ind w:right="186"/>
              <w:spacing w:after="0" w:line="160" w:lineRule="exact"/>
              <w:rPr>
                <w:sz w:val="20"/>
                <w:szCs w:val="20"/>
                <w:color w:val="auto"/>
              </w:rPr>
            </w:pPr>
            <w:r>
              <w:rPr>
                <w:rFonts w:ascii="Arial" w:cs="Arial" w:eastAsia="Arial" w:hAnsi="Arial"/>
                <w:sz w:val="15"/>
                <w:szCs w:val="15"/>
                <w:color w:val="auto"/>
              </w:rPr>
              <w:t>49.6</w:t>
            </w:r>
          </w:p>
        </w:tc>
        <w:tc>
          <w:tcPr>
            <w:tcW w:w="1360" w:type="dxa"/>
            <w:vAlign w:val="bottom"/>
          </w:tcPr>
          <w:p>
            <w:pPr>
              <w:jc w:val="right"/>
              <w:ind w:right="186"/>
              <w:spacing w:after="0" w:line="160" w:lineRule="exact"/>
              <w:rPr>
                <w:sz w:val="20"/>
                <w:szCs w:val="20"/>
                <w:color w:val="auto"/>
              </w:rPr>
            </w:pPr>
            <w:r>
              <w:rPr>
                <w:rFonts w:ascii="Arial" w:cs="Arial" w:eastAsia="Arial" w:hAnsi="Arial"/>
                <w:sz w:val="15"/>
                <w:szCs w:val="15"/>
                <w:color w:val="auto"/>
              </w:rPr>
              <w:t>0.3%</w:t>
            </w:r>
          </w:p>
        </w:tc>
        <w:tc>
          <w:tcPr>
            <w:tcW w:w="1120" w:type="dxa"/>
            <w:vAlign w:val="bottom"/>
          </w:tcPr>
          <w:p>
            <w:pPr>
              <w:jc w:val="right"/>
              <w:spacing w:after="0" w:line="160" w:lineRule="exact"/>
              <w:rPr>
                <w:sz w:val="20"/>
                <w:szCs w:val="20"/>
                <w:color w:val="auto"/>
              </w:rPr>
            </w:pPr>
            <w:r>
              <w:rPr>
                <w:rFonts w:ascii="Arial" w:cs="Arial" w:eastAsia="Arial" w:hAnsi="Arial"/>
                <w:sz w:val="15"/>
                <w:szCs w:val="15"/>
                <w:color w:val="auto"/>
              </w:rPr>
              <w:t>2.4%</w:t>
            </w:r>
          </w:p>
        </w:tc>
      </w:tr>
      <w:tr>
        <w:trPr>
          <w:trHeight w:val="162"/>
        </w:trPr>
        <w:tc>
          <w:tcPr>
            <w:tcW w:w="3620" w:type="dxa"/>
            <w:vAlign w:val="bottom"/>
          </w:tcPr>
          <w:p>
            <w:pPr>
              <w:spacing w:after="0" w:line="162" w:lineRule="exact"/>
              <w:rPr>
                <w:sz w:val="20"/>
                <w:szCs w:val="20"/>
                <w:color w:val="auto"/>
              </w:rPr>
            </w:pPr>
            <w:r>
              <w:rPr>
                <w:rFonts w:ascii="Arial" w:cs="Arial" w:eastAsia="Arial" w:hAnsi="Arial"/>
                <w:sz w:val="15"/>
                <w:szCs w:val="15"/>
                <w:color w:val="auto"/>
              </w:rPr>
              <w:t>General, administrative, and taxes</w:t>
            </w:r>
          </w:p>
        </w:tc>
        <w:tc>
          <w:tcPr>
            <w:tcW w:w="264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37.2</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31.6</w:t>
            </w:r>
          </w:p>
        </w:tc>
        <w:tc>
          <w:tcPr>
            <w:tcW w:w="130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36.5</w:t>
            </w: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15.6%</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-1.7%</w:t>
            </w:r>
          </w:p>
        </w:tc>
      </w:tr>
      <w:tr>
        <w:trPr>
          <w:trHeight w:val="162"/>
        </w:trPr>
        <w:tc>
          <w:tcPr>
            <w:tcW w:w="3620" w:type="dxa"/>
            <w:vAlign w:val="bottom"/>
          </w:tcPr>
          <w:p>
            <w:pPr>
              <w:spacing w:after="0" w:line="162" w:lineRule="exact"/>
              <w:rPr>
                <w:sz w:val="20"/>
                <w:szCs w:val="20"/>
                <w:color w:val="auto"/>
              </w:rPr>
            </w:pPr>
            <w:r>
              <w:rPr>
                <w:rFonts w:ascii="Arial" w:cs="Arial" w:eastAsia="Arial" w:hAnsi="Arial"/>
                <w:sz w:val="15"/>
                <w:szCs w:val="15"/>
                <w:color w:val="auto"/>
              </w:rPr>
              <w:t>Depreciation and amortization</w:t>
            </w:r>
          </w:p>
        </w:tc>
        <w:tc>
          <w:tcPr>
            <w:tcW w:w="264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12.4</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9.4</w:t>
            </w:r>
          </w:p>
        </w:tc>
        <w:tc>
          <w:tcPr>
            <w:tcW w:w="130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9.7</w:t>
            </w: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3.4%</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-21.2%</w:t>
            </w:r>
          </w:p>
        </w:tc>
      </w:tr>
      <w:tr>
        <w:trPr>
          <w:trHeight w:val="162"/>
        </w:trPr>
        <w:tc>
          <w:tcPr>
            <w:tcW w:w="3620" w:type="dxa"/>
            <w:vAlign w:val="bottom"/>
          </w:tcPr>
          <w:p>
            <w:pPr>
              <w:spacing w:after="0" w:line="162" w:lineRule="exact"/>
              <w:rPr>
                <w:sz w:val="20"/>
                <w:szCs w:val="20"/>
                <w:color w:val="auto"/>
              </w:rPr>
            </w:pPr>
            <w:r>
              <w:rPr>
                <w:rFonts w:ascii="Arial" w:cs="Arial" w:eastAsia="Arial" w:hAnsi="Arial"/>
                <w:sz w:val="15"/>
                <w:szCs w:val="15"/>
                <w:color w:val="auto"/>
              </w:rPr>
              <w:t>Other</w:t>
            </w:r>
          </w:p>
        </w:tc>
        <w:tc>
          <w:tcPr>
            <w:tcW w:w="264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26.5</w:t>
            </w:r>
          </w:p>
        </w:tc>
        <w:tc>
          <w:tcPr>
            <w:tcW w:w="138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25.3</w:t>
            </w:r>
          </w:p>
        </w:tc>
        <w:tc>
          <w:tcPr>
            <w:tcW w:w="130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32.8</w:t>
            </w:r>
          </w:p>
        </w:tc>
        <w:tc>
          <w:tcPr>
            <w:tcW w:w="136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29.8%</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23.7%</w:t>
            </w:r>
          </w:p>
        </w:tc>
      </w:tr>
      <w:tr>
        <w:trPr>
          <w:trHeight w:val="188"/>
        </w:trPr>
        <w:tc>
          <w:tcPr>
            <w:tcW w:w="3620" w:type="dxa"/>
            <w:vAlign w:val="bottom"/>
          </w:tcPr>
          <w:p>
            <w:pPr>
              <w:spacing w:after="0"/>
              <w:rPr>
                <w:sz w:val="20"/>
                <w:szCs w:val="20"/>
                <w:color w:val="auto"/>
              </w:rPr>
            </w:pPr>
            <w:r>
              <w:rPr>
                <w:rFonts w:ascii="Arial" w:cs="Arial" w:eastAsia="Arial" w:hAnsi="Arial"/>
                <w:sz w:val="15"/>
                <w:szCs w:val="15"/>
                <w:color w:val="auto"/>
              </w:rPr>
              <w:t>Merger costs</w:t>
            </w:r>
          </w:p>
        </w:tc>
        <w:tc>
          <w:tcPr>
            <w:tcW w:w="2640" w:type="dxa"/>
            <w:vAlign w:val="bottom"/>
          </w:tcPr>
          <w:p>
            <w:pPr>
              <w:jc w:val="right"/>
              <w:ind w:right="266"/>
              <w:spacing w:after="0"/>
              <w:rPr>
                <w:sz w:val="20"/>
                <w:szCs w:val="20"/>
                <w:color w:val="auto"/>
              </w:rPr>
            </w:pPr>
            <w:r>
              <w:rPr>
                <w:rFonts w:ascii="Arial" w:cs="Arial" w:eastAsia="Arial" w:hAnsi="Arial"/>
                <w:sz w:val="15"/>
                <w:szCs w:val="15"/>
                <w:color w:val="auto"/>
              </w:rPr>
              <w:t>0.5</w:t>
            </w:r>
          </w:p>
        </w:tc>
        <w:tc>
          <w:tcPr>
            <w:tcW w:w="1380" w:type="dxa"/>
            <w:vAlign w:val="bottom"/>
          </w:tcPr>
          <w:p>
            <w:pPr>
              <w:jc w:val="right"/>
              <w:ind w:right="266"/>
              <w:spacing w:after="0"/>
              <w:rPr>
                <w:sz w:val="20"/>
                <w:szCs w:val="20"/>
                <w:color w:val="auto"/>
              </w:rPr>
            </w:pPr>
            <w:r>
              <w:rPr>
                <w:rFonts w:ascii="Arial" w:cs="Arial" w:eastAsia="Arial" w:hAnsi="Arial"/>
                <w:sz w:val="15"/>
                <w:szCs w:val="15"/>
                <w:color w:val="auto"/>
              </w:rPr>
              <w:t>0.0</w:t>
            </w:r>
          </w:p>
        </w:tc>
        <w:tc>
          <w:tcPr>
            <w:tcW w:w="1300" w:type="dxa"/>
            <w:vAlign w:val="bottom"/>
          </w:tcPr>
          <w:p>
            <w:pPr>
              <w:jc w:val="right"/>
              <w:ind w:right="186"/>
              <w:spacing w:after="0"/>
              <w:rPr>
                <w:sz w:val="20"/>
                <w:szCs w:val="20"/>
                <w:color w:val="auto"/>
              </w:rPr>
            </w:pPr>
            <w:r>
              <w:rPr>
                <w:rFonts w:ascii="Arial" w:cs="Arial" w:eastAsia="Arial" w:hAnsi="Arial"/>
                <w:sz w:val="15"/>
                <w:szCs w:val="15"/>
                <w:color w:val="auto"/>
              </w:rPr>
              <w:t>0.0</w:t>
            </w:r>
          </w:p>
        </w:tc>
        <w:tc>
          <w:tcPr>
            <w:tcW w:w="1360" w:type="dxa"/>
            <w:vAlign w:val="bottom"/>
          </w:tcPr>
          <w:p>
            <w:pPr>
              <w:jc w:val="right"/>
              <w:ind w:right="186"/>
              <w:spacing w:after="0"/>
              <w:rPr>
                <w:sz w:val="20"/>
                <w:szCs w:val="20"/>
                <w:color w:val="auto"/>
              </w:rPr>
            </w:pPr>
            <w:r>
              <w:rPr>
                <w:rFonts w:ascii="Arial" w:cs="Arial" w:eastAsia="Arial" w:hAnsi="Arial"/>
                <w:sz w:val="15"/>
                <w:szCs w:val="15"/>
                <w:color w:val="auto"/>
              </w:rPr>
              <w:t>N/A</w:t>
            </w:r>
          </w:p>
        </w:tc>
        <w:tc>
          <w:tcPr>
            <w:tcW w:w="112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307"/>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Other Expenses</w:t>
            </w:r>
          </w:p>
        </w:tc>
        <w:tc>
          <w:tcPr>
            <w:tcW w:w="26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125.0</w:t>
            </w:r>
          </w:p>
        </w:tc>
        <w:tc>
          <w:tcPr>
            <w:tcW w:w="13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115.8</w:t>
            </w:r>
          </w:p>
        </w:tc>
        <w:tc>
          <w:tcPr>
            <w:tcW w:w="13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128.7</w:t>
            </w:r>
          </w:p>
        </w:tc>
        <w:tc>
          <w:tcPr>
            <w:tcW w:w="1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11.2%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the Merger costs concept, we have a US$0.5 million expense in the 2004 third quarter, which was related with the Solución Financiera de Crédito merger.</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 xml:space="preserve">Starting with 2005 reports, the determination of the </w:t>
      </w:r>
      <w:r>
        <w:rPr>
          <w:rFonts w:ascii="Arial" w:cs="Arial" w:eastAsia="Arial" w:hAnsi="Arial"/>
          <w:sz w:val="22"/>
          <w:szCs w:val="22"/>
          <w:b w:val="1"/>
          <w:bCs w:val="1"/>
          <w:color w:val="auto"/>
        </w:rPr>
        <w:t>efficiency ratio</w:t>
      </w:r>
      <w:r>
        <w:rPr>
          <w:rFonts w:ascii="Arial" w:cs="Arial" w:eastAsia="Arial" w:hAnsi="Arial"/>
          <w:sz w:val="22"/>
          <w:szCs w:val="22"/>
          <w:color w:val="auto"/>
        </w:rPr>
        <w:t xml:space="preserve"> has been simplified by using only specific line items that are shown in the income statement (see Table No. 2). Additionally, the reclassifications noted at the beginning of this section affected the ratio. The efficiency ratio will be determined based on the following concepts:</w:t>
      </w:r>
    </w:p>
    <w:p>
      <w:pPr>
        <w:spacing w:after="0" w:line="183" w:lineRule="exact"/>
        <w:rPr>
          <w:sz w:val="20"/>
          <w:szCs w:val="20"/>
          <w:color w:val="auto"/>
        </w:rPr>
      </w:pPr>
    </w:p>
    <w:p>
      <w:pPr>
        <w:ind w:firstLine="8"/>
        <w:spacing w:after="0" w:line="251" w:lineRule="auto"/>
        <w:tabs>
          <w:tab w:leader="none" w:pos="161"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numerator or “operating expenses”: i) salaries and personnel expenses, ii) general expenses, and iii) depreciation and amortization.</w:t>
      </w:r>
    </w:p>
    <w:p>
      <w:pPr>
        <w:spacing w:after="0" w:line="173" w:lineRule="exact"/>
        <w:rPr>
          <w:rFonts w:ascii="Arial" w:cs="Arial" w:eastAsia="Arial" w:hAnsi="Arial"/>
          <w:sz w:val="22"/>
          <w:szCs w:val="22"/>
          <w:color w:val="auto"/>
        </w:rPr>
      </w:pPr>
    </w:p>
    <w:p>
      <w:pPr>
        <w:ind w:firstLine="8"/>
        <w:spacing w:after="0" w:line="251" w:lineRule="auto"/>
        <w:tabs>
          <w:tab w:leader="none" w:pos="178"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denominator: i) net interest income, ii) fees and commissions on banking services, iii) gains on foreign exchange transactions, and iv) net premiums earned.</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In this way, the efficiency ratio improved from 45.3% to 41.5% comparing the third quarters of 2004 and 2005, respectively.</w:t>
      </w:r>
    </w:p>
    <w:p>
      <w:pPr>
        <w:spacing w:after="0" w:line="218"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“Operating expenses” as a percentage of average total assets also improved from 4.5% in third quarter 2004, to 4.0% in the current quarter.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I.3 ASSETS AND LIABILITIES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Credicorp’s totals assets reached US$9.8 billion at September 30, 2005, increasing 3.7% since the end of June 2005, and are 11.3% higher than the balance at September 2004, mainly due to investment portfolio growth and, to a lesser extent, to the loan portfolio growth.</w:t>
      </w:r>
    </w:p>
    <w:p>
      <w:pPr>
        <w:spacing w:after="0" w:line="1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loan portfolio as of September 30, 2005 reached US$4.7 billion, increasing 2.6% compared to US$4.5 billion in September 2004, but decreases by 3.0% compared to the balance in June 2005.</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Loan quality indicators are shown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(In US$Mn)</w:t>
            </w:r>
          </w:p>
        </w:tc>
        <w:tc>
          <w:tcPr>
            <w:tcW w:w="4200" w:type="dxa"/>
            <w:vAlign w:val="bottom"/>
            <w:tcBorders>
              <w:top w:val="single" w:sz="8" w:color="auto"/>
              <w:bottom w:val="single" w:sz="8" w:color="auto"/>
            </w:tcBorders>
          </w:tcPr>
          <w:p>
            <w:pPr>
              <w:jc w:val="right"/>
              <w:ind w:right="766"/>
              <w:spacing w:after="0"/>
              <w:rPr>
                <w:sz w:val="20"/>
                <w:szCs w:val="20"/>
                <w:color w:val="auto"/>
              </w:rPr>
            </w:pPr>
            <w:r>
              <w:rPr>
                <w:rFonts w:ascii="Arial" w:cs="Arial" w:eastAsia="Arial" w:hAnsi="Arial"/>
                <w:sz w:val="15"/>
                <w:szCs w:val="15"/>
                <w:b w:val="1"/>
                <w:bCs w:val="1"/>
                <w:color w:val="auto"/>
              </w:rPr>
              <w:t>30.09.04</w:t>
            </w:r>
          </w:p>
        </w:tc>
        <w:tc>
          <w:tcPr>
            <w:tcW w:w="170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5"/>
                <w:szCs w:val="15"/>
                <w:b w:val="1"/>
                <w:bCs w:val="1"/>
                <w:color w:val="auto"/>
              </w:rPr>
              <w:t>30.06.05</w:t>
            </w:r>
          </w:p>
        </w:tc>
        <w:tc>
          <w:tcPr>
            <w:tcW w:w="138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30.09.05</w:t>
            </w:r>
          </w:p>
        </w:tc>
      </w:tr>
      <w:tr>
        <w:trPr>
          <w:trHeight w:val="160"/>
        </w:trPr>
        <w:tc>
          <w:tcPr>
            <w:tcW w:w="4140" w:type="dxa"/>
            <w:vAlign w:val="bottom"/>
          </w:tcPr>
          <w:p>
            <w:pPr>
              <w:spacing w:after="0" w:line="160" w:lineRule="exact"/>
              <w:rPr>
                <w:sz w:val="20"/>
                <w:szCs w:val="20"/>
                <w:color w:val="auto"/>
              </w:rPr>
            </w:pPr>
            <w:r>
              <w:rPr>
                <w:rFonts w:ascii="Arial" w:cs="Arial" w:eastAsia="Arial" w:hAnsi="Arial"/>
                <w:sz w:val="15"/>
                <w:szCs w:val="15"/>
                <w:color w:val="auto"/>
              </w:rPr>
              <w:t>Total loans</w:t>
            </w:r>
          </w:p>
        </w:tc>
        <w:tc>
          <w:tcPr>
            <w:tcW w:w="4200" w:type="dxa"/>
            <w:vAlign w:val="bottom"/>
          </w:tcPr>
          <w:p>
            <w:pPr>
              <w:jc w:val="right"/>
              <w:ind w:right="306"/>
              <w:spacing w:after="0" w:line="160" w:lineRule="exact"/>
              <w:rPr>
                <w:sz w:val="20"/>
                <w:szCs w:val="20"/>
                <w:color w:val="auto"/>
              </w:rPr>
            </w:pPr>
            <w:r>
              <w:rPr>
                <w:rFonts w:ascii="Arial" w:cs="Arial" w:eastAsia="Arial" w:hAnsi="Arial"/>
                <w:sz w:val="15"/>
                <w:szCs w:val="15"/>
                <w:color w:val="auto"/>
              </w:rPr>
              <w:t>4,531.6</w:t>
            </w:r>
          </w:p>
        </w:tc>
        <w:tc>
          <w:tcPr>
            <w:tcW w:w="1700" w:type="dxa"/>
            <w:vAlign w:val="bottom"/>
          </w:tcPr>
          <w:p>
            <w:pPr>
              <w:jc w:val="right"/>
              <w:ind w:right="286"/>
              <w:spacing w:after="0" w:line="160" w:lineRule="exact"/>
              <w:rPr>
                <w:sz w:val="20"/>
                <w:szCs w:val="20"/>
                <w:color w:val="auto"/>
              </w:rPr>
            </w:pPr>
            <w:r>
              <w:rPr>
                <w:rFonts w:ascii="Arial" w:cs="Arial" w:eastAsia="Arial" w:hAnsi="Arial"/>
                <w:sz w:val="15"/>
                <w:szCs w:val="15"/>
                <w:color w:val="auto"/>
              </w:rPr>
              <w:t>4,793.4</w:t>
            </w:r>
          </w:p>
        </w:tc>
        <w:tc>
          <w:tcPr>
            <w:tcW w:w="1380" w:type="dxa"/>
            <w:vAlign w:val="bottom"/>
          </w:tcPr>
          <w:p>
            <w:pPr>
              <w:jc w:val="right"/>
              <w:spacing w:after="0" w:line="160" w:lineRule="exact"/>
              <w:rPr>
                <w:sz w:val="20"/>
                <w:szCs w:val="20"/>
                <w:color w:val="auto"/>
              </w:rPr>
            </w:pPr>
            <w:r>
              <w:rPr>
                <w:rFonts w:ascii="Arial" w:cs="Arial" w:eastAsia="Arial" w:hAnsi="Arial"/>
                <w:sz w:val="15"/>
                <w:szCs w:val="15"/>
                <w:color w:val="auto"/>
              </w:rPr>
              <w:t>4,651.3</w:t>
            </w:r>
          </w:p>
        </w:tc>
      </w:tr>
      <w:tr>
        <w:trPr>
          <w:trHeight w:val="162"/>
        </w:trPr>
        <w:tc>
          <w:tcPr>
            <w:tcW w:w="4140" w:type="dxa"/>
            <w:vAlign w:val="bottom"/>
          </w:tcPr>
          <w:p>
            <w:pPr>
              <w:spacing w:after="0" w:line="162" w:lineRule="exact"/>
              <w:rPr>
                <w:sz w:val="20"/>
                <w:szCs w:val="20"/>
                <w:color w:val="auto"/>
              </w:rPr>
            </w:pPr>
            <w:r>
              <w:rPr>
                <w:rFonts w:ascii="Arial" w:cs="Arial" w:eastAsia="Arial" w:hAnsi="Arial"/>
                <w:sz w:val="15"/>
                <w:szCs w:val="15"/>
                <w:color w:val="auto"/>
              </w:rPr>
              <w:t>Past due loans</w:t>
            </w:r>
          </w:p>
        </w:tc>
        <w:tc>
          <w:tcPr>
            <w:tcW w:w="420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215.0</w:t>
            </w:r>
          </w:p>
        </w:tc>
        <w:tc>
          <w:tcPr>
            <w:tcW w:w="1700" w:type="dxa"/>
            <w:vAlign w:val="bottom"/>
          </w:tcPr>
          <w:p>
            <w:pPr>
              <w:jc w:val="right"/>
              <w:ind w:right="286"/>
              <w:spacing w:after="0" w:line="162" w:lineRule="exact"/>
              <w:rPr>
                <w:sz w:val="20"/>
                <w:szCs w:val="20"/>
                <w:color w:val="auto"/>
              </w:rPr>
            </w:pPr>
            <w:r>
              <w:rPr>
                <w:rFonts w:ascii="Arial" w:cs="Arial" w:eastAsia="Arial" w:hAnsi="Arial"/>
                <w:sz w:val="15"/>
                <w:szCs w:val="15"/>
                <w:color w:val="auto"/>
              </w:rPr>
              <w:t>127.4</w:t>
            </w:r>
          </w:p>
        </w:tc>
        <w:tc>
          <w:tcPr>
            <w:tcW w:w="1380" w:type="dxa"/>
            <w:vAlign w:val="bottom"/>
          </w:tcPr>
          <w:p>
            <w:pPr>
              <w:jc w:val="right"/>
              <w:spacing w:after="0" w:line="162" w:lineRule="exact"/>
              <w:rPr>
                <w:sz w:val="20"/>
                <w:szCs w:val="20"/>
                <w:color w:val="auto"/>
              </w:rPr>
            </w:pPr>
            <w:r>
              <w:rPr>
                <w:rFonts w:ascii="Arial" w:cs="Arial" w:eastAsia="Arial" w:hAnsi="Arial"/>
                <w:sz w:val="15"/>
                <w:szCs w:val="15"/>
                <w:color w:val="auto"/>
              </w:rPr>
              <w:t>117.7</w:t>
            </w:r>
          </w:p>
        </w:tc>
      </w:tr>
      <w:tr>
        <w:trPr>
          <w:trHeight w:val="188"/>
        </w:trPr>
        <w:tc>
          <w:tcPr>
            <w:tcW w:w="4140" w:type="dxa"/>
            <w:vAlign w:val="bottom"/>
          </w:tcPr>
          <w:p>
            <w:pPr>
              <w:spacing w:after="0"/>
              <w:rPr>
                <w:sz w:val="20"/>
                <w:szCs w:val="20"/>
                <w:color w:val="auto"/>
              </w:rPr>
            </w:pPr>
            <w:r>
              <w:rPr>
                <w:rFonts w:ascii="Arial" w:cs="Arial" w:eastAsia="Arial" w:hAnsi="Arial"/>
                <w:sz w:val="15"/>
                <w:szCs w:val="15"/>
                <w:color w:val="auto"/>
              </w:rPr>
              <w:t>Loan loss reserves(1)</w:t>
            </w:r>
          </w:p>
        </w:tc>
        <w:tc>
          <w:tcPr>
            <w:tcW w:w="4200" w:type="dxa"/>
            <w:vAlign w:val="bottom"/>
          </w:tcPr>
          <w:p>
            <w:pPr>
              <w:jc w:val="right"/>
              <w:ind w:right="306"/>
              <w:spacing w:after="0"/>
              <w:rPr>
                <w:sz w:val="20"/>
                <w:szCs w:val="20"/>
                <w:color w:val="auto"/>
              </w:rPr>
            </w:pPr>
            <w:r>
              <w:rPr>
                <w:rFonts w:ascii="Arial" w:cs="Arial" w:eastAsia="Arial" w:hAnsi="Arial"/>
                <w:sz w:val="15"/>
                <w:szCs w:val="15"/>
                <w:color w:val="auto"/>
              </w:rPr>
              <w:t>262.4</w:t>
            </w:r>
          </w:p>
        </w:tc>
        <w:tc>
          <w:tcPr>
            <w:tcW w:w="1700" w:type="dxa"/>
            <w:vAlign w:val="bottom"/>
          </w:tcPr>
          <w:p>
            <w:pPr>
              <w:jc w:val="right"/>
              <w:ind w:right="286"/>
              <w:spacing w:after="0"/>
              <w:rPr>
                <w:sz w:val="20"/>
                <w:szCs w:val="20"/>
                <w:color w:val="auto"/>
              </w:rPr>
            </w:pPr>
            <w:r>
              <w:rPr>
                <w:rFonts w:ascii="Arial" w:cs="Arial" w:eastAsia="Arial" w:hAnsi="Arial"/>
                <w:sz w:val="15"/>
                <w:szCs w:val="15"/>
                <w:color w:val="auto"/>
              </w:rPr>
              <w:t>227.8</w:t>
            </w:r>
          </w:p>
        </w:tc>
        <w:tc>
          <w:tcPr>
            <w:tcW w:w="1380" w:type="dxa"/>
            <w:vAlign w:val="bottom"/>
          </w:tcPr>
          <w:p>
            <w:pPr>
              <w:jc w:val="right"/>
              <w:spacing w:after="0"/>
              <w:rPr>
                <w:sz w:val="20"/>
                <w:szCs w:val="20"/>
                <w:color w:val="auto"/>
              </w:rPr>
            </w:pPr>
            <w:r>
              <w:rPr>
                <w:rFonts w:ascii="Arial" w:cs="Arial" w:eastAsia="Arial" w:hAnsi="Arial"/>
                <w:sz w:val="15"/>
                <w:szCs w:val="15"/>
                <w:color w:val="auto"/>
              </w:rPr>
              <w:t>203.0</w:t>
            </w:r>
          </w:p>
        </w:tc>
      </w:tr>
      <w:tr>
        <w:trPr>
          <w:trHeight w:val="298"/>
        </w:trPr>
        <w:tc>
          <w:tcPr>
            <w:tcW w:w="4140" w:type="dxa"/>
            <w:vAlign w:val="bottom"/>
          </w:tcPr>
          <w:p>
            <w:pPr>
              <w:spacing w:after="0"/>
              <w:rPr>
                <w:sz w:val="20"/>
                <w:szCs w:val="20"/>
                <w:color w:val="auto"/>
              </w:rPr>
            </w:pPr>
            <w:r>
              <w:rPr>
                <w:rFonts w:ascii="Arial" w:cs="Arial" w:eastAsia="Arial" w:hAnsi="Arial"/>
                <w:sz w:val="15"/>
                <w:szCs w:val="15"/>
                <w:color w:val="auto"/>
              </w:rPr>
              <w:t>Past due / Total loans</w:t>
            </w:r>
          </w:p>
        </w:tc>
        <w:tc>
          <w:tcPr>
            <w:tcW w:w="4200" w:type="dxa"/>
            <w:vAlign w:val="bottom"/>
          </w:tcPr>
          <w:p>
            <w:pPr>
              <w:jc w:val="right"/>
              <w:ind w:right="306"/>
              <w:spacing w:after="0"/>
              <w:rPr>
                <w:sz w:val="20"/>
                <w:szCs w:val="20"/>
                <w:color w:val="auto"/>
              </w:rPr>
            </w:pPr>
            <w:r>
              <w:rPr>
                <w:rFonts w:ascii="Arial" w:cs="Arial" w:eastAsia="Arial" w:hAnsi="Arial"/>
                <w:sz w:val="15"/>
                <w:szCs w:val="15"/>
                <w:color w:val="auto"/>
              </w:rPr>
              <w:t>4.8%</w:t>
            </w:r>
          </w:p>
        </w:tc>
        <w:tc>
          <w:tcPr>
            <w:tcW w:w="1700" w:type="dxa"/>
            <w:vAlign w:val="bottom"/>
          </w:tcPr>
          <w:p>
            <w:pPr>
              <w:jc w:val="right"/>
              <w:ind w:right="286"/>
              <w:spacing w:after="0"/>
              <w:rPr>
                <w:sz w:val="20"/>
                <w:szCs w:val="20"/>
                <w:color w:val="auto"/>
              </w:rPr>
            </w:pPr>
            <w:r>
              <w:rPr>
                <w:rFonts w:ascii="Arial" w:cs="Arial" w:eastAsia="Arial" w:hAnsi="Arial"/>
                <w:sz w:val="15"/>
                <w:szCs w:val="15"/>
                <w:color w:val="auto"/>
              </w:rPr>
              <w:t>2.7%</w:t>
            </w:r>
          </w:p>
        </w:tc>
        <w:tc>
          <w:tcPr>
            <w:tcW w:w="13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171"/>
        </w:trPr>
        <w:tc>
          <w:tcPr>
            <w:tcW w:w="414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Reserves / Past due</w:t>
            </w:r>
          </w:p>
        </w:tc>
        <w:tc>
          <w:tcPr>
            <w:tcW w:w="4200" w:type="dxa"/>
            <w:vAlign w:val="bottom"/>
            <w:tcBorders>
              <w:bottom w:val="single" w:sz="8" w:color="auto"/>
            </w:tcBorders>
          </w:tcPr>
          <w:p>
            <w:pPr>
              <w:jc w:val="right"/>
              <w:ind w:right="306"/>
              <w:spacing w:after="0" w:line="172" w:lineRule="exact"/>
              <w:rPr>
                <w:sz w:val="20"/>
                <w:szCs w:val="20"/>
                <w:color w:val="auto"/>
              </w:rPr>
            </w:pPr>
            <w:r>
              <w:rPr>
                <w:rFonts w:ascii="Arial" w:cs="Arial" w:eastAsia="Arial" w:hAnsi="Arial"/>
                <w:sz w:val="15"/>
                <w:szCs w:val="15"/>
                <w:color w:val="auto"/>
              </w:rPr>
              <w:t>122.0%</w:t>
            </w:r>
          </w:p>
        </w:tc>
        <w:tc>
          <w:tcPr>
            <w:tcW w:w="1700" w:type="dxa"/>
            <w:vAlign w:val="bottom"/>
            <w:tcBorders>
              <w:bottom w:val="single" w:sz="8" w:color="auto"/>
            </w:tcBorders>
          </w:tcPr>
          <w:p>
            <w:pPr>
              <w:jc w:val="right"/>
              <w:ind w:right="286"/>
              <w:spacing w:after="0" w:line="172" w:lineRule="exact"/>
              <w:rPr>
                <w:sz w:val="20"/>
                <w:szCs w:val="20"/>
                <w:color w:val="auto"/>
              </w:rPr>
            </w:pPr>
            <w:r>
              <w:rPr>
                <w:rFonts w:ascii="Arial" w:cs="Arial" w:eastAsia="Arial" w:hAnsi="Arial"/>
                <w:sz w:val="15"/>
                <w:szCs w:val="15"/>
                <w:color w:val="auto"/>
              </w:rPr>
              <w:t>178.7%</w:t>
            </w:r>
          </w:p>
        </w:tc>
        <w:tc>
          <w:tcPr>
            <w:tcW w:w="13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172.4%</w:t>
            </w:r>
          </w:p>
        </w:tc>
      </w:tr>
    </w:tbl>
    <w:p>
      <w:pPr>
        <w:spacing w:after="0" w:line="200" w:lineRule="exact"/>
        <w:rPr>
          <w:sz w:val="20"/>
          <w:szCs w:val="20"/>
          <w:color w:val="auto"/>
        </w:rPr>
      </w:pPr>
    </w:p>
    <w:p>
      <w:pPr>
        <w:spacing w:after="0" w:line="251"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The balance of past due loans decreased from US$127.4 million to US$117.7 million during the current quarter partly due to charge-offs amounting to US$14.7 million.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p>
      <w:pPr>
        <w:jc w:val="both"/>
        <w:spacing w:after="0" w:line="241" w:lineRule="auto"/>
        <w:rPr>
          <w:sz w:val="20"/>
          <w:szCs w:val="20"/>
          <w:color w:val="auto"/>
        </w:rPr>
      </w:pPr>
      <w:r>
        <w:rPr>
          <w:rFonts w:ascii="Arial" w:cs="Arial" w:eastAsia="Arial" w:hAnsi="Arial"/>
          <w:sz w:val="22"/>
          <w:szCs w:val="22"/>
          <w:color w:val="auto"/>
        </w:rPr>
        <w:t>Deposits and other obligations reached US$6.7 billion at September 30, 2005, increasing 8.4% over US$6.2 billion of last September 2004, and by 2.8% from US$6.6 billion at June 2005. Due to banks and correspondents grew 32.6% compared to the balance at September 2004, but slightly declined by 0.8% during this quarter.</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Credicorp’s net equity amounted to US$1.2 billion at September 30, 2005, increasing 16.9% compared to equity at September 2004.</w:t>
      </w:r>
    </w:p>
    <w:p>
      <w:pPr>
        <w:spacing w:after="0" w:line="167"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Third party funds </w:t>
      </w:r>
      <w:r>
        <w:rPr>
          <w:rFonts w:ascii="Arial" w:cs="Arial" w:eastAsia="Arial" w:hAnsi="Arial"/>
          <w:sz w:val="22"/>
          <w:szCs w:val="22"/>
          <w:color w:val="auto"/>
        </w:rPr>
        <w:t>under management, which amounted to US$2.0 billion at the end of September 2005, increased 8.5% during</w:t>
      </w:r>
      <w:r>
        <w:rPr>
          <w:rFonts w:ascii="Arial" w:cs="Arial" w:eastAsia="Arial" w:hAnsi="Arial"/>
          <w:sz w:val="22"/>
          <w:szCs w:val="22"/>
          <w:b w:val="1"/>
          <w:bCs w:val="1"/>
          <w:color w:val="auto"/>
        </w:rPr>
        <w:t xml:space="preserve"> </w:t>
      </w:r>
      <w:r>
        <w:rPr>
          <w:rFonts w:ascii="Arial" w:cs="Arial" w:eastAsia="Arial" w:hAnsi="Arial"/>
          <w:sz w:val="22"/>
          <w:szCs w:val="22"/>
          <w:color w:val="auto"/>
        </w:rPr>
        <w:t>the current quarter, and are 14.7% higher than funds of US$1.7 billion at September 2004.</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I.4 PERUVIAN ECONOMIC SITUATION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Economic Activity</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During third quarter 2005 the Peruvian GDP continued with a strong growth rate, sustaining a positive trend that started in the final months of 2004. In the month of July 2005, GDP grew 4.9% and 6.7% in August, growing a cumulative 5.9% in the first eight months of 2005, compared with 4.4% in the same period of 2004. After increasing 6.1% and 5.7% in the first and second quarters, respectively, growth is expected at 6% in third quarter 2005. Growth in total year 2004 was 4.8% .</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It is important to note the improved growth prospects of sectors related to domestic demand, like construction, non-primary manufacturing, retail and services. GDP performance was driven by higher activity in non-primary manufacturing (mainly textiles, intermediate and durable goods), oil and natural gas, and the agriculture sub-sector.</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Cumulative through August 2005 all GDP sectors grow except Fishing, although the decline is slight at 0.4% . Highest performance is noted in the Oil and Gas sub-sector which grew 35.4%; non-primary manufacturing, up by 8.2%; the agriculture sub-sector, which grew 6.0% due to improved weather conditions; and, the retail sector with 6.6%, construction, that grew 6.2%, and services with 5.7% . Metals mining production, that declined during the first months of the year, due to lower zinc, gold and iron output and a poor performance of copper, recovered through August to a 1.8% increase.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Public Finance</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second quarter 2005, the Public Sector budget had a surplus of 2.7% (of GDP), compared to a surplus of 1.1% in the same quarter of 2004. Given seasonality of public expenditures, a budget deficit is expected to be run in the second half of 2005, and also noting that the fiscal year has a target of a 1.0% deficit. Total 2004 deficit was below the target of 1.5%, resulting at only 1.1% .</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surplus in second quarter 2005 was mainly due to increased Central Government revenue which, after being 14.9% of GDP in second quarter 2004, grew to 16.8% of GDP in this period. This increase exceeded current expense and capital expenditures growth, which remained at 13.0% and 2.3% of GDP, respectively.</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Higher revenue is due to increased Central Government tax collections, which cumulative through August 2005 increased 14.2%, in nominal terms, compared with the same 2004 period. It should be noted a 27% increase of Income Tax revenue, mainly from corporations, and the 19% growth in case of tax on imports and the related value-added tax (IGV). Through August 2005, non-financial expenses increased 9% (nominal), while capital expenses grew 5%.</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Prices and Devaluation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jc w:val="both"/>
        <w:spacing w:after="0" w:line="236" w:lineRule="auto"/>
        <w:rPr>
          <w:sz w:val="20"/>
          <w:szCs w:val="20"/>
          <w:color w:val="auto"/>
        </w:rPr>
      </w:pPr>
      <w:r>
        <w:rPr>
          <w:rFonts w:ascii="Arial" w:cs="Arial" w:eastAsia="Arial" w:hAnsi="Arial"/>
          <w:sz w:val="22"/>
          <w:szCs w:val="22"/>
          <w:color w:val="auto"/>
        </w:rPr>
        <w:t>In the third quarter of 2005, the consumer price index (“IPC”) in Peru decreased 0.2%, compared to increases of 0.5% both of the first two quarters of this year, with which inflation reached 0.9% in the first nine months of 2005. Inflation was 1.1% in the twelve months prior to September 2005, remaining by the bottom of the range of 1.5% to 3.5%, targeted by the Central Bank for total 2005. Deflation in the current quarter, was mainly due to lower food prices, but were partly offset by price increases of certain public services, mainly communication and transportation.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wholesale price index (“IPM”) increased 1.3% in third quarter 2005, higher than 0.6% and 0.3% in the preceding two quarters. The IPM grew 2.2% in the first nine months of 2005. In the current quarter local and imported components of the wholesale price index grew at approximately the same rate.</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average bank market Nuevos Soles exchange rate in Peru was S/.3.344 at September 30, 2005, increasing 2.8% during the quarter, compared to declines of 0.3% and 0.6% in the preceding two quarters. The exchange rate devalues 1.9% from S/.3.282 at the end of December 2004. The currency devalued mostly during September, month during which no Central Bank intervention in the currency market was required, and when its net purchases of foreign exchange amounted to only US$33 million. During 2005, cumulative purchases of foreign exchange, through September, reached US$3,130 million, compared to US$2,340 million purchased during total 2004.</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International Reserves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International reserves of the Central Bank decreased during third quarter 2005, due in part to the pre-payment of foreign debt to Paris Club countries. Reserves reached US$13,695 million at September 30, 2005, compared to US$13,818 million at June 2005, but they continue above reserves of US$12,631 million at December 31, 2004.</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Trade Balance had a US$2,962 million cumulative surplus in the eight month period through August 2005, increasing compared to a US$1,644 million surplus in the same period of 2004. Cumulative through August 2005, exports grew 36% versus a 25% increase in imports. Exports, which reached US$10,754 million as of August 2005, grew on increased volume and prices, especially of molybdenum, copper, oil and gas, and non-traditional textiles, agricultural and fishing exports. Imports through August 2005 amounted to US$7,792 million, increasing mainly due to higher imports of durable goods and raw materials, while consumer goods also increased significantly.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System</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Commercial bank’s deposit volumes continued a positive growth trend during third quarter 2005, based on U. S. Dollar figures translated at historical exchange rates, while loan balances had a slight decline. Deposits at September 30, 2005 in the twelve operating commercial banks in the system, including their foreign branches, reached US$16.0 billion, according to the Asociación de Bancos del Peru (ASBANC), higher by 1.5% compared to deposits at June 30, 2005, in Dollar terms, and grew by 12.1% compared to the year-ago balance at September 30, 2004.</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September 30, 2005, total loans in the banking system were US$11.7 billion, 0.8% lower than loans at June 30, 2005, but grow 12.0% over September 30, 2004 loan balances. In the current quarter, local currency loans, that were 26.1% of total loans (23.6% at September 2004), grew 7.0% since last June to reach US$3.1 billion, while foreign currency loans decreased 3.3% to US$8.7 billion.</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of September 30, 2005, the Peruvian bank's past due ratio was 2.7%, improving from the 3.0% rate in June 2005 and from 4.6% in September 30, 2004. Commercial banks’ past due loans decreased 11.4% since last June to US$318 million, and are lower by 34.5% compared to bad loans at September 30, 2004. At September 30, 2005, loan loss provisions were US$656 million, decreasing 8.5% during the current quarter. The system-wide past due loan coverage ratio was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206.6% at September 30, 2005, improving from 200.0% as of June 2005, and is also higher than the ratio of 155.7% at September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30, 2004.</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During the third quarter 2005 while commercial banks’ interest rates on loans and deposits in local currency remained almost unchanged, foreign currency interest rates continued with a slight increasing trend. Local currency average loan rates (TAMN) slightly decreased to 25.8% in third quarter 2005, from 25.9% in the preceding second quarter. Local currency deposits rates (TIPMN) remained almost unchanged at 2.6% . In the year-ago third quarter of 2004, TAMN was 25.1% and TIPMN was 2.4% ..</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During third quarter 2005 foreign currency loan rates (TAMEX) increased to 9.9%, from 9.6% in the preceding second quarter, while deposit rates (TIPMEX) increased to 1.6% from 1.4%, respectively. In the year-ago third quarter of 2004, TAMEX was 8.9% and TIPMEX was 1.1% .</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Private Pension Funds and Mutual Funds</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Managed assets in private pension funds continued increasing and grew 13.2% in the third quarter of 2005, in U.S. Dollar terms, reaching US$9.6 billion as of September 30, 2005, after increasing 3.8% in the second quarter of 2005, and are 31.7% higher than funds at September 2004. In the twelve months prior to September 2005, the funds had a return of 18.5% in real terms.</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Mutual funds balances grew for the second consecutive quarter, after suffering declines in prior periods due to volatility of prices and valuations in capital markets and to the increase in interest rates. Total mutual funds amounted to US$2.0 billion at the end of the third quarter 2005, increasing 5.3% in the quarter, and are 10.5% above the balance at September 2004. Total funds had a return in Dollar terms of 0.6% in the quarter, and of 3.5% during the year since September 2004.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981075</wp:posOffset>
            </wp:positionH>
            <wp:positionV relativeFrom="page">
              <wp:posOffset>88900</wp:posOffset>
            </wp:positionV>
            <wp:extent cx="5574030"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574030" cy="351790"/>
                    </a:xfrm>
                    <a:prstGeom prst="rect">
                      <a:avLst/>
                    </a:prstGeom>
                    <a:noFill/>
                  </pic:spPr>
                </pic:pic>
              </a:graphicData>
            </a:graphic>
          </wp:anchor>
        </w:drawing>
        <w:t>II. BANCO DE CREDITO DEL PERU AND SUBSIDIARIES (“BCP”)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II.1 NET INCOME</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From financial statements prepared according to IFRS rules and in U.S. Dollars, consolidated net income in the first nine months of 2005 was US$136.4 million, 53.8% higher than profits of US$88.7 million in the same period of 2004. Net income in the third quarter of 2005 was US$46.6 million, increasing 40.2% compared with net income of US$33.3 million in the same year-ago quarter, and are 5.3% above profits of US$44.3 million in the preceding second quarter 2005.</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September year-to-date net income and third quarter 2005 net income improve compared to the same prior year periods mainly due to higher net interest income and increased non-financial income. These improvements offset increases in operating expenses, income taxes, and the translation loss.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In the current quarter a translation loss of US$5.2 million is reported, compared to a loss of US$0.8 million in the year-ago quarter.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See II.9. --</w:t>
      </w:r>
      <w:r>
        <w:rPr>
          <w:rFonts w:ascii="Arial" w:cs="Arial" w:eastAsia="Arial" w:hAnsi="Arial"/>
          <w:sz w:val="22"/>
          <w:szCs w:val="22"/>
          <w:i w:val="1"/>
          <w:iCs w:val="1"/>
          <w:color w:val="auto"/>
        </w:rPr>
        <w:t>Note on Inflation Adjusted Accounting.</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Financial income continued increasing during the current quarter principally due to higher volume of investments, while loan volume remained almost unchanged combined with higher NIM.</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Cumulative through September 2005 and in third quarter 2005, loan loss provisions had a net positive effect on results, due to recoveries exceeding required reserve additions. Loan quality continued to improve, with the past due ratio declining to 2.6% in September 2005, and past due coverage increasing to 175.2% .</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BANCO DE CREDITO DEL PERU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RESULTS (1)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U.S.$ millions, except net income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Borders>
              <w:top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w w:val="92"/>
              </w:rPr>
              <w:t>Three months ended</w:t>
            </w:r>
          </w:p>
        </w:tc>
        <w:tc>
          <w:tcPr>
            <w:tcW w:w="134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2"/>
          </w:tcPr>
          <w:p>
            <w:pPr>
              <w:jc w:val="right"/>
              <w:ind w:right="566"/>
              <w:spacing w:after="0"/>
              <w:rPr>
                <w:sz w:val="20"/>
                <w:szCs w:val="20"/>
                <w:color w:val="auto"/>
              </w:rPr>
            </w:pPr>
            <w:r>
              <w:rPr>
                <w:rFonts w:ascii="Arial" w:cs="Arial" w:eastAsia="Arial" w:hAnsi="Arial"/>
                <w:sz w:val="15"/>
                <w:szCs w:val="15"/>
                <w:b w:val="1"/>
                <w:bCs w:val="1"/>
                <w:color w:val="auto"/>
              </w:rPr>
              <w:t>Nine months ended</w:t>
            </w:r>
          </w:p>
        </w:tc>
      </w:tr>
      <w:tr>
        <w:trPr>
          <w:trHeight w:val="169"/>
        </w:trPr>
        <w:tc>
          <w:tcPr>
            <w:tcW w:w="5640" w:type="dxa"/>
            <w:vAlign w:val="bottom"/>
            <w:tcBorders>
              <w:bottom w:val="single" w:sz="8" w:color="auto"/>
            </w:tcBorders>
            <w:gridSpan w:val="2"/>
          </w:tcPr>
          <w:p>
            <w:pPr>
              <w:ind w:left="5120"/>
              <w:spacing w:after="0" w:line="169" w:lineRule="exact"/>
              <w:rPr>
                <w:sz w:val="20"/>
                <w:szCs w:val="20"/>
                <w:color w:val="auto"/>
              </w:rPr>
            </w:pPr>
            <w:r>
              <w:rPr>
                <w:rFonts w:ascii="Arial" w:cs="Arial" w:eastAsia="Arial" w:hAnsi="Arial"/>
                <w:sz w:val="15"/>
                <w:szCs w:val="15"/>
                <w:b w:val="1"/>
                <w:bCs w:val="1"/>
                <w:color w:val="auto"/>
                <w:w w:val="85"/>
              </w:rPr>
              <w:t>30.09.04</w:t>
            </w: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66"/>
              <w:spacing w:after="0" w:line="169" w:lineRule="exact"/>
              <w:rPr>
                <w:sz w:val="20"/>
                <w:szCs w:val="20"/>
                <w:color w:val="auto"/>
              </w:rPr>
            </w:pPr>
            <w:r>
              <w:rPr>
                <w:rFonts w:ascii="Arial" w:cs="Arial" w:eastAsia="Arial" w:hAnsi="Arial"/>
                <w:sz w:val="15"/>
                <w:szCs w:val="15"/>
                <w:b w:val="1"/>
                <w:bCs w:val="1"/>
                <w:color w:val="auto"/>
              </w:rPr>
              <w:t>30.06.05</w:t>
            </w:r>
          </w:p>
        </w:tc>
        <w:tc>
          <w:tcPr>
            <w:tcW w:w="134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30.09.05</w:t>
            </w:r>
          </w:p>
        </w:tc>
        <w:tc>
          <w:tcPr>
            <w:tcW w:w="1320" w:type="dxa"/>
            <w:vAlign w:val="bottom"/>
            <w:tcBorders>
              <w:bottom w:val="single" w:sz="8" w:color="auto"/>
            </w:tcBorders>
          </w:tcPr>
          <w:p>
            <w:pPr>
              <w:jc w:val="right"/>
              <w:ind w:right="486"/>
              <w:spacing w:after="0" w:line="169" w:lineRule="exact"/>
              <w:rPr>
                <w:sz w:val="20"/>
                <w:szCs w:val="20"/>
                <w:color w:val="auto"/>
              </w:rPr>
            </w:pPr>
            <w:r>
              <w:rPr>
                <w:rFonts w:ascii="Arial" w:cs="Arial" w:eastAsia="Arial" w:hAnsi="Arial"/>
                <w:sz w:val="15"/>
                <w:szCs w:val="15"/>
                <w:b w:val="1"/>
                <w:bCs w:val="1"/>
                <w:color w:val="auto"/>
              </w:rPr>
              <w:t>30.09.04</w:t>
            </w:r>
          </w:p>
        </w:tc>
        <w:tc>
          <w:tcPr>
            <w:tcW w:w="1120" w:type="dxa"/>
            <w:vAlign w:val="bottom"/>
            <w:tcBorders>
              <w:bottom w:val="single" w:sz="8" w:color="auto"/>
            </w:tcBorders>
          </w:tcPr>
          <w:p>
            <w:pPr>
              <w:jc w:val="right"/>
              <w:ind w:right="246"/>
              <w:spacing w:after="0" w:line="169" w:lineRule="exact"/>
              <w:rPr>
                <w:sz w:val="20"/>
                <w:szCs w:val="20"/>
                <w:color w:val="auto"/>
              </w:rPr>
            </w:pPr>
            <w:r>
              <w:rPr>
                <w:rFonts w:ascii="Arial" w:cs="Arial" w:eastAsia="Arial" w:hAnsi="Arial"/>
                <w:sz w:val="15"/>
                <w:szCs w:val="15"/>
                <w:b w:val="1"/>
                <w:bCs w:val="1"/>
                <w:color w:val="auto"/>
              </w:rPr>
              <w:t>30.09.05</w:t>
            </w:r>
          </w:p>
        </w:tc>
      </w:tr>
      <w:tr>
        <w:trPr>
          <w:trHeight w:val="160"/>
        </w:trPr>
        <w:tc>
          <w:tcPr>
            <w:tcW w:w="5640" w:type="dxa"/>
            <w:vAlign w:val="bottom"/>
            <w:gridSpan w:val="2"/>
          </w:tcPr>
          <w:p>
            <w:pPr>
              <w:spacing w:after="0" w:line="160" w:lineRule="exact"/>
              <w:rPr>
                <w:sz w:val="20"/>
                <w:szCs w:val="20"/>
                <w:color w:val="auto"/>
              </w:rPr>
            </w:pPr>
            <w:r>
              <w:rPr>
                <w:rFonts w:ascii="Arial" w:cs="Arial" w:eastAsia="Arial" w:hAnsi="Arial"/>
                <w:sz w:val="15"/>
                <w:szCs w:val="15"/>
                <w:color w:val="auto"/>
              </w:rPr>
              <w:t>Net interest income</w:t>
            </w:r>
          </w:p>
        </w:tc>
        <w:tc>
          <w:tcPr>
            <w:tcW w:w="400" w:type="dxa"/>
            <w:vAlign w:val="bottom"/>
          </w:tcPr>
          <w:p>
            <w:pPr>
              <w:jc w:val="right"/>
              <w:ind w:right="46"/>
              <w:spacing w:after="0" w:line="160" w:lineRule="exact"/>
              <w:rPr>
                <w:sz w:val="20"/>
                <w:szCs w:val="20"/>
                <w:color w:val="auto"/>
              </w:rPr>
            </w:pPr>
            <w:r>
              <w:rPr>
                <w:rFonts w:ascii="Arial" w:cs="Arial" w:eastAsia="Arial" w:hAnsi="Arial"/>
                <w:sz w:val="15"/>
                <w:szCs w:val="15"/>
                <w:color w:val="auto"/>
                <w:w w:val="88"/>
              </w:rPr>
              <w:t>77.8</w:t>
            </w:r>
          </w:p>
        </w:tc>
        <w:tc>
          <w:tcPr>
            <w:tcW w:w="1600" w:type="dxa"/>
            <w:vAlign w:val="bottom"/>
          </w:tcPr>
          <w:p>
            <w:pPr>
              <w:jc w:val="right"/>
              <w:ind w:right="266"/>
              <w:spacing w:after="0" w:line="160" w:lineRule="exact"/>
              <w:rPr>
                <w:sz w:val="20"/>
                <w:szCs w:val="20"/>
                <w:color w:val="auto"/>
              </w:rPr>
            </w:pPr>
            <w:r>
              <w:rPr>
                <w:rFonts w:ascii="Arial" w:cs="Arial" w:eastAsia="Arial" w:hAnsi="Arial"/>
                <w:sz w:val="15"/>
                <w:szCs w:val="15"/>
                <w:color w:val="auto"/>
              </w:rPr>
              <w:t>91.8</w:t>
            </w:r>
          </w:p>
        </w:tc>
        <w:tc>
          <w:tcPr>
            <w:tcW w:w="1340" w:type="dxa"/>
            <w:vAlign w:val="bottom"/>
          </w:tcPr>
          <w:p>
            <w:pPr>
              <w:jc w:val="right"/>
              <w:ind w:right="226"/>
              <w:spacing w:after="0" w:line="160" w:lineRule="exact"/>
              <w:rPr>
                <w:sz w:val="20"/>
                <w:szCs w:val="20"/>
                <w:color w:val="auto"/>
              </w:rPr>
            </w:pPr>
            <w:r>
              <w:rPr>
                <w:rFonts w:ascii="Arial" w:cs="Arial" w:eastAsia="Arial" w:hAnsi="Arial"/>
                <w:sz w:val="15"/>
                <w:szCs w:val="15"/>
                <w:color w:val="auto"/>
              </w:rPr>
              <w:t>100.1</w:t>
            </w:r>
          </w:p>
        </w:tc>
        <w:tc>
          <w:tcPr>
            <w:tcW w:w="1320" w:type="dxa"/>
            <w:vAlign w:val="bottom"/>
          </w:tcPr>
          <w:p>
            <w:pPr>
              <w:jc w:val="right"/>
              <w:ind w:right="186"/>
              <w:spacing w:after="0" w:line="160" w:lineRule="exact"/>
              <w:rPr>
                <w:sz w:val="20"/>
                <w:szCs w:val="20"/>
                <w:color w:val="auto"/>
              </w:rPr>
            </w:pPr>
            <w:r>
              <w:rPr>
                <w:rFonts w:ascii="Arial" w:cs="Arial" w:eastAsia="Arial" w:hAnsi="Arial"/>
                <w:sz w:val="15"/>
                <w:szCs w:val="15"/>
                <w:color w:val="auto"/>
              </w:rPr>
              <w:t>228.0</w:t>
            </w:r>
          </w:p>
        </w:tc>
        <w:tc>
          <w:tcPr>
            <w:tcW w:w="1120" w:type="dxa"/>
            <w:vAlign w:val="bottom"/>
          </w:tcPr>
          <w:p>
            <w:pPr>
              <w:jc w:val="right"/>
              <w:spacing w:after="0" w:line="160" w:lineRule="exact"/>
              <w:rPr>
                <w:sz w:val="20"/>
                <w:szCs w:val="20"/>
                <w:color w:val="auto"/>
              </w:rPr>
            </w:pPr>
            <w:r>
              <w:rPr>
                <w:rFonts w:ascii="Arial" w:cs="Arial" w:eastAsia="Arial" w:hAnsi="Arial"/>
                <w:sz w:val="15"/>
                <w:szCs w:val="15"/>
                <w:color w:val="auto"/>
              </w:rPr>
              <w:t>283.2</w:t>
            </w:r>
          </w:p>
        </w:tc>
      </w:tr>
      <w:tr>
        <w:trPr>
          <w:trHeight w:val="162"/>
        </w:trPr>
        <w:tc>
          <w:tcPr>
            <w:tcW w:w="5640" w:type="dxa"/>
            <w:vAlign w:val="bottom"/>
            <w:gridSpan w:val="2"/>
          </w:tcPr>
          <w:p>
            <w:pPr>
              <w:spacing w:after="0" w:line="162" w:lineRule="exact"/>
              <w:rPr>
                <w:sz w:val="20"/>
                <w:szCs w:val="20"/>
                <w:color w:val="auto"/>
              </w:rPr>
            </w:pPr>
            <w:r>
              <w:rPr>
                <w:rFonts w:ascii="Arial" w:cs="Arial" w:eastAsia="Arial" w:hAnsi="Arial"/>
                <w:sz w:val="15"/>
                <w:szCs w:val="15"/>
                <w:color w:val="auto"/>
              </w:rPr>
              <w:t>Provisions for loan losses, net</w:t>
            </w:r>
          </w:p>
        </w:tc>
        <w:tc>
          <w:tcPr>
            <w:tcW w:w="40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1.8</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0.9</w:t>
            </w:r>
          </w:p>
        </w:tc>
        <w:tc>
          <w:tcPr>
            <w:tcW w:w="134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(3.0)</w:t>
            </w:r>
          </w:p>
        </w:tc>
        <w:tc>
          <w:tcPr>
            <w:tcW w:w="13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8.9</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(5.2)</w:t>
            </w:r>
          </w:p>
        </w:tc>
      </w:tr>
      <w:tr>
        <w:trPr>
          <w:trHeight w:val="162"/>
        </w:trPr>
        <w:tc>
          <w:tcPr>
            <w:tcW w:w="5640" w:type="dxa"/>
            <w:vAlign w:val="bottom"/>
            <w:gridSpan w:val="2"/>
          </w:tcPr>
          <w:p>
            <w:pPr>
              <w:spacing w:after="0" w:line="162" w:lineRule="exact"/>
              <w:rPr>
                <w:sz w:val="20"/>
                <w:szCs w:val="20"/>
                <w:color w:val="auto"/>
              </w:rPr>
            </w:pPr>
            <w:r>
              <w:rPr>
                <w:rFonts w:ascii="Arial" w:cs="Arial" w:eastAsia="Arial" w:hAnsi="Arial"/>
                <w:sz w:val="15"/>
                <w:szCs w:val="15"/>
                <w:color w:val="auto"/>
              </w:rPr>
              <w:t>Other income</w:t>
            </w:r>
          </w:p>
        </w:tc>
        <w:tc>
          <w:tcPr>
            <w:tcW w:w="400" w:type="dxa"/>
            <w:vAlign w:val="bottom"/>
          </w:tcPr>
          <w:p>
            <w:pPr>
              <w:jc w:val="right"/>
              <w:ind w:right="46"/>
              <w:spacing w:after="0" w:line="162" w:lineRule="exact"/>
              <w:rPr>
                <w:sz w:val="20"/>
                <w:szCs w:val="20"/>
                <w:color w:val="auto"/>
              </w:rPr>
            </w:pPr>
            <w:r>
              <w:rPr>
                <w:rFonts w:ascii="Arial" w:cs="Arial" w:eastAsia="Arial" w:hAnsi="Arial"/>
                <w:sz w:val="15"/>
                <w:szCs w:val="15"/>
                <w:color w:val="auto"/>
                <w:w w:val="88"/>
              </w:rPr>
              <w:t>59.2</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61.3</w:t>
            </w:r>
          </w:p>
        </w:tc>
        <w:tc>
          <w:tcPr>
            <w:tcW w:w="134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70.6</w:t>
            </w:r>
          </w:p>
        </w:tc>
        <w:tc>
          <w:tcPr>
            <w:tcW w:w="13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163.9</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191.2</w:t>
            </w:r>
          </w:p>
        </w:tc>
      </w:tr>
      <w:tr>
        <w:trPr>
          <w:trHeight w:val="162"/>
        </w:trPr>
        <w:tc>
          <w:tcPr>
            <w:tcW w:w="5640" w:type="dxa"/>
            <w:vAlign w:val="bottom"/>
            <w:gridSpan w:val="2"/>
          </w:tcPr>
          <w:p>
            <w:pPr>
              <w:spacing w:after="0" w:line="162" w:lineRule="exact"/>
              <w:rPr>
                <w:sz w:val="20"/>
                <w:szCs w:val="20"/>
                <w:color w:val="auto"/>
              </w:rPr>
            </w:pPr>
            <w:r>
              <w:rPr>
                <w:rFonts w:ascii="Arial" w:cs="Arial" w:eastAsia="Arial" w:hAnsi="Arial"/>
                <w:sz w:val="15"/>
                <w:szCs w:val="15"/>
                <w:color w:val="auto"/>
              </w:rPr>
              <w:t>Other expenses</w:t>
            </w:r>
          </w:p>
        </w:tc>
        <w:tc>
          <w:tcPr>
            <w:tcW w:w="400" w:type="dxa"/>
            <w:vAlign w:val="bottom"/>
          </w:tcPr>
          <w:p>
            <w:pPr>
              <w:jc w:val="right"/>
              <w:ind w:right="46"/>
              <w:spacing w:after="0" w:line="162" w:lineRule="exact"/>
              <w:rPr>
                <w:sz w:val="20"/>
                <w:szCs w:val="20"/>
                <w:color w:val="auto"/>
              </w:rPr>
            </w:pPr>
            <w:r>
              <w:rPr>
                <w:rFonts w:ascii="Arial" w:cs="Arial" w:eastAsia="Arial" w:hAnsi="Arial"/>
                <w:sz w:val="15"/>
                <w:szCs w:val="15"/>
                <w:color w:val="auto"/>
                <w:w w:val="88"/>
              </w:rPr>
              <w:t>90.6</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94.0</w:t>
            </w:r>
          </w:p>
        </w:tc>
        <w:tc>
          <w:tcPr>
            <w:tcW w:w="134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99.2</w:t>
            </w:r>
          </w:p>
        </w:tc>
        <w:tc>
          <w:tcPr>
            <w:tcW w:w="13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260.8</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282.0</w:t>
            </w:r>
          </w:p>
        </w:tc>
      </w:tr>
      <w:tr>
        <w:trPr>
          <w:trHeight w:val="162"/>
        </w:trPr>
        <w:tc>
          <w:tcPr>
            <w:tcW w:w="5640" w:type="dxa"/>
            <w:vAlign w:val="bottom"/>
            <w:gridSpan w:val="2"/>
          </w:tcPr>
          <w:p>
            <w:pPr>
              <w:spacing w:after="0" w:line="162" w:lineRule="exact"/>
              <w:rPr>
                <w:sz w:val="20"/>
                <w:szCs w:val="20"/>
                <w:color w:val="auto"/>
              </w:rPr>
            </w:pPr>
            <w:r>
              <w:rPr>
                <w:rFonts w:ascii="Arial" w:cs="Arial" w:eastAsia="Arial" w:hAnsi="Arial"/>
                <w:sz w:val="15"/>
                <w:szCs w:val="15"/>
                <w:color w:val="auto"/>
              </w:rPr>
              <w:t>Merger costs</w:t>
            </w:r>
          </w:p>
        </w:tc>
        <w:tc>
          <w:tcPr>
            <w:tcW w:w="400" w:type="dxa"/>
            <w:vAlign w:val="bottom"/>
          </w:tcPr>
          <w:p>
            <w:pPr>
              <w:jc w:val="right"/>
              <w:ind w:right="46"/>
              <w:spacing w:after="0" w:line="162" w:lineRule="exact"/>
              <w:rPr>
                <w:sz w:val="20"/>
                <w:szCs w:val="20"/>
                <w:color w:val="auto"/>
              </w:rPr>
            </w:pPr>
            <w:r>
              <w:rPr>
                <w:rFonts w:ascii="Arial" w:cs="Arial" w:eastAsia="Arial" w:hAnsi="Arial"/>
                <w:sz w:val="15"/>
                <w:szCs w:val="15"/>
                <w:color w:val="auto"/>
              </w:rPr>
              <w:t>0.5</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0.0</w:t>
            </w:r>
          </w:p>
        </w:tc>
        <w:tc>
          <w:tcPr>
            <w:tcW w:w="134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0.0</w:t>
            </w:r>
          </w:p>
        </w:tc>
        <w:tc>
          <w:tcPr>
            <w:tcW w:w="13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3.7</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0.0</w:t>
            </w:r>
          </w:p>
        </w:tc>
      </w:tr>
      <w:tr>
        <w:trPr>
          <w:trHeight w:val="188"/>
        </w:trPr>
        <w:tc>
          <w:tcPr>
            <w:tcW w:w="5640" w:type="dxa"/>
            <w:vAlign w:val="bottom"/>
            <w:gridSpan w:val="2"/>
          </w:tcPr>
          <w:p>
            <w:pPr>
              <w:spacing w:after="0"/>
              <w:rPr>
                <w:sz w:val="20"/>
                <w:szCs w:val="20"/>
                <w:color w:val="auto"/>
              </w:rPr>
            </w:pPr>
            <w:r>
              <w:rPr>
                <w:rFonts w:ascii="Arial" w:cs="Arial" w:eastAsia="Arial" w:hAnsi="Arial"/>
                <w:sz w:val="15"/>
                <w:szCs w:val="15"/>
                <w:color w:val="auto"/>
              </w:rPr>
              <w:t>Translation result</w:t>
            </w:r>
          </w:p>
        </w:tc>
        <w:tc>
          <w:tcPr>
            <w:tcW w:w="400" w:type="dxa"/>
            <w:vAlign w:val="bottom"/>
          </w:tcPr>
          <w:p>
            <w:pPr>
              <w:jc w:val="right"/>
              <w:ind w:right="6"/>
              <w:spacing w:after="0"/>
              <w:rPr>
                <w:sz w:val="20"/>
                <w:szCs w:val="20"/>
                <w:color w:val="auto"/>
              </w:rPr>
            </w:pPr>
            <w:r>
              <w:rPr>
                <w:rFonts w:ascii="Arial" w:cs="Arial" w:eastAsia="Arial" w:hAnsi="Arial"/>
                <w:sz w:val="15"/>
                <w:szCs w:val="15"/>
                <w:color w:val="auto"/>
                <w:w w:val="97"/>
              </w:rPr>
              <w:t>(0.8)</w:t>
            </w:r>
          </w:p>
        </w:tc>
        <w:tc>
          <w:tcPr>
            <w:tcW w:w="1600" w:type="dxa"/>
            <w:vAlign w:val="bottom"/>
          </w:tcPr>
          <w:p>
            <w:pPr>
              <w:jc w:val="right"/>
              <w:ind w:right="266"/>
              <w:spacing w:after="0"/>
              <w:rPr>
                <w:sz w:val="20"/>
                <w:szCs w:val="20"/>
                <w:color w:val="auto"/>
              </w:rPr>
            </w:pPr>
            <w:r>
              <w:rPr>
                <w:rFonts w:ascii="Arial" w:cs="Arial" w:eastAsia="Arial" w:hAnsi="Arial"/>
                <w:sz w:val="15"/>
                <w:szCs w:val="15"/>
                <w:color w:val="auto"/>
              </w:rPr>
              <w:t>0.4</w:t>
            </w:r>
          </w:p>
        </w:tc>
        <w:tc>
          <w:tcPr>
            <w:tcW w:w="1340" w:type="dxa"/>
            <w:vAlign w:val="bottom"/>
          </w:tcPr>
          <w:p>
            <w:pPr>
              <w:jc w:val="right"/>
              <w:ind w:right="186"/>
              <w:spacing w:after="0"/>
              <w:rPr>
                <w:sz w:val="20"/>
                <w:szCs w:val="20"/>
                <w:color w:val="auto"/>
              </w:rPr>
            </w:pPr>
            <w:r>
              <w:rPr>
                <w:rFonts w:ascii="Arial" w:cs="Arial" w:eastAsia="Arial" w:hAnsi="Arial"/>
                <w:sz w:val="15"/>
                <w:szCs w:val="15"/>
                <w:color w:val="auto"/>
              </w:rPr>
              <w:t>(5.2)</w:t>
            </w:r>
          </w:p>
        </w:tc>
        <w:tc>
          <w:tcPr>
            <w:tcW w:w="1320" w:type="dxa"/>
            <w:vAlign w:val="bottom"/>
          </w:tcPr>
          <w:p>
            <w:pPr>
              <w:jc w:val="right"/>
              <w:ind w:right="186"/>
              <w:spacing w:after="0"/>
              <w:rPr>
                <w:sz w:val="20"/>
                <w:szCs w:val="20"/>
                <w:color w:val="auto"/>
              </w:rPr>
            </w:pPr>
            <w:r>
              <w:rPr>
                <w:rFonts w:ascii="Arial" w:cs="Arial" w:eastAsia="Arial" w:hAnsi="Arial"/>
                <w:sz w:val="15"/>
                <w:szCs w:val="15"/>
                <w:color w:val="auto"/>
              </w:rPr>
              <w:t>1.4</w:t>
            </w:r>
          </w:p>
        </w:tc>
        <w:tc>
          <w:tcPr>
            <w:tcW w:w="112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98"/>
        </w:trPr>
        <w:tc>
          <w:tcPr>
            <w:tcW w:w="5640" w:type="dxa"/>
            <w:vAlign w:val="bottom"/>
            <w:gridSpan w:val="2"/>
          </w:tcPr>
          <w:p>
            <w:pPr>
              <w:ind w:left="1500"/>
              <w:spacing w:after="0"/>
              <w:rPr>
                <w:sz w:val="20"/>
                <w:szCs w:val="20"/>
                <w:color w:val="auto"/>
              </w:rPr>
            </w:pPr>
            <w:r>
              <w:rPr>
                <w:rFonts w:ascii="Arial" w:cs="Arial" w:eastAsia="Arial" w:hAnsi="Arial"/>
                <w:sz w:val="15"/>
                <w:szCs w:val="15"/>
                <w:color w:val="auto"/>
              </w:rPr>
              <w:t>Income before income tax</w:t>
            </w:r>
          </w:p>
        </w:tc>
        <w:tc>
          <w:tcPr>
            <w:tcW w:w="400" w:type="dxa"/>
            <w:vAlign w:val="bottom"/>
          </w:tcPr>
          <w:p>
            <w:pPr>
              <w:jc w:val="right"/>
              <w:ind w:right="46"/>
              <w:spacing w:after="0"/>
              <w:rPr>
                <w:sz w:val="20"/>
                <w:szCs w:val="20"/>
                <w:color w:val="auto"/>
              </w:rPr>
            </w:pPr>
            <w:r>
              <w:rPr>
                <w:rFonts w:ascii="Arial" w:cs="Arial" w:eastAsia="Arial" w:hAnsi="Arial"/>
                <w:sz w:val="15"/>
                <w:szCs w:val="15"/>
                <w:color w:val="auto"/>
                <w:w w:val="88"/>
              </w:rPr>
              <w:t>43.3</w:t>
            </w:r>
          </w:p>
        </w:tc>
        <w:tc>
          <w:tcPr>
            <w:tcW w:w="1600" w:type="dxa"/>
            <w:vAlign w:val="bottom"/>
          </w:tcPr>
          <w:p>
            <w:pPr>
              <w:jc w:val="right"/>
              <w:ind w:right="266"/>
              <w:spacing w:after="0"/>
              <w:rPr>
                <w:sz w:val="20"/>
                <w:szCs w:val="20"/>
                <w:color w:val="auto"/>
              </w:rPr>
            </w:pPr>
            <w:r>
              <w:rPr>
                <w:rFonts w:ascii="Arial" w:cs="Arial" w:eastAsia="Arial" w:hAnsi="Arial"/>
                <w:sz w:val="15"/>
                <w:szCs w:val="15"/>
                <w:color w:val="auto"/>
              </w:rPr>
              <w:t>58.6</w:t>
            </w:r>
          </w:p>
        </w:tc>
        <w:tc>
          <w:tcPr>
            <w:tcW w:w="1340" w:type="dxa"/>
            <w:vAlign w:val="bottom"/>
          </w:tcPr>
          <w:p>
            <w:pPr>
              <w:jc w:val="right"/>
              <w:ind w:right="226"/>
              <w:spacing w:after="0"/>
              <w:rPr>
                <w:sz w:val="20"/>
                <w:szCs w:val="20"/>
                <w:color w:val="auto"/>
              </w:rPr>
            </w:pPr>
            <w:r>
              <w:rPr>
                <w:rFonts w:ascii="Arial" w:cs="Arial" w:eastAsia="Arial" w:hAnsi="Arial"/>
                <w:sz w:val="15"/>
                <w:szCs w:val="15"/>
                <w:color w:val="auto"/>
              </w:rPr>
              <w:t>69.3</w:t>
            </w:r>
          </w:p>
        </w:tc>
        <w:tc>
          <w:tcPr>
            <w:tcW w:w="1320" w:type="dxa"/>
            <w:vAlign w:val="bottom"/>
          </w:tcPr>
          <w:p>
            <w:pPr>
              <w:jc w:val="right"/>
              <w:ind w:right="186"/>
              <w:spacing w:after="0"/>
              <w:rPr>
                <w:sz w:val="20"/>
                <w:szCs w:val="20"/>
                <w:color w:val="auto"/>
              </w:rPr>
            </w:pPr>
            <w:r>
              <w:rPr>
                <w:rFonts w:ascii="Arial" w:cs="Arial" w:eastAsia="Arial" w:hAnsi="Arial"/>
                <w:sz w:val="15"/>
                <w:szCs w:val="15"/>
                <w:color w:val="auto"/>
              </w:rPr>
              <w:t>119.9</w:t>
            </w:r>
          </w:p>
        </w:tc>
        <w:tc>
          <w:tcPr>
            <w:tcW w:w="1120" w:type="dxa"/>
            <w:vAlign w:val="bottom"/>
          </w:tcPr>
          <w:p>
            <w:pPr>
              <w:jc w:val="right"/>
              <w:spacing w:after="0"/>
              <w:rPr>
                <w:sz w:val="20"/>
                <w:szCs w:val="20"/>
                <w:color w:val="auto"/>
              </w:rPr>
            </w:pPr>
            <w:r>
              <w:rPr>
                <w:rFonts w:ascii="Arial" w:cs="Arial" w:eastAsia="Arial" w:hAnsi="Arial"/>
                <w:sz w:val="15"/>
                <w:szCs w:val="15"/>
                <w:color w:val="auto"/>
              </w:rPr>
              <w:t>193.2</w:t>
            </w:r>
          </w:p>
        </w:tc>
      </w:tr>
      <w:tr>
        <w:trPr>
          <w:trHeight w:val="162"/>
        </w:trPr>
        <w:tc>
          <w:tcPr>
            <w:tcW w:w="5640" w:type="dxa"/>
            <w:vAlign w:val="bottom"/>
            <w:gridSpan w:val="2"/>
          </w:tcPr>
          <w:p>
            <w:pPr>
              <w:spacing w:after="0" w:line="162" w:lineRule="exact"/>
              <w:rPr>
                <w:sz w:val="20"/>
                <w:szCs w:val="20"/>
                <w:color w:val="auto"/>
              </w:rPr>
            </w:pPr>
            <w:r>
              <w:rPr>
                <w:rFonts w:ascii="Arial" w:cs="Arial" w:eastAsia="Arial" w:hAnsi="Arial"/>
                <w:sz w:val="15"/>
                <w:szCs w:val="15"/>
                <w:color w:val="auto"/>
              </w:rPr>
              <w:t>Employee profit sharing(2)</w:t>
            </w:r>
          </w:p>
        </w:tc>
        <w:tc>
          <w:tcPr>
            <w:tcW w:w="40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1.6</w:t>
            </w:r>
          </w:p>
        </w:tc>
        <w:tc>
          <w:tcPr>
            <w:tcW w:w="1600" w:type="dxa"/>
            <w:vAlign w:val="bottom"/>
          </w:tcPr>
          <w:p>
            <w:pPr>
              <w:jc w:val="right"/>
              <w:ind w:right="266"/>
              <w:spacing w:after="0" w:line="162" w:lineRule="exact"/>
              <w:rPr>
                <w:sz w:val="20"/>
                <w:szCs w:val="20"/>
                <w:color w:val="auto"/>
              </w:rPr>
            </w:pPr>
            <w:r>
              <w:rPr>
                <w:rFonts w:ascii="Arial" w:cs="Arial" w:eastAsia="Arial" w:hAnsi="Arial"/>
                <w:sz w:val="15"/>
                <w:szCs w:val="15"/>
                <w:color w:val="auto"/>
              </w:rPr>
              <w:t>1.7</w:t>
            </w:r>
          </w:p>
        </w:tc>
        <w:tc>
          <w:tcPr>
            <w:tcW w:w="1340" w:type="dxa"/>
            <w:vAlign w:val="bottom"/>
          </w:tcPr>
          <w:p>
            <w:pPr>
              <w:jc w:val="right"/>
              <w:ind w:right="226"/>
              <w:spacing w:after="0" w:line="162" w:lineRule="exact"/>
              <w:rPr>
                <w:sz w:val="20"/>
                <w:szCs w:val="20"/>
                <w:color w:val="auto"/>
              </w:rPr>
            </w:pPr>
            <w:r>
              <w:rPr>
                <w:rFonts w:ascii="Arial" w:cs="Arial" w:eastAsia="Arial" w:hAnsi="Arial"/>
                <w:sz w:val="15"/>
                <w:szCs w:val="15"/>
                <w:color w:val="auto"/>
              </w:rPr>
              <w:t>3.6</w:t>
            </w:r>
          </w:p>
        </w:tc>
        <w:tc>
          <w:tcPr>
            <w:tcW w:w="132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4.2</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8.2</w:t>
            </w:r>
          </w:p>
        </w:tc>
      </w:tr>
      <w:tr>
        <w:trPr>
          <w:trHeight w:val="158"/>
        </w:trPr>
        <w:tc>
          <w:tcPr>
            <w:tcW w:w="5640" w:type="dxa"/>
            <w:vAlign w:val="bottom"/>
            <w:gridSpan w:val="2"/>
          </w:tcPr>
          <w:p>
            <w:pPr>
              <w:spacing w:after="0" w:line="158" w:lineRule="exact"/>
              <w:rPr>
                <w:sz w:val="20"/>
                <w:szCs w:val="20"/>
                <w:color w:val="auto"/>
              </w:rPr>
            </w:pPr>
            <w:r>
              <w:rPr>
                <w:rFonts w:ascii="Arial" w:cs="Arial" w:eastAsia="Arial" w:hAnsi="Arial"/>
                <w:sz w:val="15"/>
                <w:szCs w:val="15"/>
                <w:color w:val="auto"/>
              </w:rPr>
              <w:t>Income Tax</w:t>
            </w:r>
          </w:p>
        </w:tc>
        <w:tc>
          <w:tcPr>
            <w:tcW w:w="400" w:type="dxa"/>
            <w:vAlign w:val="bottom"/>
          </w:tcPr>
          <w:p>
            <w:pPr>
              <w:jc w:val="right"/>
              <w:ind w:right="46"/>
              <w:spacing w:after="0" w:line="158" w:lineRule="exact"/>
              <w:rPr>
                <w:sz w:val="20"/>
                <w:szCs w:val="20"/>
                <w:color w:val="auto"/>
              </w:rPr>
            </w:pPr>
            <w:r>
              <w:rPr>
                <w:rFonts w:ascii="Arial" w:cs="Arial" w:eastAsia="Arial" w:hAnsi="Arial"/>
                <w:sz w:val="15"/>
                <w:szCs w:val="15"/>
                <w:color w:val="auto"/>
              </w:rPr>
              <w:t>8.4</w:t>
            </w:r>
          </w:p>
        </w:tc>
        <w:tc>
          <w:tcPr>
            <w:tcW w:w="1600" w:type="dxa"/>
            <w:vAlign w:val="bottom"/>
          </w:tcPr>
          <w:p>
            <w:pPr>
              <w:jc w:val="right"/>
              <w:ind w:right="266"/>
              <w:spacing w:after="0" w:line="158" w:lineRule="exact"/>
              <w:rPr>
                <w:sz w:val="20"/>
                <w:szCs w:val="20"/>
                <w:color w:val="auto"/>
              </w:rPr>
            </w:pPr>
            <w:r>
              <w:rPr>
                <w:rFonts w:ascii="Arial" w:cs="Arial" w:eastAsia="Arial" w:hAnsi="Arial"/>
                <w:sz w:val="15"/>
                <w:szCs w:val="15"/>
                <w:color w:val="auto"/>
              </w:rPr>
              <w:t>12.5</w:t>
            </w:r>
          </w:p>
        </w:tc>
        <w:tc>
          <w:tcPr>
            <w:tcW w:w="1340" w:type="dxa"/>
            <w:vAlign w:val="bottom"/>
          </w:tcPr>
          <w:p>
            <w:pPr>
              <w:jc w:val="right"/>
              <w:ind w:right="226"/>
              <w:spacing w:after="0" w:line="158" w:lineRule="exact"/>
              <w:rPr>
                <w:sz w:val="20"/>
                <w:szCs w:val="20"/>
                <w:color w:val="auto"/>
              </w:rPr>
            </w:pPr>
            <w:r>
              <w:rPr>
                <w:rFonts w:ascii="Arial" w:cs="Arial" w:eastAsia="Arial" w:hAnsi="Arial"/>
                <w:sz w:val="15"/>
                <w:szCs w:val="15"/>
                <w:color w:val="auto"/>
              </w:rPr>
              <w:t>19.1</w:t>
            </w:r>
          </w:p>
        </w:tc>
        <w:tc>
          <w:tcPr>
            <w:tcW w:w="1320" w:type="dxa"/>
            <w:vAlign w:val="bottom"/>
          </w:tcPr>
          <w:p>
            <w:pPr>
              <w:jc w:val="right"/>
              <w:ind w:right="186"/>
              <w:spacing w:after="0" w:line="158" w:lineRule="exact"/>
              <w:rPr>
                <w:sz w:val="20"/>
                <w:szCs w:val="20"/>
                <w:color w:val="auto"/>
              </w:rPr>
            </w:pPr>
            <w:r>
              <w:rPr>
                <w:rFonts w:ascii="Arial" w:cs="Arial" w:eastAsia="Arial" w:hAnsi="Arial"/>
                <w:sz w:val="15"/>
                <w:szCs w:val="15"/>
                <w:color w:val="auto"/>
              </w:rPr>
              <w:t>27.0</w:t>
            </w:r>
          </w:p>
        </w:tc>
        <w:tc>
          <w:tcPr>
            <w:tcW w:w="1120" w:type="dxa"/>
            <w:vAlign w:val="bottom"/>
          </w:tcPr>
          <w:p>
            <w:pPr>
              <w:jc w:val="right"/>
              <w:spacing w:after="0" w:line="158" w:lineRule="exact"/>
              <w:rPr>
                <w:sz w:val="20"/>
                <w:szCs w:val="20"/>
                <w:color w:val="auto"/>
              </w:rPr>
            </w:pPr>
            <w:r>
              <w:rPr>
                <w:rFonts w:ascii="Arial" w:cs="Arial" w:eastAsia="Arial" w:hAnsi="Arial"/>
                <w:sz w:val="15"/>
                <w:szCs w:val="15"/>
                <w:color w:val="auto"/>
              </w:rPr>
              <w:t>48.6</w:t>
            </w:r>
          </w:p>
        </w:tc>
      </w:tr>
      <w:tr>
        <w:trPr>
          <w:trHeight w:val="166"/>
        </w:trPr>
        <w:tc>
          <w:tcPr>
            <w:tcW w:w="5640" w:type="dxa"/>
            <w:vAlign w:val="bottom"/>
            <w:gridSpan w:val="2"/>
          </w:tcPr>
          <w:p>
            <w:pPr>
              <w:ind w:left="1920"/>
              <w:spacing w:after="0" w:line="167" w:lineRule="exact"/>
              <w:rPr>
                <w:sz w:val="20"/>
                <w:szCs w:val="20"/>
                <w:color w:val="auto"/>
              </w:rPr>
            </w:pPr>
            <w:r>
              <w:rPr>
                <w:rFonts w:ascii="Arial" w:cs="Arial" w:eastAsia="Arial" w:hAnsi="Arial"/>
                <w:sz w:val="15"/>
                <w:szCs w:val="15"/>
                <w:b w:val="1"/>
                <w:bCs w:val="1"/>
                <w:color w:val="auto"/>
              </w:rPr>
              <w:t>Net Income</w:t>
            </w:r>
          </w:p>
        </w:tc>
        <w:tc>
          <w:tcPr>
            <w:tcW w:w="400" w:type="dxa"/>
            <w:vAlign w:val="bottom"/>
          </w:tcPr>
          <w:p>
            <w:pPr>
              <w:jc w:val="right"/>
              <w:ind w:right="46"/>
              <w:spacing w:after="0" w:line="167" w:lineRule="exact"/>
              <w:rPr>
                <w:sz w:val="20"/>
                <w:szCs w:val="20"/>
                <w:color w:val="auto"/>
              </w:rPr>
            </w:pPr>
            <w:r>
              <w:rPr>
                <w:rFonts w:ascii="Arial" w:cs="Arial" w:eastAsia="Arial" w:hAnsi="Arial"/>
                <w:sz w:val="15"/>
                <w:szCs w:val="15"/>
                <w:b w:val="1"/>
                <w:bCs w:val="1"/>
                <w:color w:val="auto"/>
                <w:w w:val="88"/>
              </w:rPr>
              <w:t>33.3</w:t>
            </w:r>
          </w:p>
        </w:tc>
        <w:tc>
          <w:tcPr>
            <w:tcW w:w="1600" w:type="dxa"/>
            <w:vAlign w:val="bottom"/>
          </w:tcPr>
          <w:p>
            <w:pPr>
              <w:jc w:val="right"/>
              <w:ind w:right="266"/>
              <w:spacing w:after="0" w:line="167" w:lineRule="exact"/>
              <w:rPr>
                <w:sz w:val="20"/>
                <w:szCs w:val="20"/>
                <w:color w:val="auto"/>
              </w:rPr>
            </w:pPr>
            <w:r>
              <w:rPr>
                <w:rFonts w:ascii="Arial" w:cs="Arial" w:eastAsia="Arial" w:hAnsi="Arial"/>
                <w:sz w:val="15"/>
                <w:szCs w:val="15"/>
                <w:b w:val="1"/>
                <w:bCs w:val="1"/>
                <w:color w:val="auto"/>
              </w:rPr>
              <w:t>44.3</w:t>
            </w:r>
          </w:p>
        </w:tc>
        <w:tc>
          <w:tcPr>
            <w:tcW w:w="1340" w:type="dxa"/>
            <w:vAlign w:val="bottom"/>
          </w:tcPr>
          <w:p>
            <w:pPr>
              <w:jc w:val="right"/>
              <w:ind w:right="226"/>
              <w:spacing w:after="0" w:line="167" w:lineRule="exact"/>
              <w:rPr>
                <w:sz w:val="20"/>
                <w:szCs w:val="20"/>
                <w:color w:val="auto"/>
              </w:rPr>
            </w:pPr>
            <w:r>
              <w:rPr>
                <w:rFonts w:ascii="Arial" w:cs="Arial" w:eastAsia="Arial" w:hAnsi="Arial"/>
                <w:sz w:val="15"/>
                <w:szCs w:val="15"/>
                <w:b w:val="1"/>
                <w:bCs w:val="1"/>
                <w:color w:val="auto"/>
              </w:rPr>
              <w:t>46.6</w:t>
            </w:r>
          </w:p>
        </w:tc>
        <w:tc>
          <w:tcPr>
            <w:tcW w:w="1320" w:type="dxa"/>
            <w:vAlign w:val="bottom"/>
          </w:tcPr>
          <w:p>
            <w:pPr>
              <w:jc w:val="right"/>
              <w:ind w:right="186"/>
              <w:spacing w:after="0" w:line="167" w:lineRule="exact"/>
              <w:rPr>
                <w:sz w:val="20"/>
                <w:szCs w:val="20"/>
                <w:color w:val="auto"/>
              </w:rPr>
            </w:pPr>
            <w:r>
              <w:rPr>
                <w:rFonts w:ascii="Arial" w:cs="Arial" w:eastAsia="Arial" w:hAnsi="Arial"/>
                <w:sz w:val="15"/>
                <w:szCs w:val="15"/>
                <w:b w:val="1"/>
                <w:bCs w:val="1"/>
                <w:color w:val="auto"/>
              </w:rPr>
              <w:t>88.7</w:t>
            </w:r>
          </w:p>
        </w:tc>
        <w:tc>
          <w:tcPr>
            <w:tcW w:w="112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136.4</w:t>
            </w:r>
          </w:p>
        </w:tc>
      </w:tr>
      <w:tr>
        <w:trPr>
          <w:trHeight w:val="171"/>
        </w:trPr>
        <w:tc>
          <w:tcPr>
            <w:tcW w:w="5640" w:type="dxa"/>
            <w:vAlign w:val="bottom"/>
            <w:tcBorders>
              <w:bottom w:val="single" w:sz="8" w:color="auto"/>
            </w:tcBorders>
            <w:gridSpan w:val="2"/>
          </w:tcPr>
          <w:p>
            <w:pPr>
              <w:spacing w:after="0" w:line="172" w:lineRule="exact"/>
              <w:rPr>
                <w:sz w:val="20"/>
                <w:szCs w:val="20"/>
                <w:color w:val="auto"/>
              </w:rPr>
            </w:pPr>
            <w:r>
              <w:rPr>
                <w:rFonts w:ascii="Arial" w:cs="Arial" w:eastAsia="Arial" w:hAnsi="Arial"/>
                <w:sz w:val="15"/>
                <w:szCs w:val="15"/>
                <w:color w:val="auto"/>
              </w:rPr>
              <w:t>Net income contributed to Credicorp</w:t>
            </w:r>
          </w:p>
        </w:tc>
        <w:tc>
          <w:tcPr>
            <w:tcW w:w="400" w:type="dxa"/>
            <w:vAlign w:val="bottom"/>
            <w:tcBorders>
              <w:bottom w:val="single" w:sz="8" w:color="auto"/>
            </w:tcBorders>
          </w:tcPr>
          <w:p>
            <w:pPr>
              <w:jc w:val="right"/>
              <w:ind w:right="46"/>
              <w:spacing w:after="0" w:line="172" w:lineRule="exact"/>
              <w:rPr>
                <w:sz w:val="20"/>
                <w:szCs w:val="20"/>
                <w:color w:val="auto"/>
              </w:rPr>
            </w:pPr>
            <w:r>
              <w:rPr>
                <w:rFonts w:ascii="Arial" w:cs="Arial" w:eastAsia="Arial" w:hAnsi="Arial"/>
                <w:sz w:val="15"/>
                <w:szCs w:val="15"/>
                <w:color w:val="auto"/>
                <w:w w:val="88"/>
              </w:rPr>
              <w:t>32.0</w:t>
            </w:r>
          </w:p>
        </w:tc>
        <w:tc>
          <w:tcPr>
            <w:tcW w:w="1600" w:type="dxa"/>
            <w:vAlign w:val="bottom"/>
            <w:tcBorders>
              <w:bottom w:val="single" w:sz="8" w:color="auto"/>
            </w:tcBorders>
          </w:tcPr>
          <w:p>
            <w:pPr>
              <w:jc w:val="right"/>
              <w:ind w:right="266"/>
              <w:spacing w:after="0" w:line="172" w:lineRule="exact"/>
              <w:rPr>
                <w:sz w:val="20"/>
                <w:szCs w:val="20"/>
                <w:color w:val="auto"/>
              </w:rPr>
            </w:pPr>
            <w:r>
              <w:rPr>
                <w:rFonts w:ascii="Arial" w:cs="Arial" w:eastAsia="Arial" w:hAnsi="Arial"/>
                <w:sz w:val="15"/>
                <w:szCs w:val="15"/>
                <w:color w:val="auto"/>
              </w:rPr>
              <w:t>42.6</w:t>
            </w:r>
          </w:p>
        </w:tc>
        <w:tc>
          <w:tcPr>
            <w:tcW w:w="1340" w:type="dxa"/>
            <w:vAlign w:val="bottom"/>
            <w:tcBorders>
              <w:bottom w:val="single" w:sz="8" w:color="auto"/>
            </w:tcBorders>
          </w:tcPr>
          <w:p>
            <w:pPr>
              <w:jc w:val="right"/>
              <w:ind w:right="226"/>
              <w:spacing w:after="0" w:line="172" w:lineRule="exact"/>
              <w:rPr>
                <w:sz w:val="20"/>
                <w:szCs w:val="20"/>
                <w:color w:val="auto"/>
              </w:rPr>
            </w:pPr>
            <w:r>
              <w:rPr>
                <w:rFonts w:ascii="Arial" w:cs="Arial" w:eastAsia="Arial" w:hAnsi="Arial"/>
                <w:sz w:val="15"/>
                <w:szCs w:val="15"/>
                <w:color w:val="auto"/>
              </w:rPr>
              <w:t>44.2</w:t>
            </w:r>
          </w:p>
        </w:tc>
        <w:tc>
          <w:tcPr>
            <w:tcW w:w="1320" w:type="dxa"/>
            <w:vAlign w:val="bottom"/>
            <w:tcBorders>
              <w:bottom w:val="single" w:sz="8" w:color="auto"/>
            </w:tcBorders>
          </w:tcPr>
          <w:p>
            <w:pPr>
              <w:jc w:val="right"/>
              <w:ind w:right="186"/>
              <w:spacing w:after="0" w:line="172" w:lineRule="exact"/>
              <w:rPr>
                <w:sz w:val="20"/>
                <w:szCs w:val="20"/>
                <w:color w:val="auto"/>
              </w:rPr>
            </w:pPr>
            <w:r>
              <w:rPr>
                <w:rFonts w:ascii="Arial" w:cs="Arial" w:eastAsia="Arial" w:hAnsi="Arial"/>
                <w:sz w:val="15"/>
                <w:szCs w:val="15"/>
                <w:color w:val="auto"/>
              </w:rPr>
              <w:t>85.3</w:t>
            </w: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130.5</w:t>
            </w:r>
          </w:p>
        </w:tc>
      </w:tr>
    </w:tbl>
    <w:p>
      <w:pPr>
        <w:spacing w:after="0" w:line="4"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Financial statements prepared according to IFRS, in U.S. Dollars.</w:t>
      </w:r>
    </w:p>
    <w:p>
      <w:pPr>
        <w:spacing w:after="0" w:line="1" w:lineRule="exact"/>
        <w:rPr>
          <w:rFonts w:ascii="Arial" w:cs="Arial" w:eastAsia="Arial" w:hAnsi="Arial"/>
          <w:sz w:val="15"/>
          <w:szCs w:val="15"/>
          <w:i w:val="1"/>
          <w:iCs w:val="1"/>
          <w:color w:val="auto"/>
        </w:rPr>
      </w:pPr>
    </w:p>
    <w:p>
      <w:pPr>
        <w:spacing w:after="0" w:line="225" w:lineRule="auto"/>
        <w:rPr>
          <w:rFonts w:ascii="Arial" w:cs="Arial" w:eastAsia="Arial" w:hAnsi="Arial"/>
          <w:sz w:val="15"/>
          <w:szCs w:val="15"/>
          <w:i w:val="1"/>
          <w:iCs w:val="1"/>
          <w:color w:val="auto"/>
        </w:rPr>
      </w:pPr>
      <w:r>
        <w:rPr>
          <w:rFonts w:ascii="Arial" w:cs="Arial" w:eastAsia="Arial" w:hAnsi="Arial"/>
          <w:sz w:val="15"/>
          <w:szCs w:val="15"/>
          <w:i w:val="1"/>
          <w:iCs w:val="1"/>
          <w:color w:val="auto"/>
        </w:rPr>
        <w:t>(2)Previously reported as part of personnel expenses.</w:t>
      </w:r>
    </w:p>
    <w:p>
      <w:pPr>
        <w:ind w:left="220" w:hanging="212"/>
        <w:spacing w:after="0"/>
        <w:tabs>
          <w:tab w:leader="none" w:pos="220"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Based on 1,287 million outstanding shares in all periods.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II.2 NET INTEREST INCOME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Interest income, net of interest payments, in the third quarter of 2005 reached US$100.1 million, increasing 28.7% compared to US$77.8 million net interest income in the same period of last year, and grew 9.0% compared to net interest income in the preceding second quarter.</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Increased net interest income, compared to the year-ago third quarter, is mostly due to higher average interest earning assets, combined with net interest margin growth. Average interest earning assets reached US$7.0 billion during third quarter 2005, a 15.1% growth comparing with the third quarter of last year, mainly due to growth of the loan portfolio and investments. Interest earning assets grew 1.7% compared to the average in the preceding second quarter, mainly due to higher investments and available funds.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During the third quarter of 2005, the net interest margin was 5.72%, higher than 5.34% in the preceding second quarter, and also increases from 5.12% during the third quarter of 2004. During the current quarter, the net interest margin grew mostly due to higher U.S. Dollar loan rates, following international trends, while deposit rates grew at a slower pace. Both, loan and deposit rates in local currency declined, with the net interest margin in this currency remaining almost unchanged.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II.3 NON-INTEREST INCOME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Note:</w:t>
      </w:r>
      <w:r>
        <w:rPr>
          <w:rFonts w:ascii="Arial" w:cs="Arial" w:eastAsia="Arial" w:hAnsi="Arial"/>
          <w:sz w:val="22"/>
          <w:szCs w:val="22"/>
          <w:color w:val="auto"/>
        </w:rPr>
        <w:t xml:space="preserve"> For comparison purposes, in periods prior to 2005, income from recoveries of previously charged-off loans, which were reported in the </w:t>
      </w:r>
      <w:r>
        <w:rPr>
          <w:rFonts w:ascii="Arial" w:cs="Arial" w:eastAsia="Arial" w:hAnsi="Arial"/>
          <w:sz w:val="22"/>
          <w:szCs w:val="22"/>
          <w:i w:val="1"/>
          <w:iCs w:val="1"/>
          <w:u w:val="single" w:color="auto"/>
          <w:color w:val="auto"/>
        </w:rPr>
        <w:t>Other non-interest income</w:t>
      </w:r>
      <w:r>
        <w:rPr>
          <w:rFonts w:ascii="Arial" w:cs="Arial" w:eastAsia="Arial" w:hAnsi="Arial"/>
          <w:sz w:val="22"/>
          <w:szCs w:val="22"/>
          <w:color w:val="auto"/>
        </w:rPr>
        <w:t xml:space="preserve"> concept, have been reclassified into the </w:t>
      </w:r>
      <w:r>
        <w:rPr>
          <w:rFonts w:ascii="Arial" w:cs="Arial" w:eastAsia="Arial" w:hAnsi="Arial"/>
          <w:sz w:val="22"/>
          <w:szCs w:val="22"/>
          <w:i w:val="1"/>
          <w:iCs w:val="1"/>
          <w:u w:val="single" w:color="auto"/>
          <w:color w:val="auto"/>
        </w:rPr>
        <w:t>Provision for possible loan losses</w:t>
      </w:r>
      <w:r>
        <w:rPr>
          <w:rFonts w:ascii="Arial" w:cs="Arial" w:eastAsia="Arial" w:hAnsi="Arial"/>
          <w:sz w:val="22"/>
          <w:szCs w:val="22"/>
          <w:color w:val="auto"/>
        </w:rPr>
        <w:t xml:space="preserve"> concept, with no effect on net income.</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Non-interest income, which include fee revenue and other non-interest items, in the third quarter of 2005 amounted to US$70.6 million, 19.1% higher than US$59.2 million earned during the third quarter of 2004, mostly due to higher gains on securities transactions, increased revenue on banking services and recoveries of provisions on foreclosed assets.</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the third quarter of 2005, fees from banking services amounted to US$53.5 million, 7.6% higher than fees in the same period of 2004, due to increased revenue in various concepts, being noteworthy those of credit and debit cards, fund transfers and for loan disbursement fees.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In the quarter, fees on the most important banking services had the following growth rates: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9"/>
        </w:trPr>
        <w:tc>
          <w:tcPr>
            <w:tcW w:w="4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(In US$ Mn.)</w:t>
            </w:r>
          </w:p>
        </w:tc>
        <w:tc>
          <w:tcPr>
            <w:tcW w:w="398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5"/>
                <w:szCs w:val="15"/>
                <w:b w:val="1"/>
                <w:bCs w:val="1"/>
                <w:color w:val="auto"/>
              </w:rPr>
              <w:t>3Q04</w:t>
            </w:r>
          </w:p>
        </w:tc>
        <w:tc>
          <w:tcPr>
            <w:tcW w:w="1680" w:type="dxa"/>
            <w:vAlign w:val="bottom"/>
            <w:tcBorders>
              <w:top w:val="single" w:sz="8" w:color="auto"/>
              <w:bottom w:val="single" w:sz="8" w:color="auto"/>
            </w:tcBorders>
          </w:tcPr>
          <w:p>
            <w:pPr>
              <w:jc w:val="right"/>
              <w:ind w:right="866"/>
              <w:spacing w:after="0"/>
              <w:rPr>
                <w:sz w:val="20"/>
                <w:szCs w:val="20"/>
                <w:color w:val="auto"/>
              </w:rPr>
            </w:pPr>
            <w:r>
              <w:rPr>
                <w:rFonts w:ascii="Arial" w:cs="Arial" w:eastAsia="Arial" w:hAnsi="Arial"/>
                <w:sz w:val="15"/>
                <w:szCs w:val="15"/>
                <w:b w:val="1"/>
                <w:bCs w:val="1"/>
                <w:color w:val="auto"/>
              </w:rPr>
              <w:t>3Q05</w:t>
            </w:r>
          </w:p>
        </w:tc>
        <w:tc>
          <w:tcPr>
            <w:tcW w:w="136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Growth</w:t>
            </w:r>
          </w:p>
        </w:tc>
      </w:tr>
      <w:tr>
        <w:trPr>
          <w:trHeight w:val="160"/>
        </w:trPr>
        <w:tc>
          <w:tcPr>
            <w:tcW w:w="4400" w:type="dxa"/>
            <w:vAlign w:val="bottom"/>
          </w:tcPr>
          <w:p>
            <w:pPr>
              <w:spacing w:after="0" w:line="160" w:lineRule="exact"/>
              <w:rPr>
                <w:sz w:val="20"/>
                <w:szCs w:val="20"/>
                <w:color w:val="auto"/>
              </w:rPr>
            </w:pPr>
            <w:r>
              <w:rPr>
                <w:rFonts w:ascii="Arial" w:cs="Arial" w:eastAsia="Arial" w:hAnsi="Arial"/>
                <w:sz w:val="15"/>
                <w:szCs w:val="15"/>
                <w:color w:val="auto"/>
              </w:rPr>
              <w:t>Savings accounts</w:t>
            </w:r>
          </w:p>
        </w:tc>
        <w:tc>
          <w:tcPr>
            <w:tcW w:w="3980" w:type="dxa"/>
            <w:vAlign w:val="bottom"/>
          </w:tcPr>
          <w:p>
            <w:pPr>
              <w:jc w:val="right"/>
              <w:ind w:right="346"/>
              <w:spacing w:after="0" w:line="160" w:lineRule="exact"/>
              <w:rPr>
                <w:sz w:val="20"/>
                <w:szCs w:val="20"/>
                <w:color w:val="auto"/>
              </w:rPr>
            </w:pPr>
            <w:r>
              <w:rPr>
                <w:rFonts w:ascii="Arial" w:cs="Arial" w:eastAsia="Arial" w:hAnsi="Arial"/>
                <w:sz w:val="15"/>
                <w:szCs w:val="15"/>
                <w:color w:val="auto"/>
              </w:rPr>
              <w:t>5.8</w:t>
            </w:r>
          </w:p>
        </w:tc>
        <w:tc>
          <w:tcPr>
            <w:tcW w:w="1680" w:type="dxa"/>
            <w:vAlign w:val="bottom"/>
          </w:tcPr>
          <w:p>
            <w:pPr>
              <w:jc w:val="right"/>
              <w:ind w:right="306"/>
              <w:spacing w:after="0" w:line="160" w:lineRule="exact"/>
              <w:rPr>
                <w:sz w:val="20"/>
                <w:szCs w:val="20"/>
                <w:color w:val="auto"/>
              </w:rPr>
            </w:pPr>
            <w:r>
              <w:rPr>
                <w:rFonts w:ascii="Arial" w:cs="Arial" w:eastAsia="Arial" w:hAnsi="Arial"/>
                <w:sz w:val="15"/>
                <w:szCs w:val="15"/>
                <w:color w:val="auto"/>
              </w:rPr>
              <w:t>6.2</w:t>
            </w:r>
          </w:p>
        </w:tc>
        <w:tc>
          <w:tcPr>
            <w:tcW w:w="1360" w:type="dxa"/>
            <w:vAlign w:val="bottom"/>
          </w:tcPr>
          <w:p>
            <w:pPr>
              <w:jc w:val="right"/>
              <w:spacing w:after="0" w:line="160" w:lineRule="exact"/>
              <w:rPr>
                <w:sz w:val="20"/>
                <w:szCs w:val="20"/>
                <w:color w:val="auto"/>
              </w:rPr>
            </w:pPr>
            <w:r>
              <w:rPr>
                <w:rFonts w:ascii="Arial" w:cs="Arial" w:eastAsia="Arial" w:hAnsi="Arial"/>
                <w:sz w:val="15"/>
                <w:szCs w:val="15"/>
                <w:color w:val="auto"/>
              </w:rPr>
              <w:t>6.1%</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Demand deposits</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6.6</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6.7</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2.2%</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Credit cards</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6.1</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6.4</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5.2%</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Fund transfer services</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4.4</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5.2</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17.6%</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Collections fees</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3.7</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4.0</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7.8%</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Billings and payments</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3.9</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4.3</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10.6%</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Contingent and foreign trade</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2.6</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2.7</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5.8%</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Contingent credits</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2.0</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2.2</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7.4%</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Debit cards</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1.7</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2.6</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56.5%</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Corporate Finance</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3.1</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1.6</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-47.7%</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Brokerage</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3.6</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2.8</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-22.0%</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Commercial loans</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1.1</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2.0</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77.4%</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Insurance</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1.2</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1.3</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9.5%</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Mortgage loans</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0.5</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0.8</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68.5%</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Channels and services</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0.5</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0.6</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18.9%</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Master account</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0.4</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0.4</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-10.1%</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Personal loans</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0.3</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0.2</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-25.1%</w:t>
            </w:r>
          </w:p>
        </w:tc>
      </w:tr>
      <w:tr>
        <w:trPr>
          <w:trHeight w:val="162"/>
        </w:trPr>
        <w:tc>
          <w:tcPr>
            <w:tcW w:w="4400" w:type="dxa"/>
            <w:vAlign w:val="bottom"/>
          </w:tcPr>
          <w:p>
            <w:pPr>
              <w:spacing w:after="0" w:line="162" w:lineRule="exact"/>
              <w:rPr>
                <w:sz w:val="20"/>
                <w:szCs w:val="20"/>
                <w:color w:val="auto"/>
              </w:rPr>
            </w:pPr>
            <w:r>
              <w:rPr>
                <w:rFonts w:ascii="Arial" w:cs="Arial" w:eastAsia="Arial" w:hAnsi="Arial"/>
                <w:sz w:val="15"/>
                <w:szCs w:val="15"/>
                <w:color w:val="auto"/>
              </w:rPr>
              <w:t>Micro-business credit</w:t>
            </w:r>
          </w:p>
        </w:tc>
        <w:tc>
          <w:tcPr>
            <w:tcW w:w="398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0.5</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0.7</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31.1%</w:t>
            </w:r>
          </w:p>
        </w:tc>
      </w:tr>
      <w:tr>
        <w:trPr>
          <w:trHeight w:val="158"/>
        </w:trPr>
        <w:tc>
          <w:tcPr>
            <w:tcW w:w="4400" w:type="dxa"/>
            <w:vAlign w:val="bottom"/>
          </w:tcPr>
          <w:p>
            <w:pPr>
              <w:spacing w:after="0" w:line="158" w:lineRule="exact"/>
              <w:rPr>
                <w:sz w:val="20"/>
                <w:szCs w:val="20"/>
                <w:color w:val="auto"/>
              </w:rPr>
            </w:pPr>
            <w:r>
              <w:rPr>
                <w:rFonts w:ascii="Arial" w:cs="Arial" w:eastAsia="Arial" w:hAnsi="Arial"/>
                <w:sz w:val="15"/>
                <w:szCs w:val="15"/>
                <w:color w:val="auto"/>
              </w:rPr>
              <w:t>Other</w:t>
            </w:r>
          </w:p>
        </w:tc>
        <w:tc>
          <w:tcPr>
            <w:tcW w:w="3980" w:type="dxa"/>
            <w:vAlign w:val="bottom"/>
          </w:tcPr>
          <w:p>
            <w:pPr>
              <w:jc w:val="right"/>
              <w:ind w:right="346"/>
              <w:spacing w:after="0" w:line="158" w:lineRule="exact"/>
              <w:rPr>
                <w:sz w:val="20"/>
                <w:szCs w:val="20"/>
                <w:color w:val="auto"/>
              </w:rPr>
            </w:pPr>
            <w:r>
              <w:rPr>
                <w:rFonts w:ascii="Arial" w:cs="Arial" w:eastAsia="Arial" w:hAnsi="Arial"/>
                <w:sz w:val="15"/>
                <w:szCs w:val="15"/>
                <w:color w:val="auto"/>
              </w:rPr>
              <w:t>1.8</w:t>
            </w:r>
          </w:p>
        </w:tc>
        <w:tc>
          <w:tcPr>
            <w:tcW w:w="1680" w:type="dxa"/>
            <w:vAlign w:val="bottom"/>
          </w:tcPr>
          <w:p>
            <w:pPr>
              <w:jc w:val="right"/>
              <w:ind w:right="306"/>
              <w:spacing w:after="0" w:line="158" w:lineRule="exact"/>
              <w:rPr>
                <w:sz w:val="20"/>
                <w:szCs w:val="20"/>
                <w:color w:val="auto"/>
              </w:rPr>
            </w:pPr>
            <w:r>
              <w:rPr>
                <w:rFonts w:ascii="Arial" w:cs="Arial" w:eastAsia="Arial" w:hAnsi="Arial"/>
                <w:sz w:val="15"/>
                <w:szCs w:val="15"/>
                <w:color w:val="auto"/>
              </w:rPr>
              <w:t>2.8</w:t>
            </w:r>
          </w:p>
        </w:tc>
        <w:tc>
          <w:tcPr>
            <w:tcW w:w="1360" w:type="dxa"/>
            <w:vAlign w:val="bottom"/>
          </w:tcPr>
          <w:p>
            <w:pPr>
              <w:jc w:val="right"/>
              <w:spacing w:after="0" w:line="158" w:lineRule="exact"/>
              <w:rPr>
                <w:sz w:val="20"/>
                <w:szCs w:val="20"/>
                <w:color w:val="auto"/>
              </w:rPr>
            </w:pPr>
            <w:r>
              <w:rPr>
                <w:rFonts w:ascii="Arial" w:cs="Arial" w:eastAsia="Arial" w:hAnsi="Arial"/>
                <w:sz w:val="15"/>
                <w:szCs w:val="15"/>
                <w:color w:val="auto"/>
              </w:rPr>
              <w:t>57.3%</w:t>
            </w:r>
          </w:p>
        </w:tc>
      </w:tr>
      <w:tr>
        <w:trPr>
          <w:trHeight w:val="175"/>
        </w:trPr>
        <w:tc>
          <w:tcPr>
            <w:tcW w:w="440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Total</w:t>
            </w:r>
          </w:p>
        </w:tc>
        <w:tc>
          <w:tcPr>
            <w:tcW w:w="398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49.7</w:t>
            </w:r>
          </w:p>
        </w:tc>
        <w:tc>
          <w:tcPr>
            <w:tcW w:w="16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53.5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7.6%</w:t>
            </w:r>
          </w:p>
        </w:tc>
      </w:tr>
    </w:tbl>
    <w:p>
      <w:pPr>
        <w:spacing w:after="0" w:line="200" w:lineRule="exact"/>
        <w:rPr>
          <w:sz w:val="20"/>
          <w:szCs w:val="20"/>
          <w:color w:val="auto"/>
        </w:rPr>
      </w:pPr>
    </w:p>
    <w:p>
      <w:pPr>
        <w:spacing w:after="0" w:line="251"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the third quarter of 2005, securities transactions resulted in a gain of US$4.8 million, compared with gains in the 2004 3Q of US$1.6 million. The general index of the Lima Stock Exchange, after declining 2.9% in second quarter 2005, increased 25.6% in the third quarter, which compares with the increase of 13.6% in the same year-ago period.</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Gains from foreign exchange operations, which are the result of the foreign exchange buy-sell margin, were US$7.6 million in the third quarter of 2005, 18.7% higher than revenue in the same quarter of 2004, mainly due to increased transactions volume, which offset a slight decrease in the buy-sell margins.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Other Income caption, that mainly registers reversals of prior year expenses and provisions and recoveries of certain operating costs, increased from US$1.5 million in the third quarter of 2004 to US$4.6 million in the current period, mostly due to recoveries of provisions for lower value of foreclosed assets.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II.4 OTHER NON-INTEREST EXPENSES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u w:val="single" w:color="auto"/>
          <w:color w:val="auto"/>
        </w:rPr>
        <w:t>Note:</w:t>
      </w:r>
      <w:r>
        <w:rPr>
          <w:rFonts w:ascii="Arial" w:cs="Arial" w:eastAsia="Arial" w:hAnsi="Arial"/>
          <w:sz w:val="19"/>
          <w:szCs w:val="19"/>
          <w:color w:val="auto"/>
        </w:rPr>
        <w:t xml:space="preserve"> For comparison purposes, in prior periods, expense for </w:t>
      </w:r>
      <w:r>
        <w:rPr>
          <w:rFonts w:ascii="Arial" w:cs="Arial" w:eastAsia="Arial" w:hAnsi="Arial"/>
          <w:sz w:val="19"/>
          <w:szCs w:val="19"/>
          <w:i w:val="1"/>
          <w:iCs w:val="1"/>
          <w:u w:val="single" w:color="auto"/>
          <w:color w:val="auto"/>
        </w:rPr>
        <w:t>Legal employee profit sharing,</w:t>
      </w:r>
      <w:r>
        <w:rPr>
          <w:rFonts w:ascii="Arial" w:cs="Arial" w:eastAsia="Arial" w:hAnsi="Arial"/>
          <w:sz w:val="19"/>
          <w:szCs w:val="19"/>
          <w:color w:val="auto"/>
        </w:rPr>
        <w:t xml:space="preserve"> which was previously reported within the </w:t>
      </w:r>
      <w:r>
        <w:rPr>
          <w:rFonts w:ascii="Arial" w:cs="Arial" w:eastAsia="Arial" w:hAnsi="Arial"/>
          <w:sz w:val="19"/>
          <w:szCs w:val="19"/>
          <w:i w:val="1"/>
          <w:iCs w:val="1"/>
          <w:u w:val="single" w:color="auto"/>
          <w:color w:val="auto"/>
        </w:rPr>
        <w:t>Salaries and employee benefits</w:t>
      </w:r>
      <w:r>
        <w:rPr>
          <w:rFonts w:ascii="Arial" w:cs="Arial" w:eastAsia="Arial" w:hAnsi="Arial"/>
          <w:sz w:val="19"/>
          <w:szCs w:val="19"/>
          <w:color w:val="auto"/>
        </w:rPr>
        <w:t xml:space="preserve"> concept, has been reclassified into a separate line item, with no effect on net income.</w:t>
      </w:r>
    </w:p>
    <w:p>
      <w:pPr>
        <w:spacing w:after="0" w:line="10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 xml:space="preserve">Non-interest expenses during the third quarter of 2005 were US$99.2 million, 8.8% above US$91.1 million in the same period in 2004, mainly because of an increased </w:t>
      </w:r>
      <w:r>
        <w:rPr>
          <w:rFonts w:ascii="Arial" w:cs="Arial" w:eastAsia="Arial" w:hAnsi="Arial"/>
          <w:sz w:val="22"/>
          <w:szCs w:val="22"/>
          <w:i w:val="1"/>
          <w:iCs w:val="1"/>
          <w:color w:val="auto"/>
        </w:rPr>
        <w:t>Other expense</w:t>
      </w:r>
      <w:r>
        <w:rPr>
          <w:rFonts w:ascii="Arial" w:cs="Arial" w:eastAsia="Arial" w:hAnsi="Arial"/>
          <w:sz w:val="22"/>
          <w:szCs w:val="22"/>
          <w:color w:val="auto"/>
        </w:rPr>
        <w:t xml:space="preserve"> caption.</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this quarter, approximately 38% of non-interest expenses were attributable to employee salaries and other expenses related to personnel, which increased 3.8% to US$37.9 million, when compared to the third quarter of 2004. At the end of September 2005 the number of employees stood at 7,494, decreasing from 7,575 employees as of June 2005, and also compared to 7,667 employees at September 2004, mainly due to reduced positions in retail offices.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 w:name="page13"/>
    <w:bookmarkEnd w:id="12"/>
    <w:p>
      <w:pPr>
        <w:jc w:val="both"/>
        <w:spacing w:after="0" w:line="298" w:lineRule="auto"/>
        <w:rPr>
          <w:sz w:val="20"/>
          <w:szCs w:val="20"/>
          <w:color w:val="auto"/>
        </w:rPr>
      </w:pPr>
      <w:r>
        <w:rPr>
          <w:rFonts w:ascii="Arial" w:cs="Arial" w:eastAsia="Arial" w:hAnsi="Arial"/>
          <w:sz w:val="19"/>
          <w:szCs w:val="19"/>
          <w:color w:val="auto"/>
        </w:rPr>
        <w:t>General and Administrative expenses, which represented 30% of non-interest expenses, reached US$30.0 million in the third quarter of 2005, growing 5.2% compared to expenses in the 2004 period. In the current quarter, higher expenses are mostly related to third party fees and marketing. In this quarter, the most significant general and administrative expenses were: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(In US$ Mn.)</w:t>
            </w:r>
          </w:p>
        </w:tc>
        <w:tc>
          <w:tcPr>
            <w:tcW w:w="376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5"/>
                <w:szCs w:val="15"/>
                <w:b w:val="1"/>
                <w:bCs w:val="1"/>
                <w:color w:val="auto"/>
              </w:rPr>
              <w:t>3Q04</w:t>
            </w:r>
          </w:p>
        </w:tc>
        <w:tc>
          <w:tcPr>
            <w:tcW w:w="1680" w:type="dxa"/>
            <w:vAlign w:val="bottom"/>
            <w:tcBorders>
              <w:top w:val="single" w:sz="8" w:color="auto"/>
              <w:bottom w:val="single" w:sz="8" w:color="auto"/>
            </w:tcBorders>
          </w:tcPr>
          <w:p>
            <w:pPr>
              <w:jc w:val="right"/>
              <w:ind w:right="866"/>
              <w:spacing w:after="0"/>
              <w:rPr>
                <w:sz w:val="20"/>
                <w:szCs w:val="20"/>
                <w:color w:val="auto"/>
              </w:rPr>
            </w:pPr>
            <w:r>
              <w:rPr>
                <w:rFonts w:ascii="Arial" w:cs="Arial" w:eastAsia="Arial" w:hAnsi="Arial"/>
                <w:sz w:val="15"/>
                <w:szCs w:val="15"/>
                <w:b w:val="1"/>
                <w:bCs w:val="1"/>
                <w:color w:val="auto"/>
              </w:rPr>
              <w:t>3Q05</w:t>
            </w:r>
          </w:p>
        </w:tc>
        <w:tc>
          <w:tcPr>
            <w:tcW w:w="136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Chnge.</w:t>
            </w:r>
          </w:p>
        </w:tc>
      </w:tr>
      <w:tr>
        <w:trPr>
          <w:trHeight w:val="160"/>
        </w:trPr>
        <w:tc>
          <w:tcPr>
            <w:tcW w:w="4620" w:type="dxa"/>
            <w:vAlign w:val="bottom"/>
          </w:tcPr>
          <w:p>
            <w:pPr>
              <w:spacing w:after="0" w:line="160" w:lineRule="exact"/>
              <w:rPr>
                <w:sz w:val="20"/>
                <w:szCs w:val="20"/>
                <w:color w:val="auto"/>
              </w:rPr>
            </w:pPr>
            <w:r>
              <w:rPr>
                <w:rFonts w:ascii="Arial" w:cs="Arial" w:eastAsia="Arial" w:hAnsi="Arial"/>
                <w:sz w:val="15"/>
                <w:szCs w:val="15"/>
                <w:color w:val="auto"/>
              </w:rPr>
              <w:t>Office supplies and operating costs</w:t>
            </w:r>
          </w:p>
        </w:tc>
        <w:tc>
          <w:tcPr>
            <w:tcW w:w="3760" w:type="dxa"/>
            <w:vAlign w:val="bottom"/>
          </w:tcPr>
          <w:p>
            <w:pPr>
              <w:jc w:val="right"/>
              <w:ind w:right="346"/>
              <w:spacing w:after="0" w:line="160" w:lineRule="exact"/>
              <w:rPr>
                <w:sz w:val="20"/>
                <w:szCs w:val="20"/>
                <w:color w:val="auto"/>
              </w:rPr>
            </w:pPr>
            <w:r>
              <w:rPr>
                <w:rFonts w:ascii="Arial" w:cs="Arial" w:eastAsia="Arial" w:hAnsi="Arial"/>
                <w:sz w:val="15"/>
                <w:szCs w:val="15"/>
                <w:color w:val="auto"/>
              </w:rPr>
              <w:t>3.5</w:t>
            </w:r>
          </w:p>
        </w:tc>
        <w:tc>
          <w:tcPr>
            <w:tcW w:w="1680" w:type="dxa"/>
            <w:vAlign w:val="bottom"/>
          </w:tcPr>
          <w:p>
            <w:pPr>
              <w:jc w:val="right"/>
              <w:ind w:right="306"/>
              <w:spacing w:after="0" w:line="160" w:lineRule="exact"/>
              <w:rPr>
                <w:sz w:val="20"/>
                <w:szCs w:val="20"/>
                <w:color w:val="auto"/>
              </w:rPr>
            </w:pPr>
            <w:r>
              <w:rPr>
                <w:rFonts w:ascii="Arial" w:cs="Arial" w:eastAsia="Arial" w:hAnsi="Arial"/>
                <w:sz w:val="15"/>
                <w:szCs w:val="15"/>
                <w:color w:val="auto"/>
              </w:rPr>
              <w:t>3.8</w:t>
            </w:r>
          </w:p>
        </w:tc>
        <w:tc>
          <w:tcPr>
            <w:tcW w:w="1360" w:type="dxa"/>
            <w:vAlign w:val="bottom"/>
          </w:tcPr>
          <w:p>
            <w:pPr>
              <w:jc w:val="right"/>
              <w:spacing w:after="0" w:line="160" w:lineRule="exact"/>
              <w:rPr>
                <w:sz w:val="20"/>
                <w:szCs w:val="20"/>
                <w:color w:val="auto"/>
              </w:rPr>
            </w:pPr>
            <w:r>
              <w:rPr>
                <w:rFonts w:ascii="Arial" w:cs="Arial" w:eastAsia="Arial" w:hAnsi="Arial"/>
                <w:sz w:val="15"/>
                <w:szCs w:val="15"/>
                <w:color w:val="auto"/>
              </w:rPr>
              <w:t>9.1%</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Communications</w:t>
            </w:r>
          </w:p>
        </w:tc>
        <w:tc>
          <w:tcPr>
            <w:tcW w:w="376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2.4</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2.0</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-16.0%</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Third party fees</w:t>
            </w:r>
          </w:p>
        </w:tc>
        <w:tc>
          <w:tcPr>
            <w:tcW w:w="376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4.0</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5.6</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40.4%</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Insurance and security</w:t>
            </w:r>
          </w:p>
        </w:tc>
        <w:tc>
          <w:tcPr>
            <w:tcW w:w="376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2.0</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1.9</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-6.1%</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Transport of currency and securities</w:t>
            </w:r>
          </w:p>
        </w:tc>
        <w:tc>
          <w:tcPr>
            <w:tcW w:w="376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3.7</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3.5</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-5.2%</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Systems and maintenance</w:t>
            </w:r>
          </w:p>
        </w:tc>
        <w:tc>
          <w:tcPr>
            <w:tcW w:w="376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6.0</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5.6</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-6.4%</w:t>
            </w:r>
          </w:p>
        </w:tc>
      </w:tr>
      <w:tr>
        <w:trPr>
          <w:trHeight w:val="162"/>
        </w:trPr>
        <w:tc>
          <w:tcPr>
            <w:tcW w:w="4620" w:type="dxa"/>
            <w:vAlign w:val="bottom"/>
          </w:tcPr>
          <w:p>
            <w:pPr>
              <w:spacing w:after="0" w:line="162" w:lineRule="exact"/>
              <w:rPr>
                <w:sz w:val="20"/>
                <w:szCs w:val="20"/>
                <w:color w:val="auto"/>
              </w:rPr>
            </w:pPr>
            <w:r>
              <w:rPr>
                <w:rFonts w:ascii="Arial" w:cs="Arial" w:eastAsia="Arial" w:hAnsi="Arial"/>
                <w:sz w:val="15"/>
                <w:szCs w:val="15"/>
                <w:color w:val="auto"/>
              </w:rPr>
              <w:t>Advertising and marketing</w:t>
            </w:r>
          </w:p>
        </w:tc>
        <w:tc>
          <w:tcPr>
            <w:tcW w:w="3760" w:type="dxa"/>
            <w:vAlign w:val="bottom"/>
          </w:tcPr>
          <w:p>
            <w:pPr>
              <w:jc w:val="right"/>
              <w:ind w:right="346"/>
              <w:spacing w:after="0" w:line="162" w:lineRule="exact"/>
              <w:rPr>
                <w:sz w:val="20"/>
                <w:szCs w:val="20"/>
                <w:color w:val="auto"/>
              </w:rPr>
            </w:pPr>
            <w:r>
              <w:rPr>
                <w:rFonts w:ascii="Arial" w:cs="Arial" w:eastAsia="Arial" w:hAnsi="Arial"/>
                <w:sz w:val="15"/>
                <w:szCs w:val="15"/>
                <w:color w:val="auto"/>
              </w:rPr>
              <w:t>4.4</w:t>
            </w:r>
          </w:p>
        </w:tc>
        <w:tc>
          <w:tcPr>
            <w:tcW w:w="168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4.9</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11.2%</w:t>
            </w:r>
          </w:p>
        </w:tc>
      </w:tr>
      <w:tr>
        <w:trPr>
          <w:trHeight w:val="158"/>
        </w:trPr>
        <w:tc>
          <w:tcPr>
            <w:tcW w:w="4620" w:type="dxa"/>
            <w:vAlign w:val="bottom"/>
          </w:tcPr>
          <w:p>
            <w:pPr>
              <w:spacing w:after="0" w:line="158" w:lineRule="exact"/>
              <w:rPr>
                <w:sz w:val="20"/>
                <w:szCs w:val="20"/>
                <w:color w:val="auto"/>
              </w:rPr>
            </w:pPr>
            <w:r>
              <w:rPr>
                <w:rFonts w:ascii="Arial" w:cs="Arial" w:eastAsia="Arial" w:hAnsi="Arial"/>
                <w:sz w:val="15"/>
                <w:szCs w:val="15"/>
                <w:color w:val="auto"/>
              </w:rPr>
              <w:t>Other G&amp;A</w:t>
            </w:r>
          </w:p>
        </w:tc>
        <w:tc>
          <w:tcPr>
            <w:tcW w:w="3760" w:type="dxa"/>
            <w:vAlign w:val="bottom"/>
          </w:tcPr>
          <w:p>
            <w:pPr>
              <w:jc w:val="right"/>
              <w:ind w:right="346"/>
              <w:spacing w:after="0" w:line="158" w:lineRule="exact"/>
              <w:rPr>
                <w:sz w:val="20"/>
                <w:szCs w:val="20"/>
                <w:color w:val="auto"/>
              </w:rPr>
            </w:pPr>
            <w:r>
              <w:rPr>
                <w:rFonts w:ascii="Arial" w:cs="Arial" w:eastAsia="Arial" w:hAnsi="Arial"/>
                <w:sz w:val="15"/>
                <w:szCs w:val="15"/>
                <w:color w:val="auto"/>
              </w:rPr>
              <w:t>2.5</w:t>
            </w:r>
          </w:p>
        </w:tc>
        <w:tc>
          <w:tcPr>
            <w:tcW w:w="1680" w:type="dxa"/>
            <w:vAlign w:val="bottom"/>
          </w:tcPr>
          <w:p>
            <w:pPr>
              <w:jc w:val="right"/>
              <w:ind w:right="306"/>
              <w:spacing w:after="0" w:line="158" w:lineRule="exact"/>
              <w:rPr>
                <w:sz w:val="20"/>
                <w:szCs w:val="20"/>
                <w:color w:val="auto"/>
              </w:rPr>
            </w:pPr>
            <w:r>
              <w:rPr>
                <w:rFonts w:ascii="Arial" w:cs="Arial" w:eastAsia="Arial" w:hAnsi="Arial"/>
                <w:sz w:val="15"/>
                <w:szCs w:val="15"/>
                <w:color w:val="auto"/>
              </w:rPr>
              <w:t>2.7</w:t>
            </w:r>
          </w:p>
        </w:tc>
        <w:tc>
          <w:tcPr>
            <w:tcW w:w="1360" w:type="dxa"/>
            <w:vAlign w:val="bottom"/>
          </w:tcPr>
          <w:p>
            <w:pPr>
              <w:jc w:val="right"/>
              <w:spacing w:after="0" w:line="158" w:lineRule="exact"/>
              <w:rPr>
                <w:sz w:val="20"/>
                <w:szCs w:val="20"/>
                <w:color w:val="auto"/>
              </w:rPr>
            </w:pPr>
            <w:r>
              <w:rPr>
                <w:rFonts w:ascii="Arial" w:cs="Arial" w:eastAsia="Arial" w:hAnsi="Arial"/>
                <w:sz w:val="15"/>
                <w:szCs w:val="15"/>
                <w:color w:val="auto"/>
              </w:rPr>
              <w:t>6.7%</w:t>
            </w:r>
          </w:p>
        </w:tc>
      </w:tr>
      <w:tr>
        <w:trPr>
          <w:trHeight w:val="175"/>
        </w:trPr>
        <w:tc>
          <w:tcPr>
            <w:tcW w:w="462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Total G&amp;A</w:t>
            </w:r>
          </w:p>
        </w:tc>
        <w:tc>
          <w:tcPr>
            <w:tcW w:w="376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28.5</w:t>
            </w:r>
          </w:p>
        </w:tc>
        <w:tc>
          <w:tcPr>
            <w:tcW w:w="16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30.0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5.2%</w:t>
            </w:r>
          </w:p>
        </w:tc>
      </w:tr>
    </w:tbl>
    <w:p>
      <w:pPr>
        <w:spacing w:after="0" w:line="200" w:lineRule="exact"/>
        <w:rPr>
          <w:sz w:val="20"/>
          <w:szCs w:val="20"/>
          <w:color w:val="auto"/>
        </w:rPr>
      </w:pPr>
    </w:p>
    <w:p>
      <w:pPr>
        <w:spacing w:after="0" w:line="25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Other</w:t>
      </w:r>
      <w:r>
        <w:rPr>
          <w:rFonts w:ascii="Arial" w:cs="Arial" w:eastAsia="Arial" w:hAnsi="Arial"/>
          <w:sz w:val="19"/>
          <w:szCs w:val="19"/>
          <w:color w:val="auto"/>
        </w:rPr>
        <w:t xml:space="preserve"> caption within Other Non-Interest Expenses, increased from US$12.9 million in the third quarter of 2004 to US$19.4 million in the current quarter, mainly due to higher provisions for appreciation of stocks awarded under the stock option plan.</w:t>
      </w:r>
    </w:p>
    <w:p>
      <w:pPr>
        <w:spacing w:after="0" w:line="99" w:lineRule="exact"/>
        <w:rPr>
          <w:sz w:val="20"/>
          <w:szCs w:val="20"/>
          <w:color w:val="auto"/>
        </w:rPr>
      </w:pPr>
    </w:p>
    <w:p>
      <w:pPr>
        <w:jc w:val="both"/>
        <w:spacing w:after="0" w:line="335" w:lineRule="auto"/>
        <w:rPr>
          <w:sz w:val="20"/>
          <w:szCs w:val="20"/>
          <w:color w:val="auto"/>
        </w:rPr>
      </w:pPr>
      <w:r>
        <w:rPr>
          <w:rFonts w:ascii="Arial" w:cs="Arial" w:eastAsia="Arial" w:hAnsi="Arial"/>
          <w:sz w:val="19"/>
          <w:szCs w:val="19"/>
          <w:color w:val="auto"/>
        </w:rPr>
        <w:t xml:space="preserve">Starting with 2005 reports, the determination of the </w:t>
      </w:r>
      <w:r>
        <w:rPr>
          <w:rFonts w:ascii="Arial" w:cs="Arial" w:eastAsia="Arial" w:hAnsi="Arial"/>
          <w:sz w:val="19"/>
          <w:szCs w:val="19"/>
          <w:b w:val="1"/>
          <w:bCs w:val="1"/>
          <w:color w:val="auto"/>
        </w:rPr>
        <w:t>efficiency ratio</w:t>
      </w:r>
      <w:r>
        <w:rPr>
          <w:rFonts w:ascii="Arial" w:cs="Arial" w:eastAsia="Arial" w:hAnsi="Arial"/>
          <w:sz w:val="19"/>
          <w:szCs w:val="19"/>
          <w:color w:val="auto"/>
        </w:rPr>
        <w:t xml:space="preserve"> has been simplified by using only specific line items that are shown in the income statement (see Table No. 5). The efficiency ratio will be determined from the following concepts:</w:t>
      </w:r>
    </w:p>
    <w:p>
      <w:pPr>
        <w:spacing w:after="0" w:line="98" w:lineRule="exact"/>
        <w:rPr>
          <w:sz w:val="20"/>
          <w:szCs w:val="20"/>
          <w:color w:val="auto"/>
        </w:rPr>
      </w:pPr>
    </w:p>
    <w:p>
      <w:pPr>
        <w:ind w:firstLine="8"/>
        <w:spacing w:after="0" w:line="251" w:lineRule="auto"/>
        <w:tabs>
          <w:tab w:leader="none" w:pos="18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numerator or “operating expenses”: i) salaries and personnel expenses, ii) general expenses, iii) depreciation and amortization, and iv) taxes other than income taxes.</w:t>
      </w:r>
    </w:p>
    <w:p>
      <w:pPr>
        <w:spacing w:after="0" w:line="173" w:lineRule="exact"/>
        <w:rPr>
          <w:rFonts w:ascii="Arial" w:cs="Arial" w:eastAsia="Arial" w:hAnsi="Arial"/>
          <w:sz w:val="22"/>
          <w:szCs w:val="22"/>
          <w:color w:val="auto"/>
        </w:rPr>
      </w:pPr>
    </w:p>
    <w:p>
      <w:pPr>
        <w:ind w:firstLine="8"/>
        <w:spacing w:after="0" w:line="251" w:lineRule="auto"/>
        <w:tabs>
          <w:tab w:leader="none" w:pos="157"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denominator: i) net interest income, ii) fees and commissions on banking services, and iii) gains on foreign exchange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The Efficiency ratio improved from 58.0% to 49.5% comparing the third quarters of 2004 and 2005, respectively.</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ratio of “operating expenses” as a percentage of average total assets, also improved from 4.5% third quarter 2004 to 4.0% in the current period.</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As mentioned in the note at the beginning of this section, the profit sharing expense was reclassified, decreasing operating expenses. Prior period ratios have been recalculated accordingly.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II.5 ASSETS AND LIABILITIES</w:t>
      </w:r>
    </w:p>
    <w:p>
      <w:pPr>
        <w:spacing w:after="0" w:line="206" w:lineRule="exact"/>
        <w:rPr>
          <w:sz w:val="20"/>
          <w:szCs w:val="20"/>
          <w:color w:val="auto"/>
        </w:rPr>
      </w:pPr>
    </w:p>
    <w:p>
      <w:pPr>
        <w:jc w:val="both"/>
        <w:ind w:right="20"/>
        <w:spacing w:after="0" w:line="280" w:lineRule="auto"/>
        <w:rPr>
          <w:sz w:val="20"/>
          <w:szCs w:val="20"/>
          <w:color w:val="auto"/>
        </w:rPr>
      </w:pPr>
      <w:r>
        <w:rPr>
          <w:rFonts w:ascii="Arial" w:cs="Arial" w:eastAsia="Arial" w:hAnsi="Arial"/>
          <w:sz w:val="21"/>
          <w:szCs w:val="21"/>
          <w:b w:val="1"/>
          <w:bCs w:val="1"/>
          <w:color w:val="auto"/>
        </w:rPr>
        <w:t xml:space="preserve">Total assets </w:t>
      </w:r>
      <w:r>
        <w:rPr>
          <w:rFonts w:ascii="Arial" w:cs="Arial" w:eastAsia="Arial" w:hAnsi="Arial"/>
          <w:sz w:val="21"/>
          <w:szCs w:val="21"/>
          <w:color w:val="auto"/>
        </w:rPr>
        <w:t>of BCP reached US$8.2 billion at the end of September 2005, growing 2.7% with respect to June 2005, and by 17.6%</w:t>
      </w:r>
      <w:r>
        <w:rPr>
          <w:rFonts w:ascii="Arial" w:cs="Arial" w:eastAsia="Arial" w:hAnsi="Arial"/>
          <w:sz w:val="21"/>
          <w:szCs w:val="21"/>
          <w:b w:val="1"/>
          <w:bCs w:val="1"/>
          <w:color w:val="auto"/>
        </w:rPr>
        <w:t xml:space="preserve"> </w:t>
      </w:r>
      <w:r>
        <w:rPr>
          <w:rFonts w:ascii="Arial" w:cs="Arial" w:eastAsia="Arial" w:hAnsi="Arial"/>
          <w:sz w:val="21"/>
          <w:szCs w:val="21"/>
          <w:color w:val="auto"/>
        </w:rPr>
        <w:t>compared to assets at September 2004, mainly due to higher investments and increased performing loans.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Consolidated total loans </w:t>
      </w:r>
      <w:r>
        <w:rPr>
          <w:rFonts w:ascii="Arial" w:cs="Arial" w:eastAsia="Arial" w:hAnsi="Arial"/>
          <w:sz w:val="22"/>
          <w:szCs w:val="22"/>
          <w:color w:val="auto"/>
        </w:rPr>
        <w:t>were US$4.5 billion at the end of September 2005, decreasing 2.7% during the current quarter, but are</w:t>
      </w:r>
      <w:r>
        <w:rPr>
          <w:rFonts w:ascii="Arial" w:cs="Arial" w:eastAsia="Arial" w:hAnsi="Arial"/>
          <w:sz w:val="22"/>
          <w:szCs w:val="22"/>
          <w:b w:val="1"/>
          <w:bCs w:val="1"/>
          <w:color w:val="auto"/>
        </w:rPr>
        <w:t xml:space="preserve"> </w:t>
      </w:r>
      <w:r>
        <w:rPr>
          <w:rFonts w:ascii="Arial" w:cs="Arial" w:eastAsia="Arial" w:hAnsi="Arial"/>
          <w:sz w:val="22"/>
          <w:szCs w:val="22"/>
          <w:color w:val="auto"/>
        </w:rPr>
        <w:t>9.5% above loans at September 2004.</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September 30, 2005, the loan portfolio, net of provisions, represented 52.2% of total assets, lower than 54.9% at the preceding quarter. At the end of the third quarter of 2005, the Nuevos Soles portion of the loan portfolio was 18.6%, higher than 16.7% in June 2005, and is also over 16.9% at September 2004.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jc w:val="both"/>
        <w:spacing w:after="0" w:line="335" w:lineRule="auto"/>
        <w:rPr>
          <w:sz w:val="20"/>
          <w:szCs w:val="20"/>
          <w:color w:val="auto"/>
        </w:rPr>
      </w:pPr>
      <w:r>
        <w:rPr>
          <w:rFonts w:ascii="Arial" w:cs="Arial" w:eastAsia="Arial" w:hAnsi="Arial"/>
          <w:sz w:val="19"/>
          <w:szCs w:val="19"/>
          <w:color w:val="auto"/>
        </w:rPr>
        <w:t xml:space="preserve">As of September 30, 2005 </w:t>
      </w:r>
      <w:r>
        <w:rPr>
          <w:rFonts w:ascii="Arial" w:cs="Arial" w:eastAsia="Arial" w:hAnsi="Arial"/>
          <w:sz w:val="19"/>
          <w:szCs w:val="19"/>
          <w:b w:val="1"/>
          <w:bCs w:val="1"/>
          <w:color w:val="auto"/>
        </w:rPr>
        <w:t>total deposits</w:t>
      </w:r>
      <w:r>
        <w:rPr>
          <w:rFonts w:ascii="Arial" w:cs="Arial" w:eastAsia="Arial" w:hAnsi="Arial"/>
          <w:sz w:val="19"/>
          <w:szCs w:val="19"/>
          <w:color w:val="auto"/>
        </w:rPr>
        <w:t>, which do not include bonds and subordinated debt (see Table No. 6), were US$6.2 billion, increasing 1.3% compared to second quarter 2005 deposits, and are 12.9% over deposits in the year-ago quarter.</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During the third quarter 2005, both demand deposits and savings deposits increased 1.4%, while time deposits increased by 1.2% . Deposits denominated in Nuevos Soles were 27.6% of total deposits, decreasing during the current quarter from 28.0% at June 2005, but remains over 23.4% at the end of September 2004.</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BCP's subsidiaries had the following loan, net of provisions, and deposit contributions: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 w:type="dxa"/>
            <w:vAlign w:val="bottom"/>
            <w:tcBorders>
              <w:top w:val="single" w:sz="8" w:color="auto"/>
              <w:bottom w:val="single" w:sz="8" w:color="auto"/>
            </w:tcBorders>
          </w:tcPr>
          <w:p>
            <w:pPr>
              <w:spacing w:after="0"/>
              <w:rPr>
                <w:sz w:val="16"/>
                <w:szCs w:val="16"/>
                <w:color w:val="auto"/>
              </w:rPr>
            </w:pPr>
          </w:p>
        </w:tc>
        <w:tc>
          <w:tcPr>
            <w:tcW w:w="276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3"/>
          </w:tcPr>
          <w:p>
            <w:pPr>
              <w:jc w:val="center"/>
              <w:ind w:right="140"/>
              <w:spacing w:after="0"/>
              <w:rPr>
                <w:sz w:val="20"/>
                <w:szCs w:val="20"/>
                <w:color w:val="auto"/>
              </w:rPr>
            </w:pPr>
            <w:r>
              <w:rPr>
                <w:rFonts w:ascii="Arial" w:cs="Arial" w:eastAsia="Arial" w:hAnsi="Arial"/>
                <w:sz w:val="15"/>
                <w:szCs w:val="15"/>
                <w:b w:val="1"/>
                <w:bCs w:val="1"/>
                <w:color w:val="auto"/>
                <w:w w:val="87"/>
              </w:rPr>
              <w:t>Loans, net</w:t>
            </w:r>
          </w:p>
        </w:tc>
        <w:tc>
          <w:tcPr>
            <w:tcW w:w="46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5"/>
                <w:szCs w:val="15"/>
                <w:b w:val="1"/>
                <w:bCs w:val="1"/>
                <w:color w:val="auto"/>
                <w:w w:val="96"/>
              </w:rPr>
              <w:t>Total Deposits</w:t>
            </w:r>
          </w:p>
        </w:tc>
        <w:tc>
          <w:tcPr>
            <w:tcW w:w="4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i w:val="1"/>
                <w:iCs w:val="1"/>
                <w:color w:val="auto"/>
              </w:rPr>
              <w:t>(In % and US$ Mn.)</w:t>
            </w:r>
          </w:p>
        </w:tc>
        <w:tc>
          <w:tcPr>
            <w:tcW w:w="234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5"/>
                <w:szCs w:val="15"/>
                <w:b w:val="1"/>
                <w:bCs w:val="1"/>
                <w:color w:val="auto"/>
              </w:rPr>
              <w:t>30.09.04</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5"/>
                <w:szCs w:val="15"/>
                <w:b w:val="1"/>
                <w:bCs w:val="1"/>
                <w:color w:val="auto"/>
              </w:rPr>
              <w:t>30.06.05</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5"/>
                <w:szCs w:val="15"/>
                <w:b w:val="1"/>
                <w:bCs w:val="1"/>
                <w:color w:val="auto"/>
              </w:rPr>
              <w:t>30.09.05</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5"/>
                <w:szCs w:val="15"/>
                <w:b w:val="1"/>
                <w:bCs w:val="1"/>
                <w:color w:val="auto"/>
              </w:rPr>
              <w:t>30.09.04</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5"/>
                <w:szCs w:val="15"/>
                <w:b w:val="1"/>
                <w:bCs w:val="1"/>
                <w:color w:val="auto"/>
              </w:rPr>
              <w:t>30.06.05</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5"/>
                <w:szCs w:val="15"/>
                <w:b w:val="1"/>
                <w:bCs w:val="1"/>
                <w:color w:val="auto"/>
              </w:rPr>
              <w:t>30.09.05</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60" w:type="dxa"/>
            <w:vAlign w:val="bottom"/>
            <w:gridSpan w:val="2"/>
          </w:tcPr>
          <w:p>
            <w:pPr>
              <w:spacing w:after="0" w:line="160" w:lineRule="exact"/>
              <w:rPr>
                <w:sz w:val="20"/>
                <w:szCs w:val="20"/>
                <w:color w:val="auto"/>
              </w:rPr>
            </w:pPr>
            <w:r>
              <w:rPr>
                <w:rFonts w:ascii="Arial" w:cs="Arial" w:eastAsia="Arial" w:hAnsi="Arial"/>
                <w:sz w:val="15"/>
                <w:szCs w:val="15"/>
                <w:color w:val="auto"/>
              </w:rPr>
              <w:t>Banco de Crédito del Perú</w:t>
            </w:r>
          </w:p>
        </w:tc>
        <w:tc>
          <w:tcPr>
            <w:tcW w:w="2520" w:type="dxa"/>
            <w:vAlign w:val="bottom"/>
            <w:gridSpan w:val="3"/>
          </w:tcPr>
          <w:p>
            <w:pPr>
              <w:jc w:val="right"/>
              <w:ind w:right="180"/>
              <w:spacing w:after="0" w:line="160" w:lineRule="exact"/>
              <w:rPr>
                <w:sz w:val="20"/>
                <w:szCs w:val="20"/>
                <w:color w:val="auto"/>
              </w:rPr>
            </w:pPr>
            <w:r>
              <w:rPr>
                <w:rFonts w:ascii="Arial" w:cs="Arial" w:eastAsia="Arial" w:hAnsi="Arial"/>
                <w:sz w:val="15"/>
                <w:szCs w:val="15"/>
                <w:color w:val="auto"/>
              </w:rPr>
              <w:t>88.1%</w:t>
            </w:r>
          </w:p>
        </w:tc>
        <w:tc>
          <w:tcPr>
            <w:tcW w:w="1200" w:type="dxa"/>
            <w:vAlign w:val="bottom"/>
            <w:gridSpan w:val="3"/>
          </w:tcPr>
          <w:p>
            <w:pPr>
              <w:jc w:val="right"/>
              <w:ind w:right="240"/>
              <w:spacing w:after="0" w:line="160" w:lineRule="exact"/>
              <w:rPr>
                <w:sz w:val="20"/>
                <w:szCs w:val="20"/>
                <w:color w:val="auto"/>
              </w:rPr>
            </w:pPr>
            <w:r>
              <w:rPr>
                <w:rFonts w:ascii="Arial" w:cs="Arial" w:eastAsia="Arial" w:hAnsi="Arial"/>
                <w:sz w:val="15"/>
                <w:szCs w:val="15"/>
                <w:color w:val="auto"/>
              </w:rPr>
              <w:t>88.9%</w:t>
            </w:r>
          </w:p>
        </w:tc>
        <w:tc>
          <w:tcPr>
            <w:tcW w:w="9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88.5%</w:t>
            </w:r>
          </w:p>
        </w:tc>
        <w:tc>
          <w:tcPr>
            <w:tcW w:w="220" w:type="dxa"/>
            <w:vAlign w:val="bottom"/>
          </w:tcPr>
          <w:p>
            <w:pPr>
              <w:spacing w:after="0"/>
              <w:rPr>
                <w:sz w:val="13"/>
                <w:szCs w:val="13"/>
                <w:color w:val="auto"/>
              </w:rPr>
            </w:pPr>
          </w:p>
        </w:tc>
        <w:tc>
          <w:tcPr>
            <w:tcW w:w="1040" w:type="dxa"/>
            <w:vAlign w:val="bottom"/>
            <w:gridSpan w:val="3"/>
          </w:tcPr>
          <w:p>
            <w:pPr>
              <w:jc w:val="right"/>
              <w:ind w:right="120"/>
              <w:spacing w:after="0" w:line="160" w:lineRule="exact"/>
              <w:rPr>
                <w:sz w:val="20"/>
                <w:szCs w:val="20"/>
                <w:color w:val="auto"/>
              </w:rPr>
            </w:pPr>
            <w:r>
              <w:rPr>
                <w:rFonts w:ascii="Arial" w:cs="Arial" w:eastAsia="Arial" w:hAnsi="Arial"/>
                <w:sz w:val="15"/>
                <w:szCs w:val="15"/>
                <w:color w:val="auto"/>
              </w:rPr>
              <w:t>91.8%</w:t>
            </w:r>
          </w:p>
        </w:tc>
        <w:tc>
          <w:tcPr>
            <w:tcW w:w="1220" w:type="dxa"/>
            <w:vAlign w:val="bottom"/>
            <w:gridSpan w:val="3"/>
          </w:tcPr>
          <w:p>
            <w:pPr>
              <w:jc w:val="right"/>
              <w:ind w:right="220"/>
              <w:spacing w:after="0" w:line="160" w:lineRule="exact"/>
              <w:rPr>
                <w:sz w:val="20"/>
                <w:szCs w:val="20"/>
                <w:color w:val="auto"/>
              </w:rPr>
            </w:pPr>
            <w:r>
              <w:rPr>
                <w:rFonts w:ascii="Arial" w:cs="Arial" w:eastAsia="Arial" w:hAnsi="Arial"/>
                <w:sz w:val="15"/>
                <w:szCs w:val="15"/>
                <w:color w:val="auto"/>
              </w:rPr>
              <w:t>91.8%</w:t>
            </w:r>
          </w:p>
        </w:tc>
        <w:tc>
          <w:tcPr>
            <w:tcW w:w="94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91.9%</w:t>
            </w: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line="162" w:lineRule="exact"/>
              <w:rPr>
                <w:sz w:val="20"/>
                <w:szCs w:val="20"/>
                <w:color w:val="auto"/>
              </w:rPr>
            </w:pPr>
            <w:r>
              <w:rPr>
                <w:rFonts w:ascii="Arial" w:cs="Arial" w:eastAsia="Arial" w:hAnsi="Arial"/>
                <w:sz w:val="15"/>
                <w:szCs w:val="15"/>
                <w:color w:val="auto"/>
              </w:rPr>
              <w:t>Banco de Crédito de Bolivia</w:t>
            </w:r>
          </w:p>
        </w:tc>
        <w:tc>
          <w:tcPr>
            <w:tcW w:w="252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7.0%</w:t>
            </w:r>
          </w:p>
        </w:tc>
        <w:tc>
          <w:tcPr>
            <w:tcW w:w="120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6.8%</w:t>
            </w:r>
          </w:p>
        </w:tc>
        <w:tc>
          <w:tcPr>
            <w:tcW w:w="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7.2%</w:t>
            </w:r>
          </w:p>
        </w:tc>
        <w:tc>
          <w:tcPr>
            <w:tcW w:w="220" w:type="dxa"/>
            <w:vAlign w:val="bottom"/>
          </w:tcPr>
          <w:p>
            <w:pPr>
              <w:spacing w:after="0"/>
              <w:rPr>
                <w:sz w:val="14"/>
                <w:szCs w:val="14"/>
                <w:color w:val="auto"/>
              </w:rPr>
            </w:pPr>
          </w:p>
        </w:tc>
        <w:tc>
          <w:tcPr>
            <w:tcW w:w="1040" w:type="dxa"/>
            <w:vAlign w:val="bottom"/>
            <w:gridSpan w:val="3"/>
          </w:tcPr>
          <w:p>
            <w:pPr>
              <w:jc w:val="right"/>
              <w:ind w:right="120"/>
              <w:spacing w:after="0" w:line="162" w:lineRule="exact"/>
              <w:rPr>
                <w:sz w:val="20"/>
                <w:szCs w:val="20"/>
                <w:color w:val="auto"/>
              </w:rPr>
            </w:pPr>
            <w:r>
              <w:rPr>
                <w:rFonts w:ascii="Arial" w:cs="Arial" w:eastAsia="Arial" w:hAnsi="Arial"/>
                <w:sz w:val="15"/>
                <w:szCs w:val="15"/>
                <w:color w:val="auto"/>
              </w:rPr>
              <w:t>5.7%</w:t>
            </w:r>
          </w:p>
        </w:tc>
        <w:tc>
          <w:tcPr>
            <w:tcW w:w="122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5.8%</w:t>
            </w:r>
          </w:p>
        </w:tc>
        <w:tc>
          <w:tcPr>
            <w:tcW w:w="9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Crédito Leasing</w:t>
            </w:r>
          </w:p>
        </w:tc>
        <w:tc>
          <w:tcPr>
            <w:tcW w:w="2520" w:type="dxa"/>
            <w:vAlign w:val="bottom"/>
            <w:gridSpan w:val="3"/>
          </w:tcPr>
          <w:p>
            <w:pPr>
              <w:jc w:val="right"/>
              <w:ind w:right="180"/>
              <w:spacing w:after="0"/>
              <w:rPr>
                <w:sz w:val="20"/>
                <w:szCs w:val="20"/>
                <w:color w:val="auto"/>
              </w:rPr>
            </w:pPr>
            <w:r>
              <w:rPr>
                <w:rFonts w:ascii="Arial" w:cs="Arial" w:eastAsia="Arial" w:hAnsi="Arial"/>
                <w:sz w:val="15"/>
                <w:szCs w:val="15"/>
                <w:color w:val="auto"/>
              </w:rPr>
              <w:t>4.9%</w:t>
            </w:r>
          </w:p>
        </w:tc>
        <w:tc>
          <w:tcPr>
            <w:tcW w:w="1200" w:type="dxa"/>
            <w:vAlign w:val="bottom"/>
            <w:gridSpan w:val="3"/>
          </w:tcPr>
          <w:p>
            <w:pPr>
              <w:jc w:val="right"/>
              <w:ind w:right="240"/>
              <w:spacing w:after="0"/>
              <w:rPr>
                <w:sz w:val="20"/>
                <w:szCs w:val="20"/>
                <w:color w:val="auto"/>
              </w:rPr>
            </w:pPr>
            <w:r>
              <w:rPr>
                <w:rFonts w:ascii="Arial" w:cs="Arial" w:eastAsia="Arial" w:hAnsi="Arial"/>
                <w:sz w:val="15"/>
                <w:szCs w:val="15"/>
                <w:color w:val="auto"/>
              </w:rPr>
              <w:t>4.3%</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22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5"/>
                <w:szCs w:val="15"/>
                <w:color w:val="auto"/>
              </w:rPr>
              <w:t>2.5%</w:t>
            </w:r>
          </w:p>
        </w:tc>
        <w:tc>
          <w:tcPr>
            <w:tcW w:w="1220" w:type="dxa"/>
            <w:vAlign w:val="bottom"/>
            <w:gridSpan w:val="3"/>
          </w:tcPr>
          <w:p>
            <w:pPr>
              <w:jc w:val="right"/>
              <w:ind w:right="220"/>
              <w:spacing w:after="0"/>
              <w:rPr>
                <w:sz w:val="20"/>
                <w:szCs w:val="20"/>
                <w:color w:val="auto"/>
              </w:rPr>
            </w:pPr>
            <w:r>
              <w:rPr>
                <w:rFonts w:ascii="Arial" w:cs="Arial" w:eastAsia="Arial" w:hAnsi="Arial"/>
                <w:sz w:val="15"/>
                <w:szCs w:val="15"/>
                <w:color w:val="auto"/>
              </w:rPr>
              <w:t>2.4%</w:t>
            </w:r>
          </w:p>
        </w:tc>
        <w:tc>
          <w:tcPr>
            <w:tcW w:w="940" w:type="dxa"/>
            <w:vAlign w:val="bottom"/>
            <w:gridSpan w:val="3"/>
          </w:tcPr>
          <w:p>
            <w:pPr>
              <w:jc w:val="right"/>
              <w:ind w:right="4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94"/>
        </w:trPr>
        <w:tc>
          <w:tcPr>
            <w:tcW w:w="3360" w:type="dxa"/>
            <w:vAlign w:val="bottom"/>
            <w:gridSpan w:val="2"/>
          </w:tcPr>
          <w:p>
            <w:pPr>
              <w:spacing w:after="0"/>
              <w:rPr>
                <w:sz w:val="20"/>
                <w:szCs w:val="20"/>
                <w:color w:val="auto"/>
              </w:rPr>
            </w:pPr>
            <w:r>
              <w:rPr>
                <w:rFonts w:ascii="Arial" w:cs="Arial" w:eastAsia="Arial" w:hAnsi="Arial"/>
                <w:sz w:val="15"/>
                <w:szCs w:val="15"/>
                <w:color w:val="auto"/>
              </w:rPr>
              <w:t>TOTAL%</w:t>
            </w:r>
          </w:p>
        </w:tc>
        <w:tc>
          <w:tcPr>
            <w:tcW w:w="2520" w:type="dxa"/>
            <w:vAlign w:val="bottom"/>
            <w:gridSpan w:val="3"/>
          </w:tcPr>
          <w:p>
            <w:pPr>
              <w:jc w:val="right"/>
              <w:ind w:right="180"/>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200" w:type="dxa"/>
            <w:vAlign w:val="bottom"/>
            <w:gridSpan w:val="3"/>
          </w:tcPr>
          <w:p>
            <w:pPr>
              <w:jc w:val="right"/>
              <w:ind w:right="240"/>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22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220" w:type="dxa"/>
            <w:vAlign w:val="bottom"/>
            <w:gridSpan w:val="3"/>
          </w:tcPr>
          <w:p>
            <w:pPr>
              <w:jc w:val="right"/>
              <w:ind w:right="220"/>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940" w:type="dxa"/>
            <w:vAlign w:val="bottom"/>
            <w:gridSpan w:val="3"/>
          </w:tcPr>
          <w:p>
            <w:pPr>
              <w:jc w:val="right"/>
              <w:ind w:right="40"/>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76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Total BCP</w:t>
            </w:r>
          </w:p>
        </w:tc>
        <w:tc>
          <w:tcPr>
            <w:tcW w:w="1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vMerge w:val="continue"/>
          </w:tcPr>
          <w:p>
            <w:pPr>
              <w:spacing w:after="0"/>
              <w:rPr>
                <w:sz w:val="13"/>
                <w:szCs w:val="13"/>
                <w:color w:val="auto"/>
              </w:rPr>
            </w:pPr>
          </w:p>
        </w:tc>
        <w:tc>
          <w:tcPr>
            <w:tcW w:w="234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5"/>
                <w:szCs w:val="15"/>
                <w:b w:val="1"/>
                <w:bCs w:val="1"/>
                <w:color w:val="auto"/>
              </w:rPr>
              <w:t>US$3,817</w:t>
            </w: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40"/>
              <w:spacing w:after="0" w:line="156" w:lineRule="exact"/>
              <w:rPr>
                <w:sz w:val="20"/>
                <w:szCs w:val="20"/>
                <w:color w:val="auto"/>
              </w:rPr>
            </w:pPr>
            <w:r>
              <w:rPr>
                <w:rFonts w:ascii="Arial" w:cs="Arial" w:eastAsia="Arial" w:hAnsi="Arial"/>
                <w:sz w:val="15"/>
                <w:szCs w:val="15"/>
                <w:b w:val="1"/>
                <w:bCs w:val="1"/>
                <w:color w:val="auto"/>
              </w:rPr>
              <w:t>US$4,376</w:t>
            </w:r>
          </w:p>
        </w:tc>
        <w:tc>
          <w:tcPr>
            <w:tcW w:w="1140" w:type="dxa"/>
            <w:vAlign w:val="bottom"/>
            <w:tcBorders>
              <w:bottom w:val="single" w:sz="8" w:color="auto"/>
            </w:tcBorders>
            <w:gridSpan w:val="3"/>
          </w:tcPr>
          <w:p>
            <w:pPr>
              <w:ind w:left="320"/>
              <w:spacing w:after="0" w:line="156" w:lineRule="exact"/>
              <w:rPr>
                <w:sz w:val="20"/>
                <w:szCs w:val="20"/>
                <w:color w:val="auto"/>
              </w:rPr>
            </w:pPr>
            <w:r>
              <w:rPr>
                <w:rFonts w:ascii="Arial" w:cs="Arial" w:eastAsia="Arial" w:hAnsi="Arial"/>
                <w:sz w:val="15"/>
                <w:szCs w:val="15"/>
                <w:b w:val="1"/>
                <w:bCs w:val="1"/>
                <w:color w:val="auto"/>
              </w:rPr>
              <w:t>US$4,278</w:t>
            </w:r>
          </w:p>
        </w:tc>
        <w:tc>
          <w:tcPr>
            <w:tcW w:w="1040" w:type="dxa"/>
            <w:vAlign w:val="bottom"/>
            <w:tcBorders>
              <w:bottom w:val="single" w:sz="8" w:color="auto"/>
            </w:tcBorders>
            <w:gridSpan w:val="3"/>
          </w:tcPr>
          <w:p>
            <w:pPr>
              <w:jc w:val="right"/>
              <w:ind w:right="120"/>
              <w:spacing w:after="0" w:line="156" w:lineRule="exact"/>
              <w:rPr>
                <w:sz w:val="20"/>
                <w:szCs w:val="20"/>
                <w:color w:val="auto"/>
              </w:rPr>
            </w:pPr>
            <w:r>
              <w:rPr>
                <w:rFonts w:ascii="Arial" w:cs="Arial" w:eastAsia="Arial" w:hAnsi="Arial"/>
                <w:sz w:val="15"/>
                <w:szCs w:val="15"/>
                <w:b w:val="1"/>
                <w:bCs w:val="1"/>
                <w:color w:val="auto"/>
              </w:rPr>
              <w:t>US$5,466</w:t>
            </w:r>
          </w:p>
        </w:tc>
        <w:tc>
          <w:tcPr>
            <w:tcW w:w="1220" w:type="dxa"/>
            <w:vAlign w:val="bottom"/>
            <w:tcBorders>
              <w:bottom w:val="single" w:sz="8" w:color="auto"/>
            </w:tcBorders>
            <w:gridSpan w:val="3"/>
          </w:tcPr>
          <w:p>
            <w:pPr>
              <w:jc w:val="right"/>
              <w:ind w:right="220"/>
              <w:spacing w:after="0" w:line="156" w:lineRule="exact"/>
              <w:rPr>
                <w:sz w:val="20"/>
                <w:szCs w:val="20"/>
                <w:color w:val="auto"/>
              </w:rPr>
            </w:pPr>
            <w:r>
              <w:rPr>
                <w:rFonts w:ascii="Arial" w:cs="Arial" w:eastAsia="Arial" w:hAnsi="Arial"/>
                <w:sz w:val="15"/>
                <w:szCs w:val="15"/>
                <w:b w:val="1"/>
                <w:bCs w:val="1"/>
                <w:color w:val="auto"/>
              </w:rPr>
              <w:t>US$6,089</w:t>
            </w:r>
          </w:p>
        </w:tc>
        <w:tc>
          <w:tcPr>
            <w:tcW w:w="940" w:type="dxa"/>
            <w:vAlign w:val="bottom"/>
            <w:tcBorders>
              <w:bottom w:val="single" w:sz="8" w:color="auto"/>
            </w:tcBorders>
            <w:gridSpan w:val="3"/>
          </w:tcPr>
          <w:p>
            <w:pPr>
              <w:jc w:val="right"/>
              <w:ind w:right="40"/>
              <w:spacing w:after="0" w:line="156" w:lineRule="exact"/>
              <w:rPr>
                <w:sz w:val="20"/>
                <w:szCs w:val="20"/>
                <w:color w:val="auto"/>
              </w:rPr>
            </w:pPr>
            <w:r>
              <w:rPr>
                <w:rFonts w:ascii="Arial" w:cs="Arial" w:eastAsia="Arial" w:hAnsi="Arial"/>
                <w:sz w:val="15"/>
                <w:szCs w:val="15"/>
                <w:b w:val="1"/>
                <w:bCs w:val="1"/>
                <w:color w:val="auto"/>
              </w:rPr>
              <w:t>US$6,169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Loan Portfolio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Loan portfolio composition by business segment developed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i w:val="1"/>
                <w:iCs w:val="1"/>
                <w:color w:val="auto"/>
              </w:rPr>
              <w:t>(In % of total and US$ Mn)</w:t>
            </w:r>
          </w:p>
        </w:tc>
        <w:tc>
          <w:tcPr>
            <w:tcW w:w="3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30.09.04</w:t>
            </w:r>
          </w:p>
        </w:tc>
        <w:tc>
          <w:tcPr>
            <w:tcW w:w="4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30.06.05</w:t>
            </w:r>
          </w:p>
        </w:tc>
        <w:tc>
          <w:tcPr>
            <w:tcW w:w="46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5"/>
                <w:szCs w:val="15"/>
                <w:b w:val="1"/>
                <w:bCs w:val="1"/>
                <w:color w:val="auto"/>
              </w:rPr>
              <w:t>30.09.05</w:t>
            </w:r>
          </w:p>
        </w:tc>
        <w:tc>
          <w:tcPr>
            <w:tcW w:w="40" w:type="dxa"/>
            <w:vAlign w:val="bottom"/>
            <w:tcBorders>
              <w:top w:val="single" w:sz="8" w:color="auto"/>
              <w:bottom w:val="single" w:sz="8" w:color="auto"/>
            </w:tcBorders>
          </w:tcPr>
          <w:p>
            <w:pPr>
              <w:spacing w:after="0"/>
              <w:rPr>
                <w:sz w:val="16"/>
                <w:szCs w:val="16"/>
                <w:color w:val="auto"/>
              </w:rPr>
            </w:pPr>
          </w:p>
        </w:tc>
      </w:tr>
      <w:tr>
        <w:trPr>
          <w:trHeight w:val="160"/>
        </w:trPr>
        <w:tc>
          <w:tcPr>
            <w:tcW w:w="4420" w:type="dxa"/>
            <w:vAlign w:val="bottom"/>
            <w:gridSpan w:val="2"/>
          </w:tcPr>
          <w:p>
            <w:pPr>
              <w:spacing w:after="0" w:line="160" w:lineRule="exact"/>
              <w:rPr>
                <w:sz w:val="20"/>
                <w:szCs w:val="20"/>
                <w:color w:val="auto"/>
              </w:rPr>
            </w:pPr>
            <w:r>
              <w:rPr>
                <w:rFonts w:ascii="Arial" w:cs="Arial" w:eastAsia="Arial" w:hAnsi="Arial"/>
                <w:sz w:val="15"/>
                <w:szCs w:val="15"/>
                <w:color w:val="auto"/>
              </w:rPr>
              <w:t>Corporate</w:t>
            </w:r>
          </w:p>
        </w:tc>
        <w:tc>
          <w:tcPr>
            <w:tcW w:w="3900" w:type="dxa"/>
            <w:vAlign w:val="bottom"/>
            <w:gridSpan w:val="3"/>
          </w:tcPr>
          <w:p>
            <w:pPr>
              <w:jc w:val="right"/>
              <w:ind w:right="360"/>
              <w:spacing w:after="0" w:line="160" w:lineRule="exact"/>
              <w:rPr>
                <w:sz w:val="20"/>
                <w:szCs w:val="20"/>
                <w:color w:val="auto"/>
              </w:rPr>
            </w:pPr>
            <w:r>
              <w:rPr>
                <w:rFonts w:ascii="Arial" w:cs="Arial" w:eastAsia="Arial" w:hAnsi="Arial"/>
                <w:sz w:val="15"/>
                <w:szCs w:val="15"/>
                <w:color w:val="auto"/>
              </w:rPr>
              <w:t>41.6%</w:t>
            </w:r>
          </w:p>
        </w:tc>
        <w:tc>
          <w:tcPr>
            <w:tcW w:w="1700" w:type="dxa"/>
            <w:vAlign w:val="bottom"/>
            <w:gridSpan w:val="3"/>
          </w:tcPr>
          <w:p>
            <w:pPr>
              <w:jc w:val="right"/>
              <w:ind w:right="340"/>
              <w:spacing w:after="0" w:line="160" w:lineRule="exact"/>
              <w:rPr>
                <w:sz w:val="20"/>
                <w:szCs w:val="20"/>
                <w:color w:val="auto"/>
              </w:rPr>
            </w:pPr>
            <w:r>
              <w:rPr>
                <w:rFonts w:ascii="Arial" w:cs="Arial" w:eastAsia="Arial" w:hAnsi="Arial"/>
                <w:sz w:val="15"/>
                <w:szCs w:val="15"/>
                <w:color w:val="auto"/>
              </w:rPr>
              <w:t>40.6%</w:t>
            </w:r>
          </w:p>
        </w:tc>
        <w:tc>
          <w:tcPr>
            <w:tcW w:w="140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39.0%</w:t>
            </w: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Middle market</w:t>
            </w:r>
          </w:p>
        </w:tc>
        <w:tc>
          <w:tcPr>
            <w:tcW w:w="3900" w:type="dxa"/>
            <w:vAlign w:val="bottom"/>
            <w:gridSpan w:val="3"/>
          </w:tcPr>
          <w:p>
            <w:pPr>
              <w:jc w:val="right"/>
              <w:ind w:right="360"/>
              <w:spacing w:after="0" w:line="162" w:lineRule="exact"/>
              <w:rPr>
                <w:sz w:val="20"/>
                <w:szCs w:val="20"/>
                <w:color w:val="auto"/>
              </w:rPr>
            </w:pPr>
            <w:r>
              <w:rPr>
                <w:rFonts w:ascii="Arial" w:cs="Arial" w:eastAsia="Arial" w:hAnsi="Arial"/>
                <w:sz w:val="15"/>
                <w:szCs w:val="15"/>
                <w:color w:val="auto"/>
              </w:rPr>
              <w:t>26.1%</w:t>
            </w:r>
          </w:p>
        </w:tc>
        <w:tc>
          <w:tcPr>
            <w:tcW w:w="170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26.0%</w:t>
            </w:r>
          </w:p>
        </w:tc>
        <w:tc>
          <w:tcPr>
            <w:tcW w:w="14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25.0%</w:t>
            </w: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Retail:</w:t>
            </w:r>
          </w:p>
        </w:tc>
        <w:tc>
          <w:tcPr>
            <w:tcW w:w="3900" w:type="dxa"/>
            <w:vAlign w:val="bottom"/>
            <w:gridSpan w:val="3"/>
          </w:tcPr>
          <w:p>
            <w:pPr>
              <w:jc w:val="right"/>
              <w:ind w:right="360"/>
              <w:spacing w:after="0" w:line="162" w:lineRule="exact"/>
              <w:rPr>
                <w:sz w:val="20"/>
                <w:szCs w:val="20"/>
                <w:color w:val="auto"/>
              </w:rPr>
            </w:pPr>
            <w:r>
              <w:rPr>
                <w:rFonts w:ascii="Arial" w:cs="Arial" w:eastAsia="Arial" w:hAnsi="Arial"/>
                <w:sz w:val="15"/>
                <w:szCs w:val="15"/>
                <w:color w:val="auto"/>
              </w:rPr>
              <w:t>32.3%</w:t>
            </w:r>
          </w:p>
        </w:tc>
        <w:tc>
          <w:tcPr>
            <w:tcW w:w="170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33.4%</w:t>
            </w:r>
          </w:p>
        </w:tc>
        <w:tc>
          <w:tcPr>
            <w:tcW w:w="14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36.0%</w:t>
            </w: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 small business</w:t>
            </w:r>
          </w:p>
        </w:tc>
        <w:tc>
          <w:tcPr>
            <w:tcW w:w="3900" w:type="dxa"/>
            <w:vAlign w:val="bottom"/>
            <w:gridSpan w:val="3"/>
          </w:tcPr>
          <w:p>
            <w:pPr>
              <w:jc w:val="right"/>
              <w:ind w:right="360"/>
              <w:spacing w:after="0" w:line="162" w:lineRule="exact"/>
              <w:rPr>
                <w:sz w:val="20"/>
                <w:szCs w:val="20"/>
                <w:color w:val="auto"/>
              </w:rPr>
            </w:pPr>
            <w:r>
              <w:rPr>
                <w:rFonts w:ascii="Arial" w:cs="Arial" w:eastAsia="Arial" w:hAnsi="Arial"/>
                <w:sz w:val="15"/>
                <w:szCs w:val="15"/>
                <w:color w:val="auto"/>
              </w:rPr>
              <w:t>9.0%</w:t>
            </w:r>
          </w:p>
        </w:tc>
        <w:tc>
          <w:tcPr>
            <w:tcW w:w="170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8.8%</w:t>
            </w:r>
          </w:p>
        </w:tc>
        <w:tc>
          <w:tcPr>
            <w:tcW w:w="14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9.9%</w:t>
            </w: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 home mortgage</w:t>
            </w:r>
          </w:p>
        </w:tc>
        <w:tc>
          <w:tcPr>
            <w:tcW w:w="3900" w:type="dxa"/>
            <w:vAlign w:val="bottom"/>
            <w:gridSpan w:val="3"/>
          </w:tcPr>
          <w:p>
            <w:pPr>
              <w:jc w:val="right"/>
              <w:ind w:right="360"/>
              <w:spacing w:after="0" w:line="162" w:lineRule="exact"/>
              <w:rPr>
                <w:sz w:val="20"/>
                <w:szCs w:val="20"/>
                <w:color w:val="auto"/>
              </w:rPr>
            </w:pPr>
            <w:r>
              <w:rPr>
                <w:rFonts w:ascii="Arial" w:cs="Arial" w:eastAsia="Arial" w:hAnsi="Arial"/>
                <w:sz w:val="15"/>
                <w:szCs w:val="15"/>
                <w:color w:val="auto"/>
              </w:rPr>
              <w:t>16.3%</w:t>
            </w:r>
          </w:p>
        </w:tc>
        <w:tc>
          <w:tcPr>
            <w:tcW w:w="170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17.3%</w:t>
            </w:r>
          </w:p>
        </w:tc>
        <w:tc>
          <w:tcPr>
            <w:tcW w:w="14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18.0%</w:t>
            </w: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 consumer</w:t>
            </w:r>
          </w:p>
        </w:tc>
        <w:tc>
          <w:tcPr>
            <w:tcW w:w="3900" w:type="dxa"/>
            <w:vAlign w:val="bottom"/>
            <w:gridSpan w:val="3"/>
          </w:tcPr>
          <w:p>
            <w:pPr>
              <w:jc w:val="right"/>
              <w:ind w:right="360"/>
              <w:spacing w:after="0" w:line="162" w:lineRule="exact"/>
              <w:rPr>
                <w:sz w:val="20"/>
                <w:szCs w:val="20"/>
                <w:color w:val="auto"/>
              </w:rPr>
            </w:pPr>
            <w:r>
              <w:rPr>
                <w:rFonts w:ascii="Arial" w:cs="Arial" w:eastAsia="Arial" w:hAnsi="Arial"/>
                <w:sz w:val="15"/>
                <w:szCs w:val="15"/>
                <w:color w:val="auto"/>
              </w:rPr>
              <w:t>3.3%</w:t>
            </w:r>
          </w:p>
        </w:tc>
        <w:tc>
          <w:tcPr>
            <w:tcW w:w="170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3.6%</w:t>
            </w:r>
          </w:p>
        </w:tc>
        <w:tc>
          <w:tcPr>
            <w:tcW w:w="14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4.0%</w:t>
            </w: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 credit cards</w:t>
            </w:r>
          </w:p>
        </w:tc>
        <w:tc>
          <w:tcPr>
            <w:tcW w:w="3900" w:type="dxa"/>
            <w:vAlign w:val="bottom"/>
            <w:gridSpan w:val="3"/>
          </w:tcPr>
          <w:p>
            <w:pPr>
              <w:jc w:val="right"/>
              <w:ind w:right="360"/>
              <w:spacing w:after="0" w:line="162" w:lineRule="exact"/>
              <w:rPr>
                <w:sz w:val="20"/>
                <w:szCs w:val="20"/>
                <w:color w:val="auto"/>
              </w:rPr>
            </w:pPr>
            <w:r>
              <w:rPr>
                <w:rFonts w:ascii="Arial" w:cs="Arial" w:eastAsia="Arial" w:hAnsi="Arial"/>
                <w:sz w:val="15"/>
                <w:szCs w:val="15"/>
                <w:color w:val="auto"/>
              </w:rPr>
              <w:t>3.7%</w:t>
            </w:r>
          </w:p>
        </w:tc>
        <w:tc>
          <w:tcPr>
            <w:tcW w:w="170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3.7%</w:t>
            </w:r>
          </w:p>
        </w:tc>
        <w:tc>
          <w:tcPr>
            <w:tcW w:w="140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4.1%</w:t>
            </w:r>
          </w:p>
        </w:tc>
      </w:tr>
      <w:tr>
        <w:trPr>
          <w:trHeight w:val="158"/>
        </w:trPr>
        <w:tc>
          <w:tcPr>
            <w:tcW w:w="4420" w:type="dxa"/>
            <w:vAlign w:val="bottom"/>
            <w:gridSpan w:val="2"/>
          </w:tcPr>
          <w:p>
            <w:pPr>
              <w:spacing w:after="0" w:line="158" w:lineRule="exact"/>
              <w:rPr>
                <w:sz w:val="20"/>
                <w:szCs w:val="20"/>
                <w:color w:val="auto"/>
              </w:rPr>
            </w:pPr>
            <w:r>
              <w:rPr>
                <w:rFonts w:ascii="Arial" w:cs="Arial" w:eastAsia="Arial" w:hAnsi="Arial"/>
                <w:sz w:val="15"/>
                <w:szCs w:val="15"/>
                <w:color w:val="auto"/>
              </w:rPr>
              <w:t>Total</w:t>
            </w:r>
          </w:p>
        </w:tc>
        <w:tc>
          <w:tcPr>
            <w:tcW w:w="3900" w:type="dxa"/>
            <w:vAlign w:val="bottom"/>
            <w:gridSpan w:val="3"/>
          </w:tcPr>
          <w:p>
            <w:pPr>
              <w:jc w:val="right"/>
              <w:ind w:right="36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700" w:type="dxa"/>
            <w:vAlign w:val="bottom"/>
            <w:gridSpan w:val="3"/>
          </w:tcPr>
          <w:p>
            <w:pPr>
              <w:jc w:val="right"/>
              <w:ind w:right="3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40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r>
      <w:tr>
        <w:trPr>
          <w:trHeight w:val="156"/>
        </w:trPr>
        <w:tc>
          <w:tcPr>
            <w:tcW w:w="320" w:type="dxa"/>
            <w:vAlign w:val="bottom"/>
            <w:tcBorders>
              <w:top w:val="single" w:sz="8" w:color="auto"/>
              <w:bottom w:val="single" w:sz="8" w:color="auto"/>
            </w:tcBorders>
          </w:tcPr>
          <w:p>
            <w:pPr>
              <w:spacing w:after="0"/>
              <w:rPr>
                <w:sz w:val="13"/>
                <w:szCs w:val="13"/>
                <w:color w:val="auto"/>
              </w:rPr>
            </w:pPr>
          </w:p>
        </w:tc>
        <w:tc>
          <w:tcPr>
            <w:tcW w:w="4100" w:type="dxa"/>
            <w:vAlign w:val="bottom"/>
            <w:tcBorders>
              <w:bottom w:val="single" w:sz="8" w:color="auto"/>
            </w:tcBorders>
          </w:tcPr>
          <w:p>
            <w:pPr>
              <w:ind w:left="840"/>
              <w:spacing w:after="0" w:line="156" w:lineRule="exact"/>
              <w:rPr>
                <w:sz w:val="20"/>
                <w:szCs w:val="20"/>
                <w:color w:val="auto"/>
              </w:rPr>
            </w:pPr>
            <w:r>
              <w:rPr>
                <w:rFonts w:ascii="Arial" w:cs="Arial" w:eastAsia="Arial" w:hAnsi="Arial"/>
                <w:sz w:val="15"/>
                <w:szCs w:val="15"/>
                <w:b w:val="1"/>
                <w:bCs w:val="1"/>
                <w:color w:val="auto"/>
              </w:rPr>
              <w:t>Total Loans</w:t>
            </w:r>
          </w:p>
        </w:tc>
        <w:tc>
          <w:tcPr>
            <w:tcW w:w="3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US$4,090</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US$4,601</w:t>
            </w: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US$4,479</w:t>
            </w:r>
          </w:p>
        </w:tc>
        <w:tc>
          <w:tcPr>
            <w:tcW w:w="460" w:type="dxa"/>
            <w:vAlign w:val="bottom"/>
            <w:tcBorders>
              <w:top w:val="single" w:sz="8" w:color="auto"/>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51"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During the current quarter, loan balances decreased 2.7%, where middle market loans declined by 6.4% to US$1,119 million, and corporate loans decreased by 6.7% to US$1,745 million, while retail loans increased by 5.2% to US$1,615 million. Retail loans by product performed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0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30.09.05 vs</w:t>
            </w:r>
          </w:p>
        </w:tc>
        <w:tc>
          <w:tcPr>
            <w:tcW w:w="116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30.09.05 vs</w:t>
            </w:r>
          </w:p>
        </w:tc>
      </w:tr>
      <w:tr>
        <w:trPr>
          <w:trHeight w:val="175"/>
        </w:trPr>
        <w:tc>
          <w:tcPr>
            <w:tcW w:w="33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 change and US$ Mn)</w:t>
            </w:r>
          </w:p>
        </w:tc>
        <w:tc>
          <w:tcPr>
            <w:tcW w:w="290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30.09.04</w:t>
            </w:r>
          </w:p>
        </w:tc>
        <w:tc>
          <w:tcPr>
            <w:tcW w:w="13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30.06.05</w:t>
            </w:r>
          </w:p>
        </w:tc>
        <w:tc>
          <w:tcPr>
            <w:tcW w:w="134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30.09.05</w:t>
            </w:r>
          </w:p>
        </w:tc>
        <w:tc>
          <w:tcPr>
            <w:tcW w:w="134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30.06.05</w:t>
            </w:r>
          </w:p>
        </w:tc>
        <w:tc>
          <w:tcPr>
            <w:tcW w:w="116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30.09.04</w:t>
            </w:r>
          </w:p>
        </w:tc>
      </w:tr>
      <w:tr>
        <w:trPr>
          <w:trHeight w:val="160"/>
        </w:trPr>
        <w:tc>
          <w:tcPr>
            <w:tcW w:w="3300" w:type="dxa"/>
            <w:vAlign w:val="bottom"/>
          </w:tcPr>
          <w:p>
            <w:pPr>
              <w:spacing w:after="0" w:line="160" w:lineRule="exact"/>
              <w:rPr>
                <w:sz w:val="20"/>
                <w:szCs w:val="20"/>
                <w:color w:val="auto"/>
              </w:rPr>
            </w:pPr>
            <w:r>
              <w:rPr>
                <w:rFonts w:ascii="Arial" w:cs="Arial" w:eastAsia="Arial" w:hAnsi="Arial"/>
                <w:sz w:val="15"/>
                <w:szCs w:val="15"/>
                <w:color w:val="auto"/>
              </w:rPr>
              <w:t>Small business loans</w:t>
            </w:r>
          </w:p>
        </w:tc>
        <w:tc>
          <w:tcPr>
            <w:tcW w:w="2900" w:type="dxa"/>
            <w:vAlign w:val="bottom"/>
          </w:tcPr>
          <w:p>
            <w:pPr>
              <w:jc w:val="right"/>
              <w:ind w:right="206"/>
              <w:spacing w:after="0" w:line="160" w:lineRule="exact"/>
              <w:rPr>
                <w:sz w:val="20"/>
                <w:szCs w:val="20"/>
                <w:color w:val="auto"/>
              </w:rPr>
            </w:pPr>
            <w:r>
              <w:rPr>
                <w:rFonts w:ascii="Arial" w:cs="Arial" w:eastAsia="Arial" w:hAnsi="Arial"/>
                <w:sz w:val="15"/>
                <w:szCs w:val="15"/>
                <w:color w:val="auto"/>
              </w:rPr>
              <w:t>366</w:t>
            </w:r>
          </w:p>
        </w:tc>
        <w:tc>
          <w:tcPr>
            <w:tcW w:w="1380" w:type="dxa"/>
            <w:vAlign w:val="bottom"/>
          </w:tcPr>
          <w:p>
            <w:pPr>
              <w:jc w:val="right"/>
              <w:ind w:right="206"/>
              <w:spacing w:after="0" w:line="160" w:lineRule="exact"/>
              <w:rPr>
                <w:sz w:val="20"/>
                <w:szCs w:val="20"/>
                <w:color w:val="auto"/>
              </w:rPr>
            </w:pPr>
            <w:r>
              <w:rPr>
                <w:rFonts w:ascii="Arial" w:cs="Arial" w:eastAsia="Arial" w:hAnsi="Arial"/>
                <w:sz w:val="15"/>
                <w:szCs w:val="15"/>
                <w:color w:val="auto"/>
              </w:rPr>
              <w:t>403</w:t>
            </w:r>
          </w:p>
        </w:tc>
        <w:tc>
          <w:tcPr>
            <w:tcW w:w="1340" w:type="dxa"/>
            <w:vAlign w:val="bottom"/>
          </w:tcPr>
          <w:p>
            <w:pPr>
              <w:jc w:val="right"/>
              <w:ind w:right="166"/>
              <w:spacing w:after="0" w:line="160" w:lineRule="exact"/>
              <w:rPr>
                <w:sz w:val="20"/>
                <w:szCs w:val="20"/>
                <w:color w:val="auto"/>
              </w:rPr>
            </w:pPr>
            <w:r>
              <w:rPr>
                <w:rFonts w:ascii="Arial" w:cs="Arial" w:eastAsia="Arial" w:hAnsi="Arial"/>
                <w:sz w:val="15"/>
                <w:szCs w:val="15"/>
                <w:color w:val="auto"/>
              </w:rPr>
              <w:t>442</w:t>
            </w:r>
          </w:p>
        </w:tc>
        <w:tc>
          <w:tcPr>
            <w:tcW w:w="1340" w:type="dxa"/>
            <w:vAlign w:val="bottom"/>
          </w:tcPr>
          <w:p>
            <w:pPr>
              <w:jc w:val="right"/>
              <w:ind w:right="146"/>
              <w:spacing w:after="0" w:line="160" w:lineRule="exact"/>
              <w:rPr>
                <w:sz w:val="20"/>
                <w:szCs w:val="20"/>
                <w:color w:val="auto"/>
              </w:rPr>
            </w:pPr>
            <w:r>
              <w:rPr>
                <w:rFonts w:ascii="Arial" w:cs="Arial" w:eastAsia="Arial" w:hAnsi="Arial"/>
                <w:sz w:val="15"/>
                <w:szCs w:val="15"/>
                <w:color w:val="auto"/>
              </w:rPr>
              <w:t>9.50%</w:t>
            </w:r>
          </w:p>
        </w:tc>
        <w:tc>
          <w:tcPr>
            <w:tcW w:w="1160" w:type="dxa"/>
            <w:vAlign w:val="bottom"/>
          </w:tcPr>
          <w:p>
            <w:pPr>
              <w:jc w:val="right"/>
              <w:spacing w:after="0" w:line="160" w:lineRule="exact"/>
              <w:rPr>
                <w:sz w:val="20"/>
                <w:szCs w:val="20"/>
                <w:color w:val="auto"/>
              </w:rPr>
            </w:pPr>
            <w:r>
              <w:rPr>
                <w:rFonts w:ascii="Arial" w:cs="Arial" w:eastAsia="Arial" w:hAnsi="Arial"/>
                <w:sz w:val="15"/>
                <w:szCs w:val="15"/>
                <w:color w:val="auto"/>
              </w:rPr>
              <w:t>20.61%</w:t>
            </w: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Mortgage loans</w:t>
            </w:r>
          </w:p>
        </w:tc>
        <w:tc>
          <w:tcPr>
            <w:tcW w:w="290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668</w:t>
            </w: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797</w:t>
            </w:r>
          </w:p>
        </w:tc>
        <w:tc>
          <w:tcPr>
            <w:tcW w:w="13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806</w:t>
            </w:r>
          </w:p>
        </w:tc>
        <w:tc>
          <w:tcPr>
            <w:tcW w:w="134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1.09%</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20.62%</w:t>
            </w: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Consumer loans</w:t>
            </w:r>
          </w:p>
        </w:tc>
        <w:tc>
          <w:tcPr>
            <w:tcW w:w="290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137</w:t>
            </w: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166</w:t>
            </w:r>
          </w:p>
        </w:tc>
        <w:tc>
          <w:tcPr>
            <w:tcW w:w="13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179</w:t>
            </w:r>
          </w:p>
        </w:tc>
        <w:tc>
          <w:tcPr>
            <w:tcW w:w="134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7.91%</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30.60%</w:t>
            </w:r>
          </w:p>
        </w:tc>
      </w:tr>
      <w:tr>
        <w:trPr>
          <w:trHeight w:val="158"/>
        </w:trPr>
        <w:tc>
          <w:tcPr>
            <w:tcW w:w="3300" w:type="dxa"/>
            <w:vAlign w:val="bottom"/>
          </w:tcPr>
          <w:p>
            <w:pPr>
              <w:spacing w:after="0" w:line="158" w:lineRule="exact"/>
              <w:rPr>
                <w:sz w:val="20"/>
                <w:szCs w:val="20"/>
                <w:color w:val="auto"/>
              </w:rPr>
            </w:pPr>
            <w:r>
              <w:rPr>
                <w:rFonts w:ascii="Arial" w:cs="Arial" w:eastAsia="Arial" w:hAnsi="Arial"/>
                <w:sz w:val="15"/>
                <w:szCs w:val="15"/>
                <w:color w:val="auto"/>
              </w:rPr>
              <w:t>Credit card loans</w:t>
            </w:r>
          </w:p>
        </w:tc>
        <w:tc>
          <w:tcPr>
            <w:tcW w:w="290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150</w:t>
            </w:r>
          </w:p>
        </w:tc>
        <w:tc>
          <w:tcPr>
            <w:tcW w:w="138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169</w:t>
            </w:r>
          </w:p>
        </w:tc>
        <w:tc>
          <w:tcPr>
            <w:tcW w:w="1340" w:type="dxa"/>
            <w:vAlign w:val="bottom"/>
          </w:tcPr>
          <w:p>
            <w:pPr>
              <w:jc w:val="right"/>
              <w:ind w:right="166"/>
              <w:spacing w:after="0" w:line="158" w:lineRule="exact"/>
              <w:rPr>
                <w:sz w:val="20"/>
                <w:szCs w:val="20"/>
                <w:color w:val="auto"/>
              </w:rPr>
            </w:pPr>
            <w:r>
              <w:rPr>
                <w:rFonts w:ascii="Arial" w:cs="Arial" w:eastAsia="Arial" w:hAnsi="Arial"/>
                <w:sz w:val="15"/>
                <w:szCs w:val="15"/>
                <w:color w:val="auto"/>
              </w:rPr>
              <w:t>189</w:t>
            </w:r>
          </w:p>
        </w:tc>
        <w:tc>
          <w:tcPr>
            <w:tcW w:w="1340" w:type="dxa"/>
            <w:vAlign w:val="bottom"/>
          </w:tcPr>
          <w:p>
            <w:pPr>
              <w:jc w:val="right"/>
              <w:ind w:right="146"/>
              <w:spacing w:after="0" w:line="158" w:lineRule="exact"/>
              <w:rPr>
                <w:sz w:val="20"/>
                <w:szCs w:val="20"/>
                <w:color w:val="auto"/>
              </w:rPr>
            </w:pPr>
            <w:r>
              <w:rPr>
                <w:rFonts w:ascii="Arial" w:cs="Arial" w:eastAsia="Arial" w:hAnsi="Arial"/>
                <w:sz w:val="15"/>
                <w:szCs w:val="15"/>
                <w:color w:val="auto"/>
              </w:rPr>
              <w:t>11.83%</w:t>
            </w:r>
          </w:p>
        </w:tc>
        <w:tc>
          <w:tcPr>
            <w:tcW w:w="1160" w:type="dxa"/>
            <w:vAlign w:val="bottom"/>
          </w:tcPr>
          <w:p>
            <w:pPr>
              <w:jc w:val="right"/>
              <w:spacing w:after="0" w:line="158" w:lineRule="exact"/>
              <w:rPr>
                <w:sz w:val="20"/>
                <w:szCs w:val="20"/>
                <w:color w:val="auto"/>
              </w:rPr>
            </w:pPr>
            <w:r>
              <w:rPr>
                <w:rFonts w:ascii="Arial" w:cs="Arial" w:eastAsia="Arial" w:hAnsi="Arial"/>
                <w:sz w:val="15"/>
                <w:szCs w:val="15"/>
                <w:color w:val="auto"/>
              </w:rPr>
              <w:t>26.05%</w:t>
            </w:r>
          </w:p>
        </w:tc>
      </w:tr>
      <w:tr>
        <w:trPr>
          <w:trHeight w:val="175"/>
        </w:trPr>
        <w:tc>
          <w:tcPr>
            <w:tcW w:w="3300" w:type="dxa"/>
            <w:vAlign w:val="bottom"/>
            <w:tcBorders>
              <w:bottom w:val="single" w:sz="8" w:color="auto"/>
            </w:tcBorders>
          </w:tcPr>
          <w:p>
            <w:pPr>
              <w:ind w:left="720"/>
              <w:spacing w:after="0"/>
              <w:rPr>
                <w:sz w:val="20"/>
                <w:szCs w:val="20"/>
                <w:color w:val="auto"/>
              </w:rPr>
            </w:pPr>
            <w:r>
              <w:rPr>
                <w:rFonts w:ascii="Arial" w:cs="Arial" w:eastAsia="Arial" w:hAnsi="Arial"/>
                <w:sz w:val="15"/>
                <w:szCs w:val="15"/>
                <w:b w:val="1"/>
                <w:bCs w:val="1"/>
                <w:color w:val="auto"/>
              </w:rPr>
              <w:t>Total Retail</w:t>
            </w:r>
          </w:p>
        </w:tc>
        <w:tc>
          <w:tcPr>
            <w:tcW w:w="29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1,321</w:t>
            </w:r>
          </w:p>
        </w:tc>
        <w:tc>
          <w:tcPr>
            <w:tcW w:w="1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1,535</w:t>
            </w:r>
          </w:p>
        </w:tc>
        <w:tc>
          <w:tcPr>
            <w:tcW w:w="13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1,615</w:t>
            </w:r>
          </w:p>
        </w:tc>
        <w:tc>
          <w:tcPr>
            <w:tcW w:w="13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5.22%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22.27%</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i w:val="1"/>
          <w:iCs w:val="1"/>
          <w:color w:val="auto"/>
        </w:rPr>
        <w:t>Contingent Credits and Managed Funds</w:t>
      </w:r>
    </w:p>
    <w:p>
      <w:pPr>
        <w:spacing w:after="0" w:line="201"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 xml:space="preserve">At September 30, 2005 </w:t>
      </w:r>
      <w:r>
        <w:rPr>
          <w:rFonts w:ascii="Arial" w:cs="Arial" w:eastAsia="Arial" w:hAnsi="Arial"/>
          <w:sz w:val="22"/>
          <w:szCs w:val="22"/>
          <w:b w:val="1"/>
          <w:bCs w:val="1"/>
          <w:color w:val="auto"/>
        </w:rPr>
        <w:t>contingent credits</w:t>
      </w:r>
      <w:r>
        <w:rPr>
          <w:rFonts w:ascii="Arial" w:cs="Arial" w:eastAsia="Arial" w:hAnsi="Arial"/>
          <w:sz w:val="22"/>
          <w:szCs w:val="22"/>
          <w:color w:val="auto"/>
        </w:rPr>
        <w:t xml:space="preserve"> were US$2,868 million, 20.7% above the June 2005 figure, mainly due to increased foreign currency forwards operations, as shown in the next chart: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30.09.05 vs</w:t>
            </w:r>
          </w:p>
        </w:tc>
        <w:tc>
          <w:tcPr>
            <w:tcW w:w="116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30.09.05 vs</w:t>
            </w:r>
          </w:p>
        </w:tc>
      </w:tr>
      <w:tr>
        <w:trPr>
          <w:trHeight w:val="175"/>
        </w:trPr>
        <w:tc>
          <w:tcPr>
            <w:tcW w:w="35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 change and US$ Mn)</w:t>
            </w:r>
          </w:p>
        </w:tc>
        <w:tc>
          <w:tcPr>
            <w:tcW w:w="270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30.09.04</w:t>
            </w:r>
          </w:p>
        </w:tc>
        <w:tc>
          <w:tcPr>
            <w:tcW w:w="138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30.06.05</w:t>
            </w:r>
          </w:p>
        </w:tc>
        <w:tc>
          <w:tcPr>
            <w:tcW w:w="134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30.09.05</w:t>
            </w:r>
          </w:p>
        </w:tc>
        <w:tc>
          <w:tcPr>
            <w:tcW w:w="134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30.06.05</w:t>
            </w:r>
          </w:p>
        </w:tc>
        <w:tc>
          <w:tcPr>
            <w:tcW w:w="116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30.09.04</w:t>
            </w:r>
          </w:p>
        </w:tc>
      </w:tr>
      <w:tr>
        <w:trPr>
          <w:trHeight w:val="160"/>
        </w:trPr>
        <w:tc>
          <w:tcPr>
            <w:tcW w:w="3500" w:type="dxa"/>
            <w:vAlign w:val="bottom"/>
          </w:tcPr>
          <w:p>
            <w:pPr>
              <w:spacing w:after="0" w:line="160" w:lineRule="exact"/>
              <w:rPr>
                <w:sz w:val="20"/>
                <w:szCs w:val="20"/>
                <w:color w:val="auto"/>
              </w:rPr>
            </w:pPr>
            <w:r>
              <w:rPr>
                <w:rFonts w:ascii="Arial" w:cs="Arial" w:eastAsia="Arial" w:hAnsi="Arial"/>
                <w:sz w:val="15"/>
                <w:szCs w:val="15"/>
                <w:color w:val="auto"/>
              </w:rPr>
              <w:t>- Guarantees and Stand-by LCs</w:t>
            </w:r>
          </w:p>
        </w:tc>
        <w:tc>
          <w:tcPr>
            <w:tcW w:w="2700" w:type="dxa"/>
            <w:vAlign w:val="bottom"/>
          </w:tcPr>
          <w:p>
            <w:pPr>
              <w:jc w:val="right"/>
              <w:ind w:right="206"/>
              <w:spacing w:after="0" w:line="160" w:lineRule="exact"/>
              <w:rPr>
                <w:sz w:val="20"/>
                <w:szCs w:val="20"/>
                <w:color w:val="auto"/>
              </w:rPr>
            </w:pPr>
            <w:r>
              <w:rPr>
                <w:rFonts w:ascii="Arial" w:cs="Arial" w:eastAsia="Arial" w:hAnsi="Arial"/>
                <w:sz w:val="15"/>
                <w:szCs w:val="15"/>
                <w:color w:val="auto"/>
              </w:rPr>
              <w:t>579</w:t>
            </w:r>
          </w:p>
        </w:tc>
        <w:tc>
          <w:tcPr>
            <w:tcW w:w="1380" w:type="dxa"/>
            <w:vAlign w:val="bottom"/>
          </w:tcPr>
          <w:p>
            <w:pPr>
              <w:jc w:val="right"/>
              <w:ind w:right="206"/>
              <w:spacing w:after="0" w:line="160" w:lineRule="exact"/>
              <w:rPr>
                <w:sz w:val="20"/>
                <w:szCs w:val="20"/>
                <w:color w:val="auto"/>
              </w:rPr>
            </w:pPr>
            <w:r>
              <w:rPr>
                <w:rFonts w:ascii="Arial" w:cs="Arial" w:eastAsia="Arial" w:hAnsi="Arial"/>
                <w:sz w:val="15"/>
                <w:szCs w:val="15"/>
                <w:color w:val="auto"/>
              </w:rPr>
              <w:t>644</w:t>
            </w:r>
          </w:p>
        </w:tc>
        <w:tc>
          <w:tcPr>
            <w:tcW w:w="1340" w:type="dxa"/>
            <w:vAlign w:val="bottom"/>
          </w:tcPr>
          <w:p>
            <w:pPr>
              <w:jc w:val="right"/>
              <w:ind w:right="166"/>
              <w:spacing w:after="0" w:line="160" w:lineRule="exact"/>
              <w:rPr>
                <w:sz w:val="20"/>
                <w:szCs w:val="20"/>
                <w:color w:val="auto"/>
              </w:rPr>
            </w:pPr>
            <w:r>
              <w:rPr>
                <w:rFonts w:ascii="Arial" w:cs="Arial" w:eastAsia="Arial" w:hAnsi="Arial"/>
                <w:sz w:val="15"/>
                <w:szCs w:val="15"/>
                <w:color w:val="auto"/>
              </w:rPr>
              <w:t>640</w:t>
            </w:r>
          </w:p>
        </w:tc>
        <w:tc>
          <w:tcPr>
            <w:tcW w:w="1340" w:type="dxa"/>
            <w:vAlign w:val="bottom"/>
          </w:tcPr>
          <w:p>
            <w:pPr>
              <w:jc w:val="right"/>
              <w:ind w:right="146"/>
              <w:spacing w:after="0" w:line="160" w:lineRule="exact"/>
              <w:rPr>
                <w:sz w:val="20"/>
                <w:szCs w:val="20"/>
                <w:color w:val="auto"/>
              </w:rPr>
            </w:pPr>
            <w:r>
              <w:rPr>
                <w:rFonts w:ascii="Arial" w:cs="Arial" w:eastAsia="Arial" w:hAnsi="Arial"/>
                <w:sz w:val="15"/>
                <w:szCs w:val="15"/>
                <w:color w:val="auto"/>
              </w:rPr>
              <w:t>-0.5%</w:t>
            </w:r>
          </w:p>
        </w:tc>
        <w:tc>
          <w:tcPr>
            <w:tcW w:w="1160" w:type="dxa"/>
            <w:vAlign w:val="bottom"/>
          </w:tcPr>
          <w:p>
            <w:pPr>
              <w:jc w:val="right"/>
              <w:spacing w:after="0" w:line="160" w:lineRule="exact"/>
              <w:rPr>
                <w:sz w:val="20"/>
                <w:szCs w:val="20"/>
                <w:color w:val="auto"/>
              </w:rPr>
            </w:pPr>
            <w:r>
              <w:rPr>
                <w:rFonts w:ascii="Arial" w:cs="Arial" w:eastAsia="Arial" w:hAnsi="Arial"/>
                <w:sz w:val="15"/>
                <w:szCs w:val="15"/>
                <w:color w:val="auto"/>
              </w:rPr>
              <w:t>10.7%</w:t>
            </w:r>
          </w:p>
        </w:tc>
      </w:tr>
      <w:tr>
        <w:trPr>
          <w:trHeight w:val="162"/>
        </w:trPr>
        <w:tc>
          <w:tcPr>
            <w:tcW w:w="3500" w:type="dxa"/>
            <w:vAlign w:val="bottom"/>
          </w:tcPr>
          <w:p>
            <w:pPr>
              <w:spacing w:after="0" w:line="162" w:lineRule="exact"/>
              <w:rPr>
                <w:sz w:val="20"/>
                <w:szCs w:val="20"/>
                <w:color w:val="auto"/>
              </w:rPr>
            </w:pPr>
            <w:r>
              <w:rPr>
                <w:rFonts w:ascii="Arial" w:cs="Arial" w:eastAsia="Arial" w:hAnsi="Arial"/>
                <w:sz w:val="15"/>
                <w:szCs w:val="15"/>
                <w:color w:val="auto"/>
              </w:rPr>
              <w:t>- Letters of Credit</w:t>
            </w:r>
          </w:p>
        </w:tc>
        <w:tc>
          <w:tcPr>
            <w:tcW w:w="270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164</w:t>
            </w: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249</w:t>
            </w:r>
          </w:p>
        </w:tc>
        <w:tc>
          <w:tcPr>
            <w:tcW w:w="13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173</w:t>
            </w:r>
          </w:p>
        </w:tc>
        <w:tc>
          <w:tcPr>
            <w:tcW w:w="134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-30.5%</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5.7%</w:t>
            </w:r>
          </w:p>
        </w:tc>
      </w:tr>
      <w:tr>
        <w:trPr>
          <w:trHeight w:val="162"/>
        </w:trPr>
        <w:tc>
          <w:tcPr>
            <w:tcW w:w="3500" w:type="dxa"/>
            <w:vAlign w:val="bottom"/>
          </w:tcPr>
          <w:p>
            <w:pPr>
              <w:spacing w:after="0" w:line="162" w:lineRule="exact"/>
              <w:rPr>
                <w:sz w:val="20"/>
                <w:szCs w:val="20"/>
                <w:color w:val="auto"/>
              </w:rPr>
            </w:pPr>
            <w:r>
              <w:rPr>
                <w:rFonts w:ascii="Arial" w:cs="Arial" w:eastAsia="Arial" w:hAnsi="Arial"/>
                <w:sz w:val="15"/>
                <w:szCs w:val="15"/>
                <w:color w:val="auto"/>
              </w:rPr>
              <w:t>- Acceptances</w:t>
            </w:r>
          </w:p>
        </w:tc>
        <w:tc>
          <w:tcPr>
            <w:tcW w:w="270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49</w:t>
            </w: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38</w:t>
            </w:r>
          </w:p>
        </w:tc>
        <w:tc>
          <w:tcPr>
            <w:tcW w:w="13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51</w:t>
            </w:r>
          </w:p>
        </w:tc>
        <w:tc>
          <w:tcPr>
            <w:tcW w:w="134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32.9%</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3.6%</w:t>
            </w:r>
          </w:p>
        </w:tc>
      </w:tr>
      <w:tr>
        <w:trPr>
          <w:trHeight w:val="162"/>
        </w:trPr>
        <w:tc>
          <w:tcPr>
            <w:tcW w:w="3500" w:type="dxa"/>
            <w:vAlign w:val="bottom"/>
          </w:tcPr>
          <w:p>
            <w:pPr>
              <w:spacing w:after="0" w:line="162" w:lineRule="exact"/>
              <w:rPr>
                <w:sz w:val="20"/>
                <w:szCs w:val="20"/>
                <w:color w:val="auto"/>
              </w:rPr>
            </w:pPr>
            <w:r>
              <w:rPr>
                <w:rFonts w:ascii="Arial" w:cs="Arial" w:eastAsia="Arial" w:hAnsi="Arial"/>
                <w:sz w:val="15"/>
                <w:szCs w:val="15"/>
                <w:color w:val="auto"/>
              </w:rPr>
              <w:t>- Foreign currency forwards</w:t>
            </w:r>
          </w:p>
        </w:tc>
        <w:tc>
          <w:tcPr>
            <w:tcW w:w="270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344</w:t>
            </w:r>
          </w:p>
        </w:tc>
        <w:tc>
          <w:tcPr>
            <w:tcW w:w="138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597</w:t>
            </w:r>
          </w:p>
        </w:tc>
        <w:tc>
          <w:tcPr>
            <w:tcW w:w="134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1,130</w:t>
            </w:r>
          </w:p>
        </w:tc>
        <w:tc>
          <w:tcPr>
            <w:tcW w:w="1340" w:type="dxa"/>
            <w:vAlign w:val="bottom"/>
          </w:tcPr>
          <w:p>
            <w:pPr>
              <w:jc w:val="right"/>
              <w:ind w:right="146"/>
              <w:spacing w:after="0" w:line="162" w:lineRule="exact"/>
              <w:rPr>
                <w:sz w:val="20"/>
                <w:szCs w:val="20"/>
                <w:color w:val="auto"/>
              </w:rPr>
            </w:pPr>
            <w:r>
              <w:rPr>
                <w:rFonts w:ascii="Arial" w:cs="Arial" w:eastAsia="Arial" w:hAnsi="Arial"/>
                <w:sz w:val="15"/>
                <w:szCs w:val="15"/>
                <w:color w:val="auto"/>
              </w:rPr>
              <w:t>89.3%</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228.9%</w:t>
            </w:r>
          </w:p>
        </w:tc>
      </w:tr>
      <w:tr>
        <w:trPr>
          <w:trHeight w:val="158"/>
        </w:trPr>
        <w:tc>
          <w:tcPr>
            <w:tcW w:w="3500" w:type="dxa"/>
            <w:vAlign w:val="bottom"/>
          </w:tcPr>
          <w:p>
            <w:pPr>
              <w:spacing w:after="0" w:line="158" w:lineRule="exact"/>
              <w:rPr>
                <w:sz w:val="20"/>
                <w:szCs w:val="20"/>
                <w:color w:val="auto"/>
              </w:rPr>
            </w:pPr>
            <w:r>
              <w:rPr>
                <w:rFonts w:ascii="Arial" w:cs="Arial" w:eastAsia="Arial" w:hAnsi="Arial"/>
                <w:sz w:val="15"/>
                <w:szCs w:val="15"/>
                <w:color w:val="auto"/>
              </w:rPr>
              <w:t>- Other contingent accounts</w:t>
            </w:r>
          </w:p>
        </w:tc>
        <w:tc>
          <w:tcPr>
            <w:tcW w:w="270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516</w:t>
            </w:r>
          </w:p>
        </w:tc>
        <w:tc>
          <w:tcPr>
            <w:tcW w:w="1380" w:type="dxa"/>
            <w:vAlign w:val="bottom"/>
          </w:tcPr>
          <w:p>
            <w:pPr>
              <w:jc w:val="right"/>
              <w:ind w:right="206"/>
              <w:spacing w:after="0" w:line="158" w:lineRule="exact"/>
              <w:rPr>
                <w:sz w:val="20"/>
                <w:szCs w:val="20"/>
                <w:color w:val="auto"/>
              </w:rPr>
            </w:pPr>
            <w:r>
              <w:rPr>
                <w:rFonts w:ascii="Arial" w:cs="Arial" w:eastAsia="Arial" w:hAnsi="Arial"/>
                <w:sz w:val="15"/>
                <w:szCs w:val="15"/>
                <w:color w:val="auto"/>
              </w:rPr>
              <w:t>849</w:t>
            </w:r>
          </w:p>
        </w:tc>
        <w:tc>
          <w:tcPr>
            <w:tcW w:w="1340" w:type="dxa"/>
            <w:vAlign w:val="bottom"/>
          </w:tcPr>
          <w:p>
            <w:pPr>
              <w:jc w:val="right"/>
              <w:ind w:right="166"/>
              <w:spacing w:after="0" w:line="158" w:lineRule="exact"/>
              <w:rPr>
                <w:sz w:val="20"/>
                <w:szCs w:val="20"/>
                <w:color w:val="auto"/>
              </w:rPr>
            </w:pPr>
            <w:r>
              <w:rPr>
                <w:rFonts w:ascii="Arial" w:cs="Arial" w:eastAsia="Arial" w:hAnsi="Arial"/>
                <w:sz w:val="15"/>
                <w:szCs w:val="15"/>
                <w:color w:val="auto"/>
              </w:rPr>
              <w:t>874</w:t>
            </w:r>
          </w:p>
        </w:tc>
        <w:tc>
          <w:tcPr>
            <w:tcW w:w="1340" w:type="dxa"/>
            <w:vAlign w:val="bottom"/>
          </w:tcPr>
          <w:p>
            <w:pPr>
              <w:jc w:val="right"/>
              <w:ind w:right="146"/>
              <w:spacing w:after="0" w:line="158" w:lineRule="exact"/>
              <w:rPr>
                <w:sz w:val="20"/>
                <w:szCs w:val="20"/>
                <w:color w:val="auto"/>
              </w:rPr>
            </w:pPr>
            <w:r>
              <w:rPr>
                <w:rFonts w:ascii="Arial" w:cs="Arial" w:eastAsia="Arial" w:hAnsi="Arial"/>
                <w:sz w:val="15"/>
                <w:szCs w:val="15"/>
                <w:color w:val="auto"/>
              </w:rPr>
              <w:t>3.0%</w:t>
            </w:r>
          </w:p>
        </w:tc>
        <w:tc>
          <w:tcPr>
            <w:tcW w:w="1160" w:type="dxa"/>
            <w:vAlign w:val="bottom"/>
          </w:tcPr>
          <w:p>
            <w:pPr>
              <w:jc w:val="right"/>
              <w:spacing w:after="0" w:line="158" w:lineRule="exact"/>
              <w:rPr>
                <w:sz w:val="20"/>
                <w:szCs w:val="20"/>
                <w:color w:val="auto"/>
              </w:rPr>
            </w:pPr>
            <w:r>
              <w:rPr>
                <w:rFonts w:ascii="Arial" w:cs="Arial" w:eastAsia="Arial" w:hAnsi="Arial"/>
                <w:sz w:val="15"/>
                <w:szCs w:val="15"/>
                <w:color w:val="auto"/>
              </w:rPr>
              <w:t>69.3%</w:t>
            </w:r>
          </w:p>
        </w:tc>
      </w:tr>
      <w:tr>
        <w:trPr>
          <w:trHeight w:val="175"/>
        </w:trPr>
        <w:tc>
          <w:tcPr>
            <w:tcW w:w="35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Contingent Credits</w:t>
            </w:r>
          </w:p>
        </w:tc>
        <w:tc>
          <w:tcPr>
            <w:tcW w:w="27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1,651</w:t>
            </w:r>
          </w:p>
        </w:tc>
        <w:tc>
          <w:tcPr>
            <w:tcW w:w="1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2,377</w:t>
            </w:r>
          </w:p>
        </w:tc>
        <w:tc>
          <w:tcPr>
            <w:tcW w:w="13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2,868</w:t>
            </w:r>
          </w:p>
        </w:tc>
        <w:tc>
          <w:tcPr>
            <w:tcW w:w="13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73.7%</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Third party funds </w:t>
      </w:r>
      <w:r>
        <w:rPr>
          <w:rFonts w:ascii="Arial" w:cs="Arial" w:eastAsia="Arial" w:hAnsi="Arial"/>
          <w:sz w:val="22"/>
          <w:szCs w:val="22"/>
          <w:color w:val="auto"/>
        </w:rPr>
        <w:t>managed by several subsidiaries of BCP amounted to US$1,044.6 million as of September 30, 2005, increasing</w:t>
      </w:r>
      <w:r>
        <w:rPr>
          <w:rFonts w:ascii="Arial" w:cs="Arial" w:eastAsia="Arial" w:hAnsi="Arial"/>
          <w:sz w:val="22"/>
          <w:szCs w:val="22"/>
          <w:b w:val="1"/>
          <w:bCs w:val="1"/>
          <w:color w:val="auto"/>
        </w:rPr>
        <w:t xml:space="preserve"> </w:t>
      </w:r>
      <w:r>
        <w:rPr>
          <w:rFonts w:ascii="Arial" w:cs="Arial" w:eastAsia="Arial" w:hAnsi="Arial"/>
          <w:sz w:val="22"/>
          <w:szCs w:val="22"/>
          <w:color w:val="auto"/>
        </w:rPr>
        <w:t>5.0% compared to funds at June 2005.</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share</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According to preliminary statistics from the Peruvian Banking Association (ASBANC) for Peruvian commercial banks as of September 30, 2005, Banco de Crédito del Perú had a total loan market share of 33.6% (34.5% at June 30, 2005 and 34.0% at September 30, 2004), and 37.1% of deposits (36.6% at June 30, 2005 and 36.1% at September 30, 2004).</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BCP’s market share in Peruvian mutual funds, through its subsidiary Credifondo, was 50.3% as of September 30, 2005 (50.5% at June 30, 2005 and 51.6% at September 30, 2004).</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II.6 LOAN QUALITY</w:t>
      </w:r>
    </w:p>
    <w:p>
      <w:pPr>
        <w:spacing w:after="0" w:line="206"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ratio of past due loans</w:t>
      </w:r>
      <w:r>
        <w:rPr>
          <w:rFonts w:ascii="Arial" w:cs="Arial" w:eastAsia="Arial" w:hAnsi="Arial"/>
          <w:sz w:val="19"/>
          <w:szCs w:val="19"/>
          <w:color w:val="auto"/>
        </w:rPr>
        <w:t xml:space="preserve"> as a percentage of total loans improved to 2.6% at September 30, 2005, from 2.7% at June 2005, and also compared to the ratio of 5.0% at September 2004. The ratio of past due, refinanced and restructured loans as a percentage of total loans improved to 6.6% during third quarter 2005 from 7.3% in June 2005, and also compared to 9.9% at September 2004.</w:t>
      </w:r>
    </w:p>
    <w:p>
      <w:pPr>
        <w:spacing w:after="0" w:line="12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Consolidated past due loans amounted to US$114.2 million at September 30, 2005, decreasing 7.7% from the balance of US$123.7 million at June 2005, and are also 44.0% below US$203.7 million past due loans at September 2004.</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At the end of September 2005, </w:t>
      </w:r>
      <w:r>
        <w:rPr>
          <w:rFonts w:ascii="Arial" w:cs="Arial" w:eastAsia="Arial" w:hAnsi="Arial"/>
          <w:sz w:val="22"/>
          <w:szCs w:val="22"/>
          <w:b w:val="1"/>
          <w:bCs w:val="1"/>
          <w:color w:val="auto"/>
        </w:rPr>
        <w:t>refinanced loans</w:t>
      </w:r>
      <w:r>
        <w:rPr>
          <w:rFonts w:ascii="Arial" w:cs="Arial" w:eastAsia="Arial" w:hAnsi="Arial"/>
          <w:sz w:val="22"/>
          <w:szCs w:val="22"/>
          <w:color w:val="auto"/>
        </w:rPr>
        <w:t xml:space="preserve"> amounted to US$182.1 million, lower than the balance at June 2005 that was US$212.7 million, and also compared to the balance of US$200.1 million in third quarter 2004.</w:t>
      </w:r>
    </w:p>
    <w:p>
      <w:pPr>
        <w:spacing w:after="0" w:line="16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At the end of the third quarter 2005, outstanding balances of loan loss provisions totaled US$200.0 million, decreasing 11.0% compared to the balance at June 2005, and also decreases 26.8% with respect to September 2004, mainly due to charge-offs.</w:t>
      </w:r>
    </w:p>
    <w:p>
      <w:pPr>
        <w:spacing w:after="0" w:line="9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coverage ratio</w:t>
      </w:r>
      <w:r>
        <w:rPr>
          <w:rFonts w:ascii="Arial" w:cs="Arial" w:eastAsia="Arial" w:hAnsi="Arial"/>
          <w:sz w:val="22"/>
          <w:szCs w:val="22"/>
          <w:color w:val="auto"/>
        </w:rPr>
        <w:t xml:space="preserve"> of loan provisions to past due loans was 175.2% at the end of third quarter 2005, lower than 181.7% at June 2005, but improves compared to 134.1% in the year-ago quarter. The coverage ratio of provisions over the sum of past due loans and refinanced loans was 67.5% in September 2005, higher than 66.8% at last June, but remains similar to 67.7% in September 2004.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jc w:val="both"/>
        <w:ind w:right="20"/>
        <w:spacing w:after="0" w:line="280" w:lineRule="auto"/>
        <w:rPr>
          <w:sz w:val="20"/>
          <w:szCs w:val="20"/>
          <w:color w:val="auto"/>
        </w:rPr>
      </w:pPr>
      <w:r>
        <w:rPr>
          <w:rFonts w:ascii="Arial" w:cs="Arial" w:eastAsia="Arial" w:hAnsi="Arial"/>
          <w:sz w:val="21"/>
          <w:szCs w:val="21"/>
          <w:color w:val="auto"/>
        </w:rPr>
        <w:t xml:space="preserve">Of total provisions outstanding at the end of the current quarter, US$60.3 million correspond to </w:t>
      </w:r>
      <w:r>
        <w:rPr>
          <w:rFonts w:ascii="Arial" w:cs="Arial" w:eastAsia="Arial" w:hAnsi="Arial"/>
          <w:sz w:val="21"/>
          <w:szCs w:val="21"/>
          <w:b w:val="1"/>
          <w:bCs w:val="1"/>
          <w:color w:val="auto"/>
        </w:rPr>
        <w:t>generic provisions</w:t>
      </w:r>
      <w:r>
        <w:rPr>
          <w:rFonts w:ascii="Arial" w:cs="Arial" w:eastAsia="Arial" w:hAnsi="Arial"/>
          <w:sz w:val="21"/>
          <w:szCs w:val="21"/>
          <w:color w:val="auto"/>
        </w:rPr>
        <w:t xml:space="preserve"> assigned to loans in the Normal (A) risk category, increasing from the balance at September 30, 2004 of US$50.6 million.</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Loans believed to be unrecoverable, fully provisioned in prior periods, were </w:t>
      </w:r>
      <w:r>
        <w:rPr>
          <w:rFonts w:ascii="Arial" w:cs="Arial" w:eastAsia="Arial" w:hAnsi="Arial"/>
          <w:sz w:val="21"/>
          <w:szCs w:val="21"/>
          <w:b w:val="1"/>
          <w:bCs w:val="1"/>
          <w:color w:val="auto"/>
        </w:rPr>
        <w:t>charged-off</w:t>
      </w:r>
      <w:r>
        <w:rPr>
          <w:rFonts w:ascii="Arial" w:cs="Arial" w:eastAsia="Arial" w:hAnsi="Arial"/>
          <w:sz w:val="21"/>
          <w:szCs w:val="21"/>
          <w:color w:val="auto"/>
        </w:rPr>
        <w:t xml:space="preserve"> during the third quarter 2005 amounting to US$14.7 million, of which approximately 56% were related to consumer and mortgage loans. This compares to charge-offs in the second quarter of 2005 of US$23.0 million, and US$22.5 million in the year-ago third quarter.</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Loans classified as </w:t>
      </w:r>
      <w:r>
        <w:rPr>
          <w:rFonts w:ascii="Arial" w:cs="Arial" w:eastAsia="Arial" w:hAnsi="Arial"/>
          <w:sz w:val="22"/>
          <w:szCs w:val="22"/>
          <w:b w:val="1"/>
          <w:bCs w:val="1"/>
          <w:color w:val="auto"/>
        </w:rPr>
        <w:t>Substandard</w:t>
      </w:r>
      <w:r>
        <w:rPr>
          <w:rFonts w:ascii="Arial" w:cs="Arial" w:eastAsia="Arial" w:hAnsi="Arial"/>
          <w:sz w:val="22"/>
          <w:szCs w:val="22"/>
          <w:color w:val="auto"/>
        </w:rPr>
        <w:t xml:space="preserve"> (i.e., Deficient, Doubtful and Loss) were 7.0% of the loan portfolio in September 2005, decreasing from 8.3% in June 2005 and from 12.2% in September 2004. The loan classification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5"/>
                <w:szCs w:val="15"/>
                <w:i w:val="1"/>
                <w:iCs w:val="1"/>
                <w:color w:val="auto"/>
              </w:rPr>
              <w:t>(% of Total loans and US$Mn)</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30.09.04</w:t>
            </w:r>
          </w:p>
        </w:tc>
        <w:tc>
          <w:tcPr>
            <w:tcW w:w="46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30.06.05</w:t>
            </w:r>
          </w:p>
        </w:tc>
        <w:tc>
          <w:tcPr>
            <w:tcW w:w="46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5"/>
                <w:szCs w:val="15"/>
                <w:b w:val="1"/>
                <w:bCs w:val="1"/>
                <w:color w:val="auto"/>
              </w:rPr>
              <w:t>30.09.05</w:t>
            </w:r>
          </w:p>
        </w:tc>
        <w:tc>
          <w:tcPr>
            <w:tcW w:w="40" w:type="dxa"/>
            <w:vAlign w:val="bottom"/>
            <w:tcBorders>
              <w:top w:val="single" w:sz="8" w:color="auto"/>
              <w:bottom w:val="single" w:sz="8" w:color="auto"/>
            </w:tcBorders>
          </w:tcPr>
          <w:p>
            <w:pPr>
              <w:spacing w:after="0"/>
              <w:rPr>
                <w:sz w:val="16"/>
                <w:szCs w:val="16"/>
                <w:color w:val="auto"/>
              </w:rPr>
            </w:pPr>
          </w:p>
        </w:tc>
      </w:tr>
      <w:tr>
        <w:trPr>
          <w:trHeight w:val="160"/>
        </w:trPr>
        <w:tc>
          <w:tcPr>
            <w:tcW w:w="260" w:type="dxa"/>
            <w:vAlign w:val="bottom"/>
          </w:tcPr>
          <w:p>
            <w:pPr>
              <w:spacing w:after="0" w:line="160" w:lineRule="exact"/>
              <w:rPr>
                <w:sz w:val="20"/>
                <w:szCs w:val="20"/>
                <w:color w:val="auto"/>
              </w:rPr>
            </w:pPr>
            <w:r>
              <w:rPr>
                <w:rFonts w:ascii="Arial" w:cs="Arial" w:eastAsia="Arial" w:hAnsi="Arial"/>
                <w:sz w:val="15"/>
                <w:szCs w:val="15"/>
                <w:color w:val="auto"/>
              </w:rPr>
              <w:t>A:</w:t>
            </w:r>
          </w:p>
        </w:tc>
        <w:tc>
          <w:tcPr>
            <w:tcW w:w="5060" w:type="dxa"/>
            <w:vAlign w:val="bottom"/>
            <w:gridSpan w:val="3"/>
          </w:tcPr>
          <w:p>
            <w:pPr>
              <w:ind w:left="100"/>
              <w:spacing w:after="0" w:line="160" w:lineRule="exact"/>
              <w:rPr>
                <w:sz w:val="20"/>
                <w:szCs w:val="20"/>
                <w:color w:val="auto"/>
              </w:rPr>
            </w:pPr>
            <w:r>
              <w:rPr>
                <w:rFonts w:ascii="Arial" w:cs="Arial" w:eastAsia="Arial" w:hAnsi="Arial"/>
                <w:sz w:val="15"/>
                <w:szCs w:val="15"/>
                <w:color w:val="auto"/>
              </w:rPr>
              <w:t>Normal</w:t>
            </w:r>
          </w:p>
        </w:tc>
        <w:tc>
          <w:tcPr>
            <w:tcW w:w="3000" w:type="dxa"/>
            <w:vAlign w:val="bottom"/>
            <w:gridSpan w:val="3"/>
          </w:tcPr>
          <w:p>
            <w:pPr>
              <w:jc w:val="right"/>
              <w:ind w:right="340"/>
              <w:spacing w:after="0" w:line="160" w:lineRule="exact"/>
              <w:rPr>
                <w:sz w:val="20"/>
                <w:szCs w:val="20"/>
                <w:color w:val="auto"/>
              </w:rPr>
            </w:pPr>
            <w:r>
              <w:rPr>
                <w:rFonts w:ascii="Arial" w:cs="Arial" w:eastAsia="Arial" w:hAnsi="Arial"/>
                <w:sz w:val="15"/>
                <w:szCs w:val="15"/>
                <w:color w:val="auto"/>
              </w:rPr>
              <w:t>79.7%</w:t>
            </w:r>
          </w:p>
        </w:tc>
        <w:tc>
          <w:tcPr>
            <w:tcW w:w="1720" w:type="dxa"/>
            <w:vAlign w:val="bottom"/>
            <w:gridSpan w:val="3"/>
          </w:tcPr>
          <w:p>
            <w:pPr>
              <w:jc w:val="right"/>
              <w:ind w:right="340"/>
              <w:spacing w:after="0" w:line="160" w:lineRule="exact"/>
              <w:rPr>
                <w:sz w:val="20"/>
                <w:szCs w:val="20"/>
                <w:color w:val="auto"/>
              </w:rPr>
            </w:pPr>
            <w:r>
              <w:rPr>
                <w:rFonts w:ascii="Arial" w:cs="Arial" w:eastAsia="Arial" w:hAnsi="Arial"/>
                <w:sz w:val="15"/>
                <w:szCs w:val="15"/>
                <w:color w:val="auto"/>
              </w:rPr>
              <w:t>84.1%</w:t>
            </w:r>
          </w:p>
        </w:tc>
        <w:tc>
          <w:tcPr>
            <w:tcW w:w="138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86.2%</w:t>
            </w:r>
          </w:p>
        </w:tc>
      </w:tr>
      <w:tr>
        <w:trPr>
          <w:trHeight w:val="162"/>
        </w:trPr>
        <w:tc>
          <w:tcPr>
            <w:tcW w:w="260" w:type="dxa"/>
            <w:vAlign w:val="bottom"/>
          </w:tcPr>
          <w:p>
            <w:pPr>
              <w:spacing w:after="0" w:line="162" w:lineRule="exact"/>
              <w:rPr>
                <w:sz w:val="20"/>
                <w:szCs w:val="20"/>
                <w:color w:val="auto"/>
              </w:rPr>
            </w:pPr>
            <w:r>
              <w:rPr>
                <w:rFonts w:ascii="Arial" w:cs="Arial" w:eastAsia="Arial" w:hAnsi="Arial"/>
                <w:sz w:val="15"/>
                <w:szCs w:val="15"/>
                <w:color w:val="auto"/>
              </w:rPr>
              <w:t>B:</w:t>
            </w:r>
          </w:p>
        </w:tc>
        <w:tc>
          <w:tcPr>
            <w:tcW w:w="50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Potential Problem</w:t>
            </w:r>
          </w:p>
        </w:tc>
        <w:tc>
          <w:tcPr>
            <w:tcW w:w="300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8.1%</w:t>
            </w:r>
          </w:p>
        </w:tc>
        <w:tc>
          <w:tcPr>
            <w:tcW w:w="172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7.6%</w:t>
            </w: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6.8%</w:t>
            </w:r>
          </w:p>
        </w:tc>
      </w:tr>
      <w:tr>
        <w:trPr>
          <w:trHeight w:val="162"/>
        </w:trPr>
        <w:tc>
          <w:tcPr>
            <w:tcW w:w="260" w:type="dxa"/>
            <w:vAlign w:val="bottom"/>
          </w:tcPr>
          <w:p>
            <w:pPr>
              <w:spacing w:after="0" w:line="162" w:lineRule="exact"/>
              <w:rPr>
                <w:sz w:val="20"/>
                <w:szCs w:val="20"/>
                <w:color w:val="auto"/>
              </w:rPr>
            </w:pPr>
            <w:r>
              <w:rPr>
                <w:rFonts w:ascii="Arial" w:cs="Arial" w:eastAsia="Arial" w:hAnsi="Arial"/>
                <w:sz w:val="15"/>
                <w:szCs w:val="15"/>
                <w:color w:val="auto"/>
              </w:rPr>
              <w:t>C:</w:t>
            </w:r>
          </w:p>
        </w:tc>
        <w:tc>
          <w:tcPr>
            <w:tcW w:w="50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Deficient</w:t>
            </w:r>
          </w:p>
        </w:tc>
        <w:tc>
          <w:tcPr>
            <w:tcW w:w="300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4.8%</w:t>
            </w:r>
          </w:p>
        </w:tc>
        <w:tc>
          <w:tcPr>
            <w:tcW w:w="172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2.9%</w:t>
            </w: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2.1%</w:t>
            </w:r>
          </w:p>
        </w:tc>
      </w:tr>
      <w:tr>
        <w:trPr>
          <w:trHeight w:val="162"/>
        </w:trPr>
        <w:tc>
          <w:tcPr>
            <w:tcW w:w="260" w:type="dxa"/>
            <w:vAlign w:val="bottom"/>
          </w:tcPr>
          <w:p>
            <w:pPr>
              <w:spacing w:after="0" w:line="162" w:lineRule="exact"/>
              <w:rPr>
                <w:sz w:val="20"/>
                <w:szCs w:val="20"/>
                <w:color w:val="auto"/>
              </w:rPr>
            </w:pPr>
            <w:r>
              <w:rPr>
                <w:rFonts w:ascii="Arial" w:cs="Arial" w:eastAsia="Arial" w:hAnsi="Arial"/>
                <w:sz w:val="15"/>
                <w:szCs w:val="15"/>
                <w:color w:val="auto"/>
              </w:rPr>
              <w:t>D:</w:t>
            </w:r>
          </w:p>
        </w:tc>
        <w:tc>
          <w:tcPr>
            <w:tcW w:w="50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Doubtful</w:t>
            </w:r>
          </w:p>
        </w:tc>
        <w:tc>
          <w:tcPr>
            <w:tcW w:w="300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4.4%</w:t>
            </w:r>
          </w:p>
        </w:tc>
        <w:tc>
          <w:tcPr>
            <w:tcW w:w="172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3.6%</w:t>
            </w: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3.3%</w:t>
            </w:r>
          </w:p>
        </w:tc>
      </w:tr>
      <w:tr>
        <w:trPr>
          <w:trHeight w:val="162"/>
        </w:trPr>
        <w:tc>
          <w:tcPr>
            <w:tcW w:w="260" w:type="dxa"/>
            <w:vAlign w:val="bottom"/>
          </w:tcPr>
          <w:p>
            <w:pPr>
              <w:spacing w:after="0" w:line="162" w:lineRule="exact"/>
              <w:rPr>
                <w:sz w:val="20"/>
                <w:szCs w:val="20"/>
                <w:color w:val="auto"/>
              </w:rPr>
            </w:pPr>
            <w:r>
              <w:rPr>
                <w:rFonts w:ascii="Arial" w:cs="Arial" w:eastAsia="Arial" w:hAnsi="Arial"/>
                <w:sz w:val="15"/>
                <w:szCs w:val="15"/>
                <w:color w:val="auto"/>
              </w:rPr>
              <w:t>E:</w:t>
            </w:r>
          </w:p>
        </w:tc>
        <w:tc>
          <w:tcPr>
            <w:tcW w:w="50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Loss</w:t>
            </w:r>
          </w:p>
        </w:tc>
        <w:tc>
          <w:tcPr>
            <w:tcW w:w="300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3.0%</w:t>
            </w:r>
          </w:p>
        </w:tc>
        <w:tc>
          <w:tcPr>
            <w:tcW w:w="172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1.8%</w:t>
            </w:r>
          </w:p>
        </w:tc>
        <w:tc>
          <w:tcPr>
            <w:tcW w:w="13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1.6%</w:t>
            </w:r>
          </w:p>
        </w:tc>
      </w:tr>
      <w:tr>
        <w:trPr>
          <w:trHeight w:val="158"/>
        </w:trPr>
        <w:tc>
          <w:tcPr>
            <w:tcW w:w="2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160" w:type="dxa"/>
            <w:vAlign w:val="bottom"/>
            <w:gridSpan w:val="2"/>
          </w:tcPr>
          <w:p>
            <w:pPr>
              <w:jc w:val="center"/>
              <w:ind w:right="1860"/>
              <w:spacing w:after="0" w:line="158" w:lineRule="exact"/>
              <w:rPr>
                <w:sz w:val="20"/>
                <w:szCs w:val="20"/>
                <w:color w:val="auto"/>
              </w:rPr>
            </w:pPr>
            <w:r>
              <w:rPr>
                <w:rFonts w:ascii="Arial" w:cs="Arial" w:eastAsia="Arial" w:hAnsi="Arial"/>
                <w:sz w:val="15"/>
                <w:szCs w:val="15"/>
                <w:color w:val="auto"/>
                <w:w w:val="89"/>
              </w:rPr>
              <w:t>Total</w:t>
            </w:r>
          </w:p>
        </w:tc>
        <w:tc>
          <w:tcPr>
            <w:tcW w:w="3000" w:type="dxa"/>
            <w:vAlign w:val="bottom"/>
            <w:gridSpan w:val="3"/>
          </w:tcPr>
          <w:p>
            <w:pPr>
              <w:jc w:val="right"/>
              <w:ind w:right="3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720" w:type="dxa"/>
            <w:vAlign w:val="bottom"/>
            <w:gridSpan w:val="3"/>
          </w:tcPr>
          <w:p>
            <w:pPr>
              <w:jc w:val="right"/>
              <w:ind w:right="3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c>
          <w:tcPr>
            <w:tcW w:w="138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0%</w:t>
            </w:r>
          </w:p>
        </w:tc>
      </w:tr>
      <w:tr>
        <w:trPr>
          <w:trHeight w:val="20"/>
        </w:trPr>
        <w:tc>
          <w:tcPr>
            <w:tcW w:w="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260" w:type="dxa"/>
            <w:vAlign w:val="bottom"/>
            <w:tcBorders>
              <w:bottom w:val="single" w:sz="8" w:color="auto"/>
            </w:tcBorders>
          </w:tcPr>
          <w:p>
            <w:pPr>
              <w:spacing w:after="0"/>
              <w:rPr>
                <w:sz w:val="13"/>
                <w:szCs w:val="13"/>
                <w:color w:val="auto"/>
              </w:rPr>
            </w:pPr>
          </w:p>
        </w:tc>
        <w:tc>
          <w:tcPr>
            <w:tcW w:w="5060" w:type="dxa"/>
            <w:vAlign w:val="bottom"/>
            <w:tcBorders>
              <w:bottom w:val="single" w:sz="8" w:color="auto"/>
            </w:tcBorders>
            <w:gridSpan w:val="3"/>
          </w:tcPr>
          <w:p>
            <w:pPr>
              <w:jc w:val="center"/>
              <w:ind w:left="966"/>
              <w:spacing w:after="0" w:line="156" w:lineRule="exact"/>
              <w:rPr>
                <w:sz w:val="20"/>
                <w:szCs w:val="20"/>
                <w:color w:val="auto"/>
              </w:rPr>
            </w:pPr>
            <w:r>
              <w:rPr>
                <w:rFonts w:ascii="Arial" w:cs="Arial" w:eastAsia="Arial" w:hAnsi="Arial"/>
                <w:sz w:val="15"/>
                <w:szCs w:val="15"/>
                <w:b w:val="1"/>
                <w:bCs w:val="1"/>
                <w:color w:val="auto"/>
                <w:w w:val="87"/>
              </w:rPr>
              <w:t>Total Loans</w:t>
            </w:r>
          </w:p>
        </w:tc>
        <w:tc>
          <w:tcPr>
            <w:tcW w:w="3000" w:type="dxa"/>
            <w:vAlign w:val="bottom"/>
            <w:tcBorders>
              <w:bottom w:val="single" w:sz="8" w:color="auto"/>
            </w:tcBorders>
            <w:gridSpan w:val="3"/>
          </w:tcPr>
          <w:p>
            <w:pPr>
              <w:jc w:val="center"/>
              <w:ind w:left="806"/>
              <w:spacing w:after="0" w:line="156" w:lineRule="exact"/>
              <w:rPr>
                <w:sz w:val="20"/>
                <w:szCs w:val="20"/>
                <w:color w:val="auto"/>
              </w:rPr>
            </w:pPr>
            <w:r>
              <w:rPr>
                <w:rFonts w:ascii="Arial" w:cs="Arial" w:eastAsia="Arial" w:hAnsi="Arial"/>
                <w:sz w:val="15"/>
                <w:szCs w:val="15"/>
                <w:b w:val="1"/>
                <w:bCs w:val="1"/>
                <w:color w:val="auto"/>
                <w:w w:val="89"/>
              </w:rPr>
              <w:t>US$4,090</w:t>
            </w:r>
          </w:p>
        </w:tc>
        <w:tc>
          <w:tcPr>
            <w:tcW w:w="1720" w:type="dxa"/>
            <w:vAlign w:val="bottom"/>
            <w:tcBorders>
              <w:bottom w:val="single" w:sz="8" w:color="auto"/>
            </w:tcBorders>
            <w:gridSpan w:val="3"/>
          </w:tcPr>
          <w:p>
            <w:pPr>
              <w:jc w:val="center"/>
              <w:ind w:right="420"/>
              <w:spacing w:after="0" w:line="156" w:lineRule="exact"/>
              <w:rPr>
                <w:sz w:val="20"/>
                <w:szCs w:val="20"/>
                <w:color w:val="auto"/>
              </w:rPr>
            </w:pPr>
            <w:r>
              <w:rPr>
                <w:rFonts w:ascii="Arial" w:cs="Arial" w:eastAsia="Arial" w:hAnsi="Arial"/>
                <w:sz w:val="15"/>
                <w:szCs w:val="15"/>
                <w:b w:val="1"/>
                <w:bCs w:val="1"/>
                <w:color w:val="auto"/>
                <w:w w:val="86"/>
              </w:rPr>
              <w:t>US$4,601</w:t>
            </w:r>
          </w:p>
        </w:tc>
        <w:tc>
          <w:tcPr>
            <w:tcW w:w="1380" w:type="dxa"/>
            <w:vAlign w:val="bottom"/>
            <w:tcBorders>
              <w:bottom w:val="single" w:sz="8" w:color="auto"/>
            </w:tcBorders>
            <w:gridSpan w:val="3"/>
          </w:tcPr>
          <w:p>
            <w:pPr>
              <w:jc w:val="center"/>
              <w:ind w:right="140"/>
              <w:spacing w:after="0" w:line="156" w:lineRule="exact"/>
              <w:rPr>
                <w:sz w:val="20"/>
                <w:szCs w:val="20"/>
                <w:color w:val="auto"/>
              </w:rPr>
            </w:pPr>
            <w:r>
              <w:rPr>
                <w:rFonts w:ascii="Arial" w:cs="Arial" w:eastAsia="Arial" w:hAnsi="Arial"/>
                <w:sz w:val="15"/>
                <w:szCs w:val="15"/>
                <w:b w:val="1"/>
                <w:bCs w:val="1"/>
                <w:color w:val="auto"/>
                <w:w w:val="89"/>
              </w:rPr>
              <w:t>US$4,479</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Loan loss provision expense</w:t>
      </w:r>
      <w:r>
        <w:rPr>
          <w:rFonts w:ascii="Arial" w:cs="Arial" w:eastAsia="Arial" w:hAnsi="Arial"/>
          <w:sz w:val="22"/>
          <w:szCs w:val="22"/>
          <w:color w:val="auto"/>
        </w:rPr>
        <w:t>, net of recoveries, had a positive effect of US$3.0 million in third quarter 2005, with recoveries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previously charged-off loans exceeding provision requirements, due to improved loan quality. In the year-ago third quarter of 2004, net provisions resulted in an expense charge of US$1.8 million, while in the preceding second quarter 2005 the provision expense was US$0.9 million. In third quarter 2005, </w:t>
      </w:r>
      <w:r>
        <w:rPr>
          <w:rFonts w:ascii="Arial" w:cs="Arial" w:eastAsia="Arial" w:hAnsi="Arial"/>
          <w:sz w:val="22"/>
          <w:szCs w:val="22"/>
          <w:b w:val="1"/>
          <w:bCs w:val="1"/>
          <w:color w:val="auto"/>
        </w:rPr>
        <w:t>recoveries</w:t>
      </w:r>
      <w:r>
        <w:rPr>
          <w:rFonts w:ascii="Arial" w:cs="Arial" w:eastAsia="Arial" w:hAnsi="Arial"/>
          <w:sz w:val="22"/>
          <w:szCs w:val="22"/>
          <w:color w:val="auto"/>
        </w:rPr>
        <w:t xml:space="preserve"> of charged-off accounts, which are shown within the net loan loss expense caption, amounted to US$6.5 million, compared to recoveries of US$4.3 million in the same year-ago period, and US$4.6 million in the preceding second quarter.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II.7 CAPITAL ADEQUACY</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the end of the third quarter of 2005, BCP’s unconsolidated ratio of risk-weighted assets to regulatory capital was 8.0 to 1.0 (12.4%), while the corresponding consolidated ratio was 7.1 to 1.0 (14.0%) . Peruvian regulations limit risk-weighted assets, including market-risk exposure, to a ratio of 11.0 to 1.0 (9.1%) .</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At September 30, 2005, risk-weighted assets include US$193.8 million of market-risk exposure (US$283.2 million at September 2004) whose coverage required US$17.6 million of regulatory capital.</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September 30, 2005, BCP’s consolidated “regulatory capital” was US$699.9 million, remaining similar to the preceding quarter. Regulatory capital included US$41.1 million of subordinated debt in the current period, remaining almost unchanged since June 2005, and also to the September 2004 balance.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3"/>
          </w:tcPr>
          <w:p>
            <w:pPr>
              <w:ind w:left="940"/>
              <w:spacing w:after="0"/>
              <w:rPr>
                <w:sz w:val="20"/>
                <w:szCs w:val="20"/>
                <w:color w:val="auto"/>
              </w:rPr>
            </w:pPr>
            <w:r>
              <w:rPr>
                <w:rFonts w:ascii="Arial" w:cs="Arial" w:eastAsia="Arial" w:hAnsi="Arial"/>
                <w:sz w:val="15"/>
                <w:szCs w:val="15"/>
                <w:b w:val="1"/>
                <w:bCs w:val="1"/>
                <w:color w:val="auto"/>
              </w:rPr>
              <w:t>BCP unconsolidated</w:t>
            </w:r>
          </w:p>
        </w:tc>
        <w:tc>
          <w:tcPr>
            <w:tcW w:w="76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380" w:type="dxa"/>
            <w:vAlign w:val="bottom"/>
            <w:tcBorders>
              <w:top w:val="single" w:sz="8" w:color="auto"/>
              <w:bottom w:val="single" w:sz="8" w:color="auto"/>
            </w:tcBorders>
            <w:gridSpan w:val="3"/>
          </w:tcPr>
          <w:p>
            <w:pPr>
              <w:ind w:left="1020"/>
              <w:spacing w:after="0"/>
              <w:rPr>
                <w:sz w:val="20"/>
                <w:szCs w:val="20"/>
                <w:color w:val="auto"/>
              </w:rPr>
            </w:pPr>
            <w:r>
              <w:rPr>
                <w:rFonts w:ascii="Arial" w:cs="Arial" w:eastAsia="Arial" w:hAnsi="Arial"/>
                <w:sz w:val="15"/>
                <w:szCs w:val="15"/>
                <w:b w:val="1"/>
                <w:bCs w:val="1"/>
                <w:color w:val="auto"/>
              </w:rPr>
              <w:t>BCP consolidated</w:t>
            </w:r>
          </w:p>
        </w:tc>
        <w:tc>
          <w:tcPr>
            <w:tcW w:w="800" w:type="dxa"/>
            <w:vAlign w:val="bottom"/>
            <w:tcBorders>
              <w:top w:val="single" w:sz="8" w:color="auto"/>
              <w:bottom w:val="single" w:sz="8" w:color="auto"/>
            </w:tcBorders>
          </w:tcPr>
          <w:p>
            <w:pPr>
              <w:spacing w:after="0"/>
              <w:rPr>
                <w:sz w:val="16"/>
                <w:szCs w:val="16"/>
                <w:color w:val="auto"/>
              </w:rPr>
            </w:pPr>
          </w:p>
        </w:tc>
      </w:tr>
      <w:tr>
        <w:trPr>
          <w:trHeight w:val="169"/>
        </w:trPr>
        <w:tc>
          <w:tcPr>
            <w:tcW w:w="458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i w:val="1"/>
                <w:iCs w:val="1"/>
                <w:color w:val="auto"/>
              </w:rPr>
              <w:t>(In US$ Mn.)</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30.09.04</w:t>
            </w:r>
          </w:p>
        </w:tc>
        <w:tc>
          <w:tcPr>
            <w:tcW w:w="2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30.09.05</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30.09.04</w:t>
            </w: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30.09.05</w:t>
            </w:r>
          </w:p>
        </w:tc>
      </w:tr>
      <w:tr>
        <w:trPr>
          <w:trHeight w:val="160"/>
        </w:trPr>
        <w:tc>
          <w:tcPr>
            <w:tcW w:w="4580" w:type="dxa"/>
            <w:vAlign w:val="bottom"/>
          </w:tcPr>
          <w:p>
            <w:pPr>
              <w:spacing w:after="0" w:line="160" w:lineRule="exact"/>
              <w:rPr>
                <w:sz w:val="20"/>
                <w:szCs w:val="20"/>
                <w:color w:val="auto"/>
              </w:rPr>
            </w:pPr>
            <w:r>
              <w:rPr>
                <w:rFonts w:ascii="Arial" w:cs="Arial" w:eastAsia="Arial" w:hAnsi="Arial"/>
                <w:sz w:val="15"/>
                <w:szCs w:val="15"/>
                <w:color w:val="auto"/>
              </w:rPr>
              <w:t>Regulatory capital</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551.0</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right"/>
              <w:spacing w:after="0" w:line="160" w:lineRule="exact"/>
              <w:rPr>
                <w:sz w:val="20"/>
                <w:szCs w:val="20"/>
                <w:color w:val="auto"/>
              </w:rPr>
            </w:pPr>
            <w:r>
              <w:rPr>
                <w:rFonts w:ascii="Arial" w:cs="Arial" w:eastAsia="Arial" w:hAnsi="Arial"/>
                <w:sz w:val="15"/>
                <w:szCs w:val="15"/>
                <w:color w:val="auto"/>
              </w:rPr>
              <w:t>557.4</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682.4</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jc w:val="right"/>
              <w:spacing w:after="0" w:line="160" w:lineRule="exact"/>
              <w:rPr>
                <w:sz w:val="20"/>
                <w:szCs w:val="20"/>
                <w:color w:val="auto"/>
              </w:rPr>
            </w:pPr>
            <w:r>
              <w:rPr>
                <w:rFonts w:ascii="Arial" w:cs="Arial" w:eastAsia="Arial" w:hAnsi="Arial"/>
                <w:sz w:val="15"/>
                <w:szCs w:val="15"/>
                <w:color w:val="auto"/>
              </w:rPr>
              <w:t>699.9</w:t>
            </w:r>
          </w:p>
        </w:tc>
      </w:tr>
      <w:tr>
        <w:trPr>
          <w:trHeight w:val="188"/>
        </w:trPr>
        <w:tc>
          <w:tcPr>
            <w:tcW w:w="4580" w:type="dxa"/>
            <w:vAlign w:val="bottom"/>
          </w:tcPr>
          <w:p>
            <w:pPr>
              <w:spacing w:after="0"/>
              <w:rPr>
                <w:sz w:val="20"/>
                <w:szCs w:val="20"/>
                <w:color w:val="auto"/>
              </w:rPr>
            </w:pPr>
            <w:r>
              <w:rPr>
                <w:rFonts w:ascii="Arial" w:cs="Arial" w:eastAsia="Arial" w:hAnsi="Arial"/>
                <w:sz w:val="15"/>
                <w:szCs w:val="15"/>
                <w:color w:val="auto"/>
              </w:rPr>
              <w:t>Risk weighted assets</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4,352.6</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4,484.4</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4,828.1</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4,996.9</w:t>
            </w:r>
          </w:p>
        </w:tc>
      </w:tr>
      <w:tr>
        <w:trPr>
          <w:trHeight w:val="298"/>
        </w:trPr>
        <w:tc>
          <w:tcPr>
            <w:tcW w:w="4580" w:type="dxa"/>
            <w:vAlign w:val="bottom"/>
          </w:tcPr>
          <w:p>
            <w:pPr>
              <w:spacing w:after="0"/>
              <w:rPr>
                <w:sz w:val="20"/>
                <w:szCs w:val="20"/>
                <w:color w:val="auto"/>
              </w:rPr>
            </w:pPr>
            <w:r>
              <w:rPr>
                <w:rFonts w:ascii="Arial" w:cs="Arial" w:eastAsia="Arial" w:hAnsi="Arial"/>
                <w:sz w:val="15"/>
                <w:szCs w:val="15"/>
                <w:color w:val="auto"/>
              </w:rPr>
              <w:t>Weighted assets / Capital</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7.9</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8.0</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7.1</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171"/>
        </w:trPr>
        <w:tc>
          <w:tcPr>
            <w:tcW w:w="458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Capital / Weighted Assets</w:t>
            </w:r>
          </w:p>
        </w:tc>
        <w:tc>
          <w:tcPr>
            <w:tcW w:w="172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12.7%</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12.4%</w:t>
            </w:r>
          </w:p>
        </w:tc>
        <w:tc>
          <w:tcPr>
            <w:tcW w:w="172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14.1%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II.8 BANCO DE CREDITO DE BOLIVIA (BCB)</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Below are brief comments on the Bolivian subsidiary, which is consolidated within BCP: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Bolivian economic activity</w:t>
      </w:r>
    </w:p>
    <w:p>
      <w:pPr>
        <w:spacing w:after="0" w:line="20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It is expected that Bolivian economic activity will continue a moderate recovery during 2005. GDP growth reached 4.0% during the first and second quarters of 2005. GDP growth improved from 2.5% in 2003, to 3.6% in 2004, and should exceed 4% during 2005.</w:t>
      </w:r>
    </w:p>
    <w:p>
      <w:pPr>
        <w:spacing w:after="0" w:line="10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Higher growth is mainly due to increased exports of minerals, oil and gas, and of agricultural products, while domestic demand and consumption remained stagnant. Cumulative through August 2005, exports grew 19% to US$1,730 million, generating a trade surplus of US$265 million. Through August, imports amounted to US$1,465 million, growing 25% due to higher imports of raw materials and capital goods.</w:t>
      </w:r>
    </w:p>
    <w:p>
      <w:pPr>
        <w:spacing w:after="0" w:line="185" w:lineRule="exact"/>
        <w:rPr>
          <w:sz w:val="20"/>
          <w:szCs w:val="20"/>
          <w:color w:val="auto"/>
        </w:rPr>
      </w:pPr>
    </w:p>
    <w:p>
      <w:pPr>
        <w:jc w:val="both"/>
        <w:ind w:right="40"/>
        <w:spacing w:after="0" w:line="252" w:lineRule="auto"/>
        <w:rPr>
          <w:sz w:val="20"/>
          <w:szCs w:val="20"/>
          <w:color w:val="auto"/>
        </w:rPr>
      </w:pPr>
      <w:r>
        <w:rPr>
          <w:rFonts w:ascii="Arial" w:cs="Arial" w:eastAsia="Arial" w:hAnsi="Arial"/>
          <w:sz w:val="21"/>
          <w:szCs w:val="21"/>
          <w:color w:val="auto"/>
        </w:rPr>
        <w:t>During third quarter 2005 inflation was negligible, compared to 1.8% in the preceding second quarter, and reached 5.5% in the year ended in September 2005. In June 2005 inflation was affected by massive protests that interrupted road transport. Nevertheless, the exchange rate strengthened during the current quarter, declining to 8.08 Bolivianos per Dollar at September 30, 2005, from 8.10 in June, and is only slightly above the 8.05 exchange rate at the beginning of the year.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Bolivian banking system</w:t>
      </w:r>
    </w:p>
    <w:p>
      <w:pPr>
        <w:spacing w:after="0" w:line="20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Banking deposits grew to US$2,840 million at September 2005, from US$2,672 million in June 2005, and from US$2,559 million at the beginning of the year.</w:t>
      </w:r>
    </w:p>
    <w:p>
      <w:pPr>
        <w:spacing w:after="0" w:line="173"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Loan volume in the banking system increased during the current quarter to US$2,581 million as of September 2005, growing 1.0% over loans of US$2,556 million at June 2005, and are 6.7% over loans of US$2,420 million at year-end 2004. The System-wide past due loan ratio was 13.7% in September 2005, lower than 14.0% in December 2004. The coverage of past-due loans with provisions decreased to 74.7% at September 2005, from coverage of 84.3% in December 2004.</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BCB highlights</w:t>
      </w:r>
    </w:p>
    <w:p>
      <w:pPr>
        <w:spacing w:after="0" w:line="206" w:lineRule="exact"/>
        <w:rPr>
          <w:sz w:val="20"/>
          <w:szCs w:val="20"/>
          <w:color w:val="auto"/>
        </w:rPr>
      </w:pPr>
    </w:p>
    <w:p>
      <w:pPr>
        <w:ind w:right="320"/>
        <w:spacing w:after="0" w:line="258" w:lineRule="auto"/>
        <w:rPr>
          <w:sz w:val="20"/>
          <w:szCs w:val="20"/>
          <w:color w:val="auto"/>
        </w:rPr>
      </w:pPr>
      <w:r>
        <w:rPr>
          <w:rFonts w:ascii="Arial" w:cs="Arial" w:eastAsia="Arial" w:hAnsi="Arial"/>
          <w:sz w:val="21"/>
          <w:szCs w:val="21"/>
          <w:color w:val="auto"/>
        </w:rPr>
        <w:t>BCB’s market share in deposits at September 2005 was 13.2%, increasing from 13.0% at the end of December 2004. In terms of loans, BCB had a 13.0% market share at September 2005, slightly below 13.1% it had last December 2004. In this way, BCB remained in the fourth position in terms of deposits and loans, out of twelve banks in the system.</w:t>
      </w:r>
    </w:p>
    <w:p>
      <w:pPr>
        <w:spacing w:after="0" w:line="167"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As of September 30, 2005, BCB had total loans of US$335.4 million, increasing from US$320.8 million in December 2004. Loan quality continued to improve. At the end of the third quarter 2005, BCB’s past due loans reached US$23.1 million, or 6.9% of total loans, lower than 11.0% at December 2004. Coverage of past due loans with loan loss provisions was 116.4% as of September 2005, increasing from 100.6% in December 2004. Net equity at the Bolivian subsidiary amounted to US$61.9 million as of September 2005, increasing from US$59.8 million at the beginning of the year.</w:t>
      </w:r>
    </w:p>
    <w:p>
      <w:pPr>
        <w:spacing w:after="0" w:line="179" w:lineRule="exact"/>
        <w:rPr>
          <w:sz w:val="20"/>
          <w:szCs w:val="20"/>
          <w:color w:val="auto"/>
        </w:rPr>
      </w:pPr>
    </w:p>
    <w:p>
      <w:pPr>
        <w:ind w:right="780"/>
        <w:spacing w:after="0" w:line="251" w:lineRule="auto"/>
        <w:rPr>
          <w:sz w:val="20"/>
          <w:szCs w:val="20"/>
          <w:color w:val="auto"/>
        </w:rPr>
      </w:pPr>
      <w:r>
        <w:rPr>
          <w:rFonts w:ascii="Arial" w:cs="Arial" w:eastAsia="Arial" w:hAnsi="Arial"/>
          <w:sz w:val="22"/>
          <w:szCs w:val="22"/>
          <w:color w:val="auto"/>
        </w:rPr>
        <w:t>Cumulative through September 2005, net loan loss provisions resulted in a positive effect in net income of US$0.3 million, compared also to a US$0.7 million net positive recovery during the first nine months of 2004.</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 BCB´s own records, net income in third quarter 2005 was US$3.5 million and of US$2.1 million in the preceding second quarter, compared to US$1.1 million in each of the corresponding year-ago quarters.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BCB’s main financial figures are shown in the following chart.</w:t>
      </w:r>
    </w:p>
    <w:p>
      <w:pPr>
        <w:spacing w:after="0" w:line="20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Banco de Crédito de Bolivia (“BCB”)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Financial Figures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i w:val="1"/>
                <w:iCs w:val="1"/>
                <w:color w:val="auto"/>
              </w:rPr>
              <w:t>(In US$Mn)</w:t>
            </w: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30.09.04</w:t>
            </w: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30.06.05</w:t>
            </w: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30.09.05</w:t>
            </w:r>
          </w:p>
        </w:tc>
      </w:tr>
      <w:tr>
        <w:trPr>
          <w:trHeight w:val="160"/>
        </w:trPr>
        <w:tc>
          <w:tcPr>
            <w:tcW w:w="6280" w:type="dxa"/>
            <w:vAlign w:val="bottom"/>
          </w:tcPr>
          <w:p>
            <w:pPr>
              <w:spacing w:after="0" w:line="160" w:lineRule="exact"/>
              <w:rPr>
                <w:sz w:val="20"/>
                <w:szCs w:val="20"/>
                <w:color w:val="auto"/>
              </w:rPr>
            </w:pPr>
            <w:r>
              <w:rPr>
                <w:rFonts w:ascii="Arial" w:cs="Arial" w:eastAsia="Arial" w:hAnsi="Arial"/>
                <w:sz w:val="15"/>
                <w:szCs w:val="15"/>
                <w:color w:val="auto"/>
              </w:rPr>
              <w:t>Total Loans</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301.9</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325.4</w:t>
            </w:r>
          </w:p>
        </w:tc>
        <w:tc>
          <w:tcPr>
            <w:tcW w:w="17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335.4</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Past-due loans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28.0</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23.1</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Loan loss reserves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35.7</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26.9</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Total assets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431.7</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469.1</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493.0</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Deposits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334.4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371.0</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379.2</w:t>
            </w:r>
          </w:p>
        </w:tc>
      </w:tr>
      <w:tr>
        <w:trPr>
          <w:trHeight w:val="188"/>
        </w:trPr>
        <w:tc>
          <w:tcPr>
            <w:tcW w:w="6280" w:type="dxa"/>
            <w:vAlign w:val="bottom"/>
          </w:tcPr>
          <w:p>
            <w:pPr>
              <w:spacing w:after="0"/>
              <w:rPr>
                <w:sz w:val="20"/>
                <w:szCs w:val="20"/>
                <w:color w:val="auto"/>
              </w:rPr>
            </w:pPr>
            <w:r>
              <w:rPr>
                <w:rFonts w:ascii="Arial" w:cs="Arial" w:eastAsia="Arial" w:hAnsi="Arial"/>
                <w:sz w:val="15"/>
                <w:szCs w:val="15"/>
                <w:color w:val="auto"/>
              </w:rPr>
              <w:t>Net equity</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57.5</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58.5</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61.9</w:t>
            </w:r>
          </w:p>
        </w:tc>
      </w:tr>
      <w:tr>
        <w:trPr>
          <w:trHeight w:val="324"/>
        </w:trPr>
        <w:tc>
          <w:tcPr>
            <w:tcW w:w="6280" w:type="dxa"/>
            <w:vAlign w:val="bottom"/>
          </w:tcPr>
          <w:p>
            <w:pPr>
              <w:spacing w:after="0"/>
              <w:rPr>
                <w:sz w:val="20"/>
                <w:szCs w:val="20"/>
                <w:color w:val="auto"/>
              </w:rPr>
            </w:pPr>
            <w:r>
              <w:rPr>
                <w:rFonts w:ascii="Arial" w:cs="Arial" w:eastAsia="Arial" w:hAnsi="Arial"/>
                <w:sz w:val="15"/>
                <w:szCs w:val="15"/>
                <w:color w:val="auto"/>
              </w:rPr>
              <w:t>Net income, cumulative</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2.6</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6.5</w:t>
            </w:r>
          </w:p>
        </w:tc>
      </w:tr>
      <w:tr>
        <w:trPr>
          <w:trHeight w:val="298"/>
        </w:trPr>
        <w:tc>
          <w:tcPr>
            <w:tcW w:w="6280" w:type="dxa"/>
            <w:vAlign w:val="bottom"/>
          </w:tcPr>
          <w:p>
            <w:pPr>
              <w:spacing w:after="0"/>
              <w:rPr>
                <w:sz w:val="20"/>
                <w:szCs w:val="20"/>
                <w:color w:val="auto"/>
              </w:rPr>
            </w:pPr>
            <w:r>
              <w:rPr>
                <w:rFonts w:ascii="Arial" w:cs="Arial" w:eastAsia="Arial" w:hAnsi="Arial"/>
                <w:sz w:val="15"/>
                <w:szCs w:val="15"/>
                <w:color w:val="auto"/>
              </w:rPr>
              <w:t>Past-due loans / Total loans</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14.2%</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8.6%</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6.9%</w:t>
            </w:r>
          </w:p>
        </w:tc>
      </w:tr>
      <w:tr>
        <w:trPr>
          <w:trHeight w:val="171"/>
        </w:trPr>
        <w:tc>
          <w:tcPr>
            <w:tcW w:w="628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Loss reserves / Past-due loans</w:t>
            </w:r>
          </w:p>
        </w:tc>
        <w:tc>
          <w:tcPr>
            <w:tcW w:w="172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83.3%</w:t>
            </w:r>
          </w:p>
        </w:tc>
        <w:tc>
          <w:tcPr>
            <w:tcW w:w="172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105.2%</w:t>
            </w:r>
          </w:p>
        </w:tc>
        <w:tc>
          <w:tcPr>
            <w:tcW w:w="17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116.4%</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II.9 NOTE ON INFLATION ADJUSTED ACCOUNTING</w:t>
      </w:r>
    </w:p>
    <w:p>
      <w:pPr>
        <w:spacing w:after="0" w:line="219" w:lineRule="exact"/>
        <w:rPr>
          <w:sz w:val="20"/>
          <w:szCs w:val="20"/>
          <w:color w:val="auto"/>
        </w:rPr>
      </w:pPr>
    </w:p>
    <w:p>
      <w:pPr>
        <w:ind w:right="180"/>
        <w:spacing w:after="0" w:line="210" w:lineRule="auto"/>
        <w:rPr>
          <w:sz w:val="20"/>
          <w:szCs w:val="20"/>
          <w:color w:val="auto"/>
        </w:rPr>
      </w:pPr>
      <w:r>
        <w:rPr>
          <w:rFonts w:ascii="Arial" w:cs="Arial" w:eastAsia="Arial" w:hAnsi="Arial"/>
          <w:sz w:val="22"/>
          <w:szCs w:val="22"/>
          <w:color w:val="auto"/>
        </w:rPr>
        <w:t>Inflation adjustment accounting rules were required by Peruvian GAAP until December 31, 2004. Starting January 1</w:t>
      </w:r>
      <w:r>
        <w:rPr>
          <w:rFonts w:ascii="Arial" w:cs="Arial" w:eastAsia="Arial" w:hAnsi="Arial"/>
          <w:sz w:val="36"/>
          <w:szCs w:val="36"/>
          <w:color w:val="auto"/>
          <w:vertAlign w:val="superscript"/>
        </w:rPr>
        <w:t>st</w:t>
      </w:r>
      <w:r>
        <w:rPr>
          <w:rFonts w:ascii="Arial" w:cs="Arial" w:eastAsia="Arial" w:hAnsi="Arial"/>
          <w:sz w:val="22"/>
          <w:szCs w:val="22"/>
          <w:color w:val="auto"/>
        </w:rPr>
        <w:t>, 2005, Peruvian authorities decreed the suspension, with legal and tax effects, of further inflation adjustments, which is a consequence of international guidelines for low inflation countries as experienced recently in Perú.</w:t>
      </w:r>
    </w:p>
    <w:p>
      <w:pPr>
        <w:spacing w:after="0" w:line="187"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Following the elimination of inflation adjusted accounting, starting with fiscal 2005 Credicorp and its subsidiaries report their financial statements prepared in accordance with IFRS and in U. S. Dollars.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The inflation adjustment index, based on the wholesale price inflation, and the exchange rate, are shown in the following chart: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30.09.04</w:t>
            </w:r>
          </w:p>
        </w:tc>
        <w:tc>
          <w:tcPr>
            <w:tcW w:w="17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30.06.05</w:t>
            </w:r>
          </w:p>
        </w:tc>
        <w:tc>
          <w:tcPr>
            <w:tcW w:w="170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30.09.05</w:t>
            </w:r>
          </w:p>
        </w:tc>
      </w:tr>
      <w:tr>
        <w:trPr>
          <w:trHeight w:val="160"/>
        </w:trPr>
        <w:tc>
          <w:tcPr>
            <w:tcW w:w="6280" w:type="dxa"/>
            <w:vAlign w:val="bottom"/>
            <w:tcBorders>
              <w:top w:val="single" w:sz="8" w:color="auto"/>
            </w:tcBorders>
          </w:tcPr>
          <w:p>
            <w:pPr>
              <w:spacing w:after="0" w:line="160" w:lineRule="exact"/>
              <w:rPr>
                <w:sz w:val="20"/>
                <w:szCs w:val="20"/>
                <w:color w:val="auto"/>
              </w:rPr>
            </w:pPr>
            <w:r>
              <w:rPr>
                <w:rFonts w:ascii="Arial" w:cs="Arial" w:eastAsia="Arial" w:hAnsi="Arial"/>
                <w:sz w:val="15"/>
                <w:szCs w:val="15"/>
                <w:color w:val="auto"/>
              </w:rPr>
              <w:t>Inflation – wholesale prices</w:t>
            </w:r>
          </w:p>
        </w:tc>
        <w:tc>
          <w:tcPr>
            <w:tcW w:w="2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62"/>
        </w:trPr>
        <w:tc>
          <w:tcPr>
            <w:tcW w:w="6280" w:type="dxa"/>
            <w:vAlign w:val="bottom"/>
          </w:tcPr>
          <w:p>
            <w:pPr>
              <w:ind w:left="420"/>
              <w:spacing w:after="0" w:line="162" w:lineRule="exact"/>
              <w:rPr>
                <w:sz w:val="20"/>
                <w:szCs w:val="20"/>
                <w:color w:val="auto"/>
              </w:rPr>
            </w:pPr>
            <w:r>
              <w:rPr>
                <w:rFonts w:ascii="Arial" w:cs="Arial" w:eastAsia="Arial" w:hAnsi="Arial"/>
                <w:sz w:val="15"/>
                <w:szCs w:val="15"/>
                <w:color w:val="auto"/>
              </w:rPr>
              <w:t>(last twelve months)</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Inflation adjustment index</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8"/>
        </w:trPr>
        <w:tc>
          <w:tcPr>
            <w:tcW w:w="6280" w:type="dxa"/>
            <w:vAlign w:val="bottom"/>
          </w:tcPr>
          <w:p>
            <w:pPr>
              <w:ind w:left="420"/>
              <w:spacing w:after="0"/>
              <w:rPr>
                <w:sz w:val="20"/>
                <w:szCs w:val="20"/>
                <w:color w:val="auto"/>
              </w:rPr>
            </w:pPr>
            <w:r>
              <w:rPr>
                <w:rFonts w:ascii="Arial" w:cs="Arial" w:eastAsia="Arial" w:hAnsi="Arial"/>
                <w:sz w:val="15"/>
                <w:szCs w:val="15"/>
                <w:color w:val="auto"/>
              </w:rPr>
              <w:t>(at December 31, 2004)</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1.000</w:t>
            </w:r>
          </w:p>
        </w:tc>
      </w:tr>
      <w:tr>
        <w:trPr>
          <w:trHeight w:val="298"/>
        </w:trPr>
        <w:tc>
          <w:tcPr>
            <w:tcW w:w="6280" w:type="dxa"/>
            <w:vAlign w:val="bottom"/>
          </w:tcPr>
          <w:p>
            <w:pPr>
              <w:spacing w:after="0"/>
              <w:rPr>
                <w:sz w:val="20"/>
                <w:szCs w:val="20"/>
                <w:color w:val="auto"/>
              </w:rPr>
            </w:pPr>
            <w:r>
              <w:rPr>
                <w:rFonts w:ascii="Arial" w:cs="Arial" w:eastAsia="Arial" w:hAnsi="Arial"/>
                <w:sz w:val="15"/>
                <w:szCs w:val="15"/>
                <w:color w:val="auto"/>
              </w:rPr>
              <w:t>Exchange rate (Soles per US$1)</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S/.3.342</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S/.3.253</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S/.3.344</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Devaluation / (revaluation)</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6280" w:type="dxa"/>
            <w:vAlign w:val="bottom"/>
            <w:tcBorders>
              <w:bottom w:val="single" w:sz="8" w:color="auto"/>
            </w:tcBorders>
          </w:tcPr>
          <w:p>
            <w:pPr>
              <w:ind w:left="420"/>
              <w:spacing w:after="0" w:line="172" w:lineRule="exact"/>
              <w:rPr>
                <w:sz w:val="20"/>
                <w:szCs w:val="20"/>
                <w:color w:val="auto"/>
              </w:rPr>
            </w:pPr>
            <w:r>
              <w:rPr>
                <w:rFonts w:ascii="Arial" w:cs="Arial" w:eastAsia="Arial" w:hAnsi="Arial"/>
                <w:sz w:val="15"/>
                <w:szCs w:val="15"/>
                <w:color w:val="auto"/>
              </w:rPr>
              <w:t>(last twelve months)</w:t>
            </w:r>
          </w:p>
        </w:tc>
        <w:tc>
          <w:tcPr>
            <w:tcW w:w="172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(4.02)%</w:t>
            </w:r>
          </w:p>
        </w:tc>
        <w:tc>
          <w:tcPr>
            <w:tcW w:w="172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(6.28)%</w:t>
            </w:r>
          </w:p>
        </w:tc>
        <w:tc>
          <w:tcPr>
            <w:tcW w:w="17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0.06%</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III. ATLANTIC SECURITY HOLDING CORPORATION AND SUBSIDIARIES (“ASHC”)</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In the first nine months of 2005, Atlantic contributed US$10.0 million to Credicorp’s consolidated net attributable income, above US$9.3 million contributed in the same period in 2004. In the quarter ended September 30, 2005, Atlantic contributed US$3.6 million to consolidated profits, higher than US$2.8 million contributed in the year-ago third quarter. Improved net income is mainly due to higher non-interest income that offset decreased financial income.</w:t>
      </w:r>
    </w:p>
    <w:p>
      <w:pPr>
        <w:spacing w:after="0" w:line="174"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For September year-to-date, ASHC’s records show net income of US$21.7 million, higher than its US$10.0 million contribution, due to the elimination in the consolidation process of dividends received from Credicorp of US$11.7 million.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and non-financial income</w:t>
      </w:r>
    </w:p>
    <w:p>
      <w:pPr>
        <w:spacing w:after="0" w:line="206"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Net interest income, before risk provisions and not including dividend income, was US$3.0 million in the third quarter of 2005, below US$3.4 million in the same quarter of last year. Net interest income as a percentage of interest earning assets, without considering dividends, was 1.5% during third quarter 2005, lower than the 1.9% margin in the third quarter 2004, and also compared to 1.6% margin in the preceding second quarter. Compared with the year-ago quarter, the margin decreased mainly because during 2004 the investment portfolio grew its lower risk and lower return segments, compounded by higher funding costs due to increasing interest rates.</w:t>
      </w:r>
    </w:p>
    <w:p>
      <w:pPr>
        <w:spacing w:after="0" w:line="188"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During the third quarter of 2005 provision charges against income for market risk amounted to US$200 thousand, while no credit risk provision was required. In the year-ago third quarter no provision was required.</w:t>
      </w:r>
    </w:p>
    <w:p>
      <w:pPr>
        <w:spacing w:after="0" w:line="17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Non-interest income, which includes fee income, realized gains on securities transactions before risk provisions and others, amounted to US$2.7 million in the third quarter of 2005, higher than US$1.3 million in the same year-ago quarter, mainly due to increased gains on securities. Fee income was US$1.2 million in the current period, compared to US$1.0 million fee revenue in the year-ago quarter.</w:t>
      </w:r>
    </w:p>
    <w:p>
      <w:pPr>
        <w:spacing w:after="0" w:line="18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The ratio of operating expenses over average assets improve to 0.8%, annualized, in the third quarter of 2005, from the ratio of 0.9% in the same period in 2004. This ratio declines to 0.4% in third quarter of 2005, when funds under management are included within total assets, lower than 0.5% in the year-ago quarter.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Assets and liabilities</w:t>
      </w:r>
    </w:p>
    <w:p>
      <w:pPr>
        <w:spacing w:after="0" w:line="200" w:lineRule="exact"/>
        <w:rPr>
          <w:sz w:val="20"/>
          <w:szCs w:val="20"/>
          <w:color w:val="auto"/>
        </w:rPr>
      </w:pPr>
    </w:p>
    <w:p>
      <w:pPr>
        <w:jc w:val="both"/>
        <w:ind w:right="40"/>
        <w:spacing w:after="0" w:line="243"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loan portfolio</w:t>
      </w:r>
      <w:r>
        <w:rPr>
          <w:rFonts w:ascii="Arial" w:cs="Arial" w:eastAsia="Arial" w:hAnsi="Arial"/>
          <w:sz w:val="22"/>
          <w:szCs w:val="22"/>
          <w:color w:val="auto"/>
        </w:rPr>
        <w:t>, net of provisions, was US$130.6 million as of September 30, 2005, decreasing compared to US$154.5 million at the end of September 2004. As of September 30, 2005, the loan portfolio had no past dues, improving from a 2.4% past due ratio at September 2004.</w:t>
      </w:r>
    </w:p>
    <w:p>
      <w:pPr>
        <w:spacing w:after="0" w:line="177"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securities portfolio</w:t>
      </w:r>
      <w:r>
        <w:rPr>
          <w:rFonts w:ascii="Arial" w:cs="Arial" w:eastAsia="Arial" w:hAnsi="Arial"/>
          <w:sz w:val="22"/>
          <w:szCs w:val="22"/>
          <w:color w:val="auto"/>
        </w:rPr>
        <w:t xml:space="preserve"> increased to US$618.8 million at September 2005, from US$500.5 million last September 2004, and also grew compared to US$555.5 million at the end of June 2005.</w:t>
      </w:r>
    </w:p>
    <w:p>
      <w:pPr>
        <w:spacing w:after="0" w:line="163"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 xml:space="preserve">Deposits </w:t>
      </w:r>
      <w:r>
        <w:rPr>
          <w:rFonts w:ascii="Arial" w:cs="Arial" w:eastAsia="Arial" w:hAnsi="Arial"/>
          <w:sz w:val="22"/>
          <w:szCs w:val="22"/>
          <w:color w:val="auto"/>
        </w:rPr>
        <w:t>amounted to US$821.3 million at September 30, 2005, increasing from the balance of US$688.7 million at the end of the</w:t>
      </w:r>
      <w:r>
        <w:rPr>
          <w:rFonts w:ascii="Arial" w:cs="Arial" w:eastAsia="Arial" w:hAnsi="Arial"/>
          <w:sz w:val="22"/>
          <w:szCs w:val="22"/>
          <w:b w:val="1"/>
          <w:bCs w:val="1"/>
          <w:color w:val="auto"/>
        </w:rPr>
        <w:t xml:space="preserve"> </w:t>
      </w:r>
      <w:r>
        <w:rPr>
          <w:rFonts w:ascii="Arial" w:cs="Arial" w:eastAsia="Arial" w:hAnsi="Arial"/>
          <w:sz w:val="22"/>
          <w:szCs w:val="22"/>
          <w:color w:val="auto"/>
        </w:rPr>
        <w:t>year-ago third quarter, and also compared to US$747.1 million at the end of June 2005.</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9" w:name="page20"/>
    <w:bookmarkEnd w:id="19"/>
    <w:p>
      <w:pPr>
        <w:ind w:right="40"/>
        <w:spacing w:after="0" w:line="243" w:lineRule="auto"/>
        <w:rPr>
          <w:sz w:val="20"/>
          <w:szCs w:val="20"/>
          <w:color w:val="auto"/>
        </w:rPr>
      </w:pPr>
      <w:r>
        <w:rPr>
          <w:rFonts w:ascii="Arial" w:cs="Arial" w:eastAsia="Arial" w:hAnsi="Arial"/>
          <w:sz w:val="22"/>
          <w:szCs w:val="22"/>
          <w:b w:val="1"/>
          <w:bCs w:val="1"/>
          <w:color w:val="auto"/>
        </w:rPr>
        <w:t xml:space="preserve">Funds under management </w:t>
      </w:r>
      <w:r>
        <w:rPr>
          <w:rFonts w:ascii="Arial" w:cs="Arial" w:eastAsia="Arial" w:hAnsi="Arial"/>
          <w:sz w:val="22"/>
          <w:szCs w:val="22"/>
          <w:color w:val="auto"/>
        </w:rPr>
        <w:t>were US$900.5 million at September 30, 2005, 27.0% higher than US$708.8 million at September</w:t>
      </w:r>
      <w:r>
        <w:rPr>
          <w:rFonts w:ascii="Arial" w:cs="Arial" w:eastAsia="Arial" w:hAnsi="Arial"/>
          <w:sz w:val="22"/>
          <w:szCs w:val="22"/>
          <w:b w:val="1"/>
          <w:bCs w:val="1"/>
          <w:color w:val="auto"/>
        </w:rPr>
        <w:t xml:space="preserve"> </w:t>
      </w:r>
      <w:r>
        <w:rPr>
          <w:rFonts w:ascii="Arial" w:cs="Arial" w:eastAsia="Arial" w:hAnsi="Arial"/>
          <w:sz w:val="22"/>
          <w:szCs w:val="22"/>
          <w:color w:val="auto"/>
        </w:rPr>
        <w:t>2004, and grew 12.9% compared to US$797.3 million at June 2005, mostly due to additions to the client base as well as to higher valuations of the portfolio.</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9"/>
          <w:szCs w:val="19"/>
          <w:b w:val="1"/>
          <w:bCs w:val="1"/>
          <w:color w:val="auto"/>
        </w:rPr>
        <w:t xml:space="preserve">Net equity </w:t>
      </w:r>
      <w:r>
        <w:rPr>
          <w:rFonts w:ascii="Arial" w:cs="Arial" w:eastAsia="Arial" w:hAnsi="Arial"/>
          <w:sz w:val="19"/>
          <w:szCs w:val="19"/>
          <w:color w:val="auto"/>
        </w:rPr>
        <w:t>reached US$161.8 million at the end of September 2005, increasing over US$146.5 million at September 2004, due to</w:t>
      </w:r>
      <w:r>
        <w:rPr>
          <w:rFonts w:ascii="Arial" w:cs="Arial" w:eastAsia="Arial" w:hAnsi="Arial"/>
          <w:sz w:val="19"/>
          <w:szCs w:val="19"/>
          <w:b w:val="1"/>
          <w:bCs w:val="1"/>
          <w:color w:val="auto"/>
        </w:rPr>
        <w:t xml:space="preserve"> </w:t>
      </w:r>
      <w:r>
        <w:rPr>
          <w:rFonts w:ascii="Arial" w:cs="Arial" w:eastAsia="Arial" w:hAnsi="Arial"/>
          <w:sz w:val="19"/>
          <w:szCs w:val="19"/>
          <w:color w:val="auto"/>
        </w:rPr>
        <w:t>current period’s earnings and net of US$10.0 million dividends paid to Credicorp in second quarter 2005. The equity account of reserves for market value of investments amounted to US$9.0 million at the end of September 2005, increasing from US$7.7 million at the beginning of the quarter, but remains similar to the balance at September 30, 2004.</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11" w:right="41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2"/>
          <w:szCs w:val="22"/>
          <w:b w:val="1"/>
          <w:bCs w:val="1"/>
          <w:color w:val="auto"/>
        </w:rPr>
        <w:t>IV. EL PACIFICO-PERUANO SUIZA AND SUBSIDIARIES (“PPS”)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w:t>
      </w:r>
    </w:p>
    <w:p>
      <w:pPr>
        <w:spacing w:after="0" w:line="206"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Based of IFRS accounting principles, in U.S. Dollars, PPS contributed to Credicorp in the first nine months of 2005, a net income of US$4.7 million, compared to US$9.3 million in the same year-ago period. Contributed net income in the third quarter of 2005 was US$2.4 million, improving from US$0.1 million in the preceding second quarter 2005, but declines compared to US$3.0 million in the third quarter of 2004.</w:t>
      </w:r>
    </w:p>
    <w:p>
      <w:pPr>
        <w:spacing w:after="0" w:line="185"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In the first nine months of 2005, net income decreased compared to the same 2004 period, mainly due to higher claims on marine hull risks.</w:t>
      </w:r>
    </w:p>
    <w:p>
      <w:pPr>
        <w:spacing w:after="0" w:line="173"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Comparing third quarter figures with the same year-ago quarter, significant declines are noted in Premiums and health fees, as well as in Claims and health costs, which are mainly because results in August 2004 included retroactively operations from March though July of Novasalud EPS. Novasalud EPS was acquired in March 2004, and merged with Pacífico Salud in August 2004.</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and operating expense</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Total premiums and Pacífico Salud health fees in the third quarter of 2005 were US$88.6 million, 15.3% lower than premiums of US$104.5 million in the same year-ago quarter. The decline is due mainly to the merger of Novasalud EPS which caused, as mentioned above, the registering of US$24.0 million in fees for operations from March through July 2004. Without considering this effect, total premiums grew 10.1% .</w:t>
      </w:r>
    </w:p>
    <w:p>
      <w:pPr>
        <w:spacing w:after="0" w:line="185"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Retained premiums decrease 2.9% to US$72.4 million compared to the preceding second quarter 2005, and are 18.0% lower than retained premiums in third quarter 2004.</w:t>
      </w:r>
    </w:p>
    <w:p>
      <w:pPr>
        <w:spacing w:after="0" w:line="173" w:lineRule="exact"/>
        <w:rPr>
          <w:sz w:val="20"/>
          <w:szCs w:val="20"/>
          <w:color w:val="auto"/>
        </w:rPr>
      </w:pPr>
    </w:p>
    <w:p>
      <w:pPr>
        <w:ind w:right="880"/>
        <w:spacing w:after="0" w:line="251" w:lineRule="auto"/>
        <w:rPr>
          <w:sz w:val="20"/>
          <w:szCs w:val="20"/>
          <w:color w:val="auto"/>
        </w:rPr>
      </w:pPr>
      <w:r>
        <w:rPr>
          <w:rFonts w:ascii="Arial" w:cs="Arial" w:eastAsia="Arial" w:hAnsi="Arial"/>
          <w:sz w:val="22"/>
          <w:szCs w:val="22"/>
          <w:color w:val="auto"/>
        </w:rPr>
        <w:t>Cumulative through September 2005, net premiums earned and health fees, net of reinsured premiums and reserves, were US$166.5 million, increasing 15.0% compared to the same prior year period.</w:t>
      </w:r>
    </w:p>
    <w:p>
      <w:pPr>
        <w:spacing w:after="0" w:line="173"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Additions to technical reserves for premiums grew by US$14.4 million in the third quarter of 2005, 29.3% lower than additions in the preceding second quarter 2005, and also 21.0% lower compared to reserve additions in the third quarter of last year. Most of reserves in the third quarter of 2005 were established by Pacífico Vida, for its life annuities and life insurance lines.</w:t>
      </w:r>
    </w:p>
    <w:p>
      <w:pPr>
        <w:spacing w:after="0" w:line="134"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Net consolidated underwriting results was US$6.4 million in the third quarter of 2005, decreasing from US$11.9 million in the same prior year quarter, but improves from US$2.0 million in the preceding quarter. Cumulative through September 2005, net consolidated underwriting results reached US$15.6 million, 26.8% below the year-ago period, mostly due to higher claims in the current year. As of September 2005 claims reached US$129.0 million, higher than US$104.4 million in the first nine months of 2004.</w:t>
      </w:r>
    </w:p>
    <w:p>
      <w:pPr>
        <w:spacing w:after="0" w:line="188"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The ratio of net underwriting results (net premiums and health fees less reserves and claims as a percentage of total premiums) was 7.2% in the third quarter of 2005, higher than 2.2% in the preceding second quarter, but is below the 11.4% ratio in the 2004 3Q.</w:t>
      </w:r>
    </w:p>
    <w:p>
      <w:pPr>
        <w:spacing w:after="0" w:line="105"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Financial results reached US$9.4 million in third quarter 2005, lower than US$10.2 million in the preceding second quarter, but increases compared to US$9.0 million in third quarter 2004.</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1" w:name="page22"/>
    <w:bookmarkEnd w:id="21"/>
    <w:p>
      <w:pPr>
        <w:ind w:right="60"/>
        <w:spacing w:after="0" w:line="251" w:lineRule="auto"/>
        <w:rPr>
          <w:sz w:val="20"/>
          <w:szCs w:val="20"/>
          <w:color w:val="auto"/>
        </w:rPr>
      </w:pPr>
      <w:r>
        <w:rPr>
          <w:rFonts w:ascii="Arial" w:cs="Arial" w:eastAsia="Arial" w:hAnsi="Arial"/>
          <w:sz w:val="22"/>
          <w:szCs w:val="22"/>
          <w:color w:val="auto"/>
        </w:rPr>
        <w:t>Exchange difference resulted in a loss of US$0.3 million in third quarter 2005, compared to the loss of US$0.6 million in the same period of 2004.</w:t>
      </w:r>
    </w:p>
    <w:p>
      <w:pPr>
        <w:spacing w:after="0" w:line="174"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Operating expenses over net premiums earned, decreased from 19.8% to 18.9% comparing the third quarters of 2004 and 2005, respectively. The ratio of operating expenses over average assets declined from 8.8% to 5.8%, in these same periods.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lines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Comparing cumulative results through September 2005 and 2004, consolidated total premiums and fees consisted of:</w:t>
      </w:r>
    </w:p>
    <w:p>
      <w:pPr>
        <w:spacing w:after="0" w:line="230"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general insurance lines, amounting to 46.9% of total premiums and grew 4.4%;</w:t>
      </w:r>
    </w:p>
    <w:p>
      <w:pPr>
        <w:spacing w:after="0" w:line="1" w:lineRule="exact"/>
        <w:rPr>
          <w:rFonts w:ascii="Arial" w:cs="Arial" w:eastAsia="Arial" w:hAnsi="Arial"/>
          <w:sz w:val="15"/>
          <w:szCs w:val="15"/>
          <w:color w:val="auto"/>
        </w:rPr>
      </w:pPr>
    </w:p>
    <w:p>
      <w:pPr>
        <w:ind w:left="380" w:hanging="372"/>
        <w:spacing w:after="0" w:line="225" w:lineRule="auto"/>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fees at Pacífico Salud, were 21.7% of total premiums and increased 12.5%; and,</w:t>
      </w:r>
    </w:p>
    <w:p>
      <w:pPr>
        <w:ind w:left="380" w:hanging="372"/>
        <w:spacing w:after="0"/>
        <w:tabs>
          <w:tab w:leader="none" w:pos="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Pacífico Vida, which amounted to 31.4% of the total and decreased 1.0%.</w:t>
      </w:r>
    </w:p>
    <w:p>
      <w:pPr>
        <w:spacing w:after="0" w:line="182"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Cumulative through September 30, 2005, growth of Pacífico Salud and the health and medical assistance insurance line (31.4% of total premiums) was 12.5%; fire insurance lines (12.8% of total premiums) decreased 7.6%; while the automobile insurance line (5.3% of total premiums) grew 6.5% compared to the prior year period.</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Through September 2005, group life insurance and individual life insurance policies (11.5% of total premiums) grew 17.3%; life annuities (12.2% of total premiums) decreased 25.8%, because of the very high level in the past year which was favored by the change in early retirement rules; while pension fund benefits insurance (6.5% of total premiums) increased 44.4%, compared to the prior year.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Claims</w:t>
      </w:r>
    </w:p>
    <w:p>
      <w:pPr>
        <w:spacing w:after="0" w:line="206"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Net insurance claims and health services costs incurred in the third quarter of 2005 were US$43.6 million, decreasing from claims of US$44.8 million in the preceding second quarter of 2005, and also from US$48.6 million in the same year-ago quarter.</w:t>
      </w:r>
    </w:p>
    <w:p>
      <w:pPr>
        <w:spacing w:after="0" w:line="99" w:lineRule="exact"/>
        <w:rPr>
          <w:sz w:val="20"/>
          <w:szCs w:val="20"/>
          <w:color w:val="auto"/>
        </w:rPr>
      </w:pPr>
    </w:p>
    <w:p>
      <w:pPr>
        <w:ind w:right="180"/>
        <w:spacing w:after="0" w:line="243"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net loss ratio</w:t>
      </w:r>
      <w:r>
        <w:rPr>
          <w:rFonts w:ascii="Arial" w:cs="Arial" w:eastAsia="Arial" w:hAnsi="Arial"/>
          <w:sz w:val="22"/>
          <w:szCs w:val="22"/>
          <w:color w:val="auto"/>
        </w:rPr>
        <w:t xml:space="preserve"> (net claims to net premiums) increases to 75.1% in the current quarter from 71.7% in third quarter 2004, but is lower than 82.5% in second quarter 2005. The september year-to-date net loss ratio, increased from 72.1% in 2004, to 77.5% in 2005.</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Increased net loss ratio is mostly explained by the increase in the Pacífico Salud portfolio which had a higher claims ratio of 86.5%</w:t>
      </w:r>
    </w:p>
    <w:p>
      <w:pPr>
        <w:spacing w:after="0" w:line="43" w:lineRule="exact"/>
        <w:rPr>
          <w:sz w:val="20"/>
          <w:szCs w:val="20"/>
          <w:color w:val="auto"/>
        </w:rPr>
      </w:pPr>
    </w:p>
    <w:p>
      <w:pPr>
        <w:ind w:right="20" w:firstLine="8"/>
        <w:spacing w:after="0" w:line="237" w:lineRule="auto"/>
        <w:tabs>
          <w:tab w:leader="none" w:pos="108" w:val="left"/>
        </w:tabs>
        <w:numPr>
          <w:ilvl w:val="0"/>
          <w:numId w:val="8"/>
        </w:numPr>
        <w:rPr>
          <w:rFonts w:ascii="Arial" w:cs="Arial" w:eastAsia="Arial" w:hAnsi="Arial"/>
          <w:sz w:val="22"/>
          <w:szCs w:val="22"/>
          <w:color w:val="auto"/>
        </w:rPr>
      </w:pPr>
      <w:r>
        <w:rPr>
          <w:rFonts w:ascii="Arial" w:cs="Arial" w:eastAsia="Arial" w:hAnsi="Arial"/>
          <w:sz w:val="22"/>
          <w:szCs w:val="22"/>
          <w:color w:val="auto"/>
        </w:rPr>
        <w:t>During third quarter 2005 high loss ratios were reported for property and liability (102.6%), health (89.4%), and in Pacífico Salud (86.5%) .</w:t>
      </w:r>
    </w:p>
    <w:p>
      <w:pPr>
        <w:spacing w:after="0" w:line="179" w:lineRule="exact"/>
        <w:rPr>
          <w:sz w:val="20"/>
          <w:szCs w:val="20"/>
          <w:color w:val="auto"/>
        </w:rPr>
      </w:pPr>
    </w:p>
    <w:p>
      <w:pPr>
        <w:ind w:right="160"/>
        <w:spacing w:after="0" w:line="243"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combined ratio</w:t>
      </w:r>
      <w:r>
        <w:rPr>
          <w:rFonts w:ascii="Arial" w:cs="Arial" w:eastAsia="Arial" w:hAnsi="Arial"/>
          <w:sz w:val="22"/>
          <w:szCs w:val="22"/>
          <w:color w:val="auto"/>
        </w:rPr>
        <w:t xml:space="preserve"> (the sum of net claims and health services, general expenses and commissions, as a percentage of net earned premiums and health fees, without including Pacifico Vida) increased from 94.1% in the third quarter of 2004 to 95.1% in the current quarter, but improves from 108.7% in second quarter 2005.</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Assets and investments</w:t>
      </w:r>
    </w:p>
    <w:p>
      <w:pPr>
        <w:spacing w:after="0" w:line="206"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Investments in real estate and financial assets were US$623.2 million at the end of September 2005, increasing 35.2% from the year-ago balance of US$461.0 million.</w:t>
      </w:r>
    </w:p>
    <w:p>
      <w:pPr>
        <w:spacing w:after="0" w:line="173"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As of September 30, 2005, total assets were US$802.8 million increasing 21.7% compared to the year-ago balance. At the end of the current period net equity amounted to US$195.8 million, 38.7% above net equity at September 2004, mainly due to higher valuation of investments.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i w:val="1"/>
          <w:iCs w:val="1"/>
          <w:color w:val="auto"/>
        </w:rPr>
        <w:t>Market share</w:t>
      </w:r>
    </w:p>
    <w:p>
      <w:pPr>
        <w:spacing w:after="0" w:line="207"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The Peruvian insurance market, cumulative through August 31, 2005, had total premiums of US$656.8 million, increasing 10.7% compared to premiums in the same eight month period in 2004. For the first eight months of 2005, PPS's market share in total premiums was 28.1% (30.5% in the same year-ago period), with the share in general risks and health lines being 30.7% (32.6% in the same period of 2004) and in life insurance and pension fund benefits lines of 24.9% (27.9% in the same period of 2004). PPS’s decreased market share is partly due to the lower shares in SOAT (mandatory auto insurance) and aviation insurance lines, and to the decrease in life annuities during 2005.</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8 Tables To Follow ***</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CREDICORP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1</w:t>
      </w:r>
    </w:p>
    <w:p>
      <w:pPr>
        <w:jc w:val="center"/>
        <w:spacing w:after="0" w:line="230" w:lineRule="auto"/>
        <w:rPr>
          <w:sz w:val="20"/>
          <w:szCs w:val="20"/>
          <w:color w:val="auto"/>
        </w:rPr>
      </w:pPr>
      <w:r>
        <w:rPr>
          <w:rFonts w:ascii="Arial" w:cs="Arial" w:eastAsia="Arial" w:hAnsi="Arial"/>
          <w:sz w:val="22"/>
          <w:szCs w:val="22"/>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 thousands of U.S.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380" w:type="dxa"/>
            <w:vAlign w:val="bottom"/>
            <w:tcBorders>
              <w:top w:val="single" w:sz="8" w:color="auto"/>
              <w:bottom w:val="single" w:sz="8" w:color="auto"/>
            </w:tcBorders>
            <w:gridSpan w:val="2"/>
            <w:vMerge w:val="restart"/>
          </w:tcPr>
          <w:p>
            <w:pPr>
              <w:jc w:val="center"/>
              <w:ind w:right="2160"/>
              <w:spacing w:after="0"/>
              <w:rPr>
                <w:sz w:val="20"/>
                <w:szCs w:val="20"/>
                <w:color w:val="auto"/>
              </w:rPr>
            </w:pPr>
            <w:r>
              <w:rPr>
                <w:rFonts w:ascii="Arial" w:cs="Arial" w:eastAsia="Arial" w:hAnsi="Arial"/>
                <w:sz w:val="15"/>
                <w:szCs w:val="15"/>
                <w:b w:val="1"/>
                <w:bCs w:val="1"/>
                <w:color w:val="auto"/>
                <w:w w:val="89"/>
              </w:rPr>
              <w:t>ASSETS</w:t>
            </w:r>
          </w:p>
        </w:tc>
        <w:tc>
          <w:tcPr>
            <w:tcW w:w="220" w:type="dxa"/>
            <w:vAlign w:val="bottom"/>
            <w:tcBorders>
              <w:top w:val="single" w:sz="8" w:color="auto"/>
              <w:bottom w:val="single" w:sz="8" w:color="auto"/>
            </w:tcBorders>
            <w:vMerge w:val="restart"/>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4"/>
          </w:tcPr>
          <w:p>
            <w:pPr>
              <w:ind w:left="540"/>
              <w:spacing w:after="0"/>
              <w:rPr>
                <w:sz w:val="20"/>
                <w:szCs w:val="20"/>
                <w:color w:val="auto"/>
              </w:rPr>
            </w:pPr>
            <w:r>
              <w:rPr>
                <w:rFonts w:ascii="Arial" w:cs="Arial" w:eastAsia="Arial" w:hAnsi="Arial"/>
                <w:sz w:val="15"/>
                <w:szCs w:val="15"/>
                <w:b w:val="1"/>
                <w:bCs w:val="1"/>
                <w:color w:val="auto"/>
              </w:rPr>
              <w:t>As of</w:t>
            </w:r>
          </w:p>
        </w:tc>
        <w:tc>
          <w:tcPr>
            <w:tcW w:w="4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tcBorders>
              <w:bottom w:val="single" w:sz="8" w:color="auto"/>
            </w:tcBorders>
            <w:gridSpan w:val="4"/>
          </w:tcPr>
          <w:p>
            <w:pPr>
              <w:jc w:val="right"/>
              <w:ind w:right="40"/>
              <w:spacing w:after="0" w:line="169" w:lineRule="exact"/>
              <w:rPr>
                <w:sz w:val="20"/>
                <w:szCs w:val="20"/>
                <w:color w:val="auto"/>
              </w:rPr>
            </w:pPr>
            <w:r>
              <w:rPr>
                <w:rFonts w:ascii="Arial" w:cs="Arial" w:eastAsia="Arial" w:hAnsi="Arial"/>
                <w:sz w:val="15"/>
                <w:szCs w:val="15"/>
                <w:b w:val="1"/>
                <w:bCs w:val="1"/>
                <w:color w:val="auto"/>
              </w:rPr>
              <w:t>Set. 30, 2004</w:t>
            </w:r>
          </w:p>
        </w:tc>
        <w:tc>
          <w:tcPr>
            <w:tcW w:w="22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40"/>
              <w:spacing w:after="0" w:line="169" w:lineRule="exact"/>
              <w:rPr>
                <w:sz w:val="20"/>
                <w:szCs w:val="20"/>
                <w:color w:val="auto"/>
              </w:rPr>
            </w:pPr>
            <w:r>
              <w:rPr>
                <w:rFonts w:ascii="Arial" w:cs="Arial" w:eastAsia="Arial" w:hAnsi="Arial"/>
                <w:sz w:val="15"/>
                <w:szCs w:val="15"/>
                <w:b w:val="1"/>
                <w:bCs w:val="1"/>
                <w:color w:val="auto"/>
              </w:rPr>
              <w:t>Dec. 31, 2004</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180"/>
              <w:spacing w:after="0" w:line="169" w:lineRule="exact"/>
              <w:rPr>
                <w:sz w:val="20"/>
                <w:szCs w:val="20"/>
                <w:color w:val="auto"/>
              </w:rPr>
            </w:pPr>
            <w:r>
              <w:rPr>
                <w:rFonts w:ascii="Arial" w:cs="Arial" w:eastAsia="Arial" w:hAnsi="Arial"/>
                <w:sz w:val="15"/>
                <w:szCs w:val="15"/>
                <w:b w:val="1"/>
                <w:bCs w:val="1"/>
                <w:color w:val="auto"/>
                <w:w w:val="89"/>
              </w:rPr>
              <w:t>Jun. 30, 2005</w:t>
            </w:r>
          </w:p>
        </w:tc>
        <w:tc>
          <w:tcPr>
            <w:tcW w:w="24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40"/>
              <w:spacing w:after="0" w:line="169" w:lineRule="exact"/>
              <w:rPr>
                <w:sz w:val="20"/>
                <w:szCs w:val="20"/>
                <w:color w:val="auto"/>
              </w:rPr>
            </w:pPr>
            <w:r>
              <w:rPr>
                <w:rFonts w:ascii="Arial" w:cs="Arial" w:eastAsia="Arial" w:hAnsi="Arial"/>
                <w:sz w:val="15"/>
                <w:szCs w:val="15"/>
                <w:b w:val="1"/>
                <w:bCs w:val="1"/>
                <w:color w:val="auto"/>
              </w:rPr>
              <w:t>Set. 30, 2005</w:t>
            </w:r>
          </w:p>
        </w:tc>
        <w:tc>
          <w:tcPr>
            <w:tcW w:w="0" w:type="dxa"/>
            <w:vAlign w:val="bottom"/>
          </w:tcPr>
          <w:p>
            <w:pPr>
              <w:spacing w:after="0"/>
              <w:rPr>
                <w:sz w:val="1"/>
                <w:szCs w:val="1"/>
                <w:color w:val="auto"/>
              </w:rPr>
            </w:pPr>
          </w:p>
        </w:tc>
      </w:tr>
      <w:tr>
        <w:trPr>
          <w:trHeight w:val="156"/>
        </w:trPr>
        <w:tc>
          <w:tcPr>
            <w:tcW w:w="5720" w:type="dxa"/>
            <w:vAlign w:val="bottom"/>
            <w:gridSpan w:val="8"/>
          </w:tcPr>
          <w:p>
            <w:pPr>
              <w:spacing w:after="0" w:line="156" w:lineRule="exact"/>
              <w:rPr>
                <w:sz w:val="20"/>
                <w:szCs w:val="20"/>
                <w:color w:val="auto"/>
              </w:rPr>
            </w:pPr>
            <w:r>
              <w:rPr>
                <w:rFonts w:ascii="Arial" w:cs="Arial" w:eastAsia="Arial" w:hAnsi="Arial"/>
                <w:sz w:val="15"/>
                <w:szCs w:val="15"/>
                <w:color w:val="auto"/>
              </w:rPr>
              <w:t>CASH AND DUE FROM BANKS</w:t>
            </w:r>
          </w:p>
        </w:tc>
        <w:tc>
          <w:tcPr>
            <w:tcW w:w="124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278,249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3"/>
            <w:vMerge w:val="restart"/>
          </w:tcPr>
          <w:p>
            <w:pPr>
              <w:jc w:val="right"/>
              <w:ind w:right="40"/>
              <w:spacing w:after="0"/>
              <w:rPr>
                <w:sz w:val="20"/>
                <w:szCs w:val="20"/>
                <w:color w:val="auto"/>
              </w:rPr>
            </w:pPr>
            <w:r>
              <w:rPr>
                <w:rFonts w:ascii="Arial" w:cs="Arial" w:eastAsia="Arial" w:hAnsi="Arial"/>
                <w:sz w:val="15"/>
                <w:szCs w:val="15"/>
                <w:color w:val="auto"/>
              </w:rPr>
              <w:t>264,218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305,772</w:t>
            </w:r>
          </w:p>
        </w:tc>
        <w:tc>
          <w:tcPr>
            <w:tcW w:w="240" w:type="dxa"/>
            <w:vAlign w:val="bottom"/>
          </w:tcPr>
          <w:p>
            <w:pPr>
              <w:spacing w:after="0"/>
              <w:rPr>
                <w:sz w:val="13"/>
                <w:szCs w:val="13"/>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5"/>
                <w:szCs w:val="15"/>
                <w:color w:val="auto"/>
              </w:rPr>
              <w:t>308,715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20" w:type="dxa"/>
            <w:vAlign w:val="bottom"/>
            <w:gridSpan w:val="8"/>
          </w:tcPr>
          <w:p>
            <w:pPr>
              <w:ind w:left="40"/>
              <w:spacing w:after="0" w:line="146" w:lineRule="exact"/>
              <w:rPr>
                <w:sz w:val="20"/>
                <w:szCs w:val="20"/>
                <w:color w:val="auto"/>
              </w:rPr>
            </w:pPr>
            <w:r>
              <w:rPr>
                <w:rFonts w:ascii="Arial" w:cs="Arial" w:eastAsia="Arial" w:hAnsi="Arial"/>
                <w:sz w:val="15"/>
                <w:szCs w:val="15"/>
                <w:color w:val="auto"/>
              </w:rPr>
              <w:t>Cash and non interest bearing deposits in banks</w:t>
            </w:r>
          </w:p>
        </w:tc>
        <w:tc>
          <w:tcPr>
            <w:tcW w:w="124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720" w:type="dxa"/>
            <w:vAlign w:val="bottom"/>
            <w:gridSpan w:val="8"/>
          </w:tcPr>
          <w:p>
            <w:pPr>
              <w:ind w:left="40"/>
              <w:spacing w:after="0" w:line="158" w:lineRule="exact"/>
              <w:rPr>
                <w:sz w:val="20"/>
                <w:szCs w:val="20"/>
                <w:color w:val="auto"/>
              </w:rPr>
            </w:pPr>
            <w:r>
              <w:rPr>
                <w:rFonts w:ascii="Arial" w:cs="Arial" w:eastAsia="Arial" w:hAnsi="Arial"/>
                <w:sz w:val="15"/>
                <w:szCs w:val="15"/>
                <w:color w:val="auto"/>
              </w:rPr>
              <w:t>Interest bearing deposits in banks</w:t>
            </w:r>
          </w:p>
        </w:tc>
        <w:tc>
          <w:tcPr>
            <w:tcW w:w="1240" w:type="dxa"/>
            <w:vAlign w:val="bottom"/>
            <w:gridSpan w:val="3"/>
          </w:tcPr>
          <w:p>
            <w:pPr>
              <w:jc w:val="right"/>
              <w:ind w:right="20"/>
              <w:spacing w:after="0" w:line="158" w:lineRule="exact"/>
              <w:rPr>
                <w:sz w:val="20"/>
                <w:szCs w:val="20"/>
                <w:color w:val="auto"/>
              </w:rPr>
            </w:pPr>
            <w:r>
              <w:rPr>
                <w:rFonts w:ascii="Arial" w:cs="Arial" w:eastAsia="Arial" w:hAnsi="Arial"/>
                <w:sz w:val="15"/>
                <w:szCs w:val="15"/>
                <w:color w:val="auto"/>
              </w:rPr>
              <w:t>1,543,537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1,575,241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20"/>
              <w:spacing w:after="0" w:line="158" w:lineRule="exact"/>
              <w:rPr>
                <w:sz w:val="20"/>
                <w:szCs w:val="20"/>
                <w:color w:val="auto"/>
              </w:rPr>
            </w:pPr>
            <w:r>
              <w:rPr>
                <w:rFonts w:ascii="Arial" w:cs="Arial" w:eastAsia="Arial" w:hAnsi="Arial"/>
                <w:sz w:val="15"/>
                <w:szCs w:val="15"/>
                <w:color w:val="auto"/>
              </w:rPr>
              <w:t>1,240,174</w:t>
            </w:r>
          </w:p>
        </w:tc>
        <w:tc>
          <w:tcPr>
            <w:tcW w:w="240" w:type="dxa"/>
            <w:vAlign w:val="bottom"/>
          </w:tcPr>
          <w:p>
            <w:pPr>
              <w:spacing w:after="0"/>
              <w:rPr>
                <w:sz w:val="13"/>
                <w:szCs w:val="13"/>
                <w:color w:val="auto"/>
              </w:rPr>
            </w:pPr>
          </w:p>
        </w:tc>
        <w:tc>
          <w:tcPr>
            <w:tcW w:w="120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1,453,358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5"/>
                <w:szCs w:val="15"/>
                <w:color w:val="auto"/>
                <w:w w:val="83"/>
              </w:rPr>
              <w:t>1,821,786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83"/>
              </w:rPr>
              <w:t>1,839,459</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86"/>
              </w:rPr>
              <w:t>1,545,946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86"/>
              </w:rPr>
              <w:t>1,762,073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5720" w:type="dxa"/>
            <w:vAlign w:val="bottom"/>
            <w:gridSpan w:val="8"/>
          </w:tcPr>
          <w:p>
            <w:pPr>
              <w:spacing w:after="0"/>
              <w:rPr>
                <w:sz w:val="20"/>
                <w:szCs w:val="20"/>
                <w:color w:val="auto"/>
              </w:rPr>
            </w:pPr>
            <w:r>
              <w:rPr>
                <w:rFonts w:ascii="Arial" w:cs="Arial" w:eastAsia="Arial" w:hAnsi="Arial"/>
                <w:sz w:val="15"/>
                <w:szCs w:val="15"/>
                <w:color w:val="auto"/>
              </w:rPr>
              <w:t>MARKETABLE SECURITIES, net</w:t>
            </w:r>
          </w:p>
        </w:tc>
        <w:tc>
          <w:tcPr>
            <w:tcW w:w="1240" w:type="dxa"/>
            <w:vAlign w:val="bottom"/>
            <w:gridSpan w:val="3"/>
          </w:tcPr>
          <w:p>
            <w:pPr>
              <w:jc w:val="right"/>
              <w:ind w:right="20"/>
              <w:spacing w:after="0"/>
              <w:rPr>
                <w:sz w:val="20"/>
                <w:szCs w:val="20"/>
                <w:color w:val="auto"/>
              </w:rPr>
            </w:pPr>
            <w:r>
              <w:rPr>
                <w:rFonts w:ascii="Arial" w:cs="Arial" w:eastAsia="Arial" w:hAnsi="Arial"/>
                <w:sz w:val="15"/>
                <w:szCs w:val="15"/>
                <w:color w:val="auto"/>
              </w:rPr>
              <w:t>83,749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5"/>
                <w:szCs w:val="15"/>
                <w:color w:val="auto"/>
              </w:rPr>
              <w:t>82,513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5"/>
                <w:szCs w:val="15"/>
                <w:color w:val="auto"/>
              </w:rPr>
              <w:t>23,745</w:t>
            </w: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88,829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720" w:type="dxa"/>
            <w:vAlign w:val="bottom"/>
            <w:gridSpan w:val="8"/>
          </w:tcPr>
          <w:p>
            <w:pPr>
              <w:spacing w:after="0"/>
              <w:rPr>
                <w:sz w:val="20"/>
                <w:szCs w:val="20"/>
                <w:color w:val="auto"/>
              </w:rPr>
            </w:pPr>
            <w:r>
              <w:rPr>
                <w:rFonts w:ascii="Arial" w:cs="Arial" w:eastAsia="Arial" w:hAnsi="Arial"/>
                <w:sz w:val="15"/>
                <w:szCs w:val="15"/>
                <w:color w:val="auto"/>
              </w:rPr>
              <w:t>LOANS</w:t>
            </w:r>
          </w:p>
        </w:tc>
        <w:tc>
          <w:tcPr>
            <w:tcW w:w="1240" w:type="dxa"/>
            <w:vAlign w:val="bottom"/>
            <w:gridSpan w:val="3"/>
          </w:tcPr>
          <w:p>
            <w:pPr>
              <w:jc w:val="right"/>
              <w:ind w:right="20"/>
              <w:spacing w:after="0"/>
              <w:rPr>
                <w:sz w:val="20"/>
                <w:szCs w:val="20"/>
                <w:color w:val="auto"/>
              </w:rPr>
            </w:pPr>
            <w:r>
              <w:rPr>
                <w:rFonts w:ascii="Arial" w:cs="Arial" w:eastAsia="Arial" w:hAnsi="Arial"/>
                <w:sz w:val="15"/>
                <w:szCs w:val="15"/>
                <w:color w:val="auto"/>
              </w:rPr>
              <w:t>4,531,648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5"/>
                <w:szCs w:val="15"/>
                <w:color w:val="auto"/>
              </w:rPr>
              <w:t>4,587,997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5"/>
                <w:szCs w:val="15"/>
                <w:color w:val="auto"/>
              </w:rPr>
              <w:t>4,793,375</w:t>
            </w: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4,651,259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00" w:type="dxa"/>
            <w:vAlign w:val="bottom"/>
            <w:tcBorders>
              <w:top w:val="single" w:sz="8" w:color="auto"/>
            </w:tcBorders>
          </w:tcPr>
          <w:p>
            <w:pPr>
              <w:ind w:left="40"/>
              <w:spacing w:after="0" w:line="146" w:lineRule="exact"/>
              <w:rPr>
                <w:sz w:val="20"/>
                <w:szCs w:val="20"/>
                <w:color w:val="auto"/>
              </w:rPr>
            </w:pPr>
            <w:r>
              <w:rPr>
                <w:rFonts w:ascii="Arial" w:cs="Arial" w:eastAsia="Arial" w:hAnsi="Arial"/>
                <w:sz w:val="15"/>
                <w:szCs w:val="15"/>
                <w:color w:val="auto"/>
                <w:w w:val="87"/>
              </w:rPr>
              <w:t>Current</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660" w:type="dxa"/>
            <w:vAlign w:val="bottom"/>
          </w:tcPr>
          <w:p>
            <w:pPr>
              <w:spacing w:after="0"/>
              <w:rPr>
                <w:sz w:val="12"/>
                <w:szCs w:val="12"/>
                <w:color w:val="auto"/>
              </w:rPr>
            </w:pPr>
          </w:p>
        </w:tc>
        <w:tc>
          <w:tcPr>
            <w:tcW w:w="19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3"/>
              </w:rPr>
              <w:t>4,316,616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3"/>
              </w:rPr>
              <w:t>4,427,626</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6"/>
              </w:rPr>
              <w:t>4,665,940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6"/>
              </w:rPr>
              <w:t>4,533,513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20" w:type="dxa"/>
            <w:vAlign w:val="bottom"/>
            <w:gridSpan w:val="8"/>
          </w:tcPr>
          <w:p>
            <w:pPr>
              <w:ind w:left="40"/>
              <w:spacing w:after="0" w:line="162" w:lineRule="exact"/>
              <w:rPr>
                <w:sz w:val="20"/>
                <w:szCs w:val="20"/>
                <w:color w:val="auto"/>
              </w:rPr>
            </w:pPr>
            <w:r>
              <w:rPr>
                <w:rFonts w:ascii="Arial" w:cs="Arial" w:eastAsia="Arial" w:hAnsi="Arial"/>
                <w:sz w:val="15"/>
                <w:szCs w:val="15"/>
                <w:color w:val="auto"/>
              </w:rPr>
              <w:t>Past Due</w:t>
            </w:r>
          </w:p>
        </w:tc>
        <w:tc>
          <w:tcPr>
            <w:tcW w:w="12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215,032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160,371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127,435</w:t>
            </w:r>
          </w:p>
        </w:tc>
        <w:tc>
          <w:tcPr>
            <w:tcW w:w="240" w:type="dxa"/>
            <w:vAlign w:val="bottom"/>
          </w:tcPr>
          <w:p>
            <w:pPr>
              <w:spacing w:after="0"/>
              <w:rPr>
                <w:sz w:val="14"/>
                <w:szCs w:val="14"/>
                <w:color w:val="auto"/>
              </w:rPr>
            </w:pPr>
          </w:p>
        </w:tc>
        <w:tc>
          <w:tcPr>
            <w:tcW w:w="12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117,746</w:t>
            </w:r>
          </w:p>
        </w:tc>
        <w:tc>
          <w:tcPr>
            <w:tcW w:w="0" w:type="dxa"/>
            <w:vAlign w:val="bottom"/>
          </w:tcPr>
          <w:p>
            <w:pPr>
              <w:spacing w:after="0"/>
              <w:rPr>
                <w:sz w:val="1"/>
                <w:szCs w:val="1"/>
                <w:color w:val="auto"/>
              </w:rPr>
            </w:pPr>
          </w:p>
        </w:tc>
      </w:tr>
      <w:tr>
        <w:trPr>
          <w:trHeight w:val="162"/>
        </w:trPr>
        <w:tc>
          <w:tcPr>
            <w:tcW w:w="5720" w:type="dxa"/>
            <w:vAlign w:val="bottom"/>
            <w:gridSpan w:val="8"/>
          </w:tcPr>
          <w:p>
            <w:pPr>
              <w:ind w:left="40"/>
              <w:spacing w:after="0" w:line="162" w:lineRule="exact"/>
              <w:rPr>
                <w:sz w:val="20"/>
                <w:szCs w:val="20"/>
                <w:color w:val="auto"/>
              </w:rPr>
            </w:pPr>
            <w:r>
              <w:rPr>
                <w:rFonts w:ascii="Arial" w:cs="Arial" w:eastAsia="Arial" w:hAnsi="Arial"/>
                <w:sz w:val="15"/>
                <w:szCs w:val="15"/>
                <w:color w:val="auto"/>
              </w:rPr>
              <w:t>Less - Reserve for possible loan losses</w:t>
            </w:r>
          </w:p>
        </w:tc>
        <w:tc>
          <w:tcPr>
            <w:tcW w:w="148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(262,412)</w:t>
            </w:r>
          </w:p>
        </w:tc>
        <w:tc>
          <w:tcPr>
            <w:tcW w:w="1500" w:type="dxa"/>
            <w:vAlign w:val="bottom"/>
            <w:gridSpan w:val="4"/>
          </w:tcPr>
          <w:p>
            <w:pPr>
              <w:jc w:val="right"/>
              <w:ind w:right="240"/>
              <w:spacing w:after="0" w:line="162" w:lineRule="exact"/>
              <w:rPr>
                <w:sz w:val="20"/>
                <w:szCs w:val="20"/>
                <w:color w:val="auto"/>
              </w:rPr>
            </w:pPr>
            <w:r>
              <w:rPr>
                <w:rFonts w:ascii="Arial" w:cs="Arial" w:eastAsia="Arial" w:hAnsi="Arial"/>
                <w:sz w:val="15"/>
                <w:szCs w:val="15"/>
                <w:color w:val="auto"/>
              </w:rPr>
              <w:t>(253,408)</w:t>
            </w:r>
          </w:p>
        </w:tc>
        <w:tc>
          <w:tcPr>
            <w:tcW w:w="200" w:type="dxa"/>
            <w:vAlign w:val="bottom"/>
          </w:tcPr>
          <w:p>
            <w:pPr>
              <w:spacing w:after="0"/>
              <w:rPr>
                <w:sz w:val="14"/>
                <w:szCs w:val="14"/>
                <w:color w:val="auto"/>
              </w:rPr>
            </w:pPr>
          </w:p>
        </w:tc>
        <w:tc>
          <w:tcPr>
            <w:tcW w:w="1280" w:type="dxa"/>
            <w:vAlign w:val="bottom"/>
            <w:gridSpan w:val="4"/>
          </w:tcPr>
          <w:p>
            <w:pPr>
              <w:jc w:val="right"/>
              <w:ind w:right="240"/>
              <w:spacing w:after="0" w:line="162" w:lineRule="exact"/>
              <w:rPr>
                <w:sz w:val="20"/>
                <w:szCs w:val="20"/>
                <w:color w:val="auto"/>
              </w:rPr>
            </w:pPr>
            <w:r>
              <w:rPr>
                <w:rFonts w:ascii="Arial" w:cs="Arial" w:eastAsia="Arial" w:hAnsi="Arial"/>
                <w:sz w:val="15"/>
                <w:szCs w:val="15"/>
                <w:color w:val="auto"/>
              </w:rPr>
              <w:t>(227,750)</w:t>
            </w:r>
          </w:p>
        </w:tc>
        <w:tc>
          <w:tcPr>
            <w:tcW w:w="12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(202,985)</w:t>
            </w:r>
          </w:p>
        </w:tc>
        <w:tc>
          <w:tcPr>
            <w:tcW w:w="0" w:type="dxa"/>
            <w:vAlign w:val="bottom"/>
          </w:tcPr>
          <w:p>
            <w:pPr>
              <w:spacing w:after="0"/>
              <w:rPr>
                <w:sz w:val="1"/>
                <w:szCs w:val="1"/>
                <w:color w:val="auto"/>
              </w:rPr>
            </w:pPr>
          </w:p>
        </w:tc>
      </w:tr>
      <w:tr>
        <w:trPr>
          <w:trHeight w:val="158"/>
        </w:trPr>
        <w:tc>
          <w:tcPr>
            <w:tcW w:w="5720" w:type="dxa"/>
            <w:vAlign w:val="bottom"/>
            <w:gridSpan w:val="8"/>
          </w:tcPr>
          <w:p>
            <w:pPr>
              <w:spacing w:after="0" w:line="158" w:lineRule="exact"/>
              <w:rPr>
                <w:sz w:val="20"/>
                <w:szCs w:val="20"/>
                <w:color w:val="auto"/>
              </w:rPr>
            </w:pPr>
            <w:r>
              <w:rPr>
                <w:rFonts w:ascii="Arial" w:cs="Arial" w:eastAsia="Arial" w:hAnsi="Arial"/>
                <w:sz w:val="15"/>
                <w:szCs w:val="15"/>
                <w:color w:val="auto"/>
              </w:rPr>
              <w:t>LOANS NET</w:t>
            </w:r>
          </w:p>
        </w:tc>
        <w:tc>
          <w:tcPr>
            <w:tcW w:w="1240" w:type="dxa"/>
            <w:vAlign w:val="bottom"/>
            <w:gridSpan w:val="3"/>
          </w:tcPr>
          <w:p>
            <w:pPr>
              <w:jc w:val="right"/>
              <w:ind w:right="20"/>
              <w:spacing w:after="0" w:line="158" w:lineRule="exact"/>
              <w:rPr>
                <w:sz w:val="20"/>
                <w:szCs w:val="20"/>
                <w:color w:val="auto"/>
              </w:rPr>
            </w:pPr>
            <w:r>
              <w:rPr>
                <w:rFonts w:ascii="Arial" w:cs="Arial" w:eastAsia="Arial" w:hAnsi="Arial"/>
                <w:sz w:val="15"/>
                <w:szCs w:val="15"/>
                <w:color w:val="auto"/>
              </w:rPr>
              <w:t>4,269,236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4,334,589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20"/>
              <w:spacing w:after="0" w:line="158" w:lineRule="exact"/>
              <w:rPr>
                <w:sz w:val="20"/>
                <w:szCs w:val="20"/>
                <w:color w:val="auto"/>
              </w:rPr>
            </w:pPr>
            <w:r>
              <w:rPr>
                <w:rFonts w:ascii="Arial" w:cs="Arial" w:eastAsia="Arial" w:hAnsi="Arial"/>
                <w:sz w:val="15"/>
                <w:szCs w:val="15"/>
                <w:color w:val="auto"/>
              </w:rPr>
              <w:t>4,565,625</w:t>
            </w:r>
          </w:p>
        </w:tc>
        <w:tc>
          <w:tcPr>
            <w:tcW w:w="240" w:type="dxa"/>
            <w:vAlign w:val="bottom"/>
          </w:tcPr>
          <w:p>
            <w:pPr>
              <w:spacing w:after="0"/>
              <w:rPr>
                <w:sz w:val="13"/>
                <w:szCs w:val="13"/>
                <w:color w:val="auto"/>
              </w:rPr>
            </w:pPr>
          </w:p>
        </w:tc>
        <w:tc>
          <w:tcPr>
            <w:tcW w:w="120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4,448,274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720" w:type="dxa"/>
            <w:vAlign w:val="bottom"/>
            <w:gridSpan w:val="8"/>
          </w:tcPr>
          <w:p>
            <w:pPr>
              <w:spacing w:after="0"/>
              <w:rPr>
                <w:sz w:val="20"/>
                <w:szCs w:val="20"/>
                <w:color w:val="auto"/>
              </w:rPr>
            </w:pPr>
            <w:r>
              <w:rPr>
                <w:rFonts w:ascii="Arial" w:cs="Arial" w:eastAsia="Arial" w:hAnsi="Arial"/>
                <w:sz w:val="15"/>
                <w:szCs w:val="15"/>
                <w:color w:val="auto"/>
              </w:rPr>
              <w:t>INVESTMENT SECURITIES AVAILABLE FOR SALE</w:t>
            </w:r>
          </w:p>
        </w:tc>
        <w:tc>
          <w:tcPr>
            <w:tcW w:w="1240" w:type="dxa"/>
            <w:vAlign w:val="bottom"/>
            <w:gridSpan w:val="3"/>
          </w:tcPr>
          <w:p>
            <w:pPr>
              <w:jc w:val="right"/>
              <w:ind w:right="20"/>
              <w:spacing w:after="0"/>
              <w:rPr>
                <w:sz w:val="20"/>
                <w:szCs w:val="20"/>
                <w:color w:val="auto"/>
              </w:rPr>
            </w:pPr>
            <w:r>
              <w:rPr>
                <w:rFonts w:ascii="Arial" w:cs="Arial" w:eastAsia="Arial" w:hAnsi="Arial"/>
                <w:sz w:val="15"/>
                <w:szCs w:val="15"/>
                <w:color w:val="auto"/>
              </w:rPr>
              <w:t>1,885,455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5"/>
                <w:szCs w:val="15"/>
                <w:color w:val="auto"/>
              </w:rPr>
              <w:t>2,118,690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5"/>
                <w:szCs w:val="15"/>
                <w:color w:val="auto"/>
              </w:rPr>
              <w:t>2,640,090</w:t>
            </w: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2,761,967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720" w:type="dxa"/>
            <w:vAlign w:val="bottom"/>
            <w:gridSpan w:val="8"/>
          </w:tcPr>
          <w:p>
            <w:pPr>
              <w:spacing w:after="0" w:line="162" w:lineRule="exact"/>
              <w:rPr>
                <w:sz w:val="20"/>
                <w:szCs w:val="20"/>
                <w:color w:val="auto"/>
              </w:rPr>
            </w:pPr>
            <w:r>
              <w:rPr>
                <w:rFonts w:ascii="Arial" w:cs="Arial" w:eastAsia="Arial" w:hAnsi="Arial"/>
                <w:sz w:val="15"/>
                <w:szCs w:val="15"/>
                <w:color w:val="auto"/>
              </w:rPr>
              <w:t>REINSURANCE ASSETS</w:t>
            </w:r>
          </w:p>
        </w:tc>
        <w:tc>
          <w:tcPr>
            <w:tcW w:w="12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38,666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35,453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30,562</w:t>
            </w:r>
          </w:p>
        </w:tc>
        <w:tc>
          <w:tcPr>
            <w:tcW w:w="240" w:type="dxa"/>
            <w:vAlign w:val="bottom"/>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27,989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gridSpan w:val="8"/>
          </w:tcPr>
          <w:p>
            <w:pPr>
              <w:spacing w:after="0" w:line="162" w:lineRule="exact"/>
              <w:rPr>
                <w:sz w:val="20"/>
                <w:szCs w:val="20"/>
                <w:color w:val="auto"/>
              </w:rPr>
            </w:pPr>
            <w:r>
              <w:rPr>
                <w:rFonts w:ascii="Arial" w:cs="Arial" w:eastAsia="Arial" w:hAnsi="Arial"/>
                <w:sz w:val="15"/>
                <w:szCs w:val="15"/>
                <w:color w:val="auto"/>
              </w:rPr>
              <w:t>PREMIUMS AND OTHER POLICYHOLDER RECEIVABLES</w:t>
            </w:r>
          </w:p>
        </w:tc>
        <w:tc>
          <w:tcPr>
            <w:tcW w:w="12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58,322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60,665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54,891</w:t>
            </w:r>
          </w:p>
        </w:tc>
        <w:tc>
          <w:tcPr>
            <w:tcW w:w="240" w:type="dxa"/>
            <w:vAlign w:val="bottom"/>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59,235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gridSpan w:val="8"/>
          </w:tcPr>
          <w:p>
            <w:pPr>
              <w:spacing w:after="0" w:line="162" w:lineRule="exact"/>
              <w:rPr>
                <w:sz w:val="20"/>
                <w:szCs w:val="20"/>
                <w:color w:val="auto"/>
              </w:rPr>
            </w:pPr>
            <w:r>
              <w:rPr>
                <w:rFonts w:ascii="Arial" w:cs="Arial" w:eastAsia="Arial" w:hAnsi="Arial"/>
                <w:sz w:val="15"/>
                <w:szCs w:val="15"/>
                <w:color w:val="auto"/>
              </w:rPr>
              <w:t>PROPERTY, PLANT and EQUIPMENT, net</w:t>
            </w:r>
          </w:p>
        </w:tc>
        <w:tc>
          <w:tcPr>
            <w:tcW w:w="12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248,129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249,083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243,866</w:t>
            </w:r>
          </w:p>
        </w:tc>
        <w:tc>
          <w:tcPr>
            <w:tcW w:w="240" w:type="dxa"/>
            <w:vAlign w:val="bottom"/>
          </w:tcPr>
          <w:p>
            <w:pPr>
              <w:spacing w:after="0"/>
              <w:rPr>
                <w:sz w:val="14"/>
                <w:szCs w:val="14"/>
                <w:color w:val="auto"/>
              </w:rPr>
            </w:pPr>
          </w:p>
        </w:tc>
        <w:tc>
          <w:tcPr>
            <w:tcW w:w="12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238,511</w:t>
            </w:r>
          </w:p>
        </w:tc>
        <w:tc>
          <w:tcPr>
            <w:tcW w:w="0" w:type="dxa"/>
            <w:vAlign w:val="bottom"/>
          </w:tcPr>
          <w:p>
            <w:pPr>
              <w:spacing w:after="0"/>
              <w:rPr>
                <w:sz w:val="1"/>
                <w:szCs w:val="1"/>
                <w:color w:val="auto"/>
              </w:rPr>
            </w:pPr>
          </w:p>
        </w:tc>
      </w:tr>
      <w:tr>
        <w:trPr>
          <w:trHeight w:val="162"/>
        </w:trPr>
        <w:tc>
          <w:tcPr>
            <w:tcW w:w="5720" w:type="dxa"/>
            <w:vAlign w:val="bottom"/>
            <w:gridSpan w:val="8"/>
          </w:tcPr>
          <w:p>
            <w:pPr>
              <w:spacing w:after="0" w:line="162" w:lineRule="exact"/>
              <w:rPr>
                <w:sz w:val="20"/>
                <w:szCs w:val="20"/>
                <w:color w:val="auto"/>
              </w:rPr>
            </w:pPr>
            <w:r>
              <w:rPr>
                <w:rFonts w:ascii="Arial" w:cs="Arial" w:eastAsia="Arial" w:hAnsi="Arial"/>
                <w:sz w:val="15"/>
                <w:szCs w:val="15"/>
                <w:color w:val="auto"/>
              </w:rPr>
              <w:t>DUE FROM CUSTOMERS ON ACCEPTANCES</w:t>
            </w:r>
          </w:p>
        </w:tc>
        <w:tc>
          <w:tcPr>
            <w:tcW w:w="12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51,765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47,635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38,151</w:t>
            </w:r>
          </w:p>
        </w:tc>
        <w:tc>
          <w:tcPr>
            <w:tcW w:w="240" w:type="dxa"/>
            <w:vAlign w:val="bottom"/>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50,756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720" w:type="dxa"/>
            <w:vAlign w:val="bottom"/>
            <w:gridSpan w:val="8"/>
          </w:tcPr>
          <w:p>
            <w:pPr>
              <w:spacing w:after="0"/>
              <w:rPr>
                <w:sz w:val="20"/>
                <w:szCs w:val="20"/>
                <w:color w:val="auto"/>
              </w:rPr>
            </w:pPr>
            <w:r>
              <w:rPr>
                <w:rFonts w:ascii="Arial" w:cs="Arial" w:eastAsia="Arial" w:hAnsi="Arial"/>
                <w:sz w:val="15"/>
                <w:szCs w:val="15"/>
                <w:color w:val="auto"/>
              </w:rPr>
              <w:t>OTHER ASSETS</w:t>
            </w:r>
          </w:p>
        </w:tc>
        <w:tc>
          <w:tcPr>
            <w:tcW w:w="1240" w:type="dxa"/>
            <w:vAlign w:val="bottom"/>
            <w:gridSpan w:val="3"/>
          </w:tcPr>
          <w:p>
            <w:pPr>
              <w:jc w:val="right"/>
              <w:ind w:right="20"/>
              <w:spacing w:after="0"/>
              <w:rPr>
                <w:sz w:val="20"/>
                <w:szCs w:val="20"/>
                <w:color w:val="auto"/>
              </w:rPr>
            </w:pPr>
            <w:r>
              <w:rPr>
                <w:rFonts w:ascii="Arial" w:cs="Arial" w:eastAsia="Arial" w:hAnsi="Arial"/>
                <w:sz w:val="15"/>
                <w:szCs w:val="15"/>
                <w:color w:val="auto"/>
              </w:rPr>
              <w:t>349,188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5"/>
                <w:szCs w:val="15"/>
                <w:color w:val="auto"/>
              </w:rPr>
              <w:t>352,501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5"/>
                <w:szCs w:val="15"/>
                <w:color w:val="auto"/>
              </w:rPr>
              <w:t>311,524</w:t>
            </w:r>
          </w:p>
        </w:tc>
        <w:tc>
          <w:tcPr>
            <w:tcW w:w="2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363,567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center"/>
              <w:ind w:right="2160"/>
              <w:spacing w:after="0"/>
              <w:rPr>
                <w:sz w:val="20"/>
                <w:szCs w:val="20"/>
                <w:color w:val="auto"/>
              </w:rPr>
            </w:pPr>
            <w:r>
              <w:rPr>
                <w:rFonts w:ascii="Arial" w:cs="Arial" w:eastAsia="Arial" w:hAnsi="Arial"/>
                <w:sz w:val="15"/>
                <w:szCs w:val="15"/>
                <w:b w:val="1"/>
                <w:bCs w:val="1"/>
                <w:color w:val="auto"/>
                <w:w w:val="96"/>
              </w:rPr>
              <w:t>TOTAL ASSETS</w:t>
            </w:r>
          </w:p>
        </w:tc>
        <w:tc>
          <w:tcPr>
            <w:tcW w:w="220" w:type="dxa"/>
            <w:vAlign w:val="bottom"/>
          </w:tcPr>
          <w:p>
            <w:pPr>
              <w:spacing w:after="0"/>
              <w:rPr>
                <w:sz w:val="24"/>
                <w:szCs w:val="24"/>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b w:val="1"/>
                <w:bCs w:val="1"/>
                <w:color w:val="auto"/>
              </w:rPr>
              <w:t>8,806,296</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9,120,588</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b w:val="1"/>
                <w:bCs w:val="1"/>
                <w:color w:val="auto"/>
              </w:rPr>
              <w:t>9,454,400</w:t>
            </w:r>
          </w:p>
        </w:tc>
        <w:tc>
          <w:tcPr>
            <w:tcW w:w="240" w:type="dxa"/>
            <w:vAlign w:val="bottom"/>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9,801,202</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00" w:type="dxa"/>
            <w:vAlign w:val="bottom"/>
            <w:gridSpan w:val="6"/>
          </w:tcPr>
          <w:p>
            <w:pPr>
              <w:jc w:val="center"/>
              <w:ind w:right="1080"/>
              <w:spacing w:after="0"/>
              <w:rPr>
                <w:sz w:val="20"/>
                <w:szCs w:val="20"/>
                <w:color w:val="auto"/>
              </w:rPr>
            </w:pPr>
            <w:r>
              <w:rPr>
                <w:rFonts w:ascii="Arial" w:cs="Arial" w:eastAsia="Arial" w:hAnsi="Arial"/>
                <w:sz w:val="15"/>
                <w:szCs w:val="15"/>
                <w:b w:val="1"/>
                <w:bCs w:val="1"/>
                <w:color w:val="auto"/>
              </w:rPr>
              <w:t>LIABILITIES AND SHAREHOLDERS' EQUITY</w:t>
            </w: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5720" w:type="dxa"/>
            <w:vAlign w:val="bottom"/>
            <w:gridSpan w:val="8"/>
          </w:tcPr>
          <w:p>
            <w:pPr>
              <w:spacing w:after="0"/>
              <w:rPr>
                <w:sz w:val="20"/>
                <w:szCs w:val="20"/>
                <w:color w:val="auto"/>
              </w:rPr>
            </w:pPr>
            <w:r>
              <w:rPr>
                <w:rFonts w:ascii="Arial" w:cs="Arial" w:eastAsia="Arial" w:hAnsi="Arial"/>
                <w:sz w:val="15"/>
                <w:szCs w:val="15"/>
                <w:color w:val="auto"/>
              </w:rPr>
              <w:t>DEPOSITS AND OBLIGATIONS:</w:t>
            </w:r>
          </w:p>
        </w:tc>
        <w:tc>
          <w:tcPr>
            <w:tcW w:w="124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813,737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vMerge w:val="restart"/>
          </w:tcPr>
          <w:p>
            <w:pPr>
              <w:jc w:val="right"/>
              <w:ind w:right="40"/>
              <w:spacing w:after="0"/>
              <w:rPr>
                <w:sz w:val="20"/>
                <w:szCs w:val="20"/>
                <w:color w:val="auto"/>
              </w:rPr>
            </w:pPr>
            <w:r>
              <w:rPr>
                <w:rFonts w:ascii="Arial" w:cs="Arial" w:eastAsia="Arial" w:hAnsi="Arial"/>
                <w:sz w:val="15"/>
                <w:szCs w:val="15"/>
                <w:color w:val="auto"/>
              </w:rPr>
              <w:t>1,406,846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1,442,397</w:t>
            </w:r>
          </w:p>
        </w:tc>
        <w:tc>
          <w:tcPr>
            <w:tcW w:w="240" w:type="dxa"/>
            <w:vAlign w:val="bottom"/>
          </w:tcPr>
          <w:p>
            <w:pPr>
              <w:spacing w:after="0"/>
              <w:rPr>
                <w:sz w:val="24"/>
                <w:szCs w:val="2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5"/>
                <w:szCs w:val="15"/>
                <w:color w:val="auto"/>
              </w:rPr>
              <w:t>1,440,388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120" w:type="dxa"/>
            <w:vAlign w:val="bottom"/>
            <w:tcBorders>
              <w:top w:val="single" w:sz="8" w:color="auto"/>
            </w:tcBorders>
            <w:gridSpan w:val="5"/>
          </w:tcPr>
          <w:p>
            <w:pPr>
              <w:ind w:left="40"/>
              <w:spacing w:after="0" w:line="146" w:lineRule="exact"/>
              <w:rPr>
                <w:sz w:val="20"/>
                <w:szCs w:val="20"/>
                <w:color w:val="auto"/>
              </w:rPr>
            </w:pPr>
            <w:r>
              <w:rPr>
                <w:rFonts w:ascii="Arial" w:cs="Arial" w:eastAsia="Arial" w:hAnsi="Arial"/>
                <w:sz w:val="15"/>
                <w:szCs w:val="15"/>
                <w:color w:val="auto"/>
              </w:rPr>
              <w:t>Non-interest bearing</w:t>
            </w:r>
          </w:p>
        </w:tc>
        <w:tc>
          <w:tcPr>
            <w:tcW w:w="1660" w:type="dxa"/>
            <w:vAlign w:val="bottom"/>
          </w:tcPr>
          <w:p>
            <w:pPr>
              <w:spacing w:after="0"/>
              <w:rPr>
                <w:sz w:val="12"/>
                <w:szCs w:val="12"/>
                <w:color w:val="auto"/>
              </w:rPr>
            </w:pPr>
          </w:p>
        </w:tc>
        <w:tc>
          <w:tcPr>
            <w:tcW w:w="1940" w:type="dxa"/>
            <w:vAlign w:val="bottom"/>
            <w:gridSpan w:val="2"/>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720" w:type="dxa"/>
            <w:vAlign w:val="bottom"/>
            <w:gridSpan w:val="8"/>
          </w:tcPr>
          <w:p>
            <w:pPr>
              <w:ind w:left="40"/>
              <w:spacing w:after="0" w:line="158" w:lineRule="exact"/>
              <w:rPr>
                <w:sz w:val="20"/>
                <w:szCs w:val="20"/>
                <w:color w:val="auto"/>
              </w:rPr>
            </w:pPr>
            <w:r>
              <w:rPr>
                <w:rFonts w:ascii="Arial" w:cs="Arial" w:eastAsia="Arial" w:hAnsi="Arial"/>
                <w:sz w:val="15"/>
                <w:szCs w:val="15"/>
                <w:color w:val="auto"/>
              </w:rPr>
              <w:t>Interest bearing</w:t>
            </w:r>
          </w:p>
        </w:tc>
        <w:tc>
          <w:tcPr>
            <w:tcW w:w="126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5,391,114</w:t>
            </w:r>
          </w:p>
        </w:tc>
        <w:tc>
          <w:tcPr>
            <w:tcW w:w="220" w:type="dxa"/>
            <w:vAlign w:val="bottom"/>
          </w:tcPr>
          <w:p>
            <w:pPr>
              <w:spacing w:after="0"/>
              <w:rPr>
                <w:sz w:val="13"/>
                <w:szCs w:val="13"/>
                <w:color w:val="auto"/>
              </w:rPr>
            </w:pPr>
          </w:p>
        </w:tc>
        <w:tc>
          <w:tcPr>
            <w:tcW w:w="126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4,983,883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20"/>
              <w:spacing w:after="0" w:line="158" w:lineRule="exact"/>
              <w:rPr>
                <w:sz w:val="20"/>
                <w:szCs w:val="20"/>
                <w:color w:val="auto"/>
              </w:rPr>
            </w:pPr>
            <w:r>
              <w:rPr>
                <w:rFonts w:ascii="Arial" w:cs="Arial" w:eastAsia="Arial" w:hAnsi="Arial"/>
                <w:sz w:val="15"/>
                <w:szCs w:val="15"/>
                <w:color w:val="auto"/>
              </w:rPr>
              <w:t>5,103,209</w:t>
            </w:r>
          </w:p>
        </w:tc>
        <w:tc>
          <w:tcPr>
            <w:tcW w:w="240" w:type="dxa"/>
            <w:vAlign w:val="bottom"/>
          </w:tcPr>
          <w:p>
            <w:pPr>
              <w:spacing w:after="0"/>
              <w:rPr>
                <w:sz w:val="13"/>
                <w:szCs w:val="13"/>
                <w:color w:val="auto"/>
              </w:rPr>
            </w:pPr>
          </w:p>
        </w:tc>
        <w:tc>
          <w:tcPr>
            <w:tcW w:w="120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5,285,108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5"/>
                <w:szCs w:val="15"/>
                <w:color w:val="auto"/>
                <w:w w:val="83"/>
              </w:rPr>
              <w:t>6,204,851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83"/>
              </w:rPr>
              <w:t>6,390,729</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86"/>
              </w:rPr>
              <w:t>6,545,606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86"/>
              </w:rPr>
              <w:t>6,725,496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5720" w:type="dxa"/>
            <w:vAlign w:val="bottom"/>
            <w:gridSpan w:val="8"/>
          </w:tcPr>
          <w:p>
            <w:pPr>
              <w:spacing w:after="0"/>
              <w:rPr>
                <w:sz w:val="20"/>
                <w:szCs w:val="20"/>
                <w:color w:val="auto"/>
              </w:rPr>
            </w:pPr>
            <w:r>
              <w:rPr>
                <w:rFonts w:ascii="Arial" w:cs="Arial" w:eastAsia="Arial" w:hAnsi="Arial"/>
                <w:sz w:val="15"/>
                <w:szCs w:val="15"/>
                <w:color w:val="auto"/>
              </w:rPr>
              <w:t>DUE TO BANKS AND CORRESPONDENTS</w:t>
            </w:r>
          </w:p>
        </w:tc>
        <w:tc>
          <w:tcPr>
            <w:tcW w:w="1240" w:type="dxa"/>
            <w:vAlign w:val="bottom"/>
            <w:gridSpan w:val="3"/>
          </w:tcPr>
          <w:p>
            <w:pPr>
              <w:jc w:val="right"/>
              <w:ind w:right="20"/>
              <w:spacing w:after="0"/>
              <w:rPr>
                <w:sz w:val="20"/>
                <w:szCs w:val="20"/>
                <w:color w:val="auto"/>
              </w:rPr>
            </w:pPr>
            <w:r>
              <w:rPr>
                <w:rFonts w:ascii="Arial" w:cs="Arial" w:eastAsia="Arial" w:hAnsi="Arial"/>
                <w:sz w:val="15"/>
                <w:szCs w:val="15"/>
                <w:color w:val="auto"/>
              </w:rPr>
              <w:t>349,147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5"/>
                <w:szCs w:val="15"/>
                <w:color w:val="auto"/>
              </w:rPr>
              <w:t>392,511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5"/>
                <w:szCs w:val="15"/>
                <w:color w:val="auto"/>
              </w:rPr>
              <w:t>466,748</w:t>
            </w: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463,054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720" w:type="dxa"/>
            <w:vAlign w:val="bottom"/>
            <w:gridSpan w:val="8"/>
          </w:tcPr>
          <w:p>
            <w:pPr>
              <w:spacing w:after="0" w:line="162" w:lineRule="exact"/>
              <w:rPr>
                <w:sz w:val="20"/>
                <w:szCs w:val="20"/>
                <w:color w:val="auto"/>
              </w:rPr>
            </w:pPr>
            <w:r>
              <w:rPr>
                <w:rFonts w:ascii="Arial" w:cs="Arial" w:eastAsia="Arial" w:hAnsi="Arial"/>
                <w:sz w:val="15"/>
                <w:szCs w:val="15"/>
                <w:color w:val="auto"/>
              </w:rPr>
              <w:t>ACCEPTANCES OUTSTANDING</w:t>
            </w:r>
          </w:p>
        </w:tc>
        <w:tc>
          <w:tcPr>
            <w:tcW w:w="12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51,765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47,635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38,151</w:t>
            </w:r>
          </w:p>
        </w:tc>
        <w:tc>
          <w:tcPr>
            <w:tcW w:w="240" w:type="dxa"/>
            <w:vAlign w:val="bottom"/>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50,756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gridSpan w:val="8"/>
          </w:tcPr>
          <w:p>
            <w:pPr>
              <w:spacing w:after="0" w:line="162" w:lineRule="exact"/>
              <w:rPr>
                <w:sz w:val="20"/>
                <w:szCs w:val="20"/>
                <w:color w:val="auto"/>
              </w:rPr>
            </w:pPr>
            <w:r>
              <w:rPr>
                <w:rFonts w:ascii="Arial" w:cs="Arial" w:eastAsia="Arial" w:hAnsi="Arial"/>
                <w:sz w:val="15"/>
                <w:szCs w:val="15"/>
                <w:color w:val="auto"/>
              </w:rPr>
              <w:t>RESERVE FOR PROPERTY AND CASUALTY CLAIMS</w:t>
            </w:r>
          </w:p>
        </w:tc>
        <w:tc>
          <w:tcPr>
            <w:tcW w:w="12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381,492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398,439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439,846</w:t>
            </w:r>
          </w:p>
        </w:tc>
        <w:tc>
          <w:tcPr>
            <w:tcW w:w="240" w:type="dxa"/>
            <w:vAlign w:val="bottom"/>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448,234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gridSpan w:val="8"/>
          </w:tcPr>
          <w:p>
            <w:pPr>
              <w:spacing w:after="0" w:line="162" w:lineRule="exact"/>
              <w:rPr>
                <w:sz w:val="20"/>
                <w:szCs w:val="20"/>
                <w:color w:val="auto"/>
              </w:rPr>
            </w:pPr>
            <w:r>
              <w:rPr>
                <w:rFonts w:ascii="Arial" w:cs="Arial" w:eastAsia="Arial" w:hAnsi="Arial"/>
                <w:sz w:val="15"/>
                <w:szCs w:val="15"/>
                <w:color w:val="auto"/>
              </w:rPr>
              <w:t>RESERVE FOR UNEARNED PREMIUMS</w:t>
            </w:r>
          </w:p>
        </w:tc>
        <w:tc>
          <w:tcPr>
            <w:tcW w:w="12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62,095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66,678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72,092</w:t>
            </w:r>
          </w:p>
        </w:tc>
        <w:tc>
          <w:tcPr>
            <w:tcW w:w="240" w:type="dxa"/>
            <w:vAlign w:val="bottom"/>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72,418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gridSpan w:val="8"/>
          </w:tcPr>
          <w:p>
            <w:pPr>
              <w:spacing w:after="0" w:line="162" w:lineRule="exact"/>
              <w:rPr>
                <w:sz w:val="20"/>
                <w:szCs w:val="20"/>
                <w:color w:val="auto"/>
              </w:rPr>
            </w:pPr>
            <w:r>
              <w:rPr>
                <w:rFonts w:ascii="Arial" w:cs="Arial" w:eastAsia="Arial" w:hAnsi="Arial"/>
                <w:sz w:val="15"/>
                <w:szCs w:val="15"/>
                <w:color w:val="auto"/>
              </w:rPr>
              <w:t>REINSURANCE PAYABLE</w:t>
            </w:r>
          </w:p>
        </w:tc>
        <w:tc>
          <w:tcPr>
            <w:tcW w:w="12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30,157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23,612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9,358</w:t>
            </w:r>
          </w:p>
        </w:tc>
        <w:tc>
          <w:tcPr>
            <w:tcW w:w="240" w:type="dxa"/>
            <w:vAlign w:val="bottom"/>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27,350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gridSpan w:val="8"/>
          </w:tcPr>
          <w:p>
            <w:pPr>
              <w:spacing w:after="0" w:line="162" w:lineRule="exact"/>
              <w:rPr>
                <w:sz w:val="20"/>
                <w:szCs w:val="20"/>
                <w:color w:val="auto"/>
              </w:rPr>
            </w:pPr>
            <w:r>
              <w:rPr>
                <w:rFonts w:ascii="Arial" w:cs="Arial" w:eastAsia="Arial" w:hAnsi="Arial"/>
                <w:sz w:val="15"/>
                <w:szCs w:val="15"/>
                <w:color w:val="auto"/>
              </w:rPr>
              <w:t>BONDS AND SUBORDINATED DEBT</w:t>
            </w:r>
          </w:p>
        </w:tc>
        <w:tc>
          <w:tcPr>
            <w:tcW w:w="12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424,889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424,227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409,452</w:t>
            </w:r>
          </w:p>
        </w:tc>
        <w:tc>
          <w:tcPr>
            <w:tcW w:w="240" w:type="dxa"/>
            <w:vAlign w:val="bottom"/>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406,832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gridSpan w:val="8"/>
          </w:tcPr>
          <w:p>
            <w:pPr>
              <w:spacing w:after="0" w:line="162" w:lineRule="exact"/>
              <w:rPr>
                <w:sz w:val="20"/>
                <w:szCs w:val="20"/>
                <w:color w:val="auto"/>
              </w:rPr>
            </w:pPr>
            <w:r>
              <w:rPr>
                <w:rFonts w:ascii="Arial" w:cs="Arial" w:eastAsia="Arial" w:hAnsi="Arial"/>
                <w:sz w:val="15"/>
                <w:szCs w:val="15"/>
                <w:color w:val="auto"/>
              </w:rPr>
              <w:t>OTHER LIABILITIES</w:t>
            </w:r>
          </w:p>
        </w:tc>
        <w:tc>
          <w:tcPr>
            <w:tcW w:w="12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222,475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226,307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287,980</w:t>
            </w:r>
          </w:p>
        </w:tc>
        <w:tc>
          <w:tcPr>
            <w:tcW w:w="240" w:type="dxa"/>
            <w:vAlign w:val="bottom"/>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331,739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720" w:type="dxa"/>
            <w:vAlign w:val="bottom"/>
            <w:gridSpan w:val="8"/>
          </w:tcPr>
          <w:p>
            <w:pPr>
              <w:spacing w:after="0"/>
              <w:rPr>
                <w:sz w:val="20"/>
                <w:szCs w:val="20"/>
                <w:color w:val="auto"/>
              </w:rPr>
            </w:pPr>
            <w:r>
              <w:rPr>
                <w:rFonts w:ascii="Arial" w:cs="Arial" w:eastAsia="Arial" w:hAnsi="Arial"/>
                <w:sz w:val="15"/>
                <w:szCs w:val="15"/>
                <w:color w:val="auto"/>
              </w:rPr>
              <w:t>MINORITY INTEREST</w:t>
            </w:r>
          </w:p>
        </w:tc>
        <w:tc>
          <w:tcPr>
            <w:tcW w:w="1240" w:type="dxa"/>
            <w:vAlign w:val="bottom"/>
            <w:gridSpan w:val="3"/>
          </w:tcPr>
          <w:p>
            <w:pPr>
              <w:jc w:val="right"/>
              <w:ind w:right="20"/>
              <w:spacing w:after="0"/>
              <w:rPr>
                <w:sz w:val="20"/>
                <w:szCs w:val="20"/>
                <w:color w:val="auto"/>
              </w:rPr>
            </w:pPr>
            <w:r>
              <w:rPr>
                <w:rFonts w:ascii="Arial" w:cs="Arial" w:eastAsia="Arial" w:hAnsi="Arial"/>
                <w:sz w:val="15"/>
                <w:szCs w:val="15"/>
                <w:color w:val="auto"/>
              </w:rPr>
              <w:t>77,776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5"/>
                <w:szCs w:val="15"/>
                <w:color w:val="auto"/>
              </w:rPr>
              <w:t>85,253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5"/>
                <w:szCs w:val="15"/>
                <w:color w:val="auto"/>
              </w:rPr>
              <w:t>93,740</w:t>
            </w:r>
          </w:p>
        </w:tc>
        <w:tc>
          <w:tcPr>
            <w:tcW w:w="24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104,815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40" w:type="dxa"/>
            <w:vAlign w:val="bottom"/>
            <w:gridSpan w:val="5"/>
          </w:tcPr>
          <w:p>
            <w:pPr>
              <w:jc w:val="center"/>
              <w:ind w:right="1940"/>
              <w:spacing w:after="0"/>
              <w:rPr>
                <w:sz w:val="20"/>
                <w:szCs w:val="20"/>
                <w:color w:val="auto"/>
              </w:rPr>
            </w:pPr>
            <w:r>
              <w:rPr>
                <w:rFonts w:ascii="Arial" w:cs="Arial" w:eastAsia="Arial" w:hAnsi="Arial"/>
                <w:sz w:val="15"/>
                <w:szCs w:val="15"/>
                <w:b w:val="1"/>
                <w:bCs w:val="1"/>
                <w:color w:val="auto"/>
              </w:rPr>
              <w:t>TOTAL LIABILITIES</w:t>
            </w:r>
          </w:p>
        </w:tc>
        <w:tc>
          <w:tcPr>
            <w:tcW w:w="124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7,804,647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8,055,391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8,362,973</w:t>
            </w: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b w:val="1"/>
                <w:bCs w:val="1"/>
                <w:color w:val="auto"/>
              </w:rPr>
              <w:t>8,630,694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40" w:type="dxa"/>
            <w:vAlign w:val="bottom"/>
            <w:gridSpan w:val="5"/>
          </w:tcPr>
          <w:p>
            <w:pPr>
              <w:jc w:val="center"/>
              <w:ind w:right="1940"/>
              <w:spacing w:after="0"/>
              <w:rPr>
                <w:sz w:val="20"/>
                <w:szCs w:val="20"/>
                <w:color w:val="auto"/>
              </w:rPr>
            </w:pPr>
            <w:r>
              <w:rPr>
                <w:rFonts w:ascii="Arial" w:cs="Arial" w:eastAsia="Arial" w:hAnsi="Arial"/>
                <w:sz w:val="15"/>
                <w:szCs w:val="15"/>
                <w:color w:val="auto"/>
                <w:w w:val="94"/>
              </w:rPr>
              <w:t>NET SHAREHOLDERS' EQUITY</w:t>
            </w:r>
          </w:p>
        </w:tc>
        <w:tc>
          <w:tcPr>
            <w:tcW w:w="1240" w:type="dxa"/>
            <w:vAlign w:val="bottom"/>
            <w:gridSpan w:val="3"/>
          </w:tcPr>
          <w:p>
            <w:pPr>
              <w:jc w:val="right"/>
              <w:ind w:right="20"/>
              <w:spacing w:after="0"/>
              <w:rPr>
                <w:sz w:val="20"/>
                <w:szCs w:val="20"/>
                <w:color w:val="auto"/>
              </w:rPr>
            </w:pPr>
            <w:r>
              <w:rPr>
                <w:rFonts w:ascii="Arial" w:cs="Arial" w:eastAsia="Arial" w:hAnsi="Arial"/>
                <w:sz w:val="15"/>
                <w:szCs w:val="15"/>
                <w:color w:val="auto"/>
              </w:rPr>
              <w:t>1,001,649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5"/>
                <w:szCs w:val="15"/>
                <w:color w:val="auto"/>
              </w:rPr>
              <w:t>1,065,197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5"/>
                <w:szCs w:val="15"/>
                <w:color w:val="auto"/>
              </w:rPr>
              <w:t>1,091,427</w:t>
            </w: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1,170,508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80" w:type="dxa"/>
            <w:vAlign w:val="bottom"/>
            <w:gridSpan w:val="3"/>
          </w:tcPr>
          <w:p>
            <w:pPr>
              <w:spacing w:after="0" w:line="20" w:lineRule="exact"/>
              <w:rPr>
                <w:sz w:val="1"/>
                <w:szCs w:val="1"/>
                <w:color w:val="auto"/>
              </w:rPr>
            </w:pPr>
          </w:p>
        </w:tc>
        <w:tc>
          <w:tcPr>
            <w:tcW w:w="2100" w:type="dxa"/>
            <w:vAlign w:val="bottom"/>
            <w:gridSpan w:val="3"/>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5720" w:type="dxa"/>
            <w:vAlign w:val="bottom"/>
            <w:gridSpan w:val="8"/>
          </w:tcPr>
          <w:p>
            <w:pPr>
              <w:ind w:left="40"/>
              <w:spacing w:after="0"/>
              <w:rPr>
                <w:sz w:val="20"/>
                <w:szCs w:val="20"/>
                <w:color w:val="auto"/>
              </w:rPr>
            </w:pPr>
            <w:r>
              <w:rPr>
                <w:rFonts w:ascii="Arial" w:cs="Arial" w:eastAsia="Arial" w:hAnsi="Arial"/>
                <w:sz w:val="15"/>
                <w:szCs w:val="15"/>
                <w:b w:val="1"/>
                <w:bCs w:val="1"/>
                <w:color w:val="auto"/>
              </w:rPr>
              <w:t>TOTAL LIABILITIES and NET SHAREHOLDERS' EQUITY</w:t>
            </w:r>
          </w:p>
        </w:tc>
        <w:tc>
          <w:tcPr>
            <w:tcW w:w="124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8,806,296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9,120,588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9,454,400</w:t>
            </w: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b w:val="1"/>
                <w:bCs w:val="1"/>
                <w:color w:val="auto"/>
              </w:rPr>
              <w:t>9,801,202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720" w:type="dxa"/>
            <w:vAlign w:val="bottom"/>
            <w:gridSpan w:val="8"/>
          </w:tcPr>
          <w:p>
            <w:pPr>
              <w:spacing w:after="0"/>
              <w:rPr>
                <w:sz w:val="20"/>
                <w:szCs w:val="20"/>
                <w:color w:val="auto"/>
              </w:rPr>
            </w:pPr>
            <w:r>
              <w:rPr>
                <w:rFonts w:ascii="Arial" w:cs="Arial" w:eastAsia="Arial" w:hAnsi="Arial"/>
                <w:sz w:val="15"/>
                <w:szCs w:val="15"/>
                <w:b w:val="1"/>
                <w:bCs w:val="1"/>
                <w:color w:val="auto"/>
              </w:rPr>
              <w:t>CONTINGENT CREDITS</w:t>
            </w:r>
          </w:p>
        </w:tc>
        <w:tc>
          <w:tcPr>
            <w:tcW w:w="124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1,765,015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2,017,731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2,490,445</w:t>
            </w: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5"/>
                <w:szCs w:val="15"/>
                <w:b w:val="1"/>
                <w:bCs w:val="1"/>
                <w:color w:val="auto"/>
              </w:rPr>
              <w:t>3,101,817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72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rPr>
              <w:t>FUNDS UNDER MANAGEMENT</w:t>
            </w: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b w:val="1"/>
                <w:bCs w:val="1"/>
                <w:color w:val="auto"/>
              </w:rPr>
              <w:t>1,705,826</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1,754,352</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b w:val="1"/>
                <w:bCs w:val="1"/>
                <w:color w:val="auto"/>
              </w:rPr>
              <w:t>1,804,160</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1,957,225</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CREDICORP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2</w:t>
      </w:r>
    </w:p>
    <w:p>
      <w:pPr>
        <w:jc w:val="center"/>
        <w:spacing w:after="0" w:line="230" w:lineRule="auto"/>
        <w:rPr>
          <w:sz w:val="20"/>
          <w:szCs w:val="20"/>
          <w:color w:val="auto"/>
        </w:rPr>
      </w:pPr>
      <w:r>
        <w:rPr>
          <w:rFonts w:ascii="Arial" w:cs="Arial" w:eastAsia="Arial" w:hAnsi="Arial"/>
          <w:sz w:val="22"/>
          <w:szCs w:val="22"/>
          <w:b w:val="1"/>
          <w:bCs w:val="1"/>
          <w:color w:val="auto"/>
        </w:rPr>
        <w:t>CONSOLIDATED INCOME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 thousands of U.S.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15"/>
                <w:szCs w:val="15"/>
                <w:b w:val="1"/>
                <w:bCs w:val="1"/>
                <w:color w:val="auto"/>
                <w:w w:val="90"/>
              </w:rPr>
              <w:t>Three months ended</w:t>
            </w:r>
          </w:p>
        </w:tc>
        <w:tc>
          <w:tcPr>
            <w:tcW w:w="4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20" w:type="dxa"/>
            <w:vAlign w:val="bottom"/>
            <w:tcBorders>
              <w:top w:val="single" w:sz="8" w:color="auto"/>
              <w:bottom w:val="single" w:sz="8" w:color="auto"/>
            </w:tcBorders>
            <w:gridSpan w:val="13"/>
          </w:tcPr>
          <w:p>
            <w:pPr>
              <w:jc w:val="right"/>
              <w:ind w:right="42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69"/>
        </w:trPr>
        <w:tc>
          <w:tcPr>
            <w:tcW w:w="2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bottom w:val="single" w:sz="8" w:color="auto"/>
            </w:tcBorders>
            <w:gridSpan w:val="6"/>
          </w:tcPr>
          <w:p>
            <w:pPr>
              <w:jc w:val="right"/>
              <w:spacing w:after="0" w:line="169" w:lineRule="exact"/>
              <w:rPr>
                <w:sz w:val="20"/>
                <w:szCs w:val="20"/>
                <w:color w:val="auto"/>
              </w:rPr>
            </w:pPr>
            <w:r>
              <w:rPr>
                <w:rFonts w:ascii="Arial" w:cs="Arial" w:eastAsia="Arial" w:hAnsi="Arial"/>
                <w:sz w:val="15"/>
                <w:szCs w:val="15"/>
                <w:b w:val="1"/>
                <w:bCs w:val="1"/>
                <w:color w:val="auto"/>
              </w:rPr>
              <w:t>30.09.04</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gridSpan w:val="6"/>
          </w:tcPr>
          <w:p>
            <w:pPr>
              <w:jc w:val="right"/>
              <w:ind w:right="40"/>
              <w:spacing w:after="0" w:line="169" w:lineRule="exact"/>
              <w:rPr>
                <w:sz w:val="20"/>
                <w:szCs w:val="20"/>
                <w:color w:val="auto"/>
              </w:rPr>
            </w:pPr>
            <w:r>
              <w:rPr>
                <w:rFonts w:ascii="Arial" w:cs="Arial" w:eastAsia="Arial" w:hAnsi="Arial"/>
                <w:sz w:val="15"/>
                <w:szCs w:val="15"/>
                <w:b w:val="1"/>
                <w:bCs w:val="1"/>
                <w:color w:val="auto"/>
              </w:rPr>
              <w:t>30.06.05</w:t>
            </w:r>
          </w:p>
        </w:tc>
        <w:tc>
          <w:tcPr>
            <w:tcW w:w="220" w:type="dxa"/>
            <w:vAlign w:val="bottom"/>
          </w:tcPr>
          <w:p>
            <w:pPr>
              <w:spacing w:after="0"/>
              <w:rPr>
                <w:sz w:val="14"/>
                <w:szCs w:val="14"/>
                <w:color w:val="auto"/>
              </w:rPr>
            </w:pPr>
          </w:p>
        </w:tc>
        <w:tc>
          <w:tcPr>
            <w:tcW w:w="880" w:type="dxa"/>
            <w:vAlign w:val="bottom"/>
            <w:tcBorders>
              <w:bottom w:val="single" w:sz="8" w:color="auto"/>
            </w:tcBorders>
            <w:gridSpan w:val="6"/>
          </w:tcPr>
          <w:p>
            <w:pPr>
              <w:jc w:val="right"/>
              <w:spacing w:after="0" w:line="169" w:lineRule="exact"/>
              <w:rPr>
                <w:sz w:val="20"/>
                <w:szCs w:val="20"/>
                <w:color w:val="auto"/>
              </w:rPr>
            </w:pPr>
            <w:r>
              <w:rPr>
                <w:rFonts w:ascii="Arial" w:cs="Arial" w:eastAsia="Arial" w:hAnsi="Arial"/>
                <w:sz w:val="15"/>
                <w:szCs w:val="15"/>
                <w:b w:val="1"/>
                <w:bCs w:val="1"/>
                <w:color w:val="auto"/>
              </w:rPr>
              <w:t>30.09.05</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gridSpan w:val="6"/>
          </w:tcPr>
          <w:p>
            <w:pPr>
              <w:jc w:val="right"/>
              <w:spacing w:after="0" w:line="169" w:lineRule="exact"/>
              <w:rPr>
                <w:sz w:val="20"/>
                <w:szCs w:val="20"/>
                <w:color w:val="auto"/>
              </w:rPr>
            </w:pPr>
            <w:r>
              <w:rPr>
                <w:rFonts w:ascii="Arial" w:cs="Arial" w:eastAsia="Arial" w:hAnsi="Arial"/>
                <w:sz w:val="15"/>
                <w:szCs w:val="15"/>
                <w:b w:val="1"/>
                <w:bCs w:val="1"/>
                <w:color w:val="auto"/>
              </w:rPr>
              <w:t>30.09.04</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gridSpan w:val="4"/>
          </w:tcPr>
          <w:p>
            <w:pPr>
              <w:jc w:val="right"/>
              <w:spacing w:after="0" w:line="169" w:lineRule="exact"/>
              <w:rPr>
                <w:sz w:val="20"/>
                <w:szCs w:val="20"/>
                <w:color w:val="auto"/>
              </w:rPr>
            </w:pPr>
            <w:r>
              <w:rPr>
                <w:rFonts w:ascii="Arial" w:cs="Arial" w:eastAsia="Arial" w:hAnsi="Arial"/>
                <w:sz w:val="15"/>
                <w:szCs w:val="15"/>
                <w:b w:val="1"/>
                <w:bCs w:val="1"/>
                <w:color w:val="auto"/>
              </w:rPr>
              <w:t>30.09.05</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960" w:type="dxa"/>
            <w:vAlign w:val="bottom"/>
            <w:gridSpan w:val="4"/>
          </w:tcPr>
          <w:p>
            <w:pPr>
              <w:spacing w:after="0" w:line="160" w:lineRule="exact"/>
              <w:rPr>
                <w:sz w:val="20"/>
                <w:szCs w:val="20"/>
                <w:color w:val="auto"/>
              </w:rPr>
            </w:pPr>
            <w:r>
              <w:rPr>
                <w:rFonts w:ascii="Arial" w:cs="Arial" w:eastAsia="Arial" w:hAnsi="Arial"/>
                <w:sz w:val="15"/>
                <w:szCs w:val="15"/>
                <w:b w:val="1"/>
                <w:bCs w:val="1"/>
                <w:color w:val="auto"/>
              </w:rPr>
              <w:t>INTEREST INCOME</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160"/>
              <w:spacing w:after="0" w:line="162" w:lineRule="exact"/>
              <w:rPr>
                <w:sz w:val="20"/>
                <w:szCs w:val="20"/>
                <w:color w:val="auto"/>
              </w:rPr>
            </w:pPr>
            <w:r>
              <w:rPr>
                <w:rFonts w:ascii="Arial" w:cs="Arial" w:eastAsia="Arial" w:hAnsi="Arial"/>
                <w:sz w:val="15"/>
                <w:szCs w:val="15"/>
                <w:color w:val="auto"/>
              </w:rPr>
              <w:t>Interest on loans</w:t>
            </w: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108,052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109,647</w:t>
            </w:r>
          </w:p>
        </w:tc>
        <w:tc>
          <w:tcPr>
            <w:tcW w:w="220" w:type="dxa"/>
            <w:vAlign w:val="bottom"/>
          </w:tcPr>
          <w:p>
            <w:pPr>
              <w:spacing w:after="0"/>
              <w:rPr>
                <w:sz w:val="14"/>
                <w:szCs w:val="14"/>
                <w:color w:val="auto"/>
              </w:rPr>
            </w:pPr>
          </w:p>
        </w:tc>
        <w:tc>
          <w:tcPr>
            <w:tcW w:w="920" w:type="dxa"/>
            <w:vAlign w:val="bottom"/>
            <w:gridSpan w:val="7"/>
          </w:tcPr>
          <w:p>
            <w:pPr>
              <w:ind w:left="420"/>
              <w:spacing w:after="0" w:line="162" w:lineRule="exact"/>
              <w:rPr>
                <w:sz w:val="20"/>
                <w:szCs w:val="20"/>
                <w:color w:val="auto"/>
              </w:rPr>
            </w:pPr>
            <w:r>
              <w:rPr>
                <w:rFonts w:ascii="Arial" w:cs="Arial" w:eastAsia="Arial" w:hAnsi="Arial"/>
                <w:sz w:val="15"/>
                <w:szCs w:val="15"/>
                <w:color w:val="auto"/>
                <w:w w:val="88"/>
              </w:rPr>
              <w:t>115,828</w:t>
            </w:r>
          </w:p>
        </w:tc>
        <w:tc>
          <w:tcPr>
            <w:tcW w:w="240" w:type="dxa"/>
            <w:vAlign w:val="bottom"/>
          </w:tcPr>
          <w:p>
            <w:pPr>
              <w:spacing w:after="0"/>
              <w:rPr>
                <w:sz w:val="14"/>
                <w:szCs w:val="14"/>
                <w:color w:val="auto"/>
              </w:rPr>
            </w:pPr>
          </w:p>
        </w:tc>
        <w:tc>
          <w:tcPr>
            <w:tcW w:w="8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312,536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328,356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40"/>
              <w:spacing w:after="0" w:line="162" w:lineRule="exact"/>
              <w:rPr>
                <w:sz w:val="20"/>
                <w:szCs w:val="20"/>
                <w:color w:val="auto"/>
              </w:rPr>
            </w:pPr>
            <w:r>
              <w:rPr>
                <w:rFonts w:ascii="Arial" w:cs="Arial" w:eastAsia="Arial" w:hAnsi="Arial"/>
                <w:sz w:val="15"/>
                <w:szCs w:val="15"/>
                <w:color w:val="auto"/>
              </w:rPr>
              <w:t>Dividends on investments:</w:t>
            </w:r>
          </w:p>
        </w:tc>
        <w:tc>
          <w:tcPr>
            <w:tcW w:w="920" w:type="dxa"/>
            <w:vAlign w:val="bottom"/>
            <w:gridSpan w:val="8"/>
          </w:tcPr>
          <w:p>
            <w:pPr>
              <w:jc w:val="right"/>
              <w:ind w:right="20"/>
              <w:spacing w:after="0" w:line="162" w:lineRule="exact"/>
              <w:rPr>
                <w:sz w:val="20"/>
                <w:szCs w:val="20"/>
                <w:color w:val="auto"/>
              </w:rPr>
            </w:pPr>
            <w:r>
              <w:rPr>
                <w:rFonts w:ascii="Arial" w:cs="Arial" w:eastAsia="Arial" w:hAnsi="Arial"/>
                <w:sz w:val="15"/>
                <w:szCs w:val="15"/>
                <w:color w:val="auto"/>
              </w:rPr>
              <w:t>(401)</w:t>
            </w:r>
          </w:p>
        </w:tc>
        <w:tc>
          <w:tcPr>
            <w:tcW w:w="114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404</w:t>
            </w:r>
          </w:p>
        </w:tc>
        <w:tc>
          <w:tcPr>
            <w:tcW w:w="220" w:type="dxa"/>
            <w:vAlign w:val="bottom"/>
          </w:tcPr>
          <w:p>
            <w:pPr>
              <w:spacing w:after="0"/>
              <w:rPr>
                <w:sz w:val="14"/>
                <w:szCs w:val="14"/>
                <w:color w:val="auto"/>
              </w:rPr>
            </w:pP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212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958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685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160"/>
              <w:spacing w:after="0" w:line="162" w:lineRule="exact"/>
              <w:rPr>
                <w:sz w:val="20"/>
                <w:szCs w:val="20"/>
                <w:color w:val="auto"/>
              </w:rPr>
            </w:pPr>
            <w:r>
              <w:rPr>
                <w:rFonts w:ascii="Arial" w:cs="Arial" w:eastAsia="Arial" w:hAnsi="Arial"/>
                <w:sz w:val="15"/>
                <w:szCs w:val="15"/>
                <w:color w:val="auto"/>
              </w:rPr>
              <w:t>Interest on deposits with banks</w:t>
            </w: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5,878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8,555</w:t>
            </w:r>
          </w:p>
        </w:tc>
        <w:tc>
          <w:tcPr>
            <w:tcW w:w="220" w:type="dxa"/>
            <w:vAlign w:val="bottom"/>
          </w:tcPr>
          <w:p>
            <w:pPr>
              <w:spacing w:after="0"/>
              <w:rPr>
                <w:sz w:val="14"/>
                <w:szCs w:val="14"/>
                <w:color w:val="auto"/>
              </w:rPr>
            </w:pP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8,409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13,047</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25,404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960" w:type="dxa"/>
            <w:vAlign w:val="bottom"/>
            <w:gridSpan w:val="4"/>
          </w:tcPr>
          <w:p>
            <w:pPr>
              <w:ind w:left="160"/>
              <w:spacing w:after="0" w:line="158" w:lineRule="exact"/>
              <w:rPr>
                <w:sz w:val="20"/>
                <w:szCs w:val="20"/>
                <w:color w:val="auto"/>
              </w:rPr>
            </w:pPr>
            <w:r>
              <w:rPr>
                <w:rFonts w:ascii="Arial" w:cs="Arial" w:eastAsia="Arial" w:hAnsi="Arial"/>
                <w:sz w:val="15"/>
                <w:szCs w:val="15"/>
                <w:color w:val="auto"/>
              </w:rPr>
              <w:t>Interest on securities and investments</w:t>
            </w:r>
          </w:p>
        </w:tc>
        <w:tc>
          <w:tcPr>
            <w:tcW w:w="88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23,310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7"/>
          </w:tcPr>
          <w:p>
            <w:pPr>
              <w:jc w:val="right"/>
              <w:ind w:right="40"/>
              <w:spacing w:after="0" w:line="158" w:lineRule="exact"/>
              <w:rPr>
                <w:sz w:val="20"/>
                <w:szCs w:val="20"/>
                <w:color w:val="auto"/>
              </w:rPr>
            </w:pPr>
            <w:r>
              <w:rPr>
                <w:rFonts w:ascii="Arial" w:cs="Arial" w:eastAsia="Arial" w:hAnsi="Arial"/>
                <w:sz w:val="15"/>
                <w:szCs w:val="15"/>
                <w:color w:val="auto"/>
              </w:rPr>
              <w:t>32,737</w:t>
            </w:r>
          </w:p>
        </w:tc>
        <w:tc>
          <w:tcPr>
            <w:tcW w:w="220" w:type="dxa"/>
            <w:vAlign w:val="bottom"/>
          </w:tcPr>
          <w:p>
            <w:pPr>
              <w:spacing w:after="0"/>
              <w:rPr>
                <w:sz w:val="13"/>
                <w:szCs w:val="13"/>
                <w:color w:val="auto"/>
              </w:rPr>
            </w:pPr>
          </w:p>
        </w:tc>
        <w:tc>
          <w:tcPr>
            <w:tcW w:w="88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33,263</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68,627</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95,993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60" w:type="dxa"/>
            <w:vAlign w:val="bottom"/>
            <w:gridSpan w:val="4"/>
          </w:tcPr>
          <w:p>
            <w:pPr>
              <w:jc w:val="center"/>
              <w:ind w:right="260"/>
              <w:spacing w:after="0" w:line="142" w:lineRule="exact"/>
              <w:rPr>
                <w:sz w:val="20"/>
                <w:szCs w:val="20"/>
                <w:color w:val="auto"/>
              </w:rPr>
            </w:pPr>
            <w:r>
              <w:rPr>
                <w:rFonts w:ascii="Arial" w:cs="Arial" w:eastAsia="Arial" w:hAnsi="Arial"/>
                <w:sz w:val="15"/>
                <w:szCs w:val="15"/>
                <w:color w:val="auto"/>
                <w:w w:val="89"/>
              </w:rPr>
              <w:t>Total Interest Income</w:t>
            </w:r>
          </w:p>
        </w:tc>
        <w:tc>
          <w:tcPr>
            <w:tcW w:w="3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5"/>
                <w:szCs w:val="15"/>
                <w:color w:val="auto"/>
                <w:w w:val="73"/>
              </w:rPr>
              <w:t>136,839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5"/>
                <w:szCs w:val="15"/>
                <w:color w:val="auto"/>
                <w:w w:val="70"/>
              </w:rPr>
              <w:t>151,343</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5"/>
                <w:szCs w:val="15"/>
                <w:color w:val="auto"/>
                <w:w w:val="70"/>
              </w:rPr>
              <w:t>157,712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5"/>
                <w:szCs w:val="15"/>
                <w:color w:val="auto"/>
                <w:w w:val="70"/>
              </w:rPr>
              <w:t>395,168</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5"/>
                <w:szCs w:val="15"/>
                <w:color w:val="auto"/>
                <w:w w:val="70"/>
              </w:rPr>
              <w:t>450,438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5960" w:type="dxa"/>
            <w:vAlign w:val="bottom"/>
            <w:gridSpan w:val="4"/>
          </w:tcPr>
          <w:p>
            <w:pPr>
              <w:spacing w:after="0"/>
              <w:rPr>
                <w:sz w:val="20"/>
                <w:szCs w:val="20"/>
                <w:color w:val="auto"/>
              </w:rPr>
            </w:pPr>
            <w:r>
              <w:rPr>
                <w:rFonts w:ascii="Arial" w:cs="Arial" w:eastAsia="Arial" w:hAnsi="Arial"/>
                <w:sz w:val="15"/>
                <w:szCs w:val="15"/>
                <w:b w:val="1"/>
                <w:bCs w:val="1"/>
                <w:color w:val="auto"/>
              </w:rPr>
              <w:t>INTEREST EXPENSE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160"/>
              <w:spacing w:after="0" w:line="162" w:lineRule="exact"/>
              <w:rPr>
                <w:sz w:val="20"/>
                <w:szCs w:val="20"/>
                <w:color w:val="auto"/>
              </w:rPr>
            </w:pPr>
            <w:r>
              <w:rPr>
                <w:rFonts w:ascii="Arial" w:cs="Arial" w:eastAsia="Arial" w:hAnsi="Arial"/>
                <w:sz w:val="15"/>
                <w:szCs w:val="15"/>
                <w:color w:val="auto"/>
              </w:rPr>
              <w:t>Interest on deposits</w:t>
            </w: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24,315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28,295</w:t>
            </w:r>
          </w:p>
        </w:tc>
        <w:tc>
          <w:tcPr>
            <w:tcW w:w="220" w:type="dxa"/>
            <w:vAlign w:val="bottom"/>
          </w:tcPr>
          <w:p>
            <w:pPr>
              <w:spacing w:after="0"/>
              <w:rPr>
                <w:sz w:val="14"/>
                <w:szCs w:val="14"/>
                <w:color w:val="auto"/>
              </w:rPr>
            </w:pP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30,264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68,252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84,534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160"/>
              <w:spacing w:after="0" w:line="162" w:lineRule="exact"/>
              <w:rPr>
                <w:sz w:val="20"/>
                <w:szCs w:val="20"/>
                <w:color w:val="auto"/>
              </w:rPr>
            </w:pPr>
            <w:r>
              <w:rPr>
                <w:rFonts w:ascii="Arial" w:cs="Arial" w:eastAsia="Arial" w:hAnsi="Arial"/>
                <w:sz w:val="15"/>
                <w:szCs w:val="15"/>
                <w:color w:val="auto"/>
              </w:rPr>
              <w:t>Interest on borrowed funds</w:t>
            </w: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5,304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5,335</w:t>
            </w:r>
          </w:p>
        </w:tc>
        <w:tc>
          <w:tcPr>
            <w:tcW w:w="220" w:type="dxa"/>
            <w:vAlign w:val="bottom"/>
          </w:tcPr>
          <w:p>
            <w:pPr>
              <w:spacing w:after="0"/>
              <w:rPr>
                <w:sz w:val="14"/>
                <w:szCs w:val="14"/>
                <w:color w:val="auto"/>
              </w:rPr>
            </w:pP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5,661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12,030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14,418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960" w:type="dxa"/>
            <w:vAlign w:val="bottom"/>
            <w:gridSpan w:val="4"/>
          </w:tcPr>
          <w:p>
            <w:pPr>
              <w:ind w:left="160"/>
              <w:spacing w:after="0" w:line="158" w:lineRule="exact"/>
              <w:rPr>
                <w:sz w:val="20"/>
                <w:szCs w:val="20"/>
                <w:color w:val="auto"/>
              </w:rPr>
            </w:pPr>
            <w:r>
              <w:rPr>
                <w:rFonts w:ascii="Arial" w:cs="Arial" w:eastAsia="Arial" w:hAnsi="Arial"/>
                <w:sz w:val="15"/>
                <w:szCs w:val="15"/>
                <w:color w:val="auto"/>
              </w:rPr>
              <w:t>Other interest expense</w:t>
            </w:r>
          </w:p>
        </w:tc>
        <w:tc>
          <w:tcPr>
            <w:tcW w:w="88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13,741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7"/>
          </w:tcPr>
          <w:p>
            <w:pPr>
              <w:jc w:val="right"/>
              <w:ind w:right="40"/>
              <w:spacing w:after="0" w:line="158" w:lineRule="exact"/>
              <w:rPr>
                <w:sz w:val="20"/>
                <w:szCs w:val="20"/>
                <w:color w:val="auto"/>
              </w:rPr>
            </w:pPr>
            <w:r>
              <w:rPr>
                <w:rFonts w:ascii="Arial" w:cs="Arial" w:eastAsia="Arial" w:hAnsi="Arial"/>
                <w:sz w:val="15"/>
                <w:szCs w:val="15"/>
                <w:color w:val="auto"/>
              </w:rPr>
              <w:t>13,002</w:t>
            </w:r>
          </w:p>
        </w:tc>
        <w:tc>
          <w:tcPr>
            <w:tcW w:w="220" w:type="dxa"/>
            <w:vAlign w:val="bottom"/>
          </w:tcPr>
          <w:p>
            <w:pPr>
              <w:spacing w:after="0"/>
              <w:rPr>
                <w:sz w:val="13"/>
                <w:szCs w:val="13"/>
                <w:color w:val="auto"/>
              </w:rPr>
            </w:pPr>
          </w:p>
        </w:tc>
        <w:tc>
          <w:tcPr>
            <w:tcW w:w="88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7,514</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38,491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28,684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60" w:type="dxa"/>
            <w:vAlign w:val="bottom"/>
            <w:gridSpan w:val="4"/>
          </w:tcPr>
          <w:p>
            <w:pPr>
              <w:jc w:val="center"/>
              <w:ind w:right="280"/>
              <w:spacing w:after="0" w:line="142" w:lineRule="exact"/>
              <w:rPr>
                <w:sz w:val="20"/>
                <w:szCs w:val="20"/>
                <w:color w:val="auto"/>
              </w:rPr>
            </w:pPr>
            <w:r>
              <w:rPr>
                <w:rFonts w:ascii="Arial" w:cs="Arial" w:eastAsia="Arial" w:hAnsi="Arial"/>
                <w:sz w:val="15"/>
                <w:szCs w:val="15"/>
                <w:color w:val="auto"/>
                <w:w w:val="87"/>
              </w:rPr>
              <w:t>Total Interest Expense</w:t>
            </w:r>
          </w:p>
        </w:tc>
        <w:tc>
          <w:tcPr>
            <w:tcW w:w="4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5"/>
                <w:szCs w:val="15"/>
                <w:color w:val="auto"/>
                <w:w w:val="87"/>
              </w:rPr>
              <w:t>43,360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5"/>
                <w:szCs w:val="15"/>
                <w:color w:val="auto"/>
                <w:w w:val="82"/>
              </w:rPr>
              <w:t>46,631</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w w:val="75"/>
              </w:rPr>
              <w:t>43,439</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5"/>
                <w:szCs w:val="15"/>
                <w:color w:val="auto"/>
                <w:w w:val="70"/>
              </w:rPr>
              <w:t>118,773</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5"/>
                <w:szCs w:val="15"/>
                <w:color w:val="auto"/>
                <w:w w:val="70"/>
              </w:rPr>
              <w:t>127,636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5960" w:type="dxa"/>
            <w:vAlign w:val="bottom"/>
            <w:gridSpan w:val="4"/>
          </w:tcPr>
          <w:p>
            <w:pPr>
              <w:jc w:val="center"/>
              <w:ind w:right="260"/>
              <w:spacing w:after="0"/>
              <w:rPr>
                <w:sz w:val="20"/>
                <w:szCs w:val="20"/>
                <w:color w:val="auto"/>
              </w:rPr>
            </w:pPr>
            <w:r>
              <w:rPr>
                <w:rFonts w:ascii="Arial" w:cs="Arial" w:eastAsia="Arial" w:hAnsi="Arial"/>
                <w:sz w:val="15"/>
                <w:szCs w:val="15"/>
                <w:color w:val="auto"/>
                <w:w w:val="90"/>
              </w:rPr>
              <w:t>Net Interest Income</w:t>
            </w:r>
          </w:p>
        </w:tc>
        <w:tc>
          <w:tcPr>
            <w:tcW w:w="880" w:type="dxa"/>
            <w:vAlign w:val="bottom"/>
            <w:gridSpan w:val="6"/>
          </w:tcPr>
          <w:p>
            <w:pPr>
              <w:jc w:val="right"/>
              <w:spacing w:after="0"/>
              <w:rPr>
                <w:sz w:val="20"/>
                <w:szCs w:val="20"/>
                <w:color w:val="auto"/>
              </w:rPr>
            </w:pPr>
            <w:r>
              <w:rPr>
                <w:rFonts w:ascii="Arial" w:cs="Arial" w:eastAsia="Arial" w:hAnsi="Arial"/>
                <w:sz w:val="15"/>
                <w:szCs w:val="15"/>
                <w:color w:val="auto"/>
              </w:rPr>
              <w:t>93,479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7"/>
          </w:tcPr>
          <w:p>
            <w:pPr>
              <w:jc w:val="right"/>
              <w:ind w:right="40"/>
              <w:spacing w:after="0"/>
              <w:rPr>
                <w:sz w:val="20"/>
                <w:szCs w:val="20"/>
                <w:color w:val="auto"/>
              </w:rPr>
            </w:pPr>
            <w:r>
              <w:rPr>
                <w:rFonts w:ascii="Arial" w:cs="Arial" w:eastAsia="Arial" w:hAnsi="Arial"/>
                <w:sz w:val="15"/>
                <w:szCs w:val="15"/>
                <w:color w:val="auto"/>
              </w:rPr>
              <w:t>104,712</w:t>
            </w:r>
          </w:p>
        </w:tc>
        <w:tc>
          <w:tcPr>
            <w:tcW w:w="220" w:type="dxa"/>
            <w:vAlign w:val="bottom"/>
          </w:tcPr>
          <w:p>
            <w:pPr>
              <w:spacing w:after="0"/>
              <w:rPr>
                <w:sz w:val="24"/>
                <w:szCs w:val="24"/>
                <w:color w:val="auto"/>
              </w:rPr>
            </w:pPr>
          </w:p>
        </w:tc>
        <w:tc>
          <w:tcPr>
            <w:tcW w:w="920" w:type="dxa"/>
            <w:vAlign w:val="bottom"/>
            <w:gridSpan w:val="7"/>
          </w:tcPr>
          <w:p>
            <w:pPr>
              <w:ind w:left="420"/>
              <w:spacing w:after="0"/>
              <w:rPr>
                <w:sz w:val="20"/>
                <w:szCs w:val="20"/>
                <w:color w:val="auto"/>
              </w:rPr>
            </w:pPr>
            <w:r>
              <w:rPr>
                <w:rFonts w:ascii="Arial" w:cs="Arial" w:eastAsia="Arial" w:hAnsi="Arial"/>
                <w:sz w:val="15"/>
                <w:szCs w:val="15"/>
                <w:color w:val="auto"/>
                <w:w w:val="88"/>
              </w:rPr>
              <w:t>114,274</w:t>
            </w:r>
          </w:p>
        </w:tc>
        <w:tc>
          <w:tcPr>
            <w:tcW w:w="240" w:type="dxa"/>
            <w:vAlign w:val="bottom"/>
          </w:tcPr>
          <w:p>
            <w:pPr>
              <w:spacing w:after="0"/>
              <w:rPr>
                <w:sz w:val="24"/>
                <w:szCs w:val="24"/>
                <w:color w:val="auto"/>
              </w:rPr>
            </w:pPr>
          </w:p>
        </w:tc>
        <w:tc>
          <w:tcPr>
            <w:tcW w:w="860" w:type="dxa"/>
            <w:vAlign w:val="bottom"/>
            <w:gridSpan w:val="6"/>
          </w:tcPr>
          <w:p>
            <w:pPr>
              <w:jc w:val="right"/>
              <w:spacing w:after="0"/>
              <w:rPr>
                <w:sz w:val="20"/>
                <w:szCs w:val="20"/>
                <w:color w:val="auto"/>
              </w:rPr>
            </w:pPr>
            <w:r>
              <w:rPr>
                <w:rFonts w:ascii="Arial" w:cs="Arial" w:eastAsia="Arial" w:hAnsi="Arial"/>
                <w:sz w:val="15"/>
                <w:szCs w:val="15"/>
                <w:color w:val="auto"/>
              </w:rPr>
              <w:t>276,395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322,803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960" w:type="dxa"/>
            <w:vAlign w:val="bottom"/>
            <w:gridSpan w:val="4"/>
          </w:tcPr>
          <w:p>
            <w:pPr>
              <w:spacing w:after="0"/>
              <w:rPr>
                <w:sz w:val="20"/>
                <w:szCs w:val="20"/>
                <w:color w:val="auto"/>
              </w:rPr>
            </w:pPr>
            <w:r>
              <w:rPr>
                <w:rFonts w:ascii="Arial" w:cs="Arial" w:eastAsia="Arial" w:hAnsi="Arial"/>
                <w:sz w:val="15"/>
                <w:szCs w:val="15"/>
                <w:color w:val="auto"/>
              </w:rPr>
              <w:t>Provision for possible loan losses, net (1)(3)</w:t>
            </w:r>
          </w:p>
        </w:tc>
        <w:tc>
          <w:tcPr>
            <w:tcW w:w="880" w:type="dxa"/>
            <w:vAlign w:val="bottom"/>
            <w:gridSpan w:val="6"/>
          </w:tcPr>
          <w:p>
            <w:pPr>
              <w:jc w:val="right"/>
              <w:spacing w:after="0"/>
              <w:rPr>
                <w:sz w:val="20"/>
                <w:szCs w:val="20"/>
                <w:color w:val="auto"/>
              </w:rPr>
            </w:pPr>
            <w:r>
              <w:rPr>
                <w:rFonts w:ascii="Arial" w:cs="Arial" w:eastAsia="Arial" w:hAnsi="Arial"/>
                <w:sz w:val="15"/>
                <w:szCs w:val="15"/>
                <w:color w:val="auto"/>
              </w:rPr>
              <w:t>3,834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8"/>
          </w:tcPr>
          <w:p>
            <w:pPr>
              <w:jc w:val="right"/>
              <w:ind w:right="220"/>
              <w:spacing w:after="0"/>
              <w:rPr>
                <w:sz w:val="20"/>
                <w:szCs w:val="20"/>
                <w:color w:val="auto"/>
              </w:rPr>
            </w:pPr>
            <w:r>
              <w:rPr>
                <w:rFonts w:ascii="Arial" w:cs="Arial" w:eastAsia="Arial" w:hAnsi="Arial"/>
                <w:sz w:val="15"/>
                <w:szCs w:val="15"/>
                <w:color w:val="auto"/>
              </w:rPr>
              <w:t>(1,887)</w:t>
            </w:r>
          </w:p>
        </w:tc>
        <w:tc>
          <w:tcPr>
            <w:tcW w:w="1160" w:type="dxa"/>
            <w:vAlign w:val="bottom"/>
            <w:gridSpan w:val="8"/>
          </w:tcPr>
          <w:p>
            <w:pPr>
              <w:jc w:val="right"/>
              <w:ind w:right="240"/>
              <w:spacing w:after="0"/>
              <w:rPr>
                <w:sz w:val="20"/>
                <w:szCs w:val="20"/>
                <w:color w:val="auto"/>
              </w:rPr>
            </w:pPr>
            <w:r>
              <w:rPr>
                <w:rFonts w:ascii="Arial" w:cs="Arial" w:eastAsia="Arial" w:hAnsi="Arial"/>
                <w:sz w:val="15"/>
                <w:szCs w:val="15"/>
                <w:color w:val="auto"/>
              </w:rPr>
              <w:t>(4,886)</w:t>
            </w:r>
          </w:p>
        </w:tc>
        <w:tc>
          <w:tcPr>
            <w:tcW w:w="860" w:type="dxa"/>
            <w:vAlign w:val="bottom"/>
            <w:gridSpan w:val="6"/>
          </w:tcPr>
          <w:p>
            <w:pPr>
              <w:jc w:val="right"/>
              <w:spacing w:after="0"/>
              <w:rPr>
                <w:sz w:val="20"/>
                <w:szCs w:val="20"/>
                <w:color w:val="auto"/>
              </w:rPr>
            </w:pPr>
            <w:r>
              <w:rPr>
                <w:rFonts w:ascii="Arial" w:cs="Arial" w:eastAsia="Arial" w:hAnsi="Arial"/>
                <w:sz w:val="15"/>
                <w:szCs w:val="15"/>
                <w:color w:val="auto"/>
              </w:rPr>
              <w:t>10,872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5"/>
          </w:tcPr>
          <w:p>
            <w:pPr>
              <w:jc w:val="right"/>
              <w:spacing w:after="0"/>
              <w:rPr>
                <w:sz w:val="20"/>
                <w:szCs w:val="20"/>
                <w:color w:val="auto"/>
              </w:rPr>
            </w:pPr>
            <w:r>
              <w:rPr>
                <w:rFonts w:ascii="Arial" w:cs="Arial" w:eastAsia="Arial" w:hAnsi="Arial"/>
                <w:sz w:val="15"/>
                <w:szCs w:val="15"/>
                <w:color w:val="auto"/>
              </w:rPr>
              <w:t>(9,898)</w:t>
            </w: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line="162" w:lineRule="exact"/>
              <w:rPr>
                <w:sz w:val="20"/>
                <w:szCs w:val="20"/>
                <w:color w:val="auto"/>
              </w:rPr>
            </w:pPr>
            <w:r>
              <w:rPr>
                <w:rFonts w:ascii="Arial" w:cs="Arial" w:eastAsia="Arial" w:hAnsi="Arial"/>
                <w:sz w:val="15"/>
                <w:szCs w:val="15"/>
                <w:b w:val="1"/>
                <w:bCs w:val="1"/>
                <w:color w:val="auto"/>
              </w:rPr>
              <w:t>Net interest income after provision for</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960" w:type="dxa"/>
            <w:vAlign w:val="bottom"/>
            <w:gridSpan w:val="4"/>
          </w:tcPr>
          <w:p>
            <w:pPr>
              <w:ind w:left="120"/>
              <w:spacing w:after="0"/>
              <w:rPr>
                <w:sz w:val="20"/>
                <w:szCs w:val="20"/>
                <w:color w:val="auto"/>
              </w:rPr>
            </w:pPr>
            <w:r>
              <w:rPr>
                <w:rFonts w:ascii="Arial" w:cs="Arial" w:eastAsia="Arial" w:hAnsi="Arial"/>
                <w:sz w:val="15"/>
                <w:szCs w:val="15"/>
                <w:b w:val="1"/>
                <w:bCs w:val="1"/>
                <w:color w:val="auto"/>
              </w:rPr>
              <w:t>possible loan losses</w:t>
            </w:r>
          </w:p>
        </w:tc>
        <w:tc>
          <w:tcPr>
            <w:tcW w:w="880" w:type="dxa"/>
            <w:vAlign w:val="bottom"/>
            <w:gridSpan w:val="6"/>
          </w:tcPr>
          <w:p>
            <w:pPr>
              <w:jc w:val="right"/>
              <w:spacing w:after="0"/>
              <w:rPr>
                <w:sz w:val="20"/>
                <w:szCs w:val="20"/>
                <w:color w:val="auto"/>
              </w:rPr>
            </w:pPr>
            <w:r>
              <w:rPr>
                <w:rFonts w:ascii="Arial" w:cs="Arial" w:eastAsia="Arial" w:hAnsi="Arial"/>
                <w:sz w:val="15"/>
                <w:szCs w:val="15"/>
                <w:b w:val="1"/>
                <w:bCs w:val="1"/>
                <w:color w:val="auto"/>
              </w:rPr>
              <w:t>89,645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7"/>
          </w:tcPr>
          <w:p>
            <w:pPr>
              <w:jc w:val="right"/>
              <w:ind w:right="40"/>
              <w:spacing w:after="0"/>
              <w:rPr>
                <w:sz w:val="20"/>
                <w:szCs w:val="20"/>
                <w:color w:val="auto"/>
              </w:rPr>
            </w:pPr>
            <w:r>
              <w:rPr>
                <w:rFonts w:ascii="Arial" w:cs="Arial" w:eastAsia="Arial" w:hAnsi="Arial"/>
                <w:sz w:val="15"/>
                <w:szCs w:val="15"/>
                <w:b w:val="1"/>
                <w:bCs w:val="1"/>
                <w:color w:val="auto"/>
              </w:rPr>
              <w:t>106,599</w:t>
            </w:r>
          </w:p>
        </w:tc>
        <w:tc>
          <w:tcPr>
            <w:tcW w:w="220" w:type="dxa"/>
            <w:vAlign w:val="bottom"/>
          </w:tcPr>
          <w:p>
            <w:pPr>
              <w:spacing w:after="0"/>
              <w:rPr>
                <w:sz w:val="16"/>
                <w:szCs w:val="16"/>
                <w:color w:val="auto"/>
              </w:rPr>
            </w:pPr>
          </w:p>
        </w:tc>
        <w:tc>
          <w:tcPr>
            <w:tcW w:w="880" w:type="dxa"/>
            <w:vAlign w:val="bottom"/>
            <w:gridSpan w:val="6"/>
          </w:tcPr>
          <w:p>
            <w:pPr>
              <w:jc w:val="right"/>
              <w:spacing w:after="0"/>
              <w:rPr>
                <w:sz w:val="20"/>
                <w:szCs w:val="20"/>
                <w:color w:val="auto"/>
              </w:rPr>
            </w:pPr>
            <w:r>
              <w:rPr>
                <w:rFonts w:ascii="Arial" w:cs="Arial" w:eastAsia="Arial" w:hAnsi="Arial"/>
                <w:sz w:val="15"/>
                <w:szCs w:val="15"/>
                <w:b w:val="1"/>
                <w:bCs w:val="1"/>
                <w:color w:val="auto"/>
              </w:rPr>
              <w:t>119,159</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6"/>
          </w:tcPr>
          <w:p>
            <w:pPr>
              <w:jc w:val="right"/>
              <w:spacing w:after="0"/>
              <w:rPr>
                <w:sz w:val="20"/>
                <w:szCs w:val="20"/>
                <w:color w:val="auto"/>
              </w:rPr>
            </w:pPr>
            <w:r>
              <w:rPr>
                <w:rFonts w:ascii="Arial" w:cs="Arial" w:eastAsia="Arial" w:hAnsi="Arial"/>
                <w:sz w:val="15"/>
                <w:szCs w:val="15"/>
                <w:b w:val="1"/>
                <w:bCs w:val="1"/>
                <w:color w:val="auto"/>
              </w:rPr>
              <w:t>265,523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b w:val="1"/>
                <w:bCs w:val="1"/>
                <w:color w:val="auto"/>
              </w:rPr>
              <w:t>332,700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5960" w:type="dxa"/>
            <w:vAlign w:val="bottom"/>
            <w:gridSpan w:val="4"/>
          </w:tcPr>
          <w:p>
            <w:pPr>
              <w:spacing w:after="0"/>
              <w:rPr>
                <w:sz w:val="20"/>
                <w:szCs w:val="20"/>
                <w:color w:val="auto"/>
              </w:rPr>
            </w:pPr>
            <w:r>
              <w:rPr>
                <w:rFonts w:ascii="Arial" w:cs="Arial" w:eastAsia="Arial" w:hAnsi="Arial"/>
                <w:sz w:val="15"/>
                <w:szCs w:val="15"/>
                <w:b w:val="1"/>
                <w:bCs w:val="1"/>
                <w:color w:val="auto"/>
              </w:rPr>
              <w:t>OTHER INCOME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80"/>
              <w:spacing w:after="0" w:line="162" w:lineRule="exact"/>
              <w:rPr>
                <w:sz w:val="20"/>
                <w:szCs w:val="20"/>
                <w:color w:val="auto"/>
              </w:rPr>
            </w:pPr>
            <w:r>
              <w:rPr>
                <w:rFonts w:ascii="Arial" w:cs="Arial" w:eastAsia="Arial" w:hAnsi="Arial"/>
                <w:sz w:val="15"/>
                <w:szCs w:val="15"/>
                <w:color w:val="auto"/>
              </w:rPr>
              <w:t>Fees and commissions from banking services</w:t>
            </w: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49,444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51,593</w:t>
            </w:r>
          </w:p>
        </w:tc>
        <w:tc>
          <w:tcPr>
            <w:tcW w:w="220" w:type="dxa"/>
            <w:vAlign w:val="bottom"/>
          </w:tcPr>
          <w:p>
            <w:pPr>
              <w:spacing w:after="0"/>
              <w:rPr>
                <w:sz w:val="14"/>
                <w:szCs w:val="14"/>
                <w:color w:val="auto"/>
              </w:rPr>
            </w:pP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51,247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141,822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151,102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80"/>
              <w:spacing w:after="0" w:line="162" w:lineRule="exact"/>
              <w:rPr>
                <w:sz w:val="20"/>
                <w:szCs w:val="20"/>
                <w:color w:val="auto"/>
              </w:rPr>
            </w:pPr>
            <w:r>
              <w:rPr>
                <w:rFonts w:ascii="Arial" w:cs="Arial" w:eastAsia="Arial" w:hAnsi="Arial"/>
                <w:sz w:val="15"/>
                <w:szCs w:val="15"/>
                <w:color w:val="auto"/>
              </w:rPr>
              <w:t>Net gains from sales of securities</w:t>
            </w: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3,201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918</w:t>
            </w:r>
          </w:p>
        </w:tc>
        <w:tc>
          <w:tcPr>
            <w:tcW w:w="220" w:type="dxa"/>
            <w:vAlign w:val="bottom"/>
          </w:tcPr>
          <w:p>
            <w:pPr>
              <w:spacing w:after="0"/>
              <w:rPr>
                <w:sz w:val="14"/>
                <w:szCs w:val="14"/>
                <w:color w:val="auto"/>
              </w:rPr>
            </w:pP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7,125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3,760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8,466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80"/>
              <w:spacing w:after="0" w:line="162" w:lineRule="exact"/>
              <w:rPr>
                <w:sz w:val="20"/>
                <w:szCs w:val="20"/>
                <w:color w:val="auto"/>
              </w:rPr>
            </w:pPr>
            <w:r>
              <w:rPr>
                <w:rFonts w:ascii="Arial" w:cs="Arial" w:eastAsia="Arial" w:hAnsi="Arial"/>
                <w:sz w:val="15"/>
                <w:szCs w:val="15"/>
                <w:color w:val="auto"/>
              </w:rPr>
              <w:t>Net gains on foreign exchange transactions</w:t>
            </w: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6,576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7,203</w:t>
            </w:r>
          </w:p>
        </w:tc>
        <w:tc>
          <w:tcPr>
            <w:tcW w:w="220" w:type="dxa"/>
            <w:vAlign w:val="bottom"/>
          </w:tcPr>
          <w:p>
            <w:pPr>
              <w:spacing w:after="0"/>
              <w:rPr>
                <w:sz w:val="14"/>
                <w:szCs w:val="14"/>
                <w:color w:val="auto"/>
              </w:rPr>
            </w:pP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7,586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17,151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21,053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960" w:type="dxa"/>
            <w:vAlign w:val="bottom"/>
            <w:gridSpan w:val="4"/>
          </w:tcPr>
          <w:p>
            <w:pPr>
              <w:ind w:left="80"/>
              <w:spacing w:after="0" w:line="158" w:lineRule="exact"/>
              <w:rPr>
                <w:sz w:val="20"/>
                <w:szCs w:val="20"/>
                <w:color w:val="auto"/>
              </w:rPr>
            </w:pPr>
            <w:r>
              <w:rPr>
                <w:rFonts w:ascii="Arial" w:cs="Arial" w:eastAsia="Arial" w:hAnsi="Arial"/>
                <w:sz w:val="15"/>
                <w:szCs w:val="15"/>
                <w:color w:val="auto"/>
              </w:rPr>
              <w:t>Other income (1)(3)</w:t>
            </w:r>
          </w:p>
        </w:tc>
        <w:tc>
          <w:tcPr>
            <w:tcW w:w="88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5,529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7"/>
          </w:tcPr>
          <w:p>
            <w:pPr>
              <w:jc w:val="right"/>
              <w:ind w:right="40"/>
              <w:spacing w:after="0" w:line="158" w:lineRule="exact"/>
              <w:rPr>
                <w:sz w:val="20"/>
                <w:szCs w:val="20"/>
                <w:color w:val="auto"/>
              </w:rPr>
            </w:pPr>
            <w:r>
              <w:rPr>
                <w:rFonts w:ascii="Arial" w:cs="Arial" w:eastAsia="Arial" w:hAnsi="Arial"/>
                <w:sz w:val="15"/>
                <w:szCs w:val="15"/>
                <w:color w:val="auto"/>
              </w:rPr>
              <w:t>3,481</w:t>
            </w:r>
          </w:p>
        </w:tc>
        <w:tc>
          <w:tcPr>
            <w:tcW w:w="220" w:type="dxa"/>
            <w:vAlign w:val="bottom"/>
          </w:tcPr>
          <w:p>
            <w:pPr>
              <w:spacing w:after="0"/>
              <w:rPr>
                <w:sz w:val="13"/>
                <w:szCs w:val="13"/>
                <w:color w:val="auto"/>
              </w:rPr>
            </w:pPr>
          </w:p>
        </w:tc>
        <w:tc>
          <w:tcPr>
            <w:tcW w:w="88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6,542</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17,689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16,962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4"/>
              </w:rPr>
              <w:t>64,750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4"/>
              </w:rPr>
              <w:t>63,196</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3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w w:val="75"/>
              </w:rPr>
              <w:t>72,499</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5"/>
                <w:szCs w:val="15"/>
                <w:color w:val="auto"/>
                <w:w w:val="70"/>
              </w:rPr>
              <w:t>180,422</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5"/>
                <w:szCs w:val="15"/>
                <w:color w:val="auto"/>
                <w:w w:val="70"/>
              </w:rPr>
              <w:t>197,582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5960" w:type="dxa"/>
            <w:vAlign w:val="bottom"/>
            <w:gridSpan w:val="4"/>
          </w:tcPr>
          <w:p>
            <w:pPr>
              <w:spacing w:after="0"/>
              <w:rPr>
                <w:sz w:val="20"/>
                <w:szCs w:val="20"/>
                <w:color w:val="auto"/>
              </w:rPr>
            </w:pPr>
            <w:r>
              <w:rPr>
                <w:rFonts w:ascii="Arial" w:cs="Arial" w:eastAsia="Arial" w:hAnsi="Arial"/>
                <w:sz w:val="15"/>
                <w:szCs w:val="15"/>
                <w:b w:val="1"/>
                <w:bCs w:val="1"/>
                <w:color w:val="auto"/>
              </w:rPr>
              <w:t>PREMIUMS AND CLAIMS ON INSURANCE ACTIVITIES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80"/>
              <w:spacing w:after="0" w:line="162" w:lineRule="exact"/>
              <w:rPr>
                <w:sz w:val="20"/>
                <w:szCs w:val="20"/>
                <w:color w:val="auto"/>
              </w:rPr>
            </w:pPr>
            <w:r>
              <w:rPr>
                <w:rFonts w:ascii="Arial" w:cs="Arial" w:eastAsia="Arial" w:hAnsi="Arial"/>
                <w:sz w:val="15"/>
                <w:szCs w:val="15"/>
                <w:color w:val="auto"/>
              </w:rPr>
              <w:t>Net premiums earned</w:t>
            </w: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66,939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53,170</w:t>
            </w:r>
          </w:p>
        </w:tc>
        <w:tc>
          <w:tcPr>
            <w:tcW w:w="220" w:type="dxa"/>
            <w:vAlign w:val="bottom"/>
          </w:tcPr>
          <w:p>
            <w:pPr>
              <w:spacing w:after="0"/>
              <w:rPr>
                <w:sz w:val="14"/>
                <w:szCs w:val="14"/>
                <w:color w:val="auto"/>
              </w:rPr>
            </w:pP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57,175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142,170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163,703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80"/>
              <w:spacing w:after="0" w:line="162" w:lineRule="exact"/>
              <w:rPr>
                <w:sz w:val="20"/>
                <w:szCs w:val="20"/>
                <w:color w:val="auto"/>
              </w:rPr>
            </w:pPr>
            <w:r>
              <w:rPr>
                <w:rFonts w:ascii="Arial" w:cs="Arial" w:eastAsia="Arial" w:hAnsi="Arial"/>
                <w:sz w:val="15"/>
                <w:szCs w:val="15"/>
                <w:color w:val="auto"/>
              </w:rPr>
              <w:t>Net claims incurred</w:t>
            </w:r>
          </w:p>
        </w:tc>
        <w:tc>
          <w:tcPr>
            <w:tcW w:w="920" w:type="dxa"/>
            <w:vAlign w:val="bottom"/>
            <w:gridSpan w:val="8"/>
          </w:tcPr>
          <w:p>
            <w:pPr>
              <w:jc w:val="right"/>
              <w:ind w:right="20"/>
              <w:spacing w:after="0" w:line="162" w:lineRule="exact"/>
              <w:rPr>
                <w:sz w:val="20"/>
                <w:szCs w:val="20"/>
                <w:color w:val="auto"/>
              </w:rPr>
            </w:pPr>
            <w:r>
              <w:rPr>
                <w:rFonts w:ascii="Arial" w:cs="Arial" w:eastAsia="Arial" w:hAnsi="Arial"/>
                <w:sz w:val="15"/>
                <w:szCs w:val="15"/>
                <w:color w:val="auto"/>
              </w:rPr>
              <w:t>(8,652)</w:t>
            </w:r>
          </w:p>
        </w:tc>
        <w:tc>
          <w:tcPr>
            <w:tcW w:w="1360" w:type="dxa"/>
            <w:vAlign w:val="bottom"/>
            <w:gridSpan w:val="8"/>
          </w:tcPr>
          <w:p>
            <w:pPr>
              <w:jc w:val="right"/>
              <w:ind w:right="220"/>
              <w:spacing w:after="0" w:line="162" w:lineRule="exact"/>
              <w:rPr>
                <w:sz w:val="20"/>
                <w:szCs w:val="20"/>
                <w:color w:val="auto"/>
              </w:rPr>
            </w:pPr>
            <w:r>
              <w:rPr>
                <w:rFonts w:ascii="Arial" w:cs="Arial" w:eastAsia="Arial" w:hAnsi="Arial"/>
                <w:sz w:val="15"/>
                <w:szCs w:val="15"/>
                <w:color w:val="auto"/>
              </w:rPr>
              <w:t>(11,383)</w:t>
            </w:r>
          </w:p>
        </w:tc>
        <w:tc>
          <w:tcPr>
            <w:tcW w:w="1160" w:type="dxa"/>
            <w:vAlign w:val="bottom"/>
            <w:gridSpan w:val="8"/>
          </w:tcPr>
          <w:p>
            <w:pPr>
              <w:jc w:val="right"/>
              <w:ind w:right="240"/>
              <w:spacing w:after="0" w:line="162" w:lineRule="exact"/>
              <w:rPr>
                <w:sz w:val="20"/>
                <w:szCs w:val="20"/>
                <w:color w:val="auto"/>
              </w:rPr>
            </w:pPr>
            <w:r>
              <w:rPr>
                <w:rFonts w:ascii="Arial" w:cs="Arial" w:eastAsia="Arial" w:hAnsi="Arial"/>
                <w:sz w:val="15"/>
                <w:szCs w:val="15"/>
                <w:color w:val="auto"/>
              </w:rPr>
              <w:t>(9,042)</w:t>
            </w:r>
          </w:p>
        </w:tc>
        <w:tc>
          <w:tcPr>
            <w:tcW w:w="1120" w:type="dxa"/>
            <w:vAlign w:val="bottom"/>
            <w:gridSpan w:val="8"/>
          </w:tcPr>
          <w:p>
            <w:pPr>
              <w:jc w:val="right"/>
              <w:ind w:right="220"/>
              <w:spacing w:after="0" w:line="162" w:lineRule="exact"/>
              <w:rPr>
                <w:sz w:val="20"/>
                <w:szCs w:val="20"/>
                <w:color w:val="auto"/>
              </w:rPr>
            </w:pPr>
            <w:r>
              <w:rPr>
                <w:rFonts w:ascii="Arial" w:cs="Arial" w:eastAsia="Arial" w:hAnsi="Arial"/>
                <w:sz w:val="15"/>
                <w:szCs w:val="15"/>
                <w:color w:val="auto"/>
              </w:rPr>
              <w:t>(25,734)</w:t>
            </w:r>
          </w:p>
        </w:tc>
        <w:tc>
          <w:tcPr>
            <w:tcW w:w="900" w:type="dxa"/>
            <w:vAlign w:val="bottom"/>
            <w:gridSpan w:val="5"/>
          </w:tcPr>
          <w:p>
            <w:pPr>
              <w:jc w:val="right"/>
              <w:spacing w:after="0" w:line="162" w:lineRule="exact"/>
              <w:rPr>
                <w:sz w:val="20"/>
                <w:szCs w:val="20"/>
                <w:color w:val="auto"/>
              </w:rPr>
            </w:pPr>
            <w:r>
              <w:rPr>
                <w:rFonts w:ascii="Arial" w:cs="Arial" w:eastAsia="Arial" w:hAnsi="Arial"/>
                <w:sz w:val="15"/>
                <w:szCs w:val="15"/>
                <w:color w:val="auto"/>
              </w:rPr>
              <w:t>(31,201)</w:t>
            </w:r>
          </w:p>
        </w:tc>
        <w:tc>
          <w:tcPr>
            <w:tcW w:w="0" w:type="dxa"/>
            <w:vAlign w:val="bottom"/>
          </w:tcPr>
          <w:p>
            <w:pPr>
              <w:spacing w:after="0"/>
              <w:rPr>
                <w:sz w:val="1"/>
                <w:szCs w:val="1"/>
                <w:color w:val="auto"/>
              </w:rPr>
            </w:pPr>
          </w:p>
        </w:tc>
      </w:tr>
      <w:tr>
        <w:trPr>
          <w:trHeight w:val="158"/>
        </w:trPr>
        <w:tc>
          <w:tcPr>
            <w:tcW w:w="5960" w:type="dxa"/>
            <w:vAlign w:val="bottom"/>
            <w:gridSpan w:val="4"/>
          </w:tcPr>
          <w:p>
            <w:pPr>
              <w:ind w:left="80"/>
              <w:spacing w:after="0" w:line="158" w:lineRule="exact"/>
              <w:rPr>
                <w:sz w:val="20"/>
                <w:szCs w:val="20"/>
                <w:color w:val="auto"/>
              </w:rPr>
            </w:pPr>
            <w:r>
              <w:rPr>
                <w:rFonts w:ascii="Arial" w:cs="Arial" w:eastAsia="Arial" w:hAnsi="Arial"/>
                <w:sz w:val="15"/>
                <w:szCs w:val="15"/>
                <w:color w:val="auto"/>
              </w:rPr>
              <w:t>Increase in future policy benefits for life and health</w:t>
            </w:r>
          </w:p>
        </w:tc>
        <w:tc>
          <w:tcPr>
            <w:tcW w:w="920" w:type="dxa"/>
            <w:vAlign w:val="bottom"/>
            <w:gridSpan w:val="8"/>
          </w:tcPr>
          <w:p>
            <w:pPr>
              <w:jc w:val="right"/>
              <w:ind w:right="20"/>
              <w:spacing w:after="0" w:line="158" w:lineRule="exact"/>
              <w:rPr>
                <w:sz w:val="20"/>
                <w:szCs w:val="20"/>
                <w:color w:val="auto"/>
              </w:rPr>
            </w:pPr>
            <w:r>
              <w:rPr>
                <w:rFonts w:ascii="Arial" w:cs="Arial" w:eastAsia="Arial" w:hAnsi="Arial"/>
                <w:sz w:val="15"/>
                <w:szCs w:val="15"/>
                <w:color w:val="auto"/>
              </w:rPr>
              <w:t>(39,963)</w:t>
            </w:r>
          </w:p>
        </w:tc>
        <w:tc>
          <w:tcPr>
            <w:tcW w:w="1360" w:type="dxa"/>
            <w:vAlign w:val="bottom"/>
            <w:gridSpan w:val="8"/>
          </w:tcPr>
          <w:p>
            <w:pPr>
              <w:jc w:val="right"/>
              <w:ind w:right="220"/>
              <w:spacing w:after="0" w:line="158" w:lineRule="exact"/>
              <w:rPr>
                <w:sz w:val="20"/>
                <w:szCs w:val="20"/>
                <w:color w:val="auto"/>
              </w:rPr>
            </w:pPr>
            <w:r>
              <w:rPr>
                <w:rFonts w:ascii="Arial" w:cs="Arial" w:eastAsia="Arial" w:hAnsi="Arial"/>
                <w:sz w:val="15"/>
                <w:szCs w:val="15"/>
                <w:color w:val="auto"/>
              </w:rPr>
              <w:t>(33,389)</w:t>
            </w:r>
          </w:p>
        </w:tc>
        <w:tc>
          <w:tcPr>
            <w:tcW w:w="1160" w:type="dxa"/>
            <w:vAlign w:val="bottom"/>
            <w:gridSpan w:val="8"/>
          </w:tcPr>
          <w:p>
            <w:pPr>
              <w:jc w:val="right"/>
              <w:ind w:right="240"/>
              <w:spacing w:after="0" w:line="158" w:lineRule="exact"/>
              <w:rPr>
                <w:sz w:val="20"/>
                <w:szCs w:val="20"/>
                <w:color w:val="auto"/>
              </w:rPr>
            </w:pPr>
            <w:r>
              <w:rPr>
                <w:rFonts w:ascii="Arial" w:cs="Arial" w:eastAsia="Arial" w:hAnsi="Arial"/>
                <w:sz w:val="15"/>
                <w:szCs w:val="15"/>
                <w:color w:val="auto"/>
              </w:rPr>
              <w:t>(34,549)</w:t>
            </w:r>
          </w:p>
        </w:tc>
        <w:tc>
          <w:tcPr>
            <w:tcW w:w="1120" w:type="dxa"/>
            <w:vAlign w:val="bottom"/>
            <w:gridSpan w:val="8"/>
          </w:tcPr>
          <w:p>
            <w:pPr>
              <w:jc w:val="right"/>
              <w:ind w:right="220"/>
              <w:spacing w:after="0" w:line="158" w:lineRule="exact"/>
              <w:rPr>
                <w:sz w:val="20"/>
                <w:szCs w:val="20"/>
                <w:color w:val="auto"/>
              </w:rPr>
            </w:pPr>
            <w:r>
              <w:rPr>
                <w:rFonts w:ascii="Arial" w:cs="Arial" w:eastAsia="Arial" w:hAnsi="Arial"/>
                <w:sz w:val="15"/>
                <w:szCs w:val="15"/>
                <w:color w:val="auto"/>
              </w:rPr>
              <w:t>(78,650)</w:t>
            </w:r>
          </w:p>
        </w:tc>
        <w:tc>
          <w:tcPr>
            <w:tcW w:w="90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(97,763)</w:t>
            </w:r>
          </w:p>
        </w:tc>
        <w:tc>
          <w:tcPr>
            <w:tcW w:w="0" w:type="dxa"/>
            <w:vAlign w:val="bottom"/>
          </w:tcPr>
          <w:p>
            <w:pPr>
              <w:spacing w:after="0"/>
              <w:rPr>
                <w:sz w:val="1"/>
                <w:szCs w:val="1"/>
                <w:color w:val="auto"/>
              </w:rPr>
            </w:pPr>
          </w:p>
        </w:tc>
      </w:tr>
      <w:tr>
        <w:trPr>
          <w:trHeight w:val="142"/>
        </w:trPr>
        <w:tc>
          <w:tcPr>
            <w:tcW w:w="5960" w:type="dxa"/>
            <w:vAlign w:val="bottom"/>
            <w:gridSpan w:val="4"/>
            <w:vMerge w:val="restart"/>
          </w:tcPr>
          <w:p>
            <w:pPr>
              <w:spacing w:after="0"/>
              <w:rPr>
                <w:sz w:val="20"/>
                <w:szCs w:val="20"/>
                <w:color w:val="auto"/>
              </w:rPr>
            </w:pPr>
            <w:r>
              <w:rPr>
                <w:rFonts w:ascii="Arial" w:cs="Arial" w:eastAsia="Arial" w:hAnsi="Arial"/>
                <w:sz w:val="15"/>
                <w:szCs w:val="15"/>
                <w:b w:val="1"/>
                <w:bCs w:val="1"/>
                <w:color w:val="auto"/>
              </w:rPr>
              <w:t>OTHER EXPENSES</w:t>
            </w:r>
          </w:p>
        </w:tc>
        <w:tc>
          <w:tcPr>
            <w:tcW w:w="400" w:type="dxa"/>
            <w:vAlign w:val="bottom"/>
            <w:gridSpan w:val="2"/>
          </w:tcPr>
          <w:p>
            <w:pPr>
              <w:spacing w:after="0"/>
              <w:rPr>
                <w:sz w:val="12"/>
                <w:szCs w:val="12"/>
                <w:color w:val="auto"/>
              </w:rPr>
            </w:pPr>
          </w:p>
        </w:tc>
        <w:tc>
          <w:tcPr>
            <w:tcW w:w="4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5"/>
                <w:szCs w:val="15"/>
                <w:color w:val="auto"/>
              </w:rPr>
              <w:t>18,324</w:t>
            </w: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480" w:type="dxa"/>
            <w:vAlign w:val="bottom"/>
            <w:tcBorders>
              <w:top w:val="single" w:sz="8" w:color="auto"/>
            </w:tcBorders>
            <w:gridSpan w:val="5"/>
          </w:tcPr>
          <w:p>
            <w:pPr>
              <w:jc w:val="right"/>
              <w:ind w:right="40"/>
              <w:spacing w:after="0" w:line="142" w:lineRule="exact"/>
              <w:rPr>
                <w:sz w:val="20"/>
                <w:szCs w:val="20"/>
                <w:color w:val="auto"/>
              </w:rPr>
            </w:pPr>
            <w:r>
              <w:rPr>
                <w:rFonts w:ascii="Arial" w:cs="Arial" w:eastAsia="Arial" w:hAnsi="Arial"/>
                <w:sz w:val="15"/>
                <w:szCs w:val="15"/>
                <w:color w:val="auto"/>
              </w:rPr>
              <w:t>8,398</w:t>
            </w:r>
          </w:p>
        </w:tc>
        <w:tc>
          <w:tcPr>
            <w:tcW w:w="22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4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5"/>
                <w:szCs w:val="15"/>
                <w:color w:val="auto"/>
                <w:w w:val="91"/>
              </w:rPr>
              <w:t>13,584</w:t>
            </w:r>
          </w:p>
        </w:tc>
        <w:tc>
          <w:tcPr>
            <w:tcW w:w="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3"/>
          </w:tcPr>
          <w:p>
            <w:pPr>
              <w:spacing w:after="0"/>
              <w:rPr>
                <w:sz w:val="12"/>
                <w:szCs w:val="12"/>
                <w:color w:val="auto"/>
              </w:rPr>
            </w:pPr>
          </w:p>
        </w:tc>
        <w:tc>
          <w:tcPr>
            <w:tcW w:w="4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5"/>
                <w:szCs w:val="15"/>
                <w:color w:val="auto"/>
                <w:w w:val="91"/>
              </w:rPr>
              <w:t>37,786</w:t>
            </w: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5"/>
                <w:szCs w:val="15"/>
                <w:color w:val="auto"/>
                <w:w w:val="95"/>
              </w:rPr>
              <w:t>34,739</w:t>
            </w:r>
          </w:p>
        </w:tc>
        <w:tc>
          <w:tcPr>
            <w:tcW w:w="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6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80"/>
              <w:spacing w:after="0" w:line="162" w:lineRule="exact"/>
              <w:rPr>
                <w:sz w:val="20"/>
                <w:szCs w:val="20"/>
                <w:color w:val="auto"/>
              </w:rPr>
            </w:pPr>
            <w:r>
              <w:rPr>
                <w:rFonts w:ascii="Arial" w:cs="Arial" w:eastAsia="Arial" w:hAnsi="Arial"/>
                <w:sz w:val="15"/>
                <w:szCs w:val="15"/>
                <w:color w:val="auto"/>
              </w:rPr>
              <w:t>Salaries and employee benefits</w:t>
            </w: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48,406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49,421</w:t>
            </w:r>
          </w:p>
        </w:tc>
        <w:tc>
          <w:tcPr>
            <w:tcW w:w="220" w:type="dxa"/>
            <w:vAlign w:val="bottom"/>
          </w:tcPr>
          <w:p>
            <w:pPr>
              <w:spacing w:after="0"/>
              <w:rPr>
                <w:sz w:val="14"/>
                <w:szCs w:val="14"/>
                <w:color w:val="auto"/>
              </w:rPr>
            </w:pP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49,557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136,853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146,882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80"/>
              <w:spacing w:after="0" w:line="162" w:lineRule="exact"/>
              <w:rPr>
                <w:sz w:val="20"/>
                <w:szCs w:val="20"/>
                <w:color w:val="auto"/>
              </w:rPr>
            </w:pPr>
            <w:r>
              <w:rPr>
                <w:rFonts w:ascii="Arial" w:cs="Arial" w:eastAsia="Arial" w:hAnsi="Arial"/>
                <w:sz w:val="15"/>
                <w:szCs w:val="15"/>
                <w:color w:val="auto"/>
              </w:rPr>
              <w:t>General, administrative, and other taxes</w:t>
            </w: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37,191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31,628</w:t>
            </w:r>
          </w:p>
        </w:tc>
        <w:tc>
          <w:tcPr>
            <w:tcW w:w="220" w:type="dxa"/>
            <w:vAlign w:val="bottom"/>
          </w:tcPr>
          <w:p>
            <w:pPr>
              <w:spacing w:after="0"/>
              <w:rPr>
                <w:sz w:val="14"/>
                <w:szCs w:val="14"/>
                <w:color w:val="auto"/>
              </w:rPr>
            </w:pP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36,546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109,542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102,692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80"/>
              <w:spacing w:after="0" w:line="162" w:lineRule="exact"/>
              <w:rPr>
                <w:sz w:val="20"/>
                <w:szCs w:val="20"/>
                <w:color w:val="auto"/>
              </w:rPr>
            </w:pPr>
            <w:r>
              <w:rPr>
                <w:rFonts w:ascii="Arial" w:cs="Arial" w:eastAsia="Arial" w:hAnsi="Arial"/>
                <w:sz w:val="15"/>
                <w:szCs w:val="15"/>
                <w:color w:val="auto"/>
              </w:rPr>
              <w:t>Depreciation and amortization</w:t>
            </w: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12,367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9,419</w:t>
            </w:r>
          </w:p>
        </w:tc>
        <w:tc>
          <w:tcPr>
            <w:tcW w:w="220" w:type="dxa"/>
            <w:vAlign w:val="bottom"/>
          </w:tcPr>
          <w:p>
            <w:pPr>
              <w:spacing w:after="0"/>
              <w:rPr>
                <w:sz w:val="14"/>
                <w:szCs w:val="14"/>
                <w:color w:val="auto"/>
              </w:rPr>
            </w:pP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9,742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35,024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29,415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ind w:left="80"/>
              <w:spacing w:after="0" w:line="162" w:lineRule="exact"/>
              <w:rPr>
                <w:sz w:val="20"/>
                <w:szCs w:val="20"/>
                <w:color w:val="auto"/>
              </w:rPr>
            </w:pPr>
            <w:r>
              <w:rPr>
                <w:rFonts w:ascii="Arial" w:cs="Arial" w:eastAsia="Arial" w:hAnsi="Arial"/>
                <w:sz w:val="15"/>
                <w:szCs w:val="15"/>
                <w:color w:val="auto"/>
              </w:rPr>
              <w:t>Other</w:t>
            </w: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26,538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40"/>
              <w:spacing w:after="0" w:line="162" w:lineRule="exact"/>
              <w:rPr>
                <w:sz w:val="20"/>
                <w:szCs w:val="20"/>
                <w:color w:val="auto"/>
              </w:rPr>
            </w:pPr>
            <w:r>
              <w:rPr>
                <w:rFonts w:ascii="Arial" w:cs="Arial" w:eastAsia="Arial" w:hAnsi="Arial"/>
                <w:sz w:val="15"/>
                <w:szCs w:val="15"/>
                <w:color w:val="auto"/>
              </w:rPr>
              <w:t>25,297</w:t>
            </w:r>
          </w:p>
        </w:tc>
        <w:tc>
          <w:tcPr>
            <w:tcW w:w="220" w:type="dxa"/>
            <w:vAlign w:val="bottom"/>
          </w:tcPr>
          <w:p>
            <w:pPr>
              <w:spacing w:after="0"/>
              <w:rPr>
                <w:sz w:val="14"/>
                <w:szCs w:val="14"/>
                <w:color w:val="auto"/>
              </w:rPr>
            </w:pPr>
          </w:p>
        </w:tc>
        <w:tc>
          <w:tcPr>
            <w:tcW w:w="88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32,829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6"/>
          </w:tcPr>
          <w:p>
            <w:pPr>
              <w:jc w:val="right"/>
              <w:spacing w:after="0" w:line="162" w:lineRule="exact"/>
              <w:rPr>
                <w:sz w:val="20"/>
                <w:szCs w:val="20"/>
                <w:color w:val="auto"/>
              </w:rPr>
            </w:pPr>
            <w:r>
              <w:rPr>
                <w:rFonts w:ascii="Arial" w:cs="Arial" w:eastAsia="Arial" w:hAnsi="Arial"/>
                <w:sz w:val="15"/>
                <w:szCs w:val="15"/>
                <w:color w:val="auto"/>
              </w:rPr>
              <w:t>59,425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75,609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960" w:type="dxa"/>
            <w:vAlign w:val="bottom"/>
            <w:gridSpan w:val="4"/>
          </w:tcPr>
          <w:p>
            <w:pPr>
              <w:ind w:left="80"/>
              <w:spacing w:after="0" w:line="158" w:lineRule="exact"/>
              <w:rPr>
                <w:sz w:val="20"/>
                <w:szCs w:val="20"/>
                <w:color w:val="auto"/>
              </w:rPr>
            </w:pPr>
            <w:r>
              <w:rPr>
                <w:rFonts w:ascii="Arial" w:cs="Arial" w:eastAsia="Arial" w:hAnsi="Arial"/>
                <w:sz w:val="15"/>
                <w:szCs w:val="15"/>
                <w:color w:val="auto"/>
              </w:rPr>
              <w:t>Merger costs</w:t>
            </w:r>
          </w:p>
        </w:tc>
        <w:tc>
          <w:tcPr>
            <w:tcW w:w="640" w:type="dxa"/>
            <w:vAlign w:val="bottom"/>
            <w:gridSpan w:val="5"/>
          </w:tcPr>
          <w:p>
            <w:pPr>
              <w:spacing w:after="0"/>
              <w:rPr>
                <w:sz w:val="13"/>
                <w:szCs w:val="13"/>
                <w:color w:val="auto"/>
              </w:rPr>
            </w:pPr>
          </w:p>
        </w:tc>
        <w:tc>
          <w:tcPr>
            <w:tcW w:w="240" w:type="dxa"/>
            <w:vAlign w:val="bottom"/>
          </w:tcPr>
          <w:p>
            <w:pPr>
              <w:jc w:val="right"/>
              <w:spacing w:after="0" w:line="158" w:lineRule="exact"/>
              <w:rPr>
                <w:sz w:val="20"/>
                <w:szCs w:val="20"/>
                <w:color w:val="auto"/>
              </w:rPr>
            </w:pPr>
            <w:r>
              <w:rPr>
                <w:rFonts w:ascii="Arial" w:cs="Arial" w:eastAsia="Arial" w:hAnsi="Arial"/>
                <w:sz w:val="15"/>
                <w:szCs w:val="15"/>
                <w:color w:val="auto"/>
                <w:w w:val="87"/>
              </w:rPr>
              <w:t>538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5"/>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5"/>
                <w:szCs w:val="15"/>
                <w:color w:val="auto"/>
                <w:w w:val="71"/>
              </w:rPr>
              <w:t>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6"/>
          </w:tcPr>
          <w:p>
            <w:pPr>
              <w:jc w:val="right"/>
              <w:spacing w:after="0" w:line="158" w:lineRule="exact"/>
              <w:rPr>
                <w:sz w:val="20"/>
                <w:szCs w:val="20"/>
                <w:color w:val="auto"/>
              </w:rPr>
            </w:pPr>
            <w:r>
              <w:rPr>
                <w:rFonts w:ascii="Arial" w:cs="Arial" w:eastAsia="Arial" w:hAnsi="Arial"/>
                <w:sz w:val="15"/>
                <w:szCs w:val="15"/>
                <w:color w:val="auto"/>
              </w:rPr>
              <w:t>3,742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vMerge w:val="restart"/>
          </w:tcPr>
          <w:p>
            <w:pPr>
              <w:jc w:val="right"/>
              <w:spacing w:after="0" w:line="162" w:lineRule="exact"/>
              <w:rPr>
                <w:sz w:val="20"/>
                <w:szCs w:val="20"/>
                <w:color w:val="auto"/>
              </w:rPr>
            </w:pPr>
            <w:r>
              <w:rPr>
                <w:rFonts w:ascii="Arial" w:cs="Arial" w:eastAsia="Arial" w:hAnsi="Arial"/>
                <w:sz w:val="15"/>
                <w:szCs w:val="15"/>
                <w:color w:val="auto"/>
              </w:rPr>
              <w:t>115,765</w:t>
            </w:r>
          </w:p>
        </w:tc>
        <w:tc>
          <w:tcPr>
            <w:tcW w:w="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5"/>
            <w:vMerge w:val="restart"/>
          </w:tcPr>
          <w:p>
            <w:pPr>
              <w:ind w:left="400"/>
              <w:spacing w:after="0" w:line="162" w:lineRule="exact"/>
              <w:rPr>
                <w:sz w:val="20"/>
                <w:szCs w:val="20"/>
                <w:color w:val="auto"/>
              </w:rPr>
            </w:pPr>
            <w:r>
              <w:rPr>
                <w:rFonts w:ascii="Arial" w:cs="Arial" w:eastAsia="Arial" w:hAnsi="Arial"/>
                <w:sz w:val="15"/>
                <w:szCs w:val="15"/>
                <w:color w:val="auto"/>
                <w:w w:val="73"/>
              </w:rPr>
              <w:t>128,673</w:t>
            </w: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5"/>
          </w:tcPr>
          <w:p>
            <w:pPr>
              <w:jc w:val="right"/>
              <w:spacing w:after="0" w:line="142" w:lineRule="exact"/>
              <w:rPr>
                <w:sz w:val="20"/>
                <w:szCs w:val="20"/>
                <w:color w:val="auto"/>
              </w:rPr>
            </w:pPr>
            <w:r>
              <w:rPr>
                <w:rFonts w:ascii="Arial" w:cs="Arial" w:eastAsia="Arial" w:hAnsi="Arial"/>
                <w:sz w:val="15"/>
                <w:szCs w:val="15"/>
                <w:color w:val="auto"/>
                <w:w w:val="88"/>
              </w:rPr>
              <w:t>125,040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6"/>
          </w:tcPr>
          <w:p>
            <w:pPr>
              <w:jc w:val="right"/>
              <w:spacing w:after="0" w:line="142" w:lineRule="exact"/>
              <w:rPr>
                <w:sz w:val="20"/>
                <w:szCs w:val="20"/>
                <w:color w:val="auto"/>
              </w:rPr>
            </w:pPr>
            <w:r>
              <w:rPr>
                <w:rFonts w:ascii="Arial" w:cs="Arial" w:eastAsia="Arial" w:hAnsi="Arial"/>
                <w:sz w:val="15"/>
                <w:szCs w:val="15"/>
                <w:color w:val="auto"/>
              </w:rPr>
              <w:t>344,586</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4"/>
          </w:tcPr>
          <w:p>
            <w:pPr>
              <w:jc w:val="right"/>
              <w:spacing w:after="0" w:line="142" w:lineRule="exact"/>
              <w:rPr>
                <w:sz w:val="20"/>
                <w:szCs w:val="20"/>
                <w:color w:val="auto"/>
              </w:rPr>
            </w:pPr>
            <w:r>
              <w:rPr>
                <w:rFonts w:ascii="Arial" w:cs="Arial" w:eastAsia="Arial" w:hAnsi="Arial"/>
                <w:sz w:val="15"/>
                <w:szCs w:val="15"/>
                <w:color w:val="auto"/>
              </w:rPr>
              <w:t>354,597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spacing w:after="0"/>
              <w:rPr>
                <w:sz w:val="20"/>
                <w:szCs w:val="20"/>
                <w:color w:val="auto"/>
              </w:rPr>
            </w:pPr>
            <w:r>
              <w:rPr>
                <w:rFonts w:ascii="Arial" w:cs="Arial" w:eastAsia="Arial" w:hAnsi="Arial"/>
                <w:sz w:val="15"/>
                <w:szCs w:val="15"/>
                <w:b w:val="1"/>
                <w:bCs w:val="1"/>
                <w:color w:val="auto"/>
              </w:rPr>
              <w:t>Translation result</w:t>
            </w:r>
          </w:p>
        </w:tc>
        <w:tc>
          <w:tcPr>
            <w:tcW w:w="380" w:type="dxa"/>
            <w:vAlign w:val="bottom"/>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596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gridSpan w:val="7"/>
          </w:tcPr>
          <w:p>
            <w:pPr>
              <w:jc w:val="right"/>
              <w:ind w:right="20"/>
              <w:spacing w:after="0"/>
              <w:rPr>
                <w:sz w:val="20"/>
                <w:szCs w:val="20"/>
                <w:color w:val="auto"/>
              </w:rPr>
            </w:pPr>
            <w:r>
              <w:rPr>
                <w:rFonts w:ascii="Arial" w:cs="Arial" w:eastAsia="Arial" w:hAnsi="Arial"/>
                <w:sz w:val="15"/>
                <w:szCs w:val="15"/>
                <w:color w:val="auto"/>
              </w:rPr>
              <w:t>(171)</w:t>
            </w:r>
          </w:p>
        </w:tc>
        <w:tc>
          <w:tcPr>
            <w:tcW w:w="1140" w:type="dxa"/>
            <w:vAlign w:val="bottom"/>
            <w:gridSpan w:val="7"/>
          </w:tcPr>
          <w:p>
            <w:pPr>
              <w:jc w:val="right"/>
              <w:ind w:right="40"/>
              <w:spacing w:after="0"/>
              <w:rPr>
                <w:sz w:val="20"/>
                <w:szCs w:val="20"/>
                <w:color w:val="auto"/>
              </w:rPr>
            </w:pPr>
            <w:r>
              <w:rPr>
                <w:rFonts w:ascii="Arial" w:cs="Arial" w:eastAsia="Arial" w:hAnsi="Arial"/>
                <w:sz w:val="15"/>
                <w:szCs w:val="15"/>
                <w:color w:val="auto"/>
              </w:rPr>
              <w:t>1,260</w:t>
            </w:r>
          </w:p>
        </w:tc>
        <w:tc>
          <w:tcPr>
            <w:tcW w:w="220" w:type="dxa"/>
            <w:vAlign w:val="bottom"/>
          </w:tcPr>
          <w:p>
            <w:pPr>
              <w:spacing w:after="0"/>
              <w:rPr>
                <w:sz w:val="24"/>
                <w:szCs w:val="24"/>
                <w:color w:val="auto"/>
              </w:rPr>
            </w:pPr>
          </w:p>
        </w:tc>
        <w:tc>
          <w:tcPr>
            <w:tcW w:w="1160" w:type="dxa"/>
            <w:vAlign w:val="bottom"/>
            <w:gridSpan w:val="8"/>
          </w:tcPr>
          <w:p>
            <w:pPr>
              <w:jc w:val="right"/>
              <w:ind w:right="240"/>
              <w:spacing w:after="0"/>
              <w:rPr>
                <w:sz w:val="20"/>
                <w:szCs w:val="20"/>
                <w:color w:val="auto"/>
              </w:rPr>
            </w:pPr>
            <w:r>
              <w:rPr>
                <w:rFonts w:ascii="Arial" w:cs="Arial" w:eastAsia="Arial" w:hAnsi="Arial"/>
                <w:sz w:val="15"/>
                <w:szCs w:val="15"/>
                <w:color w:val="auto"/>
              </w:rPr>
              <w:t>(5,702)</w:t>
            </w:r>
          </w:p>
        </w:tc>
        <w:tc>
          <w:tcPr>
            <w:tcW w:w="860" w:type="dxa"/>
            <w:vAlign w:val="bottom"/>
            <w:gridSpan w:val="6"/>
          </w:tcPr>
          <w:p>
            <w:pPr>
              <w:jc w:val="right"/>
              <w:spacing w:after="0"/>
              <w:rPr>
                <w:sz w:val="20"/>
                <w:szCs w:val="20"/>
                <w:color w:val="auto"/>
              </w:rPr>
            </w:pPr>
            <w:r>
              <w:rPr>
                <w:rFonts w:ascii="Arial" w:cs="Arial" w:eastAsia="Arial" w:hAnsi="Arial"/>
                <w:sz w:val="15"/>
                <w:szCs w:val="15"/>
                <w:color w:val="auto"/>
              </w:rPr>
              <w:t>3,861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5"/>
          </w:tcPr>
          <w:p>
            <w:pPr>
              <w:jc w:val="right"/>
              <w:spacing w:after="0"/>
              <w:rPr>
                <w:sz w:val="20"/>
                <w:szCs w:val="20"/>
                <w:color w:val="auto"/>
              </w:rPr>
            </w:pPr>
            <w:r>
              <w:rPr>
                <w:rFonts w:ascii="Arial" w:cs="Arial" w:eastAsia="Arial" w:hAnsi="Arial"/>
                <w:sz w:val="15"/>
                <w:szCs w:val="15"/>
                <w:color w:val="auto"/>
              </w:rPr>
              <w:t>(3,668)</w:t>
            </w:r>
          </w:p>
        </w:tc>
        <w:tc>
          <w:tcPr>
            <w:tcW w:w="0" w:type="dxa"/>
            <w:vAlign w:val="bottom"/>
          </w:tcPr>
          <w:p>
            <w:pPr>
              <w:spacing w:after="0"/>
              <w:rPr>
                <w:sz w:val="1"/>
                <w:szCs w:val="1"/>
                <w:color w:val="auto"/>
              </w:rPr>
            </w:pPr>
          </w:p>
        </w:tc>
      </w:tr>
      <w:tr>
        <w:trPr>
          <w:trHeight w:val="324"/>
        </w:trPr>
        <w:tc>
          <w:tcPr>
            <w:tcW w:w="5960" w:type="dxa"/>
            <w:vAlign w:val="bottom"/>
            <w:gridSpan w:val="4"/>
          </w:tcPr>
          <w:p>
            <w:pPr>
              <w:spacing w:after="0"/>
              <w:rPr>
                <w:sz w:val="20"/>
                <w:szCs w:val="20"/>
                <w:color w:val="auto"/>
              </w:rPr>
            </w:pPr>
            <w:r>
              <w:rPr>
                <w:rFonts w:ascii="Arial" w:cs="Arial" w:eastAsia="Arial" w:hAnsi="Arial"/>
                <w:sz w:val="15"/>
                <w:szCs w:val="15"/>
                <w:b w:val="1"/>
                <w:bCs w:val="1"/>
                <w:color w:val="auto"/>
              </w:rPr>
              <w:t>Net Income before income tax</w:t>
            </w:r>
          </w:p>
        </w:tc>
        <w:tc>
          <w:tcPr>
            <w:tcW w:w="880" w:type="dxa"/>
            <w:vAlign w:val="bottom"/>
            <w:gridSpan w:val="6"/>
          </w:tcPr>
          <w:p>
            <w:pPr>
              <w:jc w:val="right"/>
              <w:spacing w:after="0"/>
              <w:rPr>
                <w:sz w:val="20"/>
                <w:szCs w:val="20"/>
                <w:color w:val="auto"/>
              </w:rPr>
            </w:pPr>
            <w:r>
              <w:rPr>
                <w:rFonts w:ascii="Arial" w:cs="Arial" w:eastAsia="Arial" w:hAnsi="Arial"/>
                <w:sz w:val="15"/>
                <w:szCs w:val="15"/>
                <w:b w:val="1"/>
                <w:bCs w:val="1"/>
                <w:color w:val="auto"/>
              </w:rPr>
              <w:t>47,529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7"/>
          </w:tcPr>
          <w:p>
            <w:pPr>
              <w:jc w:val="right"/>
              <w:ind w:right="40"/>
              <w:spacing w:after="0"/>
              <w:rPr>
                <w:sz w:val="20"/>
                <w:szCs w:val="20"/>
                <w:color w:val="auto"/>
              </w:rPr>
            </w:pPr>
            <w:r>
              <w:rPr>
                <w:rFonts w:ascii="Arial" w:cs="Arial" w:eastAsia="Arial" w:hAnsi="Arial"/>
                <w:sz w:val="15"/>
                <w:szCs w:val="15"/>
                <w:b w:val="1"/>
                <w:bCs w:val="1"/>
                <w:color w:val="auto"/>
              </w:rPr>
              <w:t>63,688</w:t>
            </w:r>
          </w:p>
        </w:tc>
        <w:tc>
          <w:tcPr>
            <w:tcW w:w="220" w:type="dxa"/>
            <w:vAlign w:val="bottom"/>
          </w:tcPr>
          <w:p>
            <w:pPr>
              <w:spacing w:after="0"/>
              <w:rPr>
                <w:sz w:val="24"/>
                <w:szCs w:val="24"/>
                <w:color w:val="auto"/>
              </w:rPr>
            </w:pPr>
          </w:p>
        </w:tc>
        <w:tc>
          <w:tcPr>
            <w:tcW w:w="880" w:type="dxa"/>
            <w:vAlign w:val="bottom"/>
            <w:gridSpan w:val="6"/>
          </w:tcPr>
          <w:p>
            <w:pPr>
              <w:jc w:val="right"/>
              <w:spacing w:after="0"/>
              <w:rPr>
                <w:sz w:val="20"/>
                <w:szCs w:val="20"/>
                <w:color w:val="auto"/>
              </w:rPr>
            </w:pPr>
            <w:r>
              <w:rPr>
                <w:rFonts w:ascii="Arial" w:cs="Arial" w:eastAsia="Arial" w:hAnsi="Arial"/>
                <w:sz w:val="15"/>
                <w:szCs w:val="15"/>
                <w:b w:val="1"/>
                <w:bCs w:val="1"/>
                <w:color w:val="auto"/>
              </w:rPr>
              <w:t>70,867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6"/>
          </w:tcPr>
          <w:p>
            <w:pPr>
              <w:jc w:val="right"/>
              <w:spacing w:after="0"/>
              <w:rPr>
                <w:sz w:val="20"/>
                <w:szCs w:val="20"/>
                <w:color w:val="auto"/>
              </w:rPr>
            </w:pPr>
            <w:r>
              <w:rPr>
                <w:rFonts w:ascii="Arial" w:cs="Arial" w:eastAsia="Arial" w:hAnsi="Arial"/>
                <w:sz w:val="15"/>
                <w:szCs w:val="15"/>
                <w:b w:val="1"/>
                <w:bCs w:val="1"/>
                <w:color w:val="auto"/>
              </w:rPr>
              <w:t>143,027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b w:val="1"/>
                <w:bCs w:val="1"/>
                <w:color w:val="auto"/>
              </w:rPr>
              <w:t>206,756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960" w:type="dxa"/>
            <w:vAlign w:val="bottom"/>
            <w:gridSpan w:val="4"/>
          </w:tcPr>
          <w:p>
            <w:pPr>
              <w:ind w:left="80"/>
              <w:spacing w:after="0"/>
              <w:rPr>
                <w:sz w:val="20"/>
                <w:szCs w:val="20"/>
                <w:color w:val="auto"/>
              </w:rPr>
            </w:pPr>
            <w:r>
              <w:rPr>
                <w:rFonts w:ascii="Arial" w:cs="Arial" w:eastAsia="Arial" w:hAnsi="Arial"/>
                <w:sz w:val="15"/>
                <w:szCs w:val="15"/>
                <w:color w:val="auto"/>
              </w:rPr>
              <w:t>Employee profit sharing(2)</w:t>
            </w:r>
          </w:p>
        </w:tc>
        <w:tc>
          <w:tcPr>
            <w:tcW w:w="920" w:type="dxa"/>
            <w:vAlign w:val="bottom"/>
            <w:gridSpan w:val="8"/>
          </w:tcPr>
          <w:p>
            <w:pPr>
              <w:jc w:val="right"/>
              <w:ind w:right="20"/>
              <w:spacing w:after="0"/>
              <w:rPr>
                <w:sz w:val="20"/>
                <w:szCs w:val="20"/>
                <w:color w:val="auto"/>
              </w:rPr>
            </w:pPr>
            <w:r>
              <w:rPr>
                <w:rFonts w:ascii="Arial" w:cs="Arial" w:eastAsia="Arial" w:hAnsi="Arial"/>
                <w:sz w:val="15"/>
                <w:szCs w:val="15"/>
                <w:color w:val="auto"/>
              </w:rPr>
              <w:t>(1,635)</w:t>
            </w:r>
          </w:p>
        </w:tc>
        <w:tc>
          <w:tcPr>
            <w:tcW w:w="1360" w:type="dxa"/>
            <w:vAlign w:val="bottom"/>
            <w:gridSpan w:val="8"/>
          </w:tcPr>
          <w:p>
            <w:pPr>
              <w:jc w:val="right"/>
              <w:ind w:right="220"/>
              <w:spacing w:after="0"/>
              <w:rPr>
                <w:sz w:val="20"/>
                <w:szCs w:val="20"/>
                <w:color w:val="auto"/>
              </w:rPr>
            </w:pPr>
            <w:r>
              <w:rPr>
                <w:rFonts w:ascii="Arial" w:cs="Arial" w:eastAsia="Arial" w:hAnsi="Arial"/>
                <w:sz w:val="15"/>
                <w:szCs w:val="15"/>
                <w:color w:val="auto"/>
              </w:rPr>
              <w:t>(1,699)</w:t>
            </w:r>
          </w:p>
        </w:tc>
        <w:tc>
          <w:tcPr>
            <w:tcW w:w="1160" w:type="dxa"/>
            <w:vAlign w:val="bottom"/>
            <w:gridSpan w:val="8"/>
          </w:tcPr>
          <w:p>
            <w:pPr>
              <w:jc w:val="right"/>
              <w:ind w:right="240"/>
              <w:spacing w:after="0"/>
              <w:rPr>
                <w:sz w:val="20"/>
                <w:szCs w:val="20"/>
                <w:color w:val="auto"/>
              </w:rPr>
            </w:pPr>
            <w:r>
              <w:rPr>
                <w:rFonts w:ascii="Arial" w:cs="Arial" w:eastAsia="Arial" w:hAnsi="Arial"/>
                <w:sz w:val="15"/>
                <w:szCs w:val="15"/>
                <w:color w:val="auto"/>
              </w:rPr>
              <w:t>(3,588)</w:t>
            </w:r>
          </w:p>
        </w:tc>
        <w:tc>
          <w:tcPr>
            <w:tcW w:w="1120" w:type="dxa"/>
            <w:vAlign w:val="bottom"/>
            <w:gridSpan w:val="8"/>
          </w:tcPr>
          <w:p>
            <w:pPr>
              <w:jc w:val="right"/>
              <w:ind w:right="220"/>
              <w:spacing w:after="0"/>
              <w:rPr>
                <w:sz w:val="20"/>
                <w:szCs w:val="20"/>
                <w:color w:val="auto"/>
              </w:rPr>
            </w:pPr>
            <w:r>
              <w:rPr>
                <w:rFonts w:ascii="Arial" w:cs="Arial" w:eastAsia="Arial" w:hAnsi="Arial"/>
                <w:sz w:val="15"/>
                <w:szCs w:val="15"/>
                <w:color w:val="auto"/>
              </w:rPr>
              <w:t>(4,434)</w:t>
            </w:r>
          </w:p>
        </w:tc>
        <w:tc>
          <w:tcPr>
            <w:tcW w:w="900" w:type="dxa"/>
            <w:vAlign w:val="bottom"/>
            <w:gridSpan w:val="5"/>
          </w:tcPr>
          <w:p>
            <w:pPr>
              <w:jc w:val="right"/>
              <w:spacing w:after="0"/>
              <w:rPr>
                <w:sz w:val="20"/>
                <w:szCs w:val="20"/>
                <w:color w:val="auto"/>
              </w:rPr>
            </w:pPr>
            <w:r>
              <w:rPr>
                <w:rFonts w:ascii="Arial" w:cs="Arial" w:eastAsia="Arial" w:hAnsi="Arial"/>
                <w:sz w:val="15"/>
                <w:szCs w:val="15"/>
                <w:color w:val="auto"/>
              </w:rPr>
              <w:t>(8,182)</w:t>
            </w:r>
          </w:p>
        </w:tc>
        <w:tc>
          <w:tcPr>
            <w:tcW w:w="0" w:type="dxa"/>
            <w:vAlign w:val="bottom"/>
          </w:tcPr>
          <w:p>
            <w:pPr>
              <w:spacing w:after="0"/>
              <w:rPr>
                <w:sz w:val="1"/>
                <w:szCs w:val="1"/>
                <w:color w:val="auto"/>
              </w:rPr>
            </w:pPr>
          </w:p>
        </w:tc>
      </w:tr>
      <w:tr>
        <w:trPr>
          <w:trHeight w:val="158"/>
        </w:trPr>
        <w:tc>
          <w:tcPr>
            <w:tcW w:w="5960" w:type="dxa"/>
            <w:vAlign w:val="bottom"/>
            <w:gridSpan w:val="4"/>
          </w:tcPr>
          <w:p>
            <w:pPr>
              <w:ind w:left="80"/>
              <w:spacing w:after="0" w:line="158" w:lineRule="exact"/>
              <w:rPr>
                <w:sz w:val="20"/>
                <w:szCs w:val="20"/>
                <w:color w:val="auto"/>
              </w:rPr>
            </w:pPr>
            <w:r>
              <w:rPr>
                <w:rFonts w:ascii="Arial" w:cs="Arial" w:eastAsia="Arial" w:hAnsi="Arial"/>
                <w:sz w:val="15"/>
                <w:szCs w:val="15"/>
                <w:color w:val="auto"/>
              </w:rPr>
              <w:t>Income Tax</w:t>
            </w:r>
          </w:p>
        </w:tc>
        <w:tc>
          <w:tcPr>
            <w:tcW w:w="920" w:type="dxa"/>
            <w:vAlign w:val="bottom"/>
            <w:gridSpan w:val="8"/>
          </w:tcPr>
          <w:p>
            <w:pPr>
              <w:jc w:val="right"/>
              <w:ind w:right="20"/>
              <w:spacing w:after="0" w:line="158" w:lineRule="exact"/>
              <w:rPr>
                <w:sz w:val="20"/>
                <w:szCs w:val="20"/>
                <w:color w:val="auto"/>
              </w:rPr>
            </w:pPr>
            <w:r>
              <w:rPr>
                <w:rFonts w:ascii="Arial" w:cs="Arial" w:eastAsia="Arial" w:hAnsi="Arial"/>
                <w:sz w:val="15"/>
                <w:szCs w:val="15"/>
                <w:color w:val="auto"/>
              </w:rPr>
              <w:t>(10,794)</w:t>
            </w:r>
          </w:p>
        </w:tc>
        <w:tc>
          <w:tcPr>
            <w:tcW w:w="1360" w:type="dxa"/>
            <w:vAlign w:val="bottom"/>
            <w:gridSpan w:val="8"/>
          </w:tcPr>
          <w:p>
            <w:pPr>
              <w:jc w:val="right"/>
              <w:ind w:right="220"/>
              <w:spacing w:after="0" w:line="158" w:lineRule="exact"/>
              <w:rPr>
                <w:sz w:val="20"/>
                <w:szCs w:val="20"/>
                <w:color w:val="auto"/>
              </w:rPr>
            </w:pPr>
            <w:r>
              <w:rPr>
                <w:rFonts w:ascii="Arial" w:cs="Arial" w:eastAsia="Arial" w:hAnsi="Arial"/>
                <w:sz w:val="15"/>
                <w:szCs w:val="15"/>
                <w:color w:val="auto"/>
              </w:rPr>
              <w:t>(13,668)</w:t>
            </w:r>
          </w:p>
        </w:tc>
        <w:tc>
          <w:tcPr>
            <w:tcW w:w="1160" w:type="dxa"/>
            <w:vAlign w:val="bottom"/>
            <w:gridSpan w:val="8"/>
          </w:tcPr>
          <w:p>
            <w:pPr>
              <w:jc w:val="right"/>
              <w:ind w:right="240"/>
              <w:spacing w:after="0" w:line="158" w:lineRule="exact"/>
              <w:rPr>
                <w:sz w:val="20"/>
                <w:szCs w:val="20"/>
                <w:color w:val="auto"/>
              </w:rPr>
            </w:pPr>
            <w:r>
              <w:rPr>
                <w:rFonts w:ascii="Arial" w:cs="Arial" w:eastAsia="Arial" w:hAnsi="Arial"/>
                <w:sz w:val="15"/>
                <w:szCs w:val="15"/>
                <w:color w:val="auto"/>
              </w:rPr>
              <w:t>(16,724)</w:t>
            </w:r>
          </w:p>
        </w:tc>
        <w:tc>
          <w:tcPr>
            <w:tcW w:w="1120" w:type="dxa"/>
            <w:vAlign w:val="bottom"/>
            <w:gridSpan w:val="8"/>
          </w:tcPr>
          <w:p>
            <w:pPr>
              <w:jc w:val="right"/>
              <w:ind w:right="220"/>
              <w:spacing w:after="0" w:line="158" w:lineRule="exact"/>
              <w:rPr>
                <w:sz w:val="20"/>
                <w:szCs w:val="20"/>
                <w:color w:val="auto"/>
              </w:rPr>
            </w:pPr>
            <w:r>
              <w:rPr>
                <w:rFonts w:ascii="Arial" w:cs="Arial" w:eastAsia="Arial" w:hAnsi="Arial"/>
                <w:sz w:val="15"/>
                <w:szCs w:val="15"/>
                <w:color w:val="auto"/>
              </w:rPr>
              <w:t>(35,100)</w:t>
            </w:r>
          </w:p>
        </w:tc>
        <w:tc>
          <w:tcPr>
            <w:tcW w:w="90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(53,185)</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4"/>
                <w:szCs w:val="14"/>
                <w:color w:val="auto"/>
              </w:rPr>
            </w:pPr>
          </w:p>
        </w:tc>
        <w:tc>
          <w:tcPr>
            <w:tcW w:w="3700" w:type="dxa"/>
            <w:vAlign w:val="bottom"/>
            <w:gridSpan w:val="3"/>
          </w:tcPr>
          <w:p>
            <w:pPr>
              <w:jc w:val="center"/>
              <w:ind w:right="2520"/>
              <w:spacing w:after="0" w:line="167" w:lineRule="exact"/>
              <w:rPr>
                <w:sz w:val="20"/>
                <w:szCs w:val="20"/>
                <w:color w:val="auto"/>
              </w:rPr>
            </w:pPr>
            <w:r>
              <w:rPr>
                <w:rFonts w:ascii="Arial" w:cs="Arial" w:eastAsia="Arial" w:hAnsi="Arial"/>
                <w:sz w:val="15"/>
                <w:szCs w:val="15"/>
                <w:b w:val="1"/>
                <w:bCs w:val="1"/>
                <w:color w:val="auto"/>
              </w:rPr>
              <w:t>NET INCOME</w:t>
            </w:r>
          </w:p>
        </w:tc>
        <w:tc>
          <w:tcPr>
            <w:tcW w:w="880" w:type="dxa"/>
            <w:vAlign w:val="bottom"/>
            <w:gridSpan w:val="6"/>
          </w:tcPr>
          <w:p>
            <w:pPr>
              <w:jc w:val="right"/>
              <w:spacing w:after="0" w:line="167" w:lineRule="exact"/>
              <w:rPr>
                <w:sz w:val="20"/>
                <w:szCs w:val="20"/>
                <w:color w:val="auto"/>
              </w:rPr>
            </w:pPr>
            <w:r>
              <w:rPr>
                <w:rFonts w:ascii="Arial" w:cs="Arial" w:eastAsia="Arial" w:hAnsi="Arial"/>
                <w:sz w:val="15"/>
                <w:szCs w:val="15"/>
                <w:b w:val="1"/>
                <w:bCs w:val="1"/>
                <w:color w:val="auto"/>
              </w:rPr>
              <w:t>35,081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ind w:right="40"/>
              <w:spacing w:after="0" w:line="167" w:lineRule="exact"/>
              <w:rPr>
                <w:sz w:val="20"/>
                <w:szCs w:val="20"/>
                <w:color w:val="auto"/>
              </w:rPr>
            </w:pPr>
            <w:r>
              <w:rPr>
                <w:rFonts w:ascii="Arial" w:cs="Arial" w:eastAsia="Arial" w:hAnsi="Arial"/>
                <w:sz w:val="15"/>
                <w:szCs w:val="15"/>
                <w:b w:val="1"/>
                <w:bCs w:val="1"/>
                <w:color w:val="auto"/>
              </w:rPr>
              <w:t>48,321</w:t>
            </w:r>
          </w:p>
        </w:tc>
        <w:tc>
          <w:tcPr>
            <w:tcW w:w="220" w:type="dxa"/>
            <w:vAlign w:val="bottom"/>
          </w:tcPr>
          <w:p>
            <w:pPr>
              <w:spacing w:after="0"/>
              <w:rPr>
                <w:sz w:val="14"/>
                <w:szCs w:val="14"/>
                <w:color w:val="auto"/>
              </w:rPr>
            </w:pPr>
          </w:p>
        </w:tc>
        <w:tc>
          <w:tcPr>
            <w:tcW w:w="880" w:type="dxa"/>
            <w:vAlign w:val="bottom"/>
            <w:gridSpan w:val="6"/>
          </w:tcPr>
          <w:p>
            <w:pPr>
              <w:jc w:val="right"/>
              <w:spacing w:after="0" w:line="167" w:lineRule="exact"/>
              <w:rPr>
                <w:sz w:val="20"/>
                <w:szCs w:val="20"/>
                <w:color w:val="auto"/>
              </w:rPr>
            </w:pPr>
            <w:r>
              <w:rPr>
                <w:rFonts w:ascii="Arial" w:cs="Arial" w:eastAsia="Arial" w:hAnsi="Arial"/>
                <w:sz w:val="15"/>
                <w:szCs w:val="15"/>
                <w:b w:val="1"/>
                <w:bCs w:val="1"/>
                <w:color w:val="auto"/>
              </w:rPr>
              <w:t>50,555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6"/>
          </w:tcPr>
          <w:p>
            <w:pPr>
              <w:jc w:val="right"/>
              <w:spacing w:after="0" w:line="167" w:lineRule="exact"/>
              <w:rPr>
                <w:sz w:val="20"/>
                <w:szCs w:val="20"/>
                <w:color w:val="auto"/>
              </w:rPr>
            </w:pPr>
            <w:r>
              <w:rPr>
                <w:rFonts w:ascii="Arial" w:cs="Arial" w:eastAsia="Arial" w:hAnsi="Arial"/>
                <w:sz w:val="15"/>
                <w:szCs w:val="15"/>
                <w:b w:val="1"/>
                <w:bCs w:val="1"/>
                <w:color w:val="auto"/>
              </w:rPr>
              <w:t>103,474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right"/>
              <w:spacing w:after="0" w:line="167" w:lineRule="exact"/>
              <w:rPr>
                <w:sz w:val="20"/>
                <w:szCs w:val="20"/>
                <w:color w:val="auto"/>
              </w:rPr>
            </w:pPr>
            <w:r>
              <w:rPr>
                <w:rFonts w:ascii="Arial" w:cs="Arial" w:eastAsia="Arial" w:hAnsi="Arial"/>
                <w:sz w:val="15"/>
                <w:szCs w:val="15"/>
                <w:b w:val="1"/>
                <w:bCs w:val="1"/>
                <w:color w:val="auto"/>
              </w:rPr>
              <w:t>145,389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960" w:type="dxa"/>
            <w:vAlign w:val="bottom"/>
            <w:gridSpan w:val="4"/>
          </w:tcPr>
          <w:p>
            <w:pPr>
              <w:ind w:left="80"/>
              <w:spacing w:after="0" w:line="158" w:lineRule="exact"/>
              <w:rPr>
                <w:sz w:val="20"/>
                <w:szCs w:val="20"/>
                <w:color w:val="auto"/>
              </w:rPr>
            </w:pPr>
            <w:r>
              <w:rPr>
                <w:rFonts w:ascii="Arial" w:cs="Arial" w:eastAsia="Arial" w:hAnsi="Arial"/>
                <w:sz w:val="15"/>
                <w:szCs w:val="15"/>
                <w:color w:val="auto"/>
              </w:rPr>
              <w:t>Minority Interest</w:t>
            </w:r>
          </w:p>
        </w:tc>
        <w:tc>
          <w:tcPr>
            <w:tcW w:w="920" w:type="dxa"/>
            <w:vAlign w:val="bottom"/>
            <w:gridSpan w:val="8"/>
          </w:tcPr>
          <w:p>
            <w:pPr>
              <w:jc w:val="right"/>
              <w:ind w:right="20"/>
              <w:spacing w:after="0" w:line="158" w:lineRule="exact"/>
              <w:rPr>
                <w:sz w:val="20"/>
                <w:szCs w:val="20"/>
                <w:color w:val="auto"/>
              </w:rPr>
            </w:pPr>
            <w:r>
              <w:rPr>
                <w:rFonts w:ascii="Arial" w:cs="Arial" w:eastAsia="Arial" w:hAnsi="Arial"/>
                <w:sz w:val="15"/>
                <w:szCs w:val="15"/>
                <w:color w:val="auto"/>
              </w:rPr>
              <w:t>(2,141)</w:t>
            </w:r>
          </w:p>
        </w:tc>
        <w:tc>
          <w:tcPr>
            <w:tcW w:w="1360" w:type="dxa"/>
            <w:vAlign w:val="bottom"/>
            <w:gridSpan w:val="8"/>
          </w:tcPr>
          <w:p>
            <w:pPr>
              <w:jc w:val="right"/>
              <w:ind w:right="220"/>
              <w:spacing w:after="0" w:line="158" w:lineRule="exact"/>
              <w:rPr>
                <w:sz w:val="20"/>
                <w:szCs w:val="20"/>
                <w:color w:val="auto"/>
              </w:rPr>
            </w:pPr>
            <w:r>
              <w:rPr>
                <w:rFonts w:ascii="Arial" w:cs="Arial" w:eastAsia="Arial" w:hAnsi="Arial"/>
                <w:sz w:val="15"/>
                <w:szCs w:val="15"/>
                <w:color w:val="auto"/>
              </w:rPr>
              <w:t>(1,944)</w:t>
            </w:r>
          </w:p>
        </w:tc>
        <w:tc>
          <w:tcPr>
            <w:tcW w:w="1160" w:type="dxa"/>
            <w:vAlign w:val="bottom"/>
            <w:gridSpan w:val="8"/>
          </w:tcPr>
          <w:p>
            <w:pPr>
              <w:jc w:val="right"/>
              <w:ind w:right="240"/>
              <w:spacing w:after="0" w:line="158" w:lineRule="exact"/>
              <w:rPr>
                <w:sz w:val="20"/>
                <w:szCs w:val="20"/>
                <w:color w:val="auto"/>
              </w:rPr>
            </w:pPr>
            <w:r>
              <w:rPr>
                <w:rFonts w:ascii="Arial" w:cs="Arial" w:eastAsia="Arial" w:hAnsi="Arial"/>
                <w:sz w:val="15"/>
                <w:szCs w:val="15"/>
                <w:color w:val="auto"/>
              </w:rPr>
              <w:t>(2,990)</w:t>
            </w:r>
          </w:p>
        </w:tc>
        <w:tc>
          <w:tcPr>
            <w:tcW w:w="1120" w:type="dxa"/>
            <w:vAlign w:val="bottom"/>
            <w:gridSpan w:val="8"/>
          </w:tcPr>
          <w:p>
            <w:pPr>
              <w:jc w:val="right"/>
              <w:ind w:right="220"/>
              <w:spacing w:after="0" w:line="158" w:lineRule="exact"/>
              <w:rPr>
                <w:sz w:val="20"/>
                <w:szCs w:val="20"/>
                <w:color w:val="auto"/>
              </w:rPr>
            </w:pPr>
            <w:r>
              <w:rPr>
                <w:rFonts w:ascii="Arial" w:cs="Arial" w:eastAsia="Arial" w:hAnsi="Arial"/>
                <w:sz w:val="15"/>
                <w:szCs w:val="15"/>
                <w:color w:val="auto"/>
              </w:rPr>
              <w:t>(7,589)</w:t>
            </w:r>
          </w:p>
        </w:tc>
        <w:tc>
          <w:tcPr>
            <w:tcW w:w="900" w:type="dxa"/>
            <w:vAlign w:val="bottom"/>
            <w:gridSpan w:val="5"/>
          </w:tcPr>
          <w:p>
            <w:pPr>
              <w:jc w:val="right"/>
              <w:spacing w:after="0" w:line="158" w:lineRule="exact"/>
              <w:rPr>
                <w:sz w:val="20"/>
                <w:szCs w:val="20"/>
                <w:color w:val="auto"/>
              </w:rPr>
            </w:pPr>
            <w:r>
              <w:rPr>
                <w:rFonts w:ascii="Arial" w:cs="Arial" w:eastAsia="Arial" w:hAnsi="Arial"/>
                <w:sz w:val="15"/>
                <w:szCs w:val="15"/>
                <w:color w:val="auto"/>
              </w:rPr>
              <w:t>(7,843)</w:t>
            </w:r>
          </w:p>
        </w:tc>
        <w:tc>
          <w:tcPr>
            <w:tcW w:w="0" w:type="dxa"/>
            <w:vAlign w:val="bottom"/>
          </w:tcPr>
          <w:p>
            <w:pPr>
              <w:spacing w:after="0"/>
              <w:rPr>
                <w:sz w:val="1"/>
                <w:szCs w:val="1"/>
                <w:color w:val="auto"/>
              </w:rPr>
            </w:pPr>
          </w:p>
        </w:tc>
      </w:tr>
      <w:tr>
        <w:trPr>
          <w:trHeight w:val="175"/>
        </w:trPr>
        <w:tc>
          <w:tcPr>
            <w:tcW w:w="59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5"/>
                <w:szCs w:val="15"/>
                <w:b w:val="1"/>
                <w:bCs w:val="1"/>
                <w:color w:val="auto"/>
              </w:rPr>
              <w:t>NET INCOME ATTRIBUTABLE TO HOME OFFICE</w:t>
            </w:r>
          </w:p>
        </w:tc>
        <w:tc>
          <w:tcPr>
            <w:tcW w:w="88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32,940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5"/>
                <w:szCs w:val="15"/>
                <w:b w:val="1"/>
                <w:bCs w:val="1"/>
                <w:color w:val="auto"/>
              </w:rPr>
              <w:t>46,377</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47,565</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95,885</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137,546</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(1)Income from recoveries of charged-off loans has been reclassified within Provisions for loan losses.</w:t>
      </w:r>
    </w:p>
    <w:p>
      <w:pPr>
        <w:spacing w:after="0" w:line="227" w:lineRule="auto"/>
        <w:rPr>
          <w:sz w:val="20"/>
          <w:szCs w:val="20"/>
          <w:color w:val="auto"/>
        </w:rPr>
      </w:pPr>
      <w:r>
        <w:rPr>
          <w:rFonts w:ascii="Arial" w:cs="Arial" w:eastAsia="Arial" w:hAnsi="Arial"/>
          <w:sz w:val="15"/>
          <w:szCs w:val="15"/>
          <w:i w:val="1"/>
          <w:iCs w:val="1"/>
          <w:color w:val="auto"/>
        </w:rPr>
        <w:t>(2)Previously reported as part of personnel expenses.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(3)Previously reported in 2Q05, US$2.8Mn have been reclassified from Other income into Loan provision.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CREDICORP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3</w:t>
      </w:r>
    </w:p>
    <w:p>
      <w:pPr>
        <w:jc w:val="center"/>
        <w:spacing w:after="0"/>
        <w:rPr>
          <w:sz w:val="20"/>
          <w:szCs w:val="20"/>
          <w:color w:val="auto"/>
        </w:rPr>
      </w:pPr>
      <w:r>
        <w:rPr>
          <w:rFonts w:ascii="Arial" w:cs="Arial" w:eastAsia="Arial" w:hAnsi="Arial"/>
          <w:sz w:val="22"/>
          <w:szCs w:val="22"/>
          <w:b w:val="1"/>
          <w:bCs w:val="1"/>
          <w:color w:val="auto"/>
        </w:rPr>
        <w:t>SELECTED FINANCIAL INDICATORS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w w:val="98"/>
              </w:rPr>
              <w:t>Three months ended</w:t>
            </w:r>
          </w:p>
        </w:tc>
        <w:tc>
          <w:tcPr>
            <w:tcW w:w="11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ind w:left="600"/>
              <w:spacing w:after="0"/>
              <w:rPr>
                <w:sz w:val="20"/>
                <w:szCs w:val="20"/>
                <w:color w:val="auto"/>
              </w:rPr>
            </w:pPr>
            <w:r>
              <w:rPr>
                <w:rFonts w:ascii="Arial" w:cs="Arial" w:eastAsia="Arial" w:hAnsi="Arial"/>
                <w:sz w:val="15"/>
                <w:szCs w:val="15"/>
                <w:b w:val="1"/>
                <w:bCs w:val="1"/>
                <w:color w:val="auto"/>
                <w:w w:val="90"/>
              </w:rPr>
              <w:t>Nine months ended</w:t>
            </w:r>
          </w:p>
        </w:tc>
        <w:tc>
          <w:tcPr>
            <w:tcW w:w="6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30.09.04</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30.06.05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30.09.05</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30.09.04</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2"/>
              </w:rPr>
              <w:t>30.09.05</w:t>
            </w:r>
          </w:p>
        </w:tc>
        <w:tc>
          <w:tcPr>
            <w:tcW w:w="0" w:type="dxa"/>
            <w:vAlign w:val="bottom"/>
          </w:tcPr>
          <w:p>
            <w:pPr>
              <w:spacing w:after="0"/>
              <w:rPr>
                <w:sz w:val="1"/>
                <w:szCs w:val="1"/>
                <w:color w:val="auto"/>
              </w:rPr>
            </w:pPr>
          </w:p>
        </w:tc>
      </w:tr>
      <w:tr>
        <w:trPr>
          <w:trHeight w:val="318"/>
        </w:trPr>
        <w:tc>
          <w:tcPr>
            <w:tcW w:w="4820" w:type="dxa"/>
            <w:vAlign w:val="bottom"/>
            <w:gridSpan w:val="7"/>
          </w:tcPr>
          <w:p>
            <w:pPr>
              <w:spacing w:after="0"/>
              <w:rPr>
                <w:sz w:val="20"/>
                <w:szCs w:val="20"/>
                <w:color w:val="auto"/>
              </w:rPr>
            </w:pPr>
            <w:r>
              <w:rPr>
                <w:rFonts w:ascii="Arial" w:cs="Arial" w:eastAsia="Arial" w:hAnsi="Arial"/>
                <w:sz w:val="15"/>
                <w:szCs w:val="15"/>
                <w:b w:val="1"/>
                <w:bCs w:val="1"/>
                <w:color w:val="auto"/>
              </w:rPr>
              <w:t>Profitability</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0.41</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0.58</w:t>
            </w:r>
          </w:p>
        </w:tc>
        <w:tc>
          <w:tcPr>
            <w:tcW w:w="2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0.60</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1.20</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46"/>
        </w:trPr>
        <w:tc>
          <w:tcPr>
            <w:tcW w:w="780" w:type="dxa"/>
            <w:vAlign w:val="bottom"/>
            <w:tcBorders>
              <w:top w:val="single" w:sz="8" w:color="auto"/>
            </w:tcBorders>
          </w:tcPr>
          <w:p>
            <w:pPr>
              <w:ind w:left="80"/>
              <w:spacing w:after="0" w:line="146" w:lineRule="exact"/>
              <w:rPr>
                <w:sz w:val="20"/>
                <w:szCs w:val="20"/>
                <w:color w:val="auto"/>
              </w:rPr>
            </w:pPr>
            <w:r>
              <w:rPr>
                <w:rFonts w:ascii="Arial" w:cs="Arial" w:eastAsia="Arial" w:hAnsi="Arial"/>
                <w:sz w:val="15"/>
                <w:szCs w:val="15"/>
                <w:color w:val="auto"/>
                <w:w w:val="89"/>
              </w:rPr>
              <w:t>Net income</w:t>
            </w:r>
          </w:p>
        </w:tc>
        <w:tc>
          <w:tcPr>
            <w:tcW w:w="4040" w:type="dxa"/>
            <w:vAlign w:val="bottom"/>
            <w:gridSpan w:val="6"/>
          </w:tcPr>
          <w:p>
            <w:pPr>
              <w:ind w:left="20"/>
              <w:spacing w:after="0" w:line="146" w:lineRule="exact"/>
              <w:rPr>
                <w:sz w:val="20"/>
                <w:szCs w:val="20"/>
                <w:color w:val="auto"/>
              </w:rPr>
            </w:pPr>
            <w:r>
              <w:rPr>
                <w:rFonts w:ascii="Arial" w:cs="Arial" w:eastAsia="Arial" w:hAnsi="Arial"/>
                <w:sz w:val="15"/>
                <w:szCs w:val="15"/>
                <w:color w:val="auto"/>
              </w:rPr>
              <w:t>per common share (US$ per share)(1)</w:t>
            </w:r>
          </w:p>
        </w:tc>
        <w:tc>
          <w:tcPr>
            <w:tcW w:w="114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ind w:left="80"/>
              <w:spacing w:after="0" w:line="162" w:lineRule="exact"/>
              <w:rPr>
                <w:sz w:val="20"/>
                <w:szCs w:val="20"/>
                <w:color w:val="auto"/>
              </w:rPr>
            </w:pPr>
            <w:r>
              <w:rPr>
                <w:rFonts w:ascii="Arial" w:cs="Arial" w:eastAsia="Arial" w:hAnsi="Arial"/>
                <w:sz w:val="15"/>
                <w:szCs w:val="15"/>
                <w:color w:val="auto"/>
              </w:rPr>
              <w:t>Net interest margin on interest earning assets (2)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5.19%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5.79%</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5.25%</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5.55%</w:t>
            </w:r>
          </w:p>
        </w:tc>
        <w:tc>
          <w:tcPr>
            <w:tcW w:w="0" w:type="dxa"/>
            <w:vAlign w:val="bottom"/>
          </w:tcPr>
          <w:p>
            <w:pPr>
              <w:spacing w:after="0"/>
              <w:rPr>
                <w:sz w:val="1"/>
                <w:szCs w:val="1"/>
                <w:color w:val="auto"/>
              </w:rPr>
            </w:pPr>
          </w:p>
        </w:tc>
      </w:tr>
      <w:tr>
        <w:trPr>
          <w:trHeight w:val="162"/>
        </w:trPr>
        <w:tc>
          <w:tcPr>
            <w:tcW w:w="4820" w:type="dxa"/>
            <w:vAlign w:val="bottom"/>
            <w:gridSpan w:val="7"/>
          </w:tcPr>
          <w:p>
            <w:pPr>
              <w:ind w:left="80"/>
              <w:spacing w:after="0" w:line="162" w:lineRule="exact"/>
              <w:rPr>
                <w:sz w:val="20"/>
                <w:szCs w:val="20"/>
                <w:color w:val="auto"/>
              </w:rPr>
            </w:pPr>
            <w:r>
              <w:rPr>
                <w:rFonts w:ascii="Arial" w:cs="Arial" w:eastAsia="Arial" w:hAnsi="Arial"/>
                <w:sz w:val="15"/>
                <w:szCs w:val="15"/>
                <w:color w:val="auto"/>
              </w:rPr>
              <w:t>Return on average total assets (2)(3)</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1.98%</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62"/>
        </w:trPr>
        <w:tc>
          <w:tcPr>
            <w:tcW w:w="4820" w:type="dxa"/>
            <w:vAlign w:val="bottom"/>
            <w:gridSpan w:val="7"/>
          </w:tcPr>
          <w:p>
            <w:pPr>
              <w:ind w:left="80"/>
              <w:spacing w:after="0" w:line="162" w:lineRule="exact"/>
              <w:rPr>
                <w:sz w:val="20"/>
                <w:szCs w:val="20"/>
                <w:color w:val="auto"/>
              </w:rPr>
            </w:pPr>
            <w:r>
              <w:rPr>
                <w:rFonts w:ascii="Arial" w:cs="Arial" w:eastAsia="Arial" w:hAnsi="Arial"/>
                <w:sz w:val="15"/>
                <w:szCs w:val="15"/>
                <w:color w:val="auto"/>
              </w:rPr>
              <w:t>Return on average shareholders' equity (2)(3)</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13.57%</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17.34%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16.82%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13.56%</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16.77%</w:t>
            </w:r>
          </w:p>
        </w:tc>
        <w:tc>
          <w:tcPr>
            <w:tcW w:w="0" w:type="dxa"/>
            <w:vAlign w:val="bottom"/>
          </w:tcPr>
          <w:p>
            <w:pPr>
              <w:spacing w:after="0"/>
              <w:rPr>
                <w:sz w:val="1"/>
                <w:szCs w:val="1"/>
                <w:color w:val="auto"/>
              </w:rPr>
            </w:pPr>
          </w:p>
        </w:tc>
      </w:tr>
      <w:tr>
        <w:trPr>
          <w:trHeight w:val="188"/>
        </w:trPr>
        <w:tc>
          <w:tcPr>
            <w:tcW w:w="4820" w:type="dxa"/>
            <w:vAlign w:val="bottom"/>
            <w:gridSpan w:val="7"/>
          </w:tcPr>
          <w:p>
            <w:pPr>
              <w:ind w:left="80"/>
              <w:spacing w:after="0"/>
              <w:rPr>
                <w:sz w:val="20"/>
                <w:szCs w:val="20"/>
                <w:color w:val="auto"/>
              </w:rPr>
            </w:pPr>
            <w:r>
              <w:rPr>
                <w:rFonts w:ascii="Arial" w:cs="Arial" w:eastAsia="Arial" w:hAnsi="Arial"/>
                <w:sz w:val="15"/>
                <w:szCs w:val="15"/>
                <w:color w:val="auto"/>
              </w:rPr>
              <w:t>No. of outstanding shares (millions)(4)</w:t>
            </w:r>
          </w:p>
        </w:tc>
        <w:tc>
          <w:tcPr>
            <w:tcW w:w="1140" w:type="dxa"/>
            <w:vAlign w:val="bottom"/>
          </w:tcPr>
          <w:p>
            <w:pPr>
              <w:jc w:val="right"/>
              <w:spacing w:after="0"/>
              <w:rPr>
                <w:sz w:val="20"/>
                <w:szCs w:val="20"/>
                <w:color w:val="auto"/>
              </w:rPr>
            </w:pPr>
            <w:r>
              <w:rPr>
                <w:rFonts w:ascii="Arial" w:cs="Arial" w:eastAsia="Arial" w:hAnsi="Arial"/>
                <w:sz w:val="15"/>
                <w:szCs w:val="15"/>
                <w:color w:val="auto"/>
              </w:rPr>
              <w:t>79.75</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79.76</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79.75</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79.75</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79.75</w:t>
            </w:r>
          </w:p>
        </w:tc>
        <w:tc>
          <w:tcPr>
            <w:tcW w:w="0" w:type="dxa"/>
            <w:vAlign w:val="bottom"/>
          </w:tcPr>
          <w:p>
            <w:pPr>
              <w:spacing w:after="0"/>
              <w:rPr>
                <w:sz w:val="1"/>
                <w:szCs w:val="1"/>
                <w:color w:val="auto"/>
              </w:rPr>
            </w:pPr>
          </w:p>
        </w:tc>
      </w:tr>
      <w:tr>
        <w:trPr>
          <w:trHeight w:val="294"/>
        </w:trPr>
        <w:tc>
          <w:tcPr>
            <w:tcW w:w="4820" w:type="dxa"/>
            <w:vAlign w:val="bottom"/>
            <w:gridSpan w:val="7"/>
          </w:tcPr>
          <w:p>
            <w:pPr>
              <w:spacing w:after="0"/>
              <w:rPr>
                <w:sz w:val="20"/>
                <w:szCs w:val="20"/>
                <w:color w:val="auto"/>
              </w:rPr>
            </w:pPr>
            <w:r>
              <w:rPr>
                <w:rFonts w:ascii="Arial" w:cs="Arial" w:eastAsia="Arial" w:hAnsi="Arial"/>
                <w:sz w:val="15"/>
                <w:szCs w:val="15"/>
                <w:b w:val="1"/>
                <w:bCs w:val="1"/>
                <w:color w:val="auto"/>
              </w:rPr>
              <w:t>Quality of loan portfolio</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4.75%</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2.66%</w:t>
            </w:r>
          </w:p>
        </w:tc>
        <w:tc>
          <w:tcPr>
            <w:tcW w:w="2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2.53%</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4.75%</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820" w:type="dxa"/>
            <w:vAlign w:val="bottom"/>
            <w:gridSpan w:val="7"/>
          </w:tcPr>
          <w:p>
            <w:pPr>
              <w:ind w:left="120"/>
              <w:spacing w:after="0" w:line="146" w:lineRule="exact"/>
              <w:rPr>
                <w:sz w:val="20"/>
                <w:szCs w:val="20"/>
                <w:color w:val="auto"/>
              </w:rPr>
            </w:pPr>
            <w:r>
              <w:rPr>
                <w:rFonts w:ascii="Arial" w:cs="Arial" w:eastAsia="Arial" w:hAnsi="Arial"/>
                <w:sz w:val="15"/>
                <w:szCs w:val="15"/>
                <w:color w:val="auto"/>
              </w:rPr>
              <w:t>Past due loans as a percentage of total loans</w:t>
            </w:r>
          </w:p>
        </w:tc>
        <w:tc>
          <w:tcPr>
            <w:tcW w:w="114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ind w:left="12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ind w:left="260"/>
              <w:spacing w:after="0" w:line="162" w:lineRule="exact"/>
              <w:rPr>
                <w:sz w:val="20"/>
                <w:szCs w:val="20"/>
                <w:color w:val="auto"/>
              </w:rPr>
            </w:pPr>
            <w:r>
              <w:rPr>
                <w:rFonts w:ascii="Arial" w:cs="Arial" w:eastAsia="Arial" w:hAnsi="Arial"/>
                <w:sz w:val="15"/>
                <w:szCs w:val="15"/>
                <w:color w:val="auto"/>
              </w:rPr>
              <w:t>total past due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122.03%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178.72%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172.39%</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122.03%</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w w:val="91"/>
              </w:rPr>
              <w:t>172.39%</w:t>
            </w:r>
          </w:p>
        </w:tc>
        <w:tc>
          <w:tcPr>
            <w:tcW w:w="0" w:type="dxa"/>
            <w:vAlign w:val="bottom"/>
          </w:tcPr>
          <w:p>
            <w:pPr>
              <w:spacing w:after="0"/>
              <w:rPr>
                <w:sz w:val="1"/>
                <w:szCs w:val="1"/>
                <w:color w:val="auto"/>
              </w:rPr>
            </w:pPr>
          </w:p>
        </w:tc>
      </w:tr>
      <w:tr>
        <w:trPr>
          <w:trHeight w:val="162"/>
        </w:trPr>
        <w:tc>
          <w:tcPr>
            <w:tcW w:w="4820" w:type="dxa"/>
            <w:vAlign w:val="bottom"/>
            <w:gridSpan w:val="7"/>
          </w:tcPr>
          <w:p>
            <w:pPr>
              <w:ind w:left="12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ind w:left="340"/>
              <w:spacing w:after="0" w:line="162" w:lineRule="exact"/>
              <w:rPr>
                <w:sz w:val="20"/>
                <w:szCs w:val="20"/>
                <w:color w:val="auto"/>
              </w:rPr>
            </w:pPr>
            <w:r>
              <w:rPr>
                <w:rFonts w:ascii="Arial" w:cs="Arial" w:eastAsia="Arial" w:hAnsi="Arial"/>
                <w:sz w:val="15"/>
                <w:szCs w:val="15"/>
                <w:color w:val="auto"/>
              </w:rPr>
              <w:t>total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5.79%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4.36%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5.79%</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162"/>
        </w:trPr>
        <w:tc>
          <w:tcPr>
            <w:tcW w:w="4820" w:type="dxa"/>
            <w:vAlign w:val="bottom"/>
            <w:gridSpan w:val="7"/>
          </w:tcPr>
          <w:p>
            <w:pPr>
              <w:ind w:left="12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ind w:left="260"/>
              <w:spacing w:after="0" w:line="162" w:lineRule="exact"/>
              <w:rPr>
                <w:sz w:val="20"/>
                <w:szCs w:val="20"/>
                <w:color w:val="auto"/>
              </w:rPr>
            </w:pPr>
            <w:r>
              <w:rPr>
                <w:rFonts w:ascii="Arial" w:cs="Arial" w:eastAsia="Arial" w:hAnsi="Arial"/>
                <w:sz w:val="15"/>
                <w:szCs w:val="15"/>
                <w:color w:val="auto"/>
              </w:rPr>
              <w:t>substandard loans (C+D+E)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50.75%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60.01%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64.51%</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50.75%</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64.51%</w:t>
            </w:r>
          </w:p>
        </w:tc>
        <w:tc>
          <w:tcPr>
            <w:tcW w:w="0" w:type="dxa"/>
            <w:vAlign w:val="bottom"/>
          </w:tcPr>
          <w:p>
            <w:pPr>
              <w:spacing w:after="0"/>
              <w:rPr>
                <w:sz w:val="1"/>
                <w:szCs w:val="1"/>
                <w:color w:val="auto"/>
              </w:rPr>
            </w:pPr>
          </w:p>
        </w:tc>
      </w:tr>
      <w:tr>
        <w:trPr>
          <w:trHeight w:val="162"/>
        </w:trPr>
        <w:tc>
          <w:tcPr>
            <w:tcW w:w="4820" w:type="dxa"/>
            <w:vAlign w:val="bottom"/>
            <w:gridSpan w:val="7"/>
          </w:tcPr>
          <w:p>
            <w:pPr>
              <w:ind w:left="120"/>
              <w:spacing w:after="0" w:line="162" w:lineRule="exact"/>
              <w:rPr>
                <w:sz w:val="20"/>
                <w:szCs w:val="20"/>
                <w:color w:val="auto"/>
              </w:rPr>
            </w:pPr>
            <w:r>
              <w:rPr>
                <w:rFonts w:ascii="Arial" w:cs="Arial" w:eastAsia="Arial" w:hAnsi="Arial"/>
                <w:sz w:val="15"/>
                <w:szCs w:val="15"/>
                <w:color w:val="auto"/>
              </w:rPr>
              <w:t>Past due loans - reserves for loan losses as a</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gridSpan w:val="7"/>
          </w:tcPr>
          <w:p>
            <w:pPr>
              <w:ind w:left="260"/>
              <w:spacing w:after="0"/>
              <w:rPr>
                <w:sz w:val="20"/>
                <w:szCs w:val="20"/>
                <w:color w:val="auto"/>
              </w:rPr>
            </w:pPr>
            <w:r>
              <w:rPr>
                <w:rFonts w:ascii="Arial" w:cs="Arial" w:eastAsia="Arial" w:hAnsi="Arial"/>
                <w:sz w:val="15"/>
                <w:szCs w:val="15"/>
                <w:color w:val="auto"/>
              </w:rPr>
              <w:t>percentage of shareholders' equity</w:t>
            </w:r>
          </w:p>
        </w:tc>
        <w:tc>
          <w:tcPr>
            <w:tcW w:w="1140" w:type="dxa"/>
            <w:vAlign w:val="bottom"/>
          </w:tcPr>
          <w:p>
            <w:pPr>
              <w:jc w:val="right"/>
              <w:spacing w:after="0"/>
              <w:rPr>
                <w:sz w:val="20"/>
                <w:szCs w:val="20"/>
                <w:color w:val="auto"/>
              </w:rPr>
            </w:pPr>
            <w:r>
              <w:rPr>
                <w:rFonts w:ascii="Arial" w:cs="Arial" w:eastAsia="Arial" w:hAnsi="Arial"/>
                <w:sz w:val="15"/>
                <w:szCs w:val="15"/>
                <w:color w:val="auto"/>
              </w:rPr>
              <w:t>-4.73%</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-9.19%</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-7.28%</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-4.73%</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-7.28%</w:t>
            </w:r>
          </w:p>
        </w:tc>
        <w:tc>
          <w:tcPr>
            <w:tcW w:w="0" w:type="dxa"/>
            <w:vAlign w:val="bottom"/>
          </w:tcPr>
          <w:p>
            <w:pPr>
              <w:spacing w:after="0"/>
              <w:rPr>
                <w:sz w:val="1"/>
                <w:szCs w:val="1"/>
                <w:color w:val="auto"/>
              </w:rPr>
            </w:pPr>
          </w:p>
        </w:tc>
      </w:tr>
      <w:tr>
        <w:trPr>
          <w:trHeight w:val="294"/>
        </w:trPr>
        <w:tc>
          <w:tcPr>
            <w:tcW w:w="4820" w:type="dxa"/>
            <w:vAlign w:val="bottom"/>
            <w:gridSpan w:val="7"/>
          </w:tcPr>
          <w:p>
            <w:pPr>
              <w:spacing w:after="0"/>
              <w:rPr>
                <w:sz w:val="20"/>
                <w:szCs w:val="20"/>
                <w:color w:val="auto"/>
              </w:rPr>
            </w:pPr>
            <w:r>
              <w:rPr>
                <w:rFonts w:ascii="Arial" w:cs="Arial" w:eastAsia="Arial" w:hAnsi="Arial"/>
                <w:sz w:val="15"/>
                <w:szCs w:val="15"/>
                <w:b w:val="1"/>
                <w:bCs w:val="1"/>
                <w:color w:val="auto"/>
              </w:rPr>
              <w:t>Operating efficiency</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45.26%</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41.75%</w:t>
            </w:r>
          </w:p>
        </w:tc>
        <w:tc>
          <w:tcPr>
            <w:tcW w:w="2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41.39%</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48.72%</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42.28%</w:t>
            </w:r>
          </w:p>
        </w:tc>
        <w:tc>
          <w:tcPr>
            <w:tcW w:w="0" w:type="dxa"/>
            <w:vAlign w:val="bottom"/>
          </w:tcPr>
          <w:p>
            <w:pPr>
              <w:spacing w:after="0"/>
              <w:rPr>
                <w:sz w:val="1"/>
                <w:szCs w:val="1"/>
                <w:color w:val="auto"/>
              </w:rPr>
            </w:pPr>
          </w:p>
        </w:tc>
      </w:tr>
      <w:tr>
        <w:trPr>
          <w:trHeight w:val="146"/>
        </w:trPr>
        <w:tc>
          <w:tcPr>
            <w:tcW w:w="1300" w:type="dxa"/>
            <w:vAlign w:val="bottom"/>
            <w:tcBorders>
              <w:top w:val="single" w:sz="8" w:color="auto"/>
            </w:tcBorders>
            <w:gridSpan w:val="3"/>
          </w:tcPr>
          <w:p>
            <w:pPr>
              <w:ind w:left="80"/>
              <w:spacing w:after="0" w:line="146" w:lineRule="exact"/>
              <w:rPr>
                <w:sz w:val="20"/>
                <w:szCs w:val="20"/>
                <w:color w:val="auto"/>
              </w:rPr>
            </w:pPr>
            <w:r>
              <w:rPr>
                <w:rFonts w:ascii="Arial" w:cs="Arial" w:eastAsia="Arial" w:hAnsi="Arial"/>
                <w:sz w:val="15"/>
                <w:szCs w:val="15"/>
                <w:color w:val="auto"/>
                <w:w w:val="91"/>
              </w:rPr>
              <w:t>Oper. expense as a</w:t>
            </w:r>
          </w:p>
        </w:tc>
        <w:tc>
          <w:tcPr>
            <w:tcW w:w="3520" w:type="dxa"/>
            <w:vAlign w:val="bottom"/>
            <w:gridSpan w:val="4"/>
          </w:tcPr>
          <w:p>
            <w:pPr>
              <w:spacing w:after="0" w:line="146" w:lineRule="exact"/>
              <w:rPr>
                <w:sz w:val="20"/>
                <w:szCs w:val="20"/>
                <w:color w:val="auto"/>
              </w:rPr>
            </w:pPr>
            <w:r>
              <w:rPr>
                <w:rFonts w:ascii="Arial" w:cs="Arial" w:eastAsia="Arial" w:hAnsi="Arial"/>
                <w:sz w:val="15"/>
                <w:szCs w:val="15"/>
                <w:color w:val="auto"/>
              </w:rPr>
              <w:t>percent. of total income (5)</w:t>
            </w:r>
          </w:p>
        </w:tc>
        <w:tc>
          <w:tcPr>
            <w:tcW w:w="114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820" w:type="dxa"/>
            <w:vAlign w:val="bottom"/>
            <w:gridSpan w:val="7"/>
          </w:tcPr>
          <w:p>
            <w:pPr>
              <w:ind w:left="80"/>
              <w:spacing w:after="0"/>
              <w:rPr>
                <w:sz w:val="20"/>
                <w:szCs w:val="20"/>
                <w:color w:val="auto"/>
              </w:rPr>
            </w:pPr>
            <w:r>
              <w:rPr>
                <w:rFonts w:ascii="Arial" w:cs="Arial" w:eastAsia="Arial" w:hAnsi="Arial"/>
                <w:sz w:val="15"/>
                <w:szCs w:val="15"/>
                <w:color w:val="auto"/>
              </w:rPr>
              <w:t>Oper. expense as a percent. of av. tot. assets(2)(3)(5)</w:t>
            </w:r>
          </w:p>
        </w:tc>
        <w:tc>
          <w:tcPr>
            <w:tcW w:w="1140" w:type="dxa"/>
            <w:vAlign w:val="bottom"/>
          </w:tcPr>
          <w:p>
            <w:pPr>
              <w:jc w:val="right"/>
              <w:spacing w:after="0"/>
              <w:rPr>
                <w:sz w:val="20"/>
                <w:szCs w:val="20"/>
                <w:color w:val="auto"/>
              </w:rPr>
            </w:pPr>
            <w:r>
              <w:rPr>
                <w:rFonts w:ascii="Arial" w:cs="Arial" w:eastAsia="Arial" w:hAnsi="Arial"/>
                <w:sz w:val="15"/>
                <w:szCs w:val="15"/>
                <w:color w:val="auto"/>
              </w:rPr>
              <w:t>4.51%</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3.85%</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3.96%</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4.38%</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3.92%</w:t>
            </w:r>
          </w:p>
        </w:tc>
        <w:tc>
          <w:tcPr>
            <w:tcW w:w="0" w:type="dxa"/>
            <w:vAlign w:val="bottom"/>
          </w:tcPr>
          <w:p>
            <w:pPr>
              <w:spacing w:after="0"/>
              <w:rPr>
                <w:sz w:val="1"/>
                <w:szCs w:val="1"/>
                <w:color w:val="auto"/>
              </w:rPr>
            </w:pPr>
          </w:p>
        </w:tc>
      </w:tr>
      <w:tr>
        <w:trPr>
          <w:trHeight w:val="294"/>
        </w:trPr>
        <w:tc>
          <w:tcPr>
            <w:tcW w:w="4820" w:type="dxa"/>
            <w:vAlign w:val="bottom"/>
            <w:gridSpan w:val="7"/>
          </w:tcPr>
          <w:p>
            <w:pPr>
              <w:spacing w:after="0"/>
              <w:rPr>
                <w:sz w:val="20"/>
                <w:szCs w:val="20"/>
                <w:color w:val="auto"/>
              </w:rPr>
            </w:pPr>
            <w:r>
              <w:rPr>
                <w:rFonts w:ascii="Arial" w:cs="Arial" w:eastAsia="Arial" w:hAnsi="Arial"/>
                <w:sz w:val="15"/>
                <w:szCs w:val="15"/>
                <w:b w:val="1"/>
                <w:bCs w:val="1"/>
                <w:color w:val="auto"/>
              </w:rPr>
              <w:t>Capital adequacy</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835.2</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849.5</w:t>
            </w:r>
          </w:p>
        </w:tc>
        <w:tc>
          <w:tcPr>
            <w:tcW w:w="2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851.6</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835.2</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851.6</w:t>
            </w:r>
          </w:p>
        </w:tc>
        <w:tc>
          <w:tcPr>
            <w:tcW w:w="0" w:type="dxa"/>
            <w:vAlign w:val="bottom"/>
          </w:tcPr>
          <w:p>
            <w:pPr>
              <w:spacing w:after="0"/>
              <w:rPr>
                <w:sz w:val="1"/>
                <w:szCs w:val="1"/>
                <w:color w:val="auto"/>
              </w:rPr>
            </w:pPr>
          </w:p>
        </w:tc>
      </w:tr>
      <w:tr>
        <w:trPr>
          <w:trHeight w:val="146"/>
        </w:trPr>
        <w:tc>
          <w:tcPr>
            <w:tcW w:w="1120" w:type="dxa"/>
            <w:vAlign w:val="bottom"/>
            <w:tcBorders>
              <w:top w:val="single" w:sz="8" w:color="auto"/>
            </w:tcBorders>
            <w:gridSpan w:val="2"/>
          </w:tcPr>
          <w:p>
            <w:pPr>
              <w:ind w:left="120"/>
              <w:spacing w:after="0" w:line="146" w:lineRule="exact"/>
              <w:rPr>
                <w:sz w:val="20"/>
                <w:szCs w:val="20"/>
                <w:color w:val="auto"/>
              </w:rPr>
            </w:pPr>
            <w:r>
              <w:rPr>
                <w:rFonts w:ascii="Arial" w:cs="Arial" w:eastAsia="Arial" w:hAnsi="Arial"/>
                <w:sz w:val="15"/>
                <w:szCs w:val="15"/>
                <w:color w:val="auto"/>
                <w:w w:val="89"/>
              </w:rPr>
              <w:t>Total Regulatory</w:t>
            </w:r>
          </w:p>
        </w:tc>
        <w:tc>
          <w:tcPr>
            <w:tcW w:w="3700" w:type="dxa"/>
            <w:vAlign w:val="bottom"/>
            <w:gridSpan w:val="5"/>
          </w:tcPr>
          <w:p>
            <w:pPr>
              <w:ind w:left="40"/>
              <w:spacing w:after="0" w:line="146" w:lineRule="exact"/>
              <w:rPr>
                <w:sz w:val="20"/>
                <w:szCs w:val="20"/>
                <w:color w:val="auto"/>
              </w:rPr>
            </w:pPr>
            <w:r>
              <w:rPr>
                <w:rFonts w:ascii="Arial" w:cs="Arial" w:eastAsia="Arial" w:hAnsi="Arial"/>
                <w:sz w:val="15"/>
                <w:szCs w:val="15"/>
                <w:color w:val="auto"/>
              </w:rPr>
              <w:t>Capital (US$Mn)</w:t>
            </w:r>
          </w:p>
        </w:tc>
        <w:tc>
          <w:tcPr>
            <w:tcW w:w="114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ind w:left="120"/>
              <w:spacing w:after="0" w:line="162" w:lineRule="exact"/>
              <w:rPr>
                <w:sz w:val="20"/>
                <w:szCs w:val="20"/>
                <w:color w:val="auto"/>
              </w:rPr>
            </w:pPr>
            <w:r>
              <w:rPr>
                <w:rFonts w:ascii="Arial" w:cs="Arial" w:eastAsia="Arial" w:hAnsi="Arial"/>
                <w:sz w:val="15"/>
                <w:szCs w:val="15"/>
                <w:color w:val="auto"/>
              </w:rPr>
              <w:t>Tier I Capital (US$Mn)</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733.5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765.8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771.4</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733.5</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771.4</w:t>
            </w:r>
          </w:p>
        </w:tc>
        <w:tc>
          <w:tcPr>
            <w:tcW w:w="0" w:type="dxa"/>
            <w:vAlign w:val="bottom"/>
          </w:tcPr>
          <w:p>
            <w:pPr>
              <w:spacing w:after="0"/>
              <w:rPr>
                <w:sz w:val="1"/>
                <w:szCs w:val="1"/>
                <w:color w:val="auto"/>
              </w:rPr>
            </w:pPr>
          </w:p>
        </w:tc>
      </w:tr>
      <w:tr>
        <w:trPr>
          <w:trHeight w:val="188"/>
        </w:trPr>
        <w:tc>
          <w:tcPr>
            <w:tcW w:w="4820" w:type="dxa"/>
            <w:vAlign w:val="bottom"/>
            <w:gridSpan w:val="7"/>
          </w:tcPr>
          <w:p>
            <w:pPr>
              <w:ind w:left="120"/>
              <w:spacing w:after="0"/>
              <w:rPr>
                <w:sz w:val="20"/>
                <w:szCs w:val="20"/>
                <w:color w:val="auto"/>
              </w:rPr>
            </w:pPr>
            <w:r>
              <w:rPr>
                <w:rFonts w:ascii="Arial" w:cs="Arial" w:eastAsia="Arial" w:hAnsi="Arial"/>
                <w:sz w:val="15"/>
                <w:szCs w:val="15"/>
                <w:color w:val="auto"/>
              </w:rPr>
              <w:t>Regulatory capital / risk-weighted assets (6)</w:t>
            </w:r>
          </w:p>
        </w:tc>
        <w:tc>
          <w:tcPr>
            <w:tcW w:w="1140" w:type="dxa"/>
            <w:vAlign w:val="bottom"/>
          </w:tcPr>
          <w:p>
            <w:pPr>
              <w:jc w:val="right"/>
              <w:spacing w:after="0"/>
              <w:rPr>
                <w:sz w:val="20"/>
                <w:szCs w:val="20"/>
                <w:color w:val="auto"/>
              </w:rPr>
            </w:pPr>
            <w:r>
              <w:rPr>
                <w:rFonts w:ascii="Arial" w:cs="Arial" w:eastAsia="Arial" w:hAnsi="Arial"/>
                <w:sz w:val="15"/>
                <w:szCs w:val="15"/>
                <w:color w:val="auto"/>
              </w:rPr>
              <w:t>12.87%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12.94%</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13.16%</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12.87%</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13.16%</w:t>
            </w:r>
          </w:p>
        </w:tc>
        <w:tc>
          <w:tcPr>
            <w:tcW w:w="0" w:type="dxa"/>
            <w:vAlign w:val="bottom"/>
          </w:tcPr>
          <w:p>
            <w:pPr>
              <w:spacing w:after="0"/>
              <w:rPr>
                <w:sz w:val="1"/>
                <w:szCs w:val="1"/>
                <w:color w:val="auto"/>
              </w:rPr>
            </w:pPr>
          </w:p>
        </w:tc>
      </w:tr>
      <w:tr>
        <w:trPr>
          <w:trHeight w:val="294"/>
        </w:trPr>
        <w:tc>
          <w:tcPr>
            <w:tcW w:w="4820" w:type="dxa"/>
            <w:vAlign w:val="bottom"/>
            <w:gridSpan w:val="7"/>
          </w:tcPr>
          <w:p>
            <w:pPr>
              <w:spacing w:after="0"/>
              <w:rPr>
                <w:sz w:val="20"/>
                <w:szCs w:val="20"/>
                <w:color w:val="auto"/>
              </w:rPr>
            </w:pPr>
            <w:r>
              <w:rPr>
                <w:rFonts w:ascii="Arial" w:cs="Arial" w:eastAsia="Arial" w:hAnsi="Arial"/>
                <w:sz w:val="15"/>
                <w:szCs w:val="15"/>
                <w:b w:val="1"/>
                <w:bCs w:val="1"/>
                <w:color w:val="auto"/>
              </w:rPr>
              <w:t xml:space="preserve">Average balances </w:t>
            </w:r>
            <w:r>
              <w:rPr>
                <w:rFonts w:ascii="Arial" w:cs="Arial" w:eastAsia="Arial" w:hAnsi="Arial"/>
                <w:sz w:val="15"/>
                <w:szCs w:val="15"/>
                <w:b w:val="1"/>
                <w:bCs w:val="1"/>
                <w:u w:val="single" w:color="auto"/>
                <w:color w:val="auto"/>
              </w:rPr>
              <w:t>(US$</w:t>
            </w:r>
            <w:r>
              <w:rPr>
                <w:rFonts w:ascii="Arial" w:cs="Arial" w:eastAsia="Arial" w:hAnsi="Arial"/>
                <w:sz w:val="15"/>
                <w:szCs w:val="15"/>
                <w:b w:val="1"/>
                <w:bCs w:val="1"/>
                <w:color w:val="auto"/>
              </w:rPr>
              <w:t>Mn) (3)</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7,199.3</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7,728.5</w:t>
            </w:r>
          </w:p>
        </w:tc>
        <w:tc>
          <w:tcPr>
            <w:tcW w:w="2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7,893.5</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7,018.3</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7,758.7</w:t>
            </w:r>
          </w:p>
        </w:tc>
        <w:tc>
          <w:tcPr>
            <w:tcW w:w="0" w:type="dxa"/>
            <w:vAlign w:val="bottom"/>
          </w:tcPr>
          <w:p>
            <w:pPr>
              <w:spacing w:after="0"/>
              <w:rPr>
                <w:sz w:val="1"/>
                <w:szCs w:val="1"/>
                <w:color w:val="auto"/>
              </w:rPr>
            </w:pPr>
          </w:p>
        </w:tc>
      </w:tr>
      <w:tr>
        <w:trPr>
          <w:trHeight w:val="146"/>
        </w:trPr>
        <w:tc>
          <w:tcPr>
            <w:tcW w:w="1940" w:type="dxa"/>
            <w:vAlign w:val="bottom"/>
            <w:tcBorders>
              <w:top w:val="single" w:sz="8" w:color="auto"/>
            </w:tcBorders>
            <w:gridSpan w:val="5"/>
          </w:tcPr>
          <w:p>
            <w:pPr>
              <w:ind w:left="120"/>
              <w:spacing w:after="0" w:line="146" w:lineRule="exact"/>
              <w:rPr>
                <w:sz w:val="20"/>
                <w:szCs w:val="20"/>
                <w:color w:val="auto"/>
              </w:rPr>
            </w:pPr>
            <w:r>
              <w:rPr>
                <w:rFonts w:ascii="Arial" w:cs="Arial" w:eastAsia="Arial" w:hAnsi="Arial"/>
                <w:sz w:val="15"/>
                <w:szCs w:val="15"/>
                <w:color w:val="auto"/>
              </w:rPr>
              <w:t>Interest earning assets</w:t>
            </w:r>
          </w:p>
        </w:tc>
        <w:tc>
          <w:tcPr>
            <w:tcW w:w="2880" w:type="dxa"/>
            <w:vAlign w:val="bottom"/>
            <w:gridSpan w:val="2"/>
          </w:tcPr>
          <w:p>
            <w:pPr>
              <w:spacing w:after="0"/>
              <w:rPr>
                <w:sz w:val="12"/>
                <w:szCs w:val="12"/>
                <w:color w:val="auto"/>
              </w:rPr>
            </w:pPr>
          </w:p>
        </w:tc>
        <w:tc>
          <w:tcPr>
            <w:tcW w:w="114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7"/>
          </w:tcPr>
          <w:p>
            <w:pPr>
              <w:ind w:left="120"/>
              <w:spacing w:after="0" w:line="162" w:lineRule="exact"/>
              <w:rPr>
                <w:sz w:val="20"/>
                <w:szCs w:val="20"/>
                <w:color w:val="auto"/>
              </w:rPr>
            </w:pPr>
            <w:r>
              <w:rPr>
                <w:rFonts w:ascii="Arial" w:cs="Arial" w:eastAsia="Arial" w:hAnsi="Arial"/>
                <w:sz w:val="15"/>
                <w:szCs w:val="15"/>
                <w:color w:val="auto"/>
              </w:rPr>
              <w:t>Total Assets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8,684.7</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9,407.7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9,627.8</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8,500.4</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9,434.3</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auto"/>
            </w:tcBorders>
            <w:gridSpan w:val="7"/>
          </w:tcPr>
          <w:p>
            <w:pPr>
              <w:ind w:left="120"/>
              <w:spacing w:after="0" w:line="172" w:lineRule="exact"/>
              <w:rPr>
                <w:sz w:val="20"/>
                <w:szCs w:val="20"/>
                <w:color w:val="auto"/>
              </w:rPr>
            </w:pPr>
            <w:r>
              <w:rPr>
                <w:rFonts w:ascii="Arial" w:cs="Arial" w:eastAsia="Arial" w:hAnsi="Arial"/>
                <w:sz w:val="15"/>
                <w:szCs w:val="15"/>
                <w:color w:val="auto"/>
              </w:rPr>
              <w:t>Net equity</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971.2</w:t>
            </w:r>
          </w:p>
        </w:tc>
        <w:tc>
          <w:tcPr>
            <w:tcW w:w="138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1,070.0</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1,131.0</w:t>
            </w:r>
          </w:p>
        </w:tc>
        <w:tc>
          <w:tcPr>
            <w:tcW w:w="13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942.8</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1,093.9</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(1)Based on Net Income due to shareholders. Number of shares outstanding of 79.8 million in all periods.</w:t>
      </w:r>
    </w:p>
    <w:p>
      <w:pPr>
        <w:spacing w:after="0" w:line="227" w:lineRule="auto"/>
        <w:rPr>
          <w:sz w:val="20"/>
          <w:szCs w:val="20"/>
          <w:color w:val="auto"/>
        </w:rPr>
      </w:pPr>
      <w:r>
        <w:rPr>
          <w:rFonts w:ascii="Arial" w:cs="Arial" w:eastAsia="Arial" w:hAnsi="Arial"/>
          <w:sz w:val="15"/>
          <w:szCs w:val="15"/>
          <w:i w:val="1"/>
          <w:iCs w:val="1"/>
          <w:color w:val="auto"/>
        </w:rPr>
        <w:t>(2)Ratios are annualized.</w:t>
      </w:r>
    </w:p>
    <w:p>
      <w:pPr>
        <w:spacing w:after="0" w:line="226" w:lineRule="auto"/>
        <w:rPr>
          <w:sz w:val="20"/>
          <w:szCs w:val="20"/>
          <w:color w:val="auto"/>
        </w:rPr>
      </w:pPr>
      <w:r>
        <w:rPr>
          <w:rFonts w:ascii="Arial" w:cs="Arial" w:eastAsia="Arial" w:hAnsi="Arial"/>
          <w:sz w:val="15"/>
          <w:szCs w:val="15"/>
          <w:i w:val="1"/>
          <w:iCs w:val="1"/>
          <w:color w:val="auto"/>
        </w:rPr>
        <w:t>(3)Averages are determined as the average of period-beginning and period-ending balances.</w:t>
      </w:r>
    </w:p>
    <w:p>
      <w:pPr>
        <w:spacing w:after="0" w:line="225" w:lineRule="auto"/>
        <w:rPr>
          <w:sz w:val="20"/>
          <w:szCs w:val="20"/>
          <w:color w:val="auto"/>
        </w:rPr>
      </w:pPr>
      <w:r>
        <w:rPr>
          <w:rFonts w:ascii="Arial" w:cs="Arial" w:eastAsia="Arial" w:hAnsi="Arial"/>
          <w:sz w:val="15"/>
          <w:szCs w:val="15"/>
          <w:i w:val="1"/>
          <w:iCs w:val="1"/>
          <w:color w:val="auto"/>
        </w:rPr>
        <w:t>(4)Net of treasury shares. The total number of shares was of 94.38 million.</w:t>
      </w:r>
    </w:p>
    <w:p>
      <w:pPr>
        <w:spacing w:after="0" w:line="226" w:lineRule="auto"/>
        <w:rPr>
          <w:sz w:val="20"/>
          <w:szCs w:val="20"/>
          <w:color w:val="auto"/>
        </w:rPr>
      </w:pPr>
      <w:r>
        <w:rPr>
          <w:rFonts w:ascii="Arial" w:cs="Arial" w:eastAsia="Arial" w:hAnsi="Arial"/>
          <w:sz w:val="15"/>
          <w:szCs w:val="15"/>
          <w:i w:val="1"/>
          <w:iCs w:val="1"/>
          <w:color w:val="auto"/>
        </w:rPr>
        <w:t>(5)Total income includes net interest income and other income.</w:t>
      </w:r>
    </w:p>
    <w:p>
      <w:pPr>
        <w:ind w:left="200"/>
        <w:spacing w:after="0" w:line="225" w:lineRule="auto"/>
        <w:rPr>
          <w:sz w:val="20"/>
          <w:szCs w:val="20"/>
          <w:color w:val="auto"/>
        </w:rPr>
      </w:pPr>
      <w:r>
        <w:rPr>
          <w:rFonts w:ascii="Arial" w:cs="Arial" w:eastAsia="Arial" w:hAnsi="Arial"/>
          <w:sz w:val="15"/>
          <w:szCs w:val="15"/>
          <w:i w:val="1"/>
          <w:iCs w:val="1"/>
          <w:color w:val="auto"/>
        </w:rPr>
        <w:t>Operating expense does not include Other expenses and Merger costs.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(6)Risk-weighted assets include market risk assets.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BANCO DE CREDITO DEL PERU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4</w:t>
      </w:r>
    </w:p>
    <w:p>
      <w:pPr>
        <w:jc w:val="center"/>
        <w:spacing w:after="0" w:line="230" w:lineRule="auto"/>
        <w:rPr>
          <w:sz w:val="20"/>
          <w:szCs w:val="20"/>
          <w:color w:val="auto"/>
        </w:rPr>
      </w:pPr>
      <w:r>
        <w:rPr>
          <w:rFonts w:ascii="Arial" w:cs="Arial" w:eastAsia="Arial" w:hAnsi="Arial"/>
          <w:sz w:val="22"/>
          <w:szCs w:val="22"/>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 U.S.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2780" w:type="dxa"/>
            <w:vAlign w:val="bottom"/>
            <w:tcBorders>
              <w:top w:val="single" w:sz="8" w:color="auto"/>
              <w:bottom w:val="single" w:sz="8" w:color="auto"/>
            </w:tcBorders>
            <w:gridSpan w:val="3"/>
          </w:tcPr>
          <w:p>
            <w:pPr>
              <w:jc w:val="center"/>
              <w:ind w:right="1820"/>
              <w:spacing w:after="0"/>
              <w:rPr>
                <w:sz w:val="20"/>
                <w:szCs w:val="20"/>
                <w:color w:val="auto"/>
              </w:rPr>
            </w:pPr>
            <w:r>
              <w:rPr>
                <w:rFonts w:ascii="Arial" w:cs="Arial" w:eastAsia="Arial" w:hAnsi="Arial"/>
                <w:sz w:val="15"/>
                <w:szCs w:val="15"/>
                <w:b w:val="1"/>
                <w:bCs w:val="1"/>
                <w:color w:val="auto"/>
                <w:w w:val="93"/>
              </w:rPr>
              <w:t>ASSETS</w:t>
            </w: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5"/>
                <w:szCs w:val="15"/>
                <w:b w:val="1"/>
                <w:bCs w:val="1"/>
                <w:color w:val="auto"/>
              </w:rPr>
              <w:t>30.09.04</w:t>
            </w: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5"/>
                <w:szCs w:val="15"/>
                <w:b w:val="1"/>
                <w:bCs w:val="1"/>
                <w:color w:val="auto"/>
              </w:rPr>
              <w:t>31.12.04</w:t>
            </w: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30.06.05</w:t>
            </w:r>
          </w:p>
        </w:tc>
        <w:tc>
          <w:tcPr>
            <w:tcW w:w="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30.09.05</w:t>
            </w:r>
          </w:p>
        </w:tc>
        <w:tc>
          <w:tcPr>
            <w:tcW w:w="40" w:type="dxa"/>
            <w:vAlign w:val="bottom"/>
            <w:tcBorders>
              <w:top w:val="single" w:sz="8" w:color="auto"/>
              <w:bottom w:val="single" w:sz="8" w:color="auto"/>
            </w:tcBorders>
          </w:tcPr>
          <w:p>
            <w:pPr>
              <w:spacing w:after="0"/>
              <w:rPr>
                <w:sz w:val="16"/>
                <w:szCs w:val="16"/>
                <w:color w:val="auto"/>
              </w:rPr>
            </w:pPr>
          </w:p>
        </w:tc>
      </w:tr>
      <w:tr>
        <w:trPr>
          <w:trHeight w:val="318"/>
        </w:trPr>
        <w:tc>
          <w:tcPr>
            <w:tcW w:w="4580" w:type="dxa"/>
            <w:vAlign w:val="bottom"/>
            <w:gridSpan w:val="6"/>
          </w:tcPr>
          <w:p>
            <w:pPr>
              <w:spacing w:after="0"/>
              <w:rPr>
                <w:sz w:val="20"/>
                <w:szCs w:val="20"/>
                <w:color w:val="auto"/>
              </w:rPr>
            </w:pPr>
            <w:r>
              <w:rPr>
                <w:rFonts w:ascii="Arial" w:cs="Arial" w:eastAsia="Arial" w:hAnsi="Arial"/>
                <w:sz w:val="15"/>
                <w:szCs w:val="15"/>
                <w:color w:val="auto"/>
              </w:rPr>
              <w:t>CASH AND DUE FROM BANKS</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color w:val="auto"/>
              </w:rPr>
              <w:t>1,682.</w:t>
            </w:r>
            <w:r>
              <w:rPr>
                <w:rFonts w:ascii="Arial" w:cs="Arial" w:eastAsia="Arial" w:hAnsi="Arial"/>
                <w:sz w:val="15"/>
                <w:szCs w:val="15"/>
                <w:u w:val="single" w:color="auto"/>
                <w:color w:val="auto"/>
              </w:rPr>
              <w:t>189</w:t>
            </w:r>
          </w:p>
        </w:tc>
        <w:tc>
          <w:tcPr>
            <w:tcW w:w="24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color w:val="auto"/>
              </w:rPr>
              <w:t>1,708.</w:t>
            </w:r>
            <w:r>
              <w:rPr>
                <w:rFonts w:ascii="Arial" w:cs="Arial" w:eastAsia="Arial" w:hAnsi="Arial"/>
                <w:sz w:val="15"/>
                <w:szCs w:val="15"/>
                <w:u w:val="single" w:color="auto"/>
                <w:color w:val="auto"/>
              </w:rPr>
              <w:t>916</w:t>
            </w:r>
          </w:p>
        </w:tc>
        <w:tc>
          <w:tcPr>
            <w:tcW w:w="2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1,456.</w:t>
            </w:r>
            <w:r>
              <w:rPr>
                <w:rFonts w:ascii="Arial" w:cs="Arial" w:eastAsia="Arial" w:hAnsi="Arial"/>
                <w:sz w:val="15"/>
                <w:szCs w:val="15"/>
                <w:u w:val="single" w:color="auto"/>
                <w:color w:val="auto"/>
              </w:rPr>
              <w:t>796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color w:val="auto"/>
              </w:rPr>
              <w:t>1,666.</w:t>
            </w:r>
            <w:r>
              <w:rPr>
                <w:rFonts w:ascii="Arial" w:cs="Arial" w:eastAsia="Arial" w:hAnsi="Arial"/>
                <w:sz w:val="15"/>
                <w:szCs w:val="15"/>
                <w:u w:val="single" w:color="auto"/>
                <w:color w:val="auto"/>
              </w:rPr>
              <w:t>248</w:t>
            </w:r>
          </w:p>
        </w:tc>
        <w:tc>
          <w:tcPr>
            <w:tcW w:w="40" w:type="dxa"/>
            <w:vAlign w:val="bottom"/>
          </w:tcPr>
          <w:p>
            <w:pPr>
              <w:spacing w:after="0"/>
              <w:rPr>
                <w:sz w:val="24"/>
                <w:szCs w:val="24"/>
                <w:color w:val="auto"/>
              </w:rPr>
            </w:pPr>
          </w:p>
        </w:tc>
      </w:tr>
      <w:tr>
        <w:trPr>
          <w:trHeight w:val="146"/>
        </w:trPr>
        <w:tc>
          <w:tcPr>
            <w:tcW w:w="2100" w:type="dxa"/>
            <w:vAlign w:val="bottom"/>
            <w:tcBorders>
              <w:top w:val="single" w:sz="8" w:color="auto"/>
            </w:tcBorders>
            <w:gridSpan w:val="4"/>
          </w:tcPr>
          <w:p>
            <w:pPr>
              <w:ind w:left="40"/>
              <w:spacing w:after="0" w:line="146" w:lineRule="exact"/>
              <w:rPr>
                <w:sz w:val="20"/>
                <w:szCs w:val="20"/>
                <w:color w:val="auto"/>
              </w:rPr>
            </w:pPr>
            <w:r>
              <w:rPr>
                <w:rFonts w:ascii="Arial" w:cs="Arial" w:eastAsia="Arial" w:hAnsi="Arial"/>
                <w:sz w:val="15"/>
                <w:szCs w:val="15"/>
                <w:color w:val="auto"/>
              </w:rPr>
              <w:t>Cash and Checks</w:t>
            </w: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58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rPr>
              <w:t>237.400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rPr>
              <w:t>250.325</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rPr>
              <w:t>301.793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rPr>
              <w:t>303.547</w:t>
            </w:r>
          </w:p>
        </w:tc>
        <w:tc>
          <w:tcPr>
            <w:tcW w:w="40" w:type="dxa"/>
            <w:vAlign w:val="bottom"/>
          </w:tcPr>
          <w:p>
            <w:pPr>
              <w:spacing w:after="0"/>
              <w:rPr>
                <w:sz w:val="12"/>
                <w:szCs w:val="12"/>
                <w:color w:val="auto"/>
              </w:rPr>
            </w:pPr>
          </w:p>
        </w:tc>
      </w:tr>
      <w:tr>
        <w:trPr>
          <w:trHeight w:val="162"/>
        </w:trPr>
        <w:tc>
          <w:tcPr>
            <w:tcW w:w="458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Deposits in Central Bank of Peru</w:t>
            </w:r>
          </w:p>
        </w:tc>
        <w:tc>
          <w:tcPr>
            <w:tcW w:w="172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1,050.419</w:t>
            </w:r>
          </w:p>
        </w:tc>
        <w:tc>
          <w:tcPr>
            <w:tcW w:w="240" w:type="dxa"/>
            <w:vAlign w:val="bottom"/>
          </w:tcPr>
          <w:p>
            <w:pPr>
              <w:spacing w:after="0"/>
              <w:rPr>
                <w:sz w:val="14"/>
                <w:szCs w:val="14"/>
                <w:color w:val="auto"/>
              </w:rPr>
            </w:pPr>
          </w:p>
        </w:tc>
        <w:tc>
          <w:tcPr>
            <w:tcW w:w="14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1,102.491</w:t>
            </w:r>
          </w:p>
        </w:tc>
        <w:tc>
          <w:tcPr>
            <w:tcW w:w="220" w:type="dxa"/>
            <w:vAlign w:val="bottom"/>
          </w:tcPr>
          <w:p>
            <w:pPr>
              <w:spacing w:after="0"/>
              <w:rPr>
                <w:sz w:val="14"/>
                <w:szCs w:val="14"/>
                <w:color w:val="auto"/>
              </w:rPr>
            </w:pPr>
          </w:p>
        </w:tc>
        <w:tc>
          <w:tcPr>
            <w:tcW w:w="14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904.263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1,071.473</w:t>
            </w:r>
          </w:p>
        </w:tc>
        <w:tc>
          <w:tcPr>
            <w:tcW w:w="40" w:type="dxa"/>
            <w:vAlign w:val="bottom"/>
          </w:tcPr>
          <w:p>
            <w:pPr>
              <w:spacing w:after="0"/>
              <w:rPr>
                <w:sz w:val="14"/>
                <w:szCs w:val="14"/>
                <w:color w:val="auto"/>
              </w:rPr>
            </w:pPr>
          </w:p>
        </w:tc>
      </w:tr>
      <w:tr>
        <w:trPr>
          <w:trHeight w:val="188"/>
        </w:trPr>
        <w:tc>
          <w:tcPr>
            <w:tcW w:w="4580" w:type="dxa"/>
            <w:vAlign w:val="bottom"/>
            <w:gridSpan w:val="6"/>
          </w:tcPr>
          <w:p>
            <w:pPr>
              <w:ind w:left="40"/>
              <w:spacing w:after="0"/>
              <w:rPr>
                <w:sz w:val="20"/>
                <w:szCs w:val="20"/>
                <w:color w:val="auto"/>
              </w:rPr>
            </w:pPr>
            <w:r>
              <w:rPr>
                <w:rFonts w:ascii="Arial" w:cs="Arial" w:eastAsia="Arial" w:hAnsi="Arial"/>
                <w:sz w:val="15"/>
                <w:szCs w:val="15"/>
                <w:color w:val="auto"/>
              </w:rPr>
              <w:t>Deposits with local and foreign banks</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color w:val="auto"/>
              </w:rPr>
              <w:t>394.370</w:t>
            </w:r>
          </w:p>
        </w:tc>
        <w:tc>
          <w:tcPr>
            <w:tcW w:w="240" w:type="dxa"/>
            <w:vAlign w:val="bottom"/>
          </w:tcPr>
          <w:p>
            <w:pPr>
              <w:spacing w:after="0"/>
              <w:rPr>
                <w:sz w:val="16"/>
                <w:szCs w:val="16"/>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color w:val="auto"/>
              </w:rPr>
              <w:t>356.100</w:t>
            </w:r>
          </w:p>
        </w:tc>
        <w:tc>
          <w:tcPr>
            <w:tcW w:w="2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250.740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color w:val="auto"/>
              </w:rPr>
              <w:t>291.228</w:t>
            </w:r>
          </w:p>
        </w:tc>
        <w:tc>
          <w:tcPr>
            <w:tcW w:w="40" w:type="dxa"/>
            <w:vAlign w:val="bottom"/>
          </w:tcPr>
          <w:p>
            <w:pPr>
              <w:spacing w:after="0"/>
              <w:rPr>
                <w:sz w:val="16"/>
                <w:szCs w:val="16"/>
                <w:color w:val="auto"/>
              </w:rPr>
            </w:pPr>
          </w:p>
        </w:tc>
      </w:tr>
      <w:tr>
        <w:trPr>
          <w:trHeight w:val="324"/>
        </w:trPr>
        <w:tc>
          <w:tcPr>
            <w:tcW w:w="4580" w:type="dxa"/>
            <w:vAlign w:val="bottom"/>
            <w:gridSpan w:val="6"/>
          </w:tcPr>
          <w:p>
            <w:pPr>
              <w:spacing w:after="0"/>
              <w:rPr>
                <w:sz w:val="20"/>
                <w:szCs w:val="20"/>
                <w:color w:val="auto"/>
              </w:rPr>
            </w:pPr>
            <w:r>
              <w:rPr>
                <w:rFonts w:ascii="Arial" w:cs="Arial" w:eastAsia="Arial" w:hAnsi="Arial"/>
                <w:sz w:val="15"/>
                <w:szCs w:val="15"/>
                <w:color w:val="auto"/>
              </w:rPr>
              <w:t>TRADING SECURITIES, net</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color w:val="auto"/>
              </w:rPr>
              <w:t>54.936</w:t>
            </w:r>
          </w:p>
        </w:tc>
        <w:tc>
          <w:tcPr>
            <w:tcW w:w="24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color w:val="auto"/>
              </w:rPr>
              <w:t>46.962</w:t>
            </w:r>
          </w:p>
        </w:tc>
        <w:tc>
          <w:tcPr>
            <w:tcW w:w="2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23.745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color w:val="auto"/>
              </w:rPr>
              <w:t>63.796</w:t>
            </w:r>
          </w:p>
        </w:tc>
        <w:tc>
          <w:tcPr>
            <w:tcW w:w="40" w:type="dxa"/>
            <w:vAlign w:val="bottom"/>
          </w:tcPr>
          <w:p>
            <w:pPr>
              <w:spacing w:after="0"/>
              <w:rPr>
                <w:sz w:val="24"/>
                <w:szCs w:val="24"/>
                <w:color w:val="auto"/>
              </w:rPr>
            </w:pPr>
          </w:p>
        </w:tc>
      </w:tr>
      <w:tr>
        <w:trPr>
          <w:trHeight w:val="294"/>
        </w:trPr>
        <w:tc>
          <w:tcPr>
            <w:tcW w:w="4580" w:type="dxa"/>
            <w:vAlign w:val="bottom"/>
            <w:gridSpan w:val="6"/>
          </w:tcPr>
          <w:p>
            <w:pPr>
              <w:spacing w:after="0"/>
              <w:rPr>
                <w:sz w:val="20"/>
                <w:szCs w:val="20"/>
                <w:color w:val="auto"/>
              </w:rPr>
            </w:pPr>
            <w:r>
              <w:rPr>
                <w:rFonts w:ascii="Arial" w:cs="Arial" w:eastAsia="Arial" w:hAnsi="Arial"/>
                <w:sz w:val="15"/>
                <w:szCs w:val="15"/>
                <w:color w:val="auto"/>
              </w:rPr>
              <w:t>LOANS</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color w:val="auto"/>
              </w:rPr>
              <w:t>4,090.</w:t>
            </w:r>
            <w:r>
              <w:rPr>
                <w:rFonts w:ascii="Arial" w:cs="Arial" w:eastAsia="Arial" w:hAnsi="Arial"/>
                <w:sz w:val="15"/>
                <w:szCs w:val="15"/>
                <w:u w:val="single" w:color="auto"/>
                <w:color w:val="auto"/>
              </w:rPr>
              <w:t>347</w:t>
            </w:r>
          </w:p>
        </w:tc>
        <w:tc>
          <w:tcPr>
            <w:tcW w:w="24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color w:val="auto"/>
              </w:rPr>
              <w:t>4,098.</w:t>
            </w:r>
            <w:r>
              <w:rPr>
                <w:rFonts w:ascii="Arial" w:cs="Arial" w:eastAsia="Arial" w:hAnsi="Arial"/>
                <w:sz w:val="15"/>
                <w:szCs w:val="15"/>
                <w:u w:val="single" w:color="auto"/>
                <w:color w:val="auto"/>
              </w:rPr>
              <w:t>487</w:t>
            </w:r>
          </w:p>
        </w:tc>
        <w:tc>
          <w:tcPr>
            <w:tcW w:w="2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4,600.</w:t>
            </w:r>
            <w:r>
              <w:rPr>
                <w:rFonts w:ascii="Arial" w:cs="Arial" w:eastAsia="Arial" w:hAnsi="Arial"/>
                <w:sz w:val="15"/>
                <w:szCs w:val="15"/>
                <w:u w:val="single" w:color="auto"/>
                <w:color w:val="auto"/>
              </w:rPr>
              <w:t>781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color w:val="auto"/>
              </w:rPr>
              <w:t>4,478.</w:t>
            </w:r>
            <w:r>
              <w:rPr>
                <w:rFonts w:ascii="Arial" w:cs="Arial" w:eastAsia="Arial" w:hAnsi="Arial"/>
                <w:sz w:val="15"/>
                <w:szCs w:val="15"/>
                <w:u w:val="single" w:color="auto"/>
                <w:color w:val="auto"/>
              </w:rPr>
              <w:t>503</w:t>
            </w:r>
          </w:p>
        </w:tc>
        <w:tc>
          <w:tcPr>
            <w:tcW w:w="40" w:type="dxa"/>
            <w:vAlign w:val="bottom"/>
          </w:tcPr>
          <w:p>
            <w:pPr>
              <w:spacing w:after="0"/>
              <w:rPr>
                <w:sz w:val="24"/>
                <w:szCs w:val="24"/>
                <w:color w:val="auto"/>
              </w:rPr>
            </w:pPr>
          </w:p>
        </w:tc>
      </w:tr>
      <w:tr>
        <w:trPr>
          <w:trHeight w:val="146"/>
        </w:trPr>
        <w:tc>
          <w:tcPr>
            <w:tcW w:w="500" w:type="dxa"/>
            <w:vAlign w:val="bottom"/>
            <w:tcBorders>
              <w:top w:val="single" w:sz="8" w:color="auto"/>
            </w:tcBorders>
          </w:tcPr>
          <w:p>
            <w:pPr>
              <w:ind w:left="40"/>
              <w:spacing w:after="0" w:line="146" w:lineRule="exact"/>
              <w:rPr>
                <w:sz w:val="20"/>
                <w:szCs w:val="20"/>
                <w:color w:val="auto"/>
              </w:rPr>
            </w:pPr>
            <w:r>
              <w:rPr>
                <w:rFonts w:ascii="Arial" w:cs="Arial" w:eastAsia="Arial" w:hAnsi="Arial"/>
                <w:sz w:val="15"/>
                <w:szCs w:val="15"/>
                <w:color w:val="auto"/>
                <w:w w:val="87"/>
              </w:rPr>
              <w:t>Current</w:t>
            </w: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24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58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3"/>
              </w:rPr>
              <w:t>3,886.635</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3"/>
              </w:rPr>
              <w:t>3,947.586</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6"/>
              </w:rPr>
              <w:t>4,477.035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6"/>
              </w:rPr>
              <w:t>4,364.338</w:t>
            </w:r>
          </w:p>
        </w:tc>
        <w:tc>
          <w:tcPr>
            <w:tcW w:w="40" w:type="dxa"/>
            <w:vAlign w:val="bottom"/>
          </w:tcPr>
          <w:p>
            <w:pPr>
              <w:spacing w:after="0"/>
              <w:rPr>
                <w:sz w:val="12"/>
                <w:szCs w:val="12"/>
                <w:color w:val="auto"/>
              </w:rPr>
            </w:pPr>
          </w:p>
        </w:tc>
      </w:tr>
      <w:tr>
        <w:trPr>
          <w:trHeight w:val="162"/>
        </w:trPr>
        <w:tc>
          <w:tcPr>
            <w:tcW w:w="458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Past Due</w:t>
            </w:r>
          </w:p>
        </w:tc>
        <w:tc>
          <w:tcPr>
            <w:tcW w:w="172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203.712</w:t>
            </w:r>
          </w:p>
        </w:tc>
        <w:tc>
          <w:tcPr>
            <w:tcW w:w="240" w:type="dxa"/>
            <w:vAlign w:val="bottom"/>
          </w:tcPr>
          <w:p>
            <w:pPr>
              <w:spacing w:after="0"/>
              <w:rPr>
                <w:sz w:val="14"/>
                <w:szCs w:val="14"/>
                <w:color w:val="auto"/>
              </w:rPr>
            </w:pPr>
          </w:p>
        </w:tc>
        <w:tc>
          <w:tcPr>
            <w:tcW w:w="14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150.901</w:t>
            </w:r>
          </w:p>
        </w:tc>
        <w:tc>
          <w:tcPr>
            <w:tcW w:w="220" w:type="dxa"/>
            <w:vAlign w:val="bottom"/>
          </w:tcPr>
          <w:p>
            <w:pPr>
              <w:spacing w:after="0"/>
              <w:rPr>
                <w:sz w:val="14"/>
                <w:szCs w:val="14"/>
                <w:color w:val="auto"/>
              </w:rPr>
            </w:pPr>
          </w:p>
        </w:tc>
        <w:tc>
          <w:tcPr>
            <w:tcW w:w="14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123.746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114.165</w:t>
            </w:r>
          </w:p>
        </w:tc>
      </w:tr>
      <w:tr>
        <w:trPr>
          <w:trHeight w:val="162"/>
        </w:trPr>
        <w:tc>
          <w:tcPr>
            <w:tcW w:w="458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Less - Reserve for possible loan losses</w:t>
            </w:r>
          </w:p>
        </w:tc>
        <w:tc>
          <w:tcPr>
            <w:tcW w:w="1960" w:type="dxa"/>
            <w:vAlign w:val="bottom"/>
            <w:gridSpan w:val="6"/>
          </w:tcPr>
          <w:p>
            <w:pPr>
              <w:jc w:val="right"/>
              <w:ind w:right="240"/>
              <w:spacing w:after="0" w:line="162" w:lineRule="exact"/>
              <w:rPr>
                <w:sz w:val="20"/>
                <w:szCs w:val="20"/>
                <w:color w:val="auto"/>
              </w:rPr>
            </w:pPr>
            <w:r>
              <w:rPr>
                <w:rFonts w:ascii="Arial" w:cs="Arial" w:eastAsia="Arial" w:hAnsi="Arial"/>
                <w:sz w:val="15"/>
                <w:szCs w:val="15"/>
                <w:color w:val="auto"/>
              </w:rPr>
              <w:t>(273.241)</w:t>
            </w:r>
          </w:p>
        </w:tc>
        <w:tc>
          <w:tcPr>
            <w:tcW w:w="170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(241.189)</w:t>
            </w:r>
          </w:p>
        </w:tc>
        <w:tc>
          <w:tcPr>
            <w:tcW w:w="1700" w:type="dxa"/>
            <w:vAlign w:val="bottom"/>
            <w:gridSpan w:val="5"/>
          </w:tcPr>
          <w:p>
            <w:pPr>
              <w:jc w:val="right"/>
              <w:ind w:right="200"/>
              <w:spacing w:after="0" w:line="162" w:lineRule="exact"/>
              <w:rPr>
                <w:sz w:val="20"/>
                <w:szCs w:val="20"/>
                <w:color w:val="auto"/>
              </w:rPr>
            </w:pPr>
            <w:r>
              <w:rPr>
                <w:rFonts w:ascii="Arial" w:cs="Arial" w:eastAsia="Arial" w:hAnsi="Arial"/>
                <w:sz w:val="15"/>
                <w:szCs w:val="15"/>
                <w:color w:val="auto"/>
              </w:rPr>
              <w:t>(224.828)</w:t>
            </w:r>
          </w:p>
        </w:tc>
        <w:tc>
          <w:tcPr>
            <w:tcW w:w="148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(200.068)</w:t>
            </w:r>
          </w:p>
        </w:tc>
      </w:tr>
      <w:tr>
        <w:trPr>
          <w:trHeight w:val="158"/>
        </w:trPr>
        <w:tc>
          <w:tcPr>
            <w:tcW w:w="4580" w:type="dxa"/>
            <w:vAlign w:val="bottom"/>
            <w:gridSpan w:val="6"/>
          </w:tcPr>
          <w:p>
            <w:pPr>
              <w:spacing w:after="0" w:line="158" w:lineRule="exact"/>
              <w:rPr>
                <w:sz w:val="20"/>
                <w:szCs w:val="20"/>
                <w:color w:val="auto"/>
              </w:rPr>
            </w:pPr>
            <w:r>
              <w:rPr>
                <w:rFonts w:ascii="Arial" w:cs="Arial" w:eastAsia="Arial" w:hAnsi="Arial"/>
                <w:sz w:val="15"/>
                <w:szCs w:val="15"/>
                <w:color w:val="auto"/>
              </w:rPr>
              <w:t>LOANS NET</w:t>
            </w:r>
          </w:p>
        </w:tc>
        <w:tc>
          <w:tcPr>
            <w:tcW w:w="1720" w:type="dxa"/>
            <w:vAlign w:val="bottom"/>
            <w:gridSpan w:val="5"/>
          </w:tcPr>
          <w:p>
            <w:pPr>
              <w:jc w:val="right"/>
              <w:ind w:right="40"/>
              <w:spacing w:after="0" w:line="158" w:lineRule="exact"/>
              <w:rPr>
                <w:sz w:val="20"/>
                <w:szCs w:val="20"/>
                <w:color w:val="auto"/>
              </w:rPr>
            </w:pPr>
            <w:r>
              <w:rPr>
                <w:rFonts w:ascii="Arial" w:cs="Arial" w:eastAsia="Arial" w:hAnsi="Arial"/>
                <w:sz w:val="15"/>
                <w:szCs w:val="15"/>
                <w:color w:val="auto"/>
              </w:rPr>
              <w:t>3,817.</w:t>
            </w:r>
            <w:r>
              <w:rPr>
                <w:rFonts w:ascii="Arial" w:cs="Arial" w:eastAsia="Arial" w:hAnsi="Arial"/>
                <w:sz w:val="15"/>
                <w:szCs w:val="15"/>
                <w:u w:val="single" w:color="auto"/>
                <w:color w:val="auto"/>
              </w:rPr>
              <w:t>106</w:t>
            </w:r>
          </w:p>
        </w:tc>
        <w:tc>
          <w:tcPr>
            <w:tcW w:w="240" w:type="dxa"/>
            <w:vAlign w:val="bottom"/>
          </w:tcPr>
          <w:p>
            <w:pPr>
              <w:spacing w:after="0"/>
              <w:rPr>
                <w:sz w:val="13"/>
                <w:szCs w:val="13"/>
                <w:color w:val="auto"/>
              </w:rPr>
            </w:pPr>
          </w:p>
        </w:tc>
        <w:tc>
          <w:tcPr>
            <w:tcW w:w="148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3,857.</w:t>
            </w:r>
            <w:r>
              <w:rPr>
                <w:rFonts w:ascii="Arial" w:cs="Arial" w:eastAsia="Arial" w:hAnsi="Arial"/>
                <w:sz w:val="15"/>
                <w:szCs w:val="15"/>
                <w:u w:val="single" w:color="auto"/>
                <w:color w:val="auto"/>
              </w:rPr>
              <w:t>298</w:t>
            </w:r>
          </w:p>
        </w:tc>
        <w:tc>
          <w:tcPr>
            <w:tcW w:w="220" w:type="dxa"/>
            <w:vAlign w:val="bottom"/>
          </w:tcPr>
          <w:p>
            <w:pPr>
              <w:spacing w:after="0"/>
              <w:rPr>
                <w:sz w:val="13"/>
                <w:szCs w:val="13"/>
                <w:color w:val="auto"/>
              </w:rPr>
            </w:pPr>
          </w:p>
        </w:tc>
        <w:tc>
          <w:tcPr>
            <w:tcW w:w="14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4,375.</w:t>
            </w:r>
            <w:r>
              <w:rPr>
                <w:rFonts w:ascii="Arial" w:cs="Arial" w:eastAsia="Arial" w:hAnsi="Arial"/>
                <w:sz w:val="15"/>
                <w:szCs w:val="15"/>
                <w:u w:val="single" w:color="auto"/>
                <w:color w:val="auto"/>
              </w:rPr>
              <w:t>953</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4,278.</w:t>
            </w:r>
            <w:r>
              <w:rPr>
                <w:rFonts w:ascii="Arial" w:cs="Arial" w:eastAsia="Arial" w:hAnsi="Arial"/>
                <w:sz w:val="15"/>
                <w:szCs w:val="15"/>
                <w:u w:val="single" w:color="auto"/>
                <w:color w:val="auto"/>
              </w:rPr>
              <w:t>435</w:t>
            </w:r>
          </w:p>
        </w:tc>
        <w:tc>
          <w:tcPr>
            <w:tcW w:w="40" w:type="dxa"/>
            <w:vAlign w:val="bottom"/>
          </w:tcPr>
          <w:p>
            <w:pPr>
              <w:spacing w:after="0"/>
              <w:rPr>
                <w:sz w:val="13"/>
                <w:szCs w:val="13"/>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8"/>
        </w:trPr>
        <w:tc>
          <w:tcPr>
            <w:tcW w:w="4580" w:type="dxa"/>
            <w:vAlign w:val="bottom"/>
            <w:gridSpan w:val="6"/>
          </w:tcPr>
          <w:p>
            <w:pPr>
              <w:spacing w:after="0"/>
              <w:rPr>
                <w:sz w:val="20"/>
                <w:szCs w:val="20"/>
                <w:color w:val="auto"/>
              </w:rPr>
            </w:pPr>
            <w:r>
              <w:rPr>
                <w:rFonts w:ascii="Arial" w:cs="Arial" w:eastAsia="Arial" w:hAnsi="Arial"/>
                <w:sz w:val="15"/>
                <w:szCs w:val="15"/>
                <w:color w:val="auto"/>
              </w:rPr>
              <w:t>INVESTMENT SECURITIES AVAIL. FOR SALE</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color w:val="auto"/>
              </w:rPr>
              <w:t>933.051</w:t>
            </w:r>
          </w:p>
        </w:tc>
        <w:tc>
          <w:tcPr>
            <w:tcW w:w="24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color w:val="auto"/>
              </w:rPr>
              <w:t>1,127.150</w:t>
            </w:r>
          </w:p>
        </w:tc>
        <w:tc>
          <w:tcPr>
            <w:tcW w:w="2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1,581.362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color w:val="auto"/>
              </w:rPr>
              <w:t>1,601.828</w:t>
            </w:r>
          </w:p>
        </w:tc>
        <w:tc>
          <w:tcPr>
            <w:tcW w:w="40" w:type="dxa"/>
            <w:vAlign w:val="bottom"/>
          </w:tcPr>
          <w:p>
            <w:pPr>
              <w:spacing w:after="0"/>
              <w:rPr>
                <w:sz w:val="24"/>
                <w:szCs w:val="24"/>
                <w:color w:val="auto"/>
              </w:rPr>
            </w:pPr>
          </w:p>
        </w:tc>
      </w:tr>
      <w:tr>
        <w:trPr>
          <w:trHeight w:val="162"/>
        </w:trPr>
        <w:tc>
          <w:tcPr>
            <w:tcW w:w="4580" w:type="dxa"/>
            <w:vAlign w:val="bottom"/>
            <w:gridSpan w:val="6"/>
          </w:tcPr>
          <w:p>
            <w:pPr>
              <w:spacing w:after="0" w:line="162" w:lineRule="exact"/>
              <w:rPr>
                <w:sz w:val="20"/>
                <w:szCs w:val="20"/>
                <w:color w:val="auto"/>
              </w:rPr>
            </w:pPr>
            <w:r>
              <w:rPr>
                <w:rFonts w:ascii="Arial" w:cs="Arial" w:eastAsia="Arial" w:hAnsi="Arial"/>
                <w:sz w:val="15"/>
                <w:szCs w:val="15"/>
                <w:color w:val="auto"/>
              </w:rPr>
              <w:t>PROPERTY, PLANT and EQUIPMENT, net</w:t>
            </w:r>
          </w:p>
        </w:tc>
        <w:tc>
          <w:tcPr>
            <w:tcW w:w="172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197.912</w:t>
            </w:r>
          </w:p>
        </w:tc>
        <w:tc>
          <w:tcPr>
            <w:tcW w:w="240" w:type="dxa"/>
            <w:vAlign w:val="bottom"/>
          </w:tcPr>
          <w:p>
            <w:pPr>
              <w:spacing w:after="0"/>
              <w:rPr>
                <w:sz w:val="14"/>
                <w:szCs w:val="14"/>
                <w:color w:val="auto"/>
              </w:rPr>
            </w:pPr>
          </w:p>
        </w:tc>
        <w:tc>
          <w:tcPr>
            <w:tcW w:w="14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214.278</w:t>
            </w:r>
          </w:p>
        </w:tc>
        <w:tc>
          <w:tcPr>
            <w:tcW w:w="220" w:type="dxa"/>
            <w:vAlign w:val="bottom"/>
          </w:tcPr>
          <w:p>
            <w:pPr>
              <w:spacing w:after="0"/>
              <w:rPr>
                <w:sz w:val="14"/>
                <w:szCs w:val="14"/>
                <w:color w:val="auto"/>
              </w:rPr>
            </w:pPr>
          </w:p>
        </w:tc>
        <w:tc>
          <w:tcPr>
            <w:tcW w:w="14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209.059</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202.410</w:t>
            </w:r>
          </w:p>
        </w:tc>
        <w:tc>
          <w:tcPr>
            <w:tcW w:w="40" w:type="dxa"/>
            <w:vAlign w:val="bottom"/>
          </w:tcPr>
          <w:p>
            <w:pPr>
              <w:spacing w:after="0"/>
              <w:rPr>
                <w:sz w:val="14"/>
                <w:szCs w:val="14"/>
                <w:color w:val="auto"/>
              </w:rPr>
            </w:pPr>
          </w:p>
        </w:tc>
      </w:tr>
      <w:tr>
        <w:trPr>
          <w:trHeight w:val="188"/>
        </w:trPr>
        <w:tc>
          <w:tcPr>
            <w:tcW w:w="4580" w:type="dxa"/>
            <w:vAlign w:val="bottom"/>
            <w:gridSpan w:val="6"/>
          </w:tcPr>
          <w:p>
            <w:pPr>
              <w:spacing w:after="0"/>
              <w:rPr>
                <w:sz w:val="20"/>
                <w:szCs w:val="20"/>
                <w:color w:val="auto"/>
              </w:rPr>
            </w:pPr>
            <w:r>
              <w:rPr>
                <w:rFonts w:ascii="Arial" w:cs="Arial" w:eastAsia="Arial" w:hAnsi="Arial"/>
                <w:sz w:val="15"/>
                <w:szCs w:val="15"/>
                <w:color w:val="auto"/>
              </w:rPr>
              <w:t>OTHER ASSETS</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color w:val="auto"/>
              </w:rPr>
              <w:t>274.203</w:t>
            </w:r>
          </w:p>
        </w:tc>
        <w:tc>
          <w:tcPr>
            <w:tcW w:w="240" w:type="dxa"/>
            <w:vAlign w:val="bottom"/>
          </w:tcPr>
          <w:p>
            <w:pPr>
              <w:spacing w:after="0"/>
              <w:rPr>
                <w:sz w:val="16"/>
                <w:szCs w:val="16"/>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color w:val="auto"/>
              </w:rPr>
              <w:t>356.133</w:t>
            </w:r>
          </w:p>
        </w:tc>
        <w:tc>
          <w:tcPr>
            <w:tcW w:w="2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320.526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color w:val="auto"/>
              </w:rPr>
              <w:t>370.974</w:t>
            </w:r>
          </w:p>
        </w:tc>
        <w:tc>
          <w:tcPr>
            <w:tcW w:w="40" w:type="dxa"/>
            <w:vAlign w:val="bottom"/>
          </w:tcPr>
          <w:p>
            <w:pPr>
              <w:spacing w:after="0"/>
              <w:rPr>
                <w:sz w:val="16"/>
                <w:szCs w:val="16"/>
                <w:color w:val="auto"/>
              </w:rPr>
            </w:pPr>
          </w:p>
        </w:tc>
      </w:tr>
      <w:tr>
        <w:trPr>
          <w:trHeight w:val="324"/>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gridSpan w:val="4"/>
          </w:tcPr>
          <w:p>
            <w:pPr>
              <w:jc w:val="center"/>
              <w:ind w:right="840"/>
              <w:spacing w:after="0"/>
              <w:rPr>
                <w:sz w:val="20"/>
                <w:szCs w:val="20"/>
                <w:color w:val="auto"/>
              </w:rPr>
            </w:pPr>
            <w:r>
              <w:rPr>
                <w:rFonts w:ascii="Arial" w:cs="Arial" w:eastAsia="Arial" w:hAnsi="Arial"/>
                <w:sz w:val="15"/>
                <w:szCs w:val="15"/>
                <w:b w:val="1"/>
                <w:bCs w:val="1"/>
                <w:color w:val="auto"/>
                <w:w w:val="94"/>
              </w:rPr>
              <w:t>TOTAL ASSETS</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b w:val="1"/>
                <w:bCs w:val="1"/>
                <w:color w:val="auto"/>
              </w:rPr>
              <w:t>6,959.397</w:t>
            </w:r>
          </w:p>
        </w:tc>
        <w:tc>
          <w:tcPr>
            <w:tcW w:w="24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b w:val="1"/>
                <w:bCs w:val="1"/>
                <w:color w:val="auto"/>
              </w:rPr>
              <w:t>7,310.737</w:t>
            </w:r>
          </w:p>
        </w:tc>
        <w:tc>
          <w:tcPr>
            <w:tcW w:w="2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b w:val="1"/>
                <w:bCs w:val="1"/>
                <w:color w:val="auto"/>
              </w:rPr>
              <w:t>7,967.441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b w:val="1"/>
                <w:bCs w:val="1"/>
                <w:color w:val="auto"/>
              </w:rPr>
              <w:t>8,183.691</w:t>
            </w:r>
          </w:p>
        </w:tc>
        <w:tc>
          <w:tcPr>
            <w:tcW w:w="40" w:type="dxa"/>
            <w:vAlign w:val="bottom"/>
          </w:tcPr>
          <w:p>
            <w:pPr>
              <w:spacing w:after="0"/>
              <w:rPr>
                <w:sz w:val="24"/>
                <w:szCs w:val="24"/>
                <w:color w:val="auto"/>
              </w:rPr>
            </w:pPr>
          </w:p>
        </w:tc>
      </w:tr>
      <w:tr>
        <w:trPr>
          <w:trHeight w:val="298"/>
        </w:trPr>
        <w:tc>
          <w:tcPr>
            <w:tcW w:w="500" w:type="dxa"/>
            <w:vAlign w:val="bottom"/>
          </w:tcPr>
          <w:p>
            <w:pPr>
              <w:spacing w:after="0"/>
              <w:rPr>
                <w:sz w:val="24"/>
                <w:szCs w:val="24"/>
                <w:color w:val="auto"/>
              </w:rPr>
            </w:pPr>
          </w:p>
        </w:tc>
        <w:tc>
          <w:tcPr>
            <w:tcW w:w="4080" w:type="dxa"/>
            <w:vAlign w:val="bottom"/>
            <w:gridSpan w:val="5"/>
          </w:tcPr>
          <w:p>
            <w:pPr>
              <w:jc w:val="center"/>
              <w:ind w:right="520"/>
              <w:spacing w:after="0"/>
              <w:rPr>
                <w:sz w:val="20"/>
                <w:szCs w:val="20"/>
                <w:color w:val="auto"/>
              </w:rPr>
            </w:pPr>
            <w:r>
              <w:rPr>
                <w:rFonts w:ascii="Arial" w:cs="Arial" w:eastAsia="Arial" w:hAnsi="Arial"/>
                <w:sz w:val="15"/>
                <w:szCs w:val="15"/>
                <w:b w:val="1"/>
                <w:bCs w:val="1"/>
                <w:color w:val="auto"/>
              </w:rPr>
              <w:t>LIABILITIES AND SHAREHOLDERS' EQUITY</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8"/>
        </w:trPr>
        <w:tc>
          <w:tcPr>
            <w:tcW w:w="4580" w:type="dxa"/>
            <w:vAlign w:val="bottom"/>
            <w:gridSpan w:val="6"/>
          </w:tcPr>
          <w:p>
            <w:pPr>
              <w:spacing w:after="0" w:line="158" w:lineRule="exact"/>
              <w:rPr>
                <w:sz w:val="20"/>
                <w:szCs w:val="20"/>
                <w:color w:val="auto"/>
              </w:rPr>
            </w:pPr>
            <w:r>
              <w:rPr>
                <w:rFonts w:ascii="Arial" w:cs="Arial" w:eastAsia="Arial" w:hAnsi="Arial"/>
                <w:sz w:val="15"/>
                <w:szCs w:val="15"/>
                <w:color w:val="auto"/>
              </w:rPr>
              <w:t>DEPOSITS AND OBLIGATIONS:</w:t>
            </w:r>
          </w:p>
        </w:tc>
        <w:tc>
          <w:tcPr>
            <w:tcW w:w="1720" w:type="dxa"/>
            <w:vAlign w:val="bottom"/>
            <w:gridSpan w:val="5"/>
          </w:tcPr>
          <w:p>
            <w:pPr>
              <w:jc w:val="right"/>
              <w:ind w:right="40"/>
              <w:spacing w:after="0" w:line="158" w:lineRule="exact"/>
              <w:rPr>
                <w:sz w:val="20"/>
                <w:szCs w:val="20"/>
                <w:color w:val="auto"/>
              </w:rPr>
            </w:pPr>
            <w:r>
              <w:rPr>
                <w:rFonts w:ascii="Arial" w:cs="Arial" w:eastAsia="Arial" w:hAnsi="Arial"/>
                <w:sz w:val="15"/>
                <w:szCs w:val="15"/>
                <w:color w:val="auto"/>
              </w:rPr>
              <w:t>5,466.</w:t>
            </w:r>
            <w:r>
              <w:rPr>
                <w:rFonts w:ascii="Arial" w:cs="Arial" w:eastAsia="Arial" w:hAnsi="Arial"/>
                <w:sz w:val="15"/>
                <w:szCs w:val="15"/>
                <w:u w:val="single" w:color="auto"/>
                <w:color w:val="auto"/>
              </w:rPr>
              <w:t>052</w:t>
            </w:r>
          </w:p>
        </w:tc>
        <w:tc>
          <w:tcPr>
            <w:tcW w:w="240" w:type="dxa"/>
            <w:vAlign w:val="bottom"/>
          </w:tcPr>
          <w:p>
            <w:pPr>
              <w:spacing w:after="0"/>
              <w:rPr>
                <w:sz w:val="13"/>
                <w:szCs w:val="13"/>
                <w:color w:val="auto"/>
              </w:rPr>
            </w:pPr>
          </w:p>
        </w:tc>
        <w:tc>
          <w:tcPr>
            <w:tcW w:w="148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5,553.</w:t>
            </w:r>
            <w:r>
              <w:rPr>
                <w:rFonts w:ascii="Arial" w:cs="Arial" w:eastAsia="Arial" w:hAnsi="Arial"/>
                <w:sz w:val="15"/>
                <w:szCs w:val="15"/>
                <w:u w:val="single" w:color="auto"/>
                <w:color w:val="auto"/>
              </w:rPr>
              <w:t>118</w:t>
            </w:r>
          </w:p>
        </w:tc>
        <w:tc>
          <w:tcPr>
            <w:tcW w:w="220" w:type="dxa"/>
            <w:vAlign w:val="bottom"/>
          </w:tcPr>
          <w:p>
            <w:pPr>
              <w:spacing w:after="0"/>
              <w:rPr>
                <w:sz w:val="13"/>
                <w:szCs w:val="13"/>
                <w:color w:val="auto"/>
              </w:rPr>
            </w:pPr>
          </w:p>
        </w:tc>
        <w:tc>
          <w:tcPr>
            <w:tcW w:w="14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6,089.</w:t>
            </w:r>
            <w:r>
              <w:rPr>
                <w:rFonts w:ascii="Arial" w:cs="Arial" w:eastAsia="Arial" w:hAnsi="Arial"/>
                <w:sz w:val="15"/>
                <w:szCs w:val="15"/>
                <w:u w:val="single" w:color="auto"/>
                <w:color w:val="auto"/>
              </w:rPr>
              <w:t>224</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6,168.</w:t>
            </w:r>
            <w:r>
              <w:rPr>
                <w:rFonts w:ascii="Arial" w:cs="Arial" w:eastAsia="Arial" w:hAnsi="Arial"/>
                <w:sz w:val="15"/>
                <w:szCs w:val="15"/>
                <w:u w:val="single" w:color="auto"/>
                <w:color w:val="auto"/>
              </w:rPr>
              <w:t>618</w:t>
            </w:r>
          </w:p>
        </w:tc>
        <w:tc>
          <w:tcPr>
            <w:tcW w:w="40" w:type="dxa"/>
            <w:vAlign w:val="bottom"/>
          </w:tcPr>
          <w:p>
            <w:pPr>
              <w:spacing w:after="0"/>
              <w:rPr>
                <w:sz w:val="13"/>
                <w:szCs w:val="13"/>
                <w:color w:val="auto"/>
              </w:rPr>
            </w:pPr>
          </w:p>
        </w:tc>
      </w:tr>
      <w:tr>
        <w:trPr>
          <w:trHeight w:val="146"/>
        </w:trPr>
        <w:tc>
          <w:tcPr>
            <w:tcW w:w="2120" w:type="dxa"/>
            <w:vAlign w:val="bottom"/>
            <w:tcBorders>
              <w:top w:val="single" w:sz="8" w:color="auto"/>
            </w:tcBorders>
            <w:gridSpan w:val="5"/>
          </w:tcPr>
          <w:p>
            <w:pPr>
              <w:ind w:left="40"/>
              <w:spacing w:after="0" w:line="146" w:lineRule="exact"/>
              <w:rPr>
                <w:sz w:val="20"/>
                <w:szCs w:val="20"/>
                <w:color w:val="auto"/>
              </w:rPr>
            </w:pPr>
            <w:r>
              <w:rPr>
                <w:rFonts w:ascii="Arial" w:cs="Arial" w:eastAsia="Arial" w:hAnsi="Arial"/>
                <w:sz w:val="15"/>
                <w:szCs w:val="15"/>
                <w:color w:val="auto"/>
              </w:rPr>
              <w:t>Demand deposits</w:t>
            </w:r>
          </w:p>
        </w:tc>
        <w:tc>
          <w:tcPr>
            <w:tcW w:w="24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58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3"/>
              </w:rPr>
              <w:t>1,569.092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3"/>
              </w:rPr>
              <w:t>1,651.130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6"/>
              </w:rPr>
              <w:t>1,983.659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5"/>
                <w:szCs w:val="15"/>
                <w:color w:val="auto"/>
                <w:w w:val="86"/>
              </w:rPr>
              <w:t>2,011.845</w:t>
            </w:r>
          </w:p>
        </w:tc>
        <w:tc>
          <w:tcPr>
            <w:tcW w:w="40" w:type="dxa"/>
            <w:vAlign w:val="bottom"/>
          </w:tcPr>
          <w:p>
            <w:pPr>
              <w:spacing w:after="0"/>
              <w:rPr>
                <w:sz w:val="12"/>
                <w:szCs w:val="12"/>
                <w:color w:val="auto"/>
              </w:rPr>
            </w:pPr>
          </w:p>
        </w:tc>
      </w:tr>
      <w:tr>
        <w:trPr>
          <w:trHeight w:val="162"/>
        </w:trPr>
        <w:tc>
          <w:tcPr>
            <w:tcW w:w="458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Saving accounts</w:t>
            </w:r>
          </w:p>
        </w:tc>
        <w:tc>
          <w:tcPr>
            <w:tcW w:w="172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1,418.830</w:t>
            </w:r>
          </w:p>
        </w:tc>
        <w:tc>
          <w:tcPr>
            <w:tcW w:w="240" w:type="dxa"/>
            <w:vAlign w:val="bottom"/>
          </w:tcPr>
          <w:p>
            <w:pPr>
              <w:spacing w:after="0"/>
              <w:rPr>
                <w:sz w:val="14"/>
                <w:szCs w:val="14"/>
                <w:color w:val="auto"/>
              </w:rPr>
            </w:pPr>
          </w:p>
        </w:tc>
        <w:tc>
          <w:tcPr>
            <w:tcW w:w="14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1,502.687</w:t>
            </w:r>
          </w:p>
        </w:tc>
        <w:tc>
          <w:tcPr>
            <w:tcW w:w="220" w:type="dxa"/>
            <w:vAlign w:val="bottom"/>
          </w:tcPr>
          <w:p>
            <w:pPr>
              <w:spacing w:after="0"/>
              <w:rPr>
                <w:sz w:val="14"/>
                <w:szCs w:val="14"/>
                <w:color w:val="auto"/>
              </w:rPr>
            </w:pPr>
          </w:p>
        </w:tc>
        <w:tc>
          <w:tcPr>
            <w:tcW w:w="14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1,565.841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1,587.334</w:t>
            </w:r>
          </w:p>
        </w:tc>
        <w:tc>
          <w:tcPr>
            <w:tcW w:w="40" w:type="dxa"/>
            <w:vAlign w:val="bottom"/>
          </w:tcPr>
          <w:p>
            <w:pPr>
              <w:spacing w:after="0"/>
              <w:rPr>
                <w:sz w:val="14"/>
                <w:szCs w:val="14"/>
                <w:color w:val="auto"/>
              </w:rPr>
            </w:pPr>
          </w:p>
        </w:tc>
      </w:tr>
      <w:tr>
        <w:trPr>
          <w:trHeight w:val="188"/>
        </w:trPr>
        <w:tc>
          <w:tcPr>
            <w:tcW w:w="4580" w:type="dxa"/>
            <w:vAlign w:val="bottom"/>
            <w:gridSpan w:val="6"/>
          </w:tcPr>
          <w:p>
            <w:pPr>
              <w:ind w:left="40"/>
              <w:spacing w:after="0"/>
              <w:rPr>
                <w:sz w:val="20"/>
                <w:szCs w:val="20"/>
                <w:color w:val="auto"/>
              </w:rPr>
            </w:pPr>
            <w:r>
              <w:rPr>
                <w:rFonts w:ascii="Arial" w:cs="Arial" w:eastAsia="Arial" w:hAnsi="Arial"/>
                <w:sz w:val="15"/>
                <w:szCs w:val="15"/>
                <w:color w:val="auto"/>
              </w:rPr>
              <w:t>Time deposits</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color w:val="auto"/>
              </w:rPr>
              <w:t>2,478.130</w:t>
            </w:r>
          </w:p>
        </w:tc>
        <w:tc>
          <w:tcPr>
            <w:tcW w:w="240" w:type="dxa"/>
            <w:vAlign w:val="bottom"/>
          </w:tcPr>
          <w:p>
            <w:pPr>
              <w:spacing w:after="0"/>
              <w:rPr>
                <w:sz w:val="16"/>
                <w:szCs w:val="16"/>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color w:val="auto"/>
              </w:rPr>
              <w:t>2,399.301</w:t>
            </w:r>
          </w:p>
        </w:tc>
        <w:tc>
          <w:tcPr>
            <w:tcW w:w="2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2,539.724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color w:val="auto"/>
              </w:rPr>
              <w:t>2,569.439</w:t>
            </w:r>
          </w:p>
        </w:tc>
        <w:tc>
          <w:tcPr>
            <w:tcW w:w="40" w:type="dxa"/>
            <w:vAlign w:val="bottom"/>
          </w:tcPr>
          <w:p>
            <w:pPr>
              <w:spacing w:after="0"/>
              <w:rPr>
                <w:sz w:val="16"/>
                <w:szCs w:val="16"/>
                <w:color w:val="auto"/>
              </w:rPr>
            </w:pPr>
          </w:p>
        </w:tc>
      </w:tr>
      <w:tr>
        <w:trPr>
          <w:trHeight w:val="298"/>
        </w:trPr>
        <w:tc>
          <w:tcPr>
            <w:tcW w:w="4580" w:type="dxa"/>
            <w:vAlign w:val="bottom"/>
            <w:gridSpan w:val="6"/>
          </w:tcPr>
          <w:p>
            <w:pPr>
              <w:spacing w:after="0"/>
              <w:rPr>
                <w:sz w:val="20"/>
                <w:szCs w:val="20"/>
                <w:color w:val="auto"/>
              </w:rPr>
            </w:pPr>
            <w:r>
              <w:rPr>
                <w:rFonts w:ascii="Arial" w:cs="Arial" w:eastAsia="Arial" w:hAnsi="Arial"/>
                <w:sz w:val="15"/>
                <w:szCs w:val="15"/>
                <w:color w:val="auto"/>
              </w:rPr>
              <w:t>DUE TO BANKS AND CORRESPONDENTS</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color w:val="auto"/>
              </w:rPr>
              <w:t>161.186</w:t>
            </w:r>
          </w:p>
        </w:tc>
        <w:tc>
          <w:tcPr>
            <w:tcW w:w="24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color w:val="auto"/>
              </w:rPr>
              <w:t>215.893</w:t>
            </w:r>
          </w:p>
        </w:tc>
        <w:tc>
          <w:tcPr>
            <w:tcW w:w="2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375.478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color w:val="auto"/>
              </w:rPr>
              <w:t>380.935</w:t>
            </w:r>
          </w:p>
        </w:tc>
        <w:tc>
          <w:tcPr>
            <w:tcW w:w="40" w:type="dxa"/>
            <w:vAlign w:val="bottom"/>
          </w:tcPr>
          <w:p>
            <w:pPr>
              <w:spacing w:after="0"/>
              <w:rPr>
                <w:sz w:val="24"/>
                <w:szCs w:val="24"/>
                <w:color w:val="auto"/>
              </w:rPr>
            </w:pPr>
          </w:p>
        </w:tc>
      </w:tr>
      <w:tr>
        <w:trPr>
          <w:trHeight w:val="162"/>
        </w:trPr>
        <w:tc>
          <w:tcPr>
            <w:tcW w:w="4580" w:type="dxa"/>
            <w:vAlign w:val="bottom"/>
            <w:gridSpan w:val="6"/>
          </w:tcPr>
          <w:p>
            <w:pPr>
              <w:spacing w:after="0" w:line="162" w:lineRule="exact"/>
              <w:rPr>
                <w:sz w:val="20"/>
                <w:szCs w:val="20"/>
                <w:color w:val="auto"/>
              </w:rPr>
            </w:pPr>
            <w:r>
              <w:rPr>
                <w:rFonts w:ascii="Arial" w:cs="Arial" w:eastAsia="Arial" w:hAnsi="Arial"/>
                <w:sz w:val="15"/>
                <w:szCs w:val="15"/>
                <w:color w:val="auto"/>
              </w:rPr>
              <w:t>BONDS AND SUBORDINATED DEBT(1)</w:t>
            </w:r>
          </w:p>
        </w:tc>
        <w:tc>
          <w:tcPr>
            <w:tcW w:w="172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440.427</w:t>
            </w:r>
          </w:p>
        </w:tc>
        <w:tc>
          <w:tcPr>
            <w:tcW w:w="240" w:type="dxa"/>
            <w:vAlign w:val="bottom"/>
          </w:tcPr>
          <w:p>
            <w:pPr>
              <w:spacing w:after="0"/>
              <w:rPr>
                <w:sz w:val="14"/>
                <w:szCs w:val="14"/>
                <w:color w:val="auto"/>
              </w:rPr>
            </w:pPr>
          </w:p>
        </w:tc>
        <w:tc>
          <w:tcPr>
            <w:tcW w:w="14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441.628</w:t>
            </w:r>
          </w:p>
        </w:tc>
        <w:tc>
          <w:tcPr>
            <w:tcW w:w="220" w:type="dxa"/>
            <w:vAlign w:val="bottom"/>
          </w:tcPr>
          <w:p>
            <w:pPr>
              <w:spacing w:after="0"/>
              <w:rPr>
                <w:sz w:val="14"/>
                <w:szCs w:val="14"/>
                <w:color w:val="auto"/>
              </w:rPr>
            </w:pPr>
          </w:p>
        </w:tc>
        <w:tc>
          <w:tcPr>
            <w:tcW w:w="14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430.047</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428.551</w:t>
            </w:r>
          </w:p>
        </w:tc>
        <w:tc>
          <w:tcPr>
            <w:tcW w:w="40" w:type="dxa"/>
            <w:vAlign w:val="bottom"/>
          </w:tcPr>
          <w:p>
            <w:pPr>
              <w:spacing w:after="0"/>
              <w:rPr>
                <w:sz w:val="14"/>
                <w:szCs w:val="14"/>
                <w:color w:val="auto"/>
              </w:rPr>
            </w:pPr>
          </w:p>
        </w:tc>
      </w:tr>
      <w:tr>
        <w:trPr>
          <w:trHeight w:val="188"/>
        </w:trPr>
        <w:tc>
          <w:tcPr>
            <w:tcW w:w="4580" w:type="dxa"/>
            <w:vAlign w:val="bottom"/>
            <w:gridSpan w:val="6"/>
          </w:tcPr>
          <w:p>
            <w:pPr>
              <w:spacing w:after="0"/>
              <w:rPr>
                <w:sz w:val="20"/>
                <w:szCs w:val="20"/>
                <w:color w:val="auto"/>
              </w:rPr>
            </w:pPr>
            <w:r>
              <w:rPr>
                <w:rFonts w:ascii="Arial" w:cs="Arial" w:eastAsia="Arial" w:hAnsi="Arial"/>
                <w:sz w:val="15"/>
                <w:szCs w:val="15"/>
                <w:color w:val="auto"/>
              </w:rPr>
              <w:t>OTHER LIABILITIES</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color w:val="auto"/>
              </w:rPr>
              <w:t>218.542</w:t>
            </w:r>
          </w:p>
        </w:tc>
        <w:tc>
          <w:tcPr>
            <w:tcW w:w="240" w:type="dxa"/>
            <w:vAlign w:val="bottom"/>
          </w:tcPr>
          <w:p>
            <w:pPr>
              <w:spacing w:after="0"/>
              <w:rPr>
                <w:sz w:val="16"/>
                <w:szCs w:val="16"/>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color w:val="auto"/>
              </w:rPr>
              <w:t>299.669</w:t>
            </w:r>
          </w:p>
        </w:tc>
        <w:tc>
          <w:tcPr>
            <w:tcW w:w="2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295.427</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color w:val="auto"/>
              </w:rPr>
              <w:t>366.014</w:t>
            </w:r>
          </w:p>
        </w:tc>
        <w:tc>
          <w:tcPr>
            <w:tcW w:w="40" w:type="dxa"/>
            <w:vAlign w:val="bottom"/>
          </w:tcPr>
          <w:p>
            <w:pPr>
              <w:spacing w:after="0"/>
              <w:rPr>
                <w:sz w:val="16"/>
                <w:szCs w:val="16"/>
                <w:color w:val="auto"/>
              </w:rPr>
            </w:pPr>
          </w:p>
        </w:tc>
      </w:tr>
      <w:tr>
        <w:trPr>
          <w:trHeight w:val="294"/>
        </w:trPr>
        <w:tc>
          <w:tcPr>
            <w:tcW w:w="4580" w:type="dxa"/>
            <w:vAlign w:val="bottom"/>
            <w:gridSpan w:val="6"/>
          </w:tcPr>
          <w:p>
            <w:pPr>
              <w:spacing w:after="0"/>
              <w:rPr>
                <w:sz w:val="20"/>
                <w:szCs w:val="20"/>
                <w:color w:val="auto"/>
              </w:rPr>
            </w:pPr>
            <w:r>
              <w:rPr>
                <w:rFonts w:ascii="Arial" w:cs="Arial" w:eastAsia="Arial" w:hAnsi="Arial"/>
                <w:sz w:val="15"/>
                <w:szCs w:val="15"/>
                <w:color w:val="auto"/>
              </w:rPr>
              <w:t>SHAREHOLDERS EQUITY:</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color w:val="auto"/>
              </w:rPr>
              <w:t>673.</w:t>
            </w:r>
            <w:r>
              <w:rPr>
                <w:rFonts w:ascii="Arial" w:cs="Arial" w:eastAsia="Arial" w:hAnsi="Arial"/>
                <w:sz w:val="15"/>
                <w:szCs w:val="15"/>
                <w:u w:val="single" w:color="auto"/>
                <w:color w:val="auto"/>
              </w:rPr>
              <w:t>190</w:t>
            </w:r>
          </w:p>
        </w:tc>
        <w:tc>
          <w:tcPr>
            <w:tcW w:w="24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color w:val="auto"/>
              </w:rPr>
              <w:t>800.</w:t>
            </w:r>
            <w:r>
              <w:rPr>
                <w:rFonts w:ascii="Arial" w:cs="Arial" w:eastAsia="Arial" w:hAnsi="Arial"/>
                <w:sz w:val="15"/>
                <w:szCs w:val="15"/>
                <w:u w:val="single" w:color="auto"/>
                <w:color w:val="auto"/>
              </w:rPr>
              <w:t>429</w:t>
            </w:r>
          </w:p>
        </w:tc>
        <w:tc>
          <w:tcPr>
            <w:tcW w:w="2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777.</w:t>
            </w:r>
            <w:r>
              <w:rPr>
                <w:rFonts w:ascii="Arial" w:cs="Arial" w:eastAsia="Arial" w:hAnsi="Arial"/>
                <w:sz w:val="15"/>
                <w:szCs w:val="15"/>
                <w:u w:val="single" w:color="auto"/>
                <w:color w:val="auto"/>
              </w:rPr>
              <w:t>265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color w:val="auto"/>
              </w:rPr>
              <w:t>839.</w:t>
            </w:r>
            <w:r>
              <w:rPr>
                <w:rFonts w:ascii="Arial" w:cs="Arial" w:eastAsia="Arial" w:hAnsi="Arial"/>
                <w:sz w:val="15"/>
                <w:szCs w:val="15"/>
                <w:u w:val="single" w:color="auto"/>
                <w:color w:val="auto"/>
              </w:rPr>
              <w:t>573</w:t>
            </w:r>
          </w:p>
        </w:tc>
        <w:tc>
          <w:tcPr>
            <w:tcW w:w="40" w:type="dxa"/>
            <w:vAlign w:val="bottom"/>
          </w:tcPr>
          <w:p>
            <w:pPr>
              <w:spacing w:after="0"/>
              <w:rPr>
                <w:sz w:val="24"/>
                <w:szCs w:val="24"/>
                <w:color w:val="auto"/>
              </w:rPr>
            </w:pPr>
          </w:p>
        </w:tc>
      </w:tr>
      <w:tr>
        <w:trPr>
          <w:trHeight w:val="146"/>
        </w:trPr>
        <w:tc>
          <w:tcPr>
            <w:tcW w:w="1800" w:type="dxa"/>
            <w:vAlign w:val="bottom"/>
            <w:tcBorders>
              <w:top w:val="single" w:sz="8" w:color="auto"/>
            </w:tcBorders>
            <w:gridSpan w:val="3"/>
          </w:tcPr>
          <w:p>
            <w:pPr>
              <w:ind w:left="40"/>
              <w:spacing w:after="0" w:line="146" w:lineRule="exact"/>
              <w:rPr>
                <w:sz w:val="20"/>
                <w:szCs w:val="20"/>
                <w:color w:val="auto"/>
              </w:rPr>
            </w:pPr>
            <w:r>
              <w:rPr>
                <w:rFonts w:ascii="Arial" w:cs="Arial" w:eastAsia="Arial" w:hAnsi="Arial"/>
                <w:sz w:val="15"/>
                <w:szCs w:val="15"/>
                <w:color w:val="auto"/>
              </w:rPr>
              <w:t>Capital stock</w:t>
            </w:r>
          </w:p>
        </w:tc>
        <w:tc>
          <w:tcPr>
            <w:tcW w:w="2780" w:type="dxa"/>
            <w:vAlign w:val="bottom"/>
            <w:gridSpan w:val="3"/>
          </w:tcPr>
          <w:p>
            <w:pPr>
              <w:spacing w:after="0"/>
              <w:rPr>
                <w:sz w:val="12"/>
                <w:szCs w:val="12"/>
                <w:color w:val="auto"/>
              </w:rPr>
            </w:pPr>
          </w:p>
        </w:tc>
        <w:tc>
          <w:tcPr>
            <w:tcW w:w="1200" w:type="dxa"/>
            <w:vAlign w:val="bottom"/>
            <w:gridSpan w:val="3"/>
          </w:tcPr>
          <w:p>
            <w:pPr>
              <w:spacing w:after="0"/>
              <w:rPr>
                <w:sz w:val="12"/>
                <w:szCs w:val="12"/>
                <w:color w:val="auto"/>
              </w:rPr>
            </w:pPr>
          </w:p>
        </w:tc>
        <w:tc>
          <w:tcPr>
            <w:tcW w:w="4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4"/>
              </w:rPr>
              <w:t>364.706</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4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4"/>
              </w:rPr>
              <w:t>364.706</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c>
          <w:tcPr>
            <w:tcW w:w="4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4"/>
              </w:rPr>
              <w:t>364.706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4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4"/>
              </w:rPr>
              <w:t>364.706</w:t>
            </w:r>
          </w:p>
        </w:tc>
        <w:tc>
          <w:tcPr>
            <w:tcW w:w="40" w:type="dxa"/>
            <w:vAlign w:val="bottom"/>
          </w:tcPr>
          <w:p>
            <w:pPr>
              <w:spacing w:after="0"/>
              <w:rPr>
                <w:sz w:val="12"/>
                <w:szCs w:val="12"/>
                <w:color w:val="auto"/>
              </w:rPr>
            </w:pPr>
          </w:p>
        </w:tc>
      </w:tr>
      <w:tr>
        <w:trPr>
          <w:trHeight w:val="162"/>
        </w:trPr>
        <w:tc>
          <w:tcPr>
            <w:tcW w:w="458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Legal reserve</w:t>
            </w:r>
          </w:p>
        </w:tc>
        <w:tc>
          <w:tcPr>
            <w:tcW w:w="172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210.928</w:t>
            </w:r>
          </w:p>
        </w:tc>
        <w:tc>
          <w:tcPr>
            <w:tcW w:w="240" w:type="dxa"/>
            <w:vAlign w:val="bottom"/>
          </w:tcPr>
          <w:p>
            <w:pPr>
              <w:spacing w:after="0"/>
              <w:rPr>
                <w:sz w:val="14"/>
                <w:szCs w:val="14"/>
                <w:color w:val="auto"/>
              </w:rPr>
            </w:pPr>
          </w:p>
        </w:tc>
        <w:tc>
          <w:tcPr>
            <w:tcW w:w="14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210.928</w:t>
            </w:r>
          </w:p>
        </w:tc>
        <w:tc>
          <w:tcPr>
            <w:tcW w:w="220" w:type="dxa"/>
            <w:vAlign w:val="bottom"/>
          </w:tcPr>
          <w:p>
            <w:pPr>
              <w:spacing w:after="0"/>
              <w:rPr>
                <w:sz w:val="14"/>
                <w:szCs w:val="14"/>
                <w:color w:val="auto"/>
              </w:rPr>
            </w:pPr>
          </w:p>
        </w:tc>
        <w:tc>
          <w:tcPr>
            <w:tcW w:w="14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210.928</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210.928</w:t>
            </w:r>
          </w:p>
        </w:tc>
        <w:tc>
          <w:tcPr>
            <w:tcW w:w="40" w:type="dxa"/>
            <w:vAlign w:val="bottom"/>
          </w:tcPr>
          <w:p>
            <w:pPr>
              <w:spacing w:after="0"/>
              <w:rPr>
                <w:sz w:val="14"/>
                <w:szCs w:val="14"/>
                <w:color w:val="auto"/>
              </w:rPr>
            </w:pPr>
          </w:p>
        </w:tc>
      </w:tr>
      <w:tr>
        <w:trPr>
          <w:trHeight w:val="188"/>
        </w:trPr>
        <w:tc>
          <w:tcPr>
            <w:tcW w:w="4580" w:type="dxa"/>
            <w:vAlign w:val="bottom"/>
            <w:gridSpan w:val="6"/>
          </w:tcPr>
          <w:p>
            <w:pPr>
              <w:ind w:left="40"/>
              <w:spacing w:after="0"/>
              <w:rPr>
                <w:sz w:val="20"/>
                <w:szCs w:val="20"/>
                <w:color w:val="auto"/>
              </w:rPr>
            </w:pPr>
            <w:r>
              <w:rPr>
                <w:rFonts w:ascii="Arial" w:cs="Arial" w:eastAsia="Arial" w:hAnsi="Arial"/>
                <w:sz w:val="15"/>
                <w:szCs w:val="15"/>
                <w:color w:val="auto"/>
              </w:rPr>
              <w:t>Retained earnings</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color w:val="auto"/>
              </w:rPr>
              <w:t>97.556</w:t>
            </w:r>
          </w:p>
        </w:tc>
        <w:tc>
          <w:tcPr>
            <w:tcW w:w="240" w:type="dxa"/>
            <w:vAlign w:val="bottom"/>
          </w:tcPr>
          <w:p>
            <w:pPr>
              <w:spacing w:after="0"/>
              <w:rPr>
                <w:sz w:val="16"/>
                <w:szCs w:val="16"/>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color w:val="auto"/>
              </w:rPr>
              <w:t>224.795</w:t>
            </w:r>
          </w:p>
        </w:tc>
        <w:tc>
          <w:tcPr>
            <w:tcW w:w="2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color w:val="auto"/>
              </w:rPr>
              <w:t>201.631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color w:val="auto"/>
              </w:rPr>
              <w:t>263.939</w:t>
            </w:r>
          </w:p>
        </w:tc>
        <w:tc>
          <w:tcPr>
            <w:tcW w:w="40" w:type="dxa"/>
            <w:vAlign w:val="bottom"/>
          </w:tcPr>
          <w:p>
            <w:pPr>
              <w:spacing w:after="0"/>
              <w:rPr>
                <w:sz w:val="16"/>
                <w:szCs w:val="16"/>
                <w:color w:val="auto"/>
              </w:rPr>
            </w:pPr>
          </w:p>
        </w:tc>
      </w:tr>
      <w:tr>
        <w:trPr>
          <w:trHeight w:val="324"/>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gridSpan w:val="4"/>
          </w:tcPr>
          <w:p>
            <w:pPr>
              <w:jc w:val="center"/>
              <w:ind w:right="840"/>
              <w:spacing w:after="0"/>
              <w:rPr>
                <w:sz w:val="20"/>
                <w:szCs w:val="20"/>
                <w:color w:val="auto"/>
              </w:rPr>
            </w:pPr>
            <w:r>
              <w:rPr>
                <w:rFonts w:ascii="Arial" w:cs="Arial" w:eastAsia="Arial" w:hAnsi="Arial"/>
                <w:sz w:val="15"/>
                <w:szCs w:val="15"/>
                <w:b w:val="1"/>
                <w:bCs w:val="1"/>
                <w:color w:val="auto"/>
              </w:rPr>
              <w:t>TOTAL LIABILITIES AND EQUITY</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b w:val="1"/>
                <w:bCs w:val="1"/>
                <w:color w:val="auto"/>
              </w:rPr>
              <w:t>6,959.397</w:t>
            </w:r>
          </w:p>
        </w:tc>
        <w:tc>
          <w:tcPr>
            <w:tcW w:w="24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b w:val="1"/>
                <w:bCs w:val="1"/>
                <w:color w:val="auto"/>
              </w:rPr>
              <w:t>7,310.737</w:t>
            </w:r>
          </w:p>
        </w:tc>
        <w:tc>
          <w:tcPr>
            <w:tcW w:w="2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b w:val="1"/>
                <w:bCs w:val="1"/>
                <w:color w:val="auto"/>
              </w:rPr>
              <w:t>7,967.441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b w:val="1"/>
                <w:bCs w:val="1"/>
                <w:color w:val="auto"/>
              </w:rPr>
              <w:t>8,183.691</w:t>
            </w:r>
          </w:p>
        </w:tc>
        <w:tc>
          <w:tcPr>
            <w:tcW w:w="40" w:type="dxa"/>
            <w:vAlign w:val="bottom"/>
          </w:tcPr>
          <w:p>
            <w:pPr>
              <w:spacing w:after="0"/>
              <w:rPr>
                <w:sz w:val="24"/>
                <w:szCs w:val="24"/>
                <w:color w:val="auto"/>
              </w:rPr>
            </w:pPr>
          </w:p>
        </w:tc>
      </w:tr>
      <w:tr>
        <w:trPr>
          <w:trHeight w:val="294"/>
        </w:trPr>
        <w:tc>
          <w:tcPr>
            <w:tcW w:w="4580" w:type="dxa"/>
            <w:vAlign w:val="bottom"/>
            <w:gridSpan w:val="6"/>
          </w:tcPr>
          <w:p>
            <w:pPr>
              <w:ind w:left="40"/>
              <w:spacing w:after="0"/>
              <w:rPr>
                <w:sz w:val="20"/>
                <w:szCs w:val="20"/>
                <w:color w:val="auto"/>
              </w:rPr>
            </w:pPr>
            <w:r>
              <w:rPr>
                <w:rFonts w:ascii="Arial" w:cs="Arial" w:eastAsia="Arial" w:hAnsi="Arial"/>
                <w:sz w:val="15"/>
                <w:szCs w:val="15"/>
                <w:b w:val="1"/>
                <w:bCs w:val="1"/>
                <w:color w:val="auto"/>
              </w:rPr>
              <w:t>Contingent Credits</w:t>
            </w:r>
          </w:p>
        </w:tc>
        <w:tc>
          <w:tcPr>
            <w:tcW w:w="1720" w:type="dxa"/>
            <w:vAlign w:val="bottom"/>
            <w:gridSpan w:val="5"/>
          </w:tcPr>
          <w:p>
            <w:pPr>
              <w:jc w:val="right"/>
              <w:ind w:right="40"/>
              <w:spacing w:after="0"/>
              <w:rPr>
                <w:sz w:val="20"/>
                <w:szCs w:val="20"/>
                <w:color w:val="auto"/>
              </w:rPr>
            </w:pPr>
            <w:r>
              <w:rPr>
                <w:rFonts w:ascii="Arial" w:cs="Arial" w:eastAsia="Arial" w:hAnsi="Arial"/>
                <w:sz w:val="15"/>
                <w:szCs w:val="15"/>
                <w:b w:val="1"/>
                <w:bCs w:val="1"/>
                <w:color w:val="auto"/>
              </w:rPr>
              <w:t>1,651.238</w:t>
            </w:r>
          </w:p>
        </w:tc>
        <w:tc>
          <w:tcPr>
            <w:tcW w:w="24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b w:val="1"/>
                <w:bCs w:val="1"/>
                <w:color w:val="auto"/>
              </w:rPr>
              <w:t>1,833.066</w:t>
            </w:r>
          </w:p>
        </w:tc>
        <w:tc>
          <w:tcPr>
            <w:tcW w:w="2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5"/>
                <w:szCs w:val="15"/>
                <w:b w:val="1"/>
                <w:bCs w:val="1"/>
                <w:color w:val="auto"/>
              </w:rPr>
              <w:t>2,377.088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b w:val="1"/>
                <w:bCs w:val="1"/>
                <w:color w:val="auto"/>
              </w:rPr>
              <w:t>2,868.380</w:t>
            </w:r>
          </w:p>
        </w:tc>
        <w:tc>
          <w:tcPr>
            <w:tcW w:w="40" w:type="dxa"/>
            <w:vAlign w:val="bottom"/>
          </w:tcPr>
          <w:p>
            <w:pPr>
              <w:spacing w:after="0"/>
              <w:rPr>
                <w:sz w:val="24"/>
                <w:szCs w:val="24"/>
                <w:color w:val="auto"/>
              </w:rPr>
            </w:pPr>
          </w:p>
        </w:tc>
      </w:tr>
      <w:tr>
        <w:trPr>
          <w:trHeight w:val="175"/>
        </w:trPr>
        <w:tc>
          <w:tcPr>
            <w:tcW w:w="4580" w:type="dxa"/>
            <w:vAlign w:val="bottom"/>
            <w:tcBorders>
              <w:bottom w:val="single" w:sz="8" w:color="auto"/>
            </w:tcBorders>
            <w:gridSpan w:val="6"/>
          </w:tcPr>
          <w:p>
            <w:pPr>
              <w:ind w:left="40"/>
              <w:spacing w:after="0"/>
              <w:rPr>
                <w:sz w:val="20"/>
                <w:szCs w:val="20"/>
                <w:color w:val="auto"/>
              </w:rPr>
            </w:pPr>
            <w:r>
              <w:rPr>
                <w:rFonts w:ascii="Arial" w:cs="Arial" w:eastAsia="Arial" w:hAnsi="Arial"/>
                <w:sz w:val="15"/>
                <w:szCs w:val="15"/>
                <w:b w:val="1"/>
                <w:bCs w:val="1"/>
                <w:color w:val="auto"/>
              </w:rPr>
              <w:t>Funds under management</w:t>
            </w:r>
          </w:p>
        </w:tc>
        <w:tc>
          <w:tcPr>
            <w:tcW w:w="17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5"/>
                <w:szCs w:val="15"/>
                <w:b w:val="1"/>
                <w:bCs w:val="1"/>
                <w:color w:val="auto"/>
              </w:rPr>
              <w:t>952.137</w:t>
            </w: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5"/>
                <w:szCs w:val="15"/>
                <w:b w:val="1"/>
                <w:bCs w:val="1"/>
                <w:color w:val="auto"/>
              </w:rPr>
              <w:t>953.826</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994.733</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1,044.607</w:t>
            </w:r>
          </w:p>
        </w:tc>
        <w:tc>
          <w:tcPr>
            <w:tcW w:w="40" w:type="dxa"/>
            <w:vAlign w:val="bottom"/>
            <w:tcBorders>
              <w:bottom w:val="single" w:sz="8" w:color="auto"/>
            </w:tcBorders>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(1) Previously reported within Deposits and Obligations.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BANCO DE CREDITO DEL PERU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5</w:t>
      </w:r>
    </w:p>
    <w:p>
      <w:pPr>
        <w:jc w:val="center"/>
        <w:spacing w:after="0" w:line="230" w:lineRule="auto"/>
        <w:rPr>
          <w:sz w:val="20"/>
          <w:szCs w:val="20"/>
          <w:color w:val="auto"/>
        </w:rPr>
      </w:pPr>
      <w:r>
        <w:rPr>
          <w:rFonts w:ascii="Arial" w:cs="Arial" w:eastAsia="Arial" w:hAnsi="Arial"/>
          <w:sz w:val="22"/>
          <w:szCs w:val="22"/>
          <w:b w:val="1"/>
          <w:bCs w:val="1"/>
          <w:color w:val="auto"/>
        </w:rPr>
        <w:t>CONSOLIDATED INCOME STATEMENTS (1)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 U.S. Dollars in thousands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gridSpan w:val="6"/>
          </w:tcPr>
          <w:p>
            <w:pPr>
              <w:ind w:left="60"/>
              <w:spacing w:after="0"/>
              <w:rPr>
                <w:sz w:val="20"/>
                <w:szCs w:val="20"/>
                <w:color w:val="auto"/>
              </w:rPr>
            </w:pPr>
            <w:r>
              <w:rPr>
                <w:rFonts w:ascii="Arial" w:cs="Arial" w:eastAsia="Arial" w:hAnsi="Arial"/>
                <w:sz w:val="15"/>
                <w:szCs w:val="15"/>
                <w:b w:val="1"/>
                <w:bCs w:val="1"/>
                <w:color w:val="auto"/>
                <w:w w:val="98"/>
              </w:rPr>
              <w:t>Three months ended</w:t>
            </w:r>
          </w:p>
        </w:tc>
        <w:tc>
          <w:tcPr>
            <w:tcW w:w="6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7"/>
          </w:tcPr>
          <w:p>
            <w:pPr>
              <w:ind w:left="600"/>
              <w:spacing w:after="0"/>
              <w:rPr>
                <w:sz w:val="20"/>
                <w:szCs w:val="20"/>
                <w:color w:val="auto"/>
              </w:rPr>
            </w:pPr>
            <w:r>
              <w:rPr>
                <w:rFonts w:ascii="Arial" w:cs="Arial" w:eastAsia="Arial" w:hAnsi="Arial"/>
                <w:sz w:val="15"/>
                <w:szCs w:val="15"/>
                <w:b w:val="1"/>
                <w:bCs w:val="1"/>
                <w:color w:val="auto"/>
                <w:w w:val="90"/>
              </w:rPr>
              <w:t>Nine months ended</w:t>
            </w: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4"/>
          </w:tcPr>
          <w:p>
            <w:pPr>
              <w:jc w:val="right"/>
              <w:spacing w:after="0" w:line="169" w:lineRule="exact"/>
              <w:rPr>
                <w:sz w:val="20"/>
                <w:szCs w:val="20"/>
                <w:color w:val="auto"/>
              </w:rPr>
            </w:pPr>
            <w:r>
              <w:rPr>
                <w:rFonts w:ascii="Arial" w:cs="Arial" w:eastAsia="Arial" w:hAnsi="Arial"/>
                <w:sz w:val="15"/>
                <w:szCs w:val="15"/>
                <w:b w:val="1"/>
                <w:bCs w:val="1"/>
                <w:color w:val="auto"/>
              </w:rPr>
              <w:t>30.09.04</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gridSpan w:val="3"/>
          </w:tcPr>
          <w:p>
            <w:pPr>
              <w:jc w:val="right"/>
              <w:spacing w:after="0" w:line="169" w:lineRule="exact"/>
              <w:rPr>
                <w:sz w:val="20"/>
                <w:szCs w:val="20"/>
                <w:color w:val="auto"/>
              </w:rPr>
            </w:pPr>
            <w:r>
              <w:rPr>
                <w:rFonts w:ascii="Arial" w:cs="Arial" w:eastAsia="Arial" w:hAnsi="Arial"/>
                <w:sz w:val="15"/>
                <w:szCs w:val="15"/>
                <w:b w:val="1"/>
                <w:bCs w:val="1"/>
                <w:color w:val="auto"/>
              </w:rPr>
              <w:t>30.06.05</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gridSpan w:val="4"/>
          </w:tcPr>
          <w:p>
            <w:pPr>
              <w:jc w:val="right"/>
              <w:ind w:right="40"/>
              <w:spacing w:after="0" w:line="169" w:lineRule="exact"/>
              <w:rPr>
                <w:sz w:val="20"/>
                <w:szCs w:val="20"/>
                <w:color w:val="auto"/>
              </w:rPr>
            </w:pPr>
            <w:r>
              <w:rPr>
                <w:rFonts w:ascii="Arial" w:cs="Arial" w:eastAsia="Arial" w:hAnsi="Arial"/>
                <w:sz w:val="15"/>
                <w:szCs w:val="15"/>
                <w:b w:val="1"/>
                <w:bCs w:val="1"/>
                <w:color w:val="auto"/>
              </w:rPr>
              <w:t>30.09.05</w:t>
            </w:r>
          </w:p>
        </w:tc>
        <w:tc>
          <w:tcPr>
            <w:tcW w:w="220" w:type="dxa"/>
            <w:vAlign w:val="bottom"/>
          </w:tcPr>
          <w:p>
            <w:pPr>
              <w:spacing w:after="0"/>
              <w:rPr>
                <w:sz w:val="14"/>
                <w:szCs w:val="14"/>
                <w:color w:val="auto"/>
              </w:rPr>
            </w:pPr>
          </w:p>
        </w:tc>
        <w:tc>
          <w:tcPr>
            <w:tcW w:w="1100" w:type="dxa"/>
            <w:vAlign w:val="bottom"/>
            <w:tcBorders>
              <w:bottom w:val="single" w:sz="8" w:color="auto"/>
            </w:tcBorders>
            <w:gridSpan w:val="4"/>
          </w:tcPr>
          <w:p>
            <w:pPr>
              <w:jc w:val="right"/>
              <w:spacing w:after="0" w:line="169" w:lineRule="exact"/>
              <w:rPr>
                <w:sz w:val="20"/>
                <w:szCs w:val="20"/>
                <w:color w:val="auto"/>
              </w:rPr>
            </w:pPr>
            <w:r>
              <w:rPr>
                <w:rFonts w:ascii="Arial" w:cs="Arial" w:eastAsia="Arial" w:hAnsi="Arial"/>
                <w:sz w:val="15"/>
                <w:szCs w:val="15"/>
                <w:b w:val="1"/>
                <w:bCs w:val="1"/>
                <w:color w:val="auto"/>
              </w:rPr>
              <w:t>30.09.04</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spacing w:after="0" w:line="169" w:lineRule="exact"/>
              <w:rPr>
                <w:sz w:val="20"/>
                <w:szCs w:val="20"/>
                <w:color w:val="auto"/>
              </w:rPr>
            </w:pPr>
            <w:r>
              <w:rPr>
                <w:rFonts w:ascii="Arial" w:cs="Arial" w:eastAsia="Arial" w:hAnsi="Arial"/>
                <w:sz w:val="15"/>
                <w:szCs w:val="15"/>
                <w:b w:val="1"/>
                <w:bCs w:val="1"/>
                <w:color w:val="auto"/>
                <w:w w:val="92"/>
              </w:rPr>
              <w:t>30.09.05</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20" w:type="dxa"/>
            <w:vAlign w:val="bottom"/>
            <w:gridSpan w:val="6"/>
          </w:tcPr>
          <w:p>
            <w:pPr>
              <w:spacing w:after="0" w:line="160" w:lineRule="exact"/>
              <w:rPr>
                <w:sz w:val="20"/>
                <w:szCs w:val="20"/>
                <w:color w:val="auto"/>
              </w:rPr>
            </w:pPr>
            <w:r>
              <w:rPr>
                <w:rFonts w:ascii="Arial" w:cs="Arial" w:eastAsia="Arial" w:hAnsi="Arial"/>
                <w:sz w:val="15"/>
                <w:szCs w:val="15"/>
                <w:b w:val="1"/>
                <w:bCs w:val="1"/>
                <w:color w:val="auto"/>
              </w:rPr>
              <w:t>Interest income and expense</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Interest income</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111.039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133.836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139.189</w:t>
            </w: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321.692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jc w:val="right"/>
              <w:spacing w:after="0" w:line="162" w:lineRule="exact"/>
              <w:rPr>
                <w:sz w:val="20"/>
                <w:szCs w:val="20"/>
                <w:color w:val="auto"/>
              </w:rPr>
            </w:pPr>
            <w:r>
              <w:rPr>
                <w:rFonts w:ascii="Arial" w:cs="Arial" w:eastAsia="Arial" w:hAnsi="Arial"/>
                <w:sz w:val="15"/>
                <w:szCs w:val="15"/>
                <w:color w:val="auto"/>
                <w:w w:val="99"/>
              </w:rPr>
              <w:t>397.727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20" w:type="dxa"/>
            <w:vAlign w:val="bottom"/>
            <w:gridSpan w:val="6"/>
          </w:tcPr>
          <w:p>
            <w:pPr>
              <w:ind w:left="80"/>
              <w:spacing w:after="0" w:line="158" w:lineRule="exact"/>
              <w:rPr>
                <w:sz w:val="20"/>
                <w:szCs w:val="20"/>
                <w:color w:val="auto"/>
              </w:rPr>
            </w:pPr>
            <w:r>
              <w:rPr>
                <w:rFonts w:ascii="Arial" w:cs="Arial" w:eastAsia="Arial" w:hAnsi="Arial"/>
                <w:sz w:val="15"/>
                <w:szCs w:val="15"/>
                <w:color w:val="auto"/>
              </w:rPr>
              <w:t>Less - Interest expense</w:t>
            </w:r>
          </w:p>
        </w:tc>
        <w:tc>
          <w:tcPr>
            <w:tcW w:w="110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33.</w:t>
            </w:r>
            <w:r>
              <w:rPr>
                <w:rFonts w:ascii="Arial" w:cs="Arial" w:eastAsia="Arial" w:hAnsi="Arial"/>
                <w:sz w:val="15"/>
                <w:szCs w:val="15"/>
                <w:u w:val="single" w:color="auto"/>
                <w:color w:val="auto"/>
              </w:rPr>
              <w:t>250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42.</w:t>
            </w:r>
            <w:r>
              <w:rPr>
                <w:rFonts w:ascii="Arial" w:cs="Arial" w:eastAsia="Arial" w:hAnsi="Arial"/>
                <w:sz w:val="15"/>
                <w:szCs w:val="15"/>
                <w:u w:val="single" w:color="auto"/>
                <w:color w:val="auto"/>
              </w:rPr>
              <w:t>025</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39.</w:t>
            </w:r>
            <w:r>
              <w:rPr>
                <w:rFonts w:ascii="Arial" w:cs="Arial" w:eastAsia="Arial" w:hAnsi="Arial"/>
                <w:sz w:val="15"/>
                <w:szCs w:val="15"/>
                <w:u w:val="single" w:color="auto"/>
                <w:color w:val="auto"/>
              </w:rPr>
              <w:t>089</w:t>
            </w:r>
          </w:p>
        </w:tc>
        <w:tc>
          <w:tcPr>
            <w:tcW w:w="220" w:type="dxa"/>
            <w:vAlign w:val="bottom"/>
          </w:tcPr>
          <w:p>
            <w:pPr>
              <w:spacing w:after="0"/>
              <w:rPr>
                <w:sz w:val="13"/>
                <w:szCs w:val="13"/>
                <w:color w:val="auto"/>
              </w:rPr>
            </w:pPr>
          </w:p>
        </w:tc>
        <w:tc>
          <w:tcPr>
            <w:tcW w:w="110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93.</w:t>
            </w:r>
            <w:r>
              <w:rPr>
                <w:rFonts w:ascii="Arial" w:cs="Arial" w:eastAsia="Arial" w:hAnsi="Arial"/>
                <w:sz w:val="15"/>
                <w:szCs w:val="15"/>
                <w:u w:val="single" w:color="auto"/>
                <w:color w:val="auto"/>
              </w:rPr>
              <w:t>690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w w:val="99"/>
              </w:rPr>
              <w:t>114.</w:t>
            </w:r>
            <w:r>
              <w:rPr>
                <w:rFonts w:ascii="Arial" w:cs="Arial" w:eastAsia="Arial" w:hAnsi="Arial"/>
                <w:sz w:val="15"/>
                <w:szCs w:val="15"/>
                <w:u w:val="single" w:color="auto"/>
                <w:color w:val="auto"/>
                <w:w w:val="99"/>
              </w:rPr>
              <w:t>509</w:t>
            </w: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line="20" w:lineRule="exact"/>
              <w:rPr>
                <w:sz w:val="1"/>
                <w:szCs w:val="1"/>
                <w:color w:val="auto"/>
              </w:rPr>
            </w:pPr>
          </w:p>
        </w:tc>
        <w:tc>
          <w:tcPr>
            <w:tcW w:w="3600" w:type="dxa"/>
            <w:vAlign w:val="bottom"/>
            <w:gridSpan w:val="5"/>
            <w:vMerge w:val="restart"/>
          </w:tcPr>
          <w:p>
            <w:pPr>
              <w:jc w:val="center"/>
              <w:ind w:right="1480"/>
              <w:spacing w:after="0" w:line="162" w:lineRule="exact"/>
              <w:rPr>
                <w:sz w:val="20"/>
                <w:szCs w:val="20"/>
                <w:color w:val="auto"/>
              </w:rPr>
            </w:pPr>
            <w:r>
              <w:rPr>
                <w:rFonts w:ascii="Arial" w:cs="Arial" w:eastAsia="Arial" w:hAnsi="Arial"/>
                <w:sz w:val="15"/>
                <w:szCs w:val="15"/>
                <w:color w:val="auto"/>
                <w:w w:val="89"/>
              </w:rPr>
              <w:t>Net interest income</w:t>
            </w:r>
          </w:p>
        </w:tc>
        <w:tc>
          <w:tcPr>
            <w:tcW w:w="70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20" w:type="dxa"/>
            <w:vAlign w:val="bottom"/>
            <w:vMerge w:val="continue"/>
          </w:tcPr>
          <w:p>
            <w:pPr>
              <w:spacing w:after="0"/>
              <w:rPr>
                <w:sz w:val="12"/>
                <w:szCs w:val="12"/>
                <w:color w:val="auto"/>
              </w:rPr>
            </w:pPr>
          </w:p>
        </w:tc>
        <w:tc>
          <w:tcPr>
            <w:tcW w:w="3600" w:type="dxa"/>
            <w:vAlign w:val="bottom"/>
            <w:gridSpan w:val="5"/>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400" w:type="dxa"/>
            <w:vAlign w:val="bottom"/>
            <w:gridSpan w:val="3"/>
          </w:tcPr>
          <w:p>
            <w:pPr>
              <w:jc w:val="right"/>
              <w:spacing w:after="0" w:line="142" w:lineRule="exact"/>
              <w:rPr>
                <w:sz w:val="20"/>
                <w:szCs w:val="20"/>
                <w:color w:val="auto"/>
              </w:rPr>
            </w:pPr>
            <w:r>
              <w:rPr>
                <w:rFonts w:ascii="Arial" w:cs="Arial" w:eastAsia="Arial" w:hAnsi="Arial"/>
                <w:sz w:val="15"/>
                <w:szCs w:val="15"/>
                <w:color w:val="auto"/>
                <w:w w:val="82"/>
              </w:rPr>
              <w:t>77.</w:t>
            </w:r>
            <w:r>
              <w:rPr>
                <w:rFonts w:ascii="Arial" w:cs="Arial" w:eastAsia="Arial" w:hAnsi="Arial"/>
                <w:sz w:val="15"/>
                <w:szCs w:val="15"/>
                <w:u w:val="single" w:color="auto"/>
                <w:color w:val="auto"/>
                <w:w w:val="82"/>
              </w:rPr>
              <w:t>789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5"/>
                <w:szCs w:val="15"/>
                <w:color w:val="auto"/>
                <w:w w:val="82"/>
              </w:rPr>
              <w:t>91.</w:t>
            </w:r>
            <w:r>
              <w:rPr>
                <w:rFonts w:ascii="Arial" w:cs="Arial" w:eastAsia="Arial" w:hAnsi="Arial"/>
                <w:sz w:val="15"/>
                <w:szCs w:val="15"/>
                <w:u w:val="single" w:color="auto"/>
                <w:color w:val="auto"/>
                <w:w w:val="82"/>
              </w:rPr>
              <w:t>811</w:t>
            </w:r>
          </w:p>
        </w:tc>
        <w:tc>
          <w:tcPr>
            <w:tcW w:w="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100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4"/>
          </w:tcPr>
          <w:p>
            <w:pPr>
              <w:jc w:val="right"/>
              <w:spacing w:after="0" w:line="142" w:lineRule="exact"/>
              <w:rPr>
                <w:sz w:val="20"/>
                <w:szCs w:val="20"/>
                <w:color w:val="auto"/>
              </w:rPr>
            </w:pPr>
            <w:r>
              <w:rPr>
                <w:rFonts w:ascii="Arial" w:cs="Arial" w:eastAsia="Arial" w:hAnsi="Arial"/>
                <w:sz w:val="15"/>
                <w:szCs w:val="15"/>
                <w:color w:val="auto"/>
              </w:rPr>
              <w:t>228.</w:t>
            </w:r>
            <w:r>
              <w:rPr>
                <w:rFonts w:ascii="Arial" w:cs="Arial" w:eastAsia="Arial" w:hAnsi="Arial"/>
                <w:sz w:val="15"/>
                <w:szCs w:val="15"/>
                <w:u w:val="single" w:color="auto"/>
                <w:color w:val="auto"/>
              </w:rPr>
              <w:t>002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Arial" w:cs="Arial" w:eastAsia="Arial" w:hAnsi="Arial"/>
                <w:sz w:val="15"/>
                <w:szCs w:val="15"/>
                <w:color w:val="auto"/>
                <w:w w:val="99"/>
              </w:rPr>
              <w:t>283.</w:t>
            </w:r>
            <w:r>
              <w:rPr>
                <w:rFonts w:ascii="Arial" w:cs="Arial" w:eastAsia="Arial" w:hAnsi="Arial"/>
                <w:sz w:val="15"/>
                <w:szCs w:val="15"/>
                <w:u w:val="single" w:color="auto"/>
                <w:color w:val="auto"/>
                <w:w w:val="99"/>
              </w:rPr>
              <w:t>218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right w:val="single" w:sz="8" w:color="auto"/>
            </w:tcBorders>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820" w:type="dxa"/>
            <w:vAlign w:val="bottom"/>
            <w:gridSpan w:val="6"/>
          </w:tcPr>
          <w:p>
            <w:pPr>
              <w:spacing w:after="0"/>
              <w:rPr>
                <w:sz w:val="20"/>
                <w:szCs w:val="20"/>
                <w:color w:val="auto"/>
              </w:rPr>
            </w:pPr>
            <w:r>
              <w:rPr>
                <w:rFonts w:ascii="Arial" w:cs="Arial" w:eastAsia="Arial" w:hAnsi="Arial"/>
                <w:sz w:val="15"/>
                <w:szCs w:val="15"/>
                <w:color w:val="auto"/>
              </w:rPr>
              <w:t>Provisions for possible loan losses, net(2)</w:t>
            </w:r>
          </w:p>
        </w:tc>
        <w:tc>
          <w:tcPr>
            <w:tcW w:w="1100" w:type="dxa"/>
            <w:vAlign w:val="bottom"/>
            <w:gridSpan w:val="4"/>
          </w:tcPr>
          <w:p>
            <w:pPr>
              <w:jc w:val="right"/>
              <w:spacing w:after="0"/>
              <w:rPr>
                <w:sz w:val="20"/>
                <w:szCs w:val="20"/>
                <w:color w:val="auto"/>
              </w:rPr>
            </w:pPr>
            <w:r>
              <w:rPr>
                <w:rFonts w:ascii="Arial" w:cs="Arial" w:eastAsia="Arial" w:hAnsi="Arial"/>
                <w:sz w:val="15"/>
                <w:szCs w:val="15"/>
                <w:color w:val="auto"/>
              </w:rPr>
              <w:t>1.824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15"/>
                <w:szCs w:val="15"/>
                <w:color w:val="auto"/>
              </w:rPr>
              <w:t>0.913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5"/>
          </w:tcPr>
          <w:p>
            <w:pPr>
              <w:jc w:val="right"/>
              <w:ind w:right="220"/>
              <w:spacing w:after="0"/>
              <w:rPr>
                <w:sz w:val="20"/>
                <w:szCs w:val="20"/>
                <w:color w:val="auto"/>
              </w:rPr>
            </w:pPr>
            <w:r>
              <w:rPr>
                <w:rFonts w:ascii="Arial" w:cs="Arial" w:eastAsia="Arial" w:hAnsi="Arial"/>
                <w:sz w:val="15"/>
                <w:szCs w:val="15"/>
                <w:color w:val="auto"/>
              </w:rPr>
              <w:t>(2.977)</w:t>
            </w:r>
          </w:p>
        </w:tc>
        <w:tc>
          <w:tcPr>
            <w:tcW w:w="1100" w:type="dxa"/>
            <w:vAlign w:val="bottom"/>
            <w:gridSpan w:val="4"/>
          </w:tcPr>
          <w:p>
            <w:pPr>
              <w:jc w:val="right"/>
              <w:spacing w:after="0"/>
              <w:rPr>
                <w:sz w:val="20"/>
                <w:szCs w:val="20"/>
                <w:color w:val="auto"/>
              </w:rPr>
            </w:pPr>
            <w:r>
              <w:rPr>
                <w:rFonts w:ascii="Arial" w:cs="Arial" w:eastAsia="Arial" w:hAnsi="Arial"/>
                <w:sz w:val="15"/>
                <w:szCs w:val="15"/>
                <w:color w:val="auto"/>
              </w:rPr>
              <w:t>8.854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5"/>
                <w:szCs w:val="15"/>
                <w:color w:val="auto"/>
              </w:rPr>
              <w:t>(5.189)</w:t>
            </w:r>
          </w:p>
        </w:tc>
        <w:tc>
          <w:tcPr>
            <w:tcW w:w="0" w:type="dxa"/>
            <w:vAlign w:val="bottom"/>
          </w:tcPr>
          <w:p>
            <w:pPr>
              <w:spacing w:after="0"/>
              <w:rPr>
                <w:sz w:val="1"/>
                <w:szCs w:val="1"/>
                <w:color w:val="auto"/>
              </w:rPr>
            </w:pPr>
          </w:p>
        </w:tc>
      </w:tr>
      <w:tr>
        <w:trPr>
          <w:trHeight w:val="294"/>
        </w:trPr>
        <w:tc>
          <w:tcPr>
            <w:tcW w:w="4820" w:type="dxa"/>
            <w:vAlign w:val="bottom"/>
            <w:gridSpan w:val="6"/>
          </w:tcPr>
          <w:p>
            <w:pPr>
              <w:jc w:val="center"/>
              <w:ind w:right="260"/>
              <w:spacing w:after="0"/>
              <w:rPr>
                <w:sz w:val="20"/>
                <w:szCs w:val="20"/>
                <w:color w:val="auto"/>
              </w:rPr>
            </w:pPr>
            <w:r>
              <w:rPr>
                <w:rFonts w:ascii="Arial" w:cs="Arial" w:eastAsia="Arial" w:hAnsi="Arial"/>
                <w:sz w:val="15"/>
                <w:szCs w:val="15"/>
                <w:color w:val="auto"/>
                <w:w w:val="90"/>
              </w:rPr>
              <w:t>Net interest income after provisions</w:t>
            </w:r>
          </w:p>
        </w:tc>
        <w:tc>
          <w:tcPr>
            <w:tcW w:w="1100" w:type="dxa"/>
            <w:vAlign w:val="bottom"/>
            <w:gridSpan w:val="4"/>
          </w:tcPr>
          <w:p>
            <w:pPr>
              <w:jc w:val="right"/>
              <w:spacing w:after="0"/>
              <w:rPr>
                <w:sz w:val="20"/>
                <w:szCs w:val="20"/>
                <w:color w:val="auto"/>
              </w:rPr>
            </w:pPr>
            <w:r>
              <w:rPr>
                <w:rFonts w:ascii="Arial" w:cs="Arial" w:eastAsia="Arial" w:hAnsi="Arial"/>
                <w:sz w:val="15"/>
                <w:szCs w:val="15"/>
                <w:color w:val="auto"/>
              </w:rPr>
              <w:t>75.</w:t>
            </w:r>
            <w:r>
              <w:rPr>
                <w:rFonts w:ascii="Arial" w:cs="Arial" w:eastAsia="Arial" w:hAnsi="Arial"/>
                <w:sz w:val="15"/>
                <w:szCs w:val="15"/>
                <w:u w:val="single" w:color="auto"/>
                <w:color w:val="auto"/>
              </w:rPr>
              <w:t>965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15"/>
                <w:szCs w:val="15"/>
                <w:color w:val="auto"/>
              </w:rPr>
              <w:t>90.</w:t>
            </w:r>
            <w:r>
              <w:rPr>
                <w:rFonts w:ascii="Arial" w:cs="Arial" w:eastAsia="Arial" w:hAnsi="Arial"/>
                <w:sz w:val="15"/>
                <w:szCs w:val="15"/>
                <w:u w:val="single" w:color="auto"/>
                <w:color w:val="auto"/>
              </w:rPr>
              <w:t>898</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5"/>
                <w:szCs w:val="15"/>
                <w:color w:val="auto"/>
              </w:rPr>
              <w:t>103.</w:t>
            </w:r>
            <w:r>
              <w:rPr>
                <w:rFonts w:ascii="Arial" w:cs="Arial" w:eastAsia="Arial" w:hAnsi="Arial"/>
                <w:sz w:val="15"/>
                <w:szCs w:val="15"/>
                <w:u w:val="single" w:color="auto"/>
                <w:color w:val="auto"/>
              </w:rPr>
              <w:t>077</w:t>
            </w:r>
          </w:p>
        </w:tc>
        <w:tc>
          <w:tcPr>
            <w:tcW w:w="22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5"/>
                <w:szCs w:val="15"/>
                <w:color w:val="auto"/>
              </w:rPr>
              <w:t>219.</w:t>
            </w:r>
            <w:r>
              <w:rPr>
                <w:rFonts w:ascii="Arial" w:cs="Arial" w:eastAsia="Arial" w:hAnsi="Arial"/>
                <w:sz w:val="15"/>
                <w:szCs w:val="15"/>
                <w:u w:val="single" w:color="auto"/>
                <w:color w:val="auto"/>
              </w:rPr>
              <w:t>148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5"/>
                <w:szCs w:val="15"/>
                <w:color w:val="auto"/>
                <w:w w:val="99"/>
              </w:rPr>
              <w:t>288.</w:t>
            </w:r>
            <w:r>
              <w:rPr>
                <w:rFonts w:ascii="Arial" w:cs="Arial" w:eastAsia="Arial" w:hAnsi="Arial"/>
                <w:sz w:val="15"/>
                <w:szCs w:val="15"/>
                <w:u w:val="single" w:color="auto"/>
                <w:color w:val="auto"/>
                <w:w w:val="99"/>
              </w:rPr>
              <w:t>407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220" w:type="dxa"/>
            <w:vAlign w:val="bottom"/>
          </w:tcPr>
          <w:p>
            <w:pPr>
              <w:spacing w:after="0"/>
              <w:rPr>
                <w:sz w:val="20"/>
                <w:szCs w:val="20"/>
                <w:color w:val="auto"/>
              </w:rPr>
            </w:pPr>
            <w:r>
              <w:rPr>
                <w:rFonts w:ascii="Arial" w:cs="Arial" w:eastAsia="Arial" w:hAnsi="Arial"/>
                <w:sz w:val="15"/>
                <w:szCs w:val="15"/>
                <w:b w:val="1"/>
                <w:bCs w:val="1"/>
                <w:color w:val="auto"/>
              </w:rPr>
              <w:t>Other Income</w:t>
            </w:r>
          </w:p>
        </w:tc>
        <w:tc>
          <w:tcPr>
            <w:tcW w:w="2120" w:type="dxa"/>
            <w:vAlign w:val="bottom"/>
            <w:tcBorders>
              <w:top w:val="single" w:sz="8" w:color="auto"/>
            </w:tcBorders>
            <w:gridSpan w:val="3"/>
          </w:tcPr>
          <w:p>
            <w:pPr>
              <w:spacing w:after="0"/>
              <w:rPr>
                <w:sz w:val="24"/>
                <w:szCs w:val="24"/>
                <w:color w:val="auto"/>
              </w:rPr>
            </w:pPr>
          </w:p>
        </w:tc>
        <w:tc>
          <w:tcPr>
            <w:tcW w:w="148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Fees and commissions from services</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49.716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52.532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53.489</w:t>
            </w: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142.054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jc w:val="right"/>
              <w:spacing w:after="0" w:line="162" w:lineRule="exact"/>
              <w:rPr>
                <w:sz w:val="20"/>
                <w:szCs w:val="20"/>
                <w:color w:val="auto"/>
              </w:rPr>
            </w:pPr>
            <w:r>
              <w:rPr>
                <w:rFonts w:ascii="Arial" w:cs="Arial" w:eastAsia="Arial" w:hAnsi="Arial"/>
                <w:sz w:val="15"/>
                <w:szCs w:val="15"/>
                <w:color w:val="auto"/>
                <w:w w:val="99"/>
              </w:rPr>
              <w:t>154.746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Net gains from sales of securities</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1.591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0.135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4.796</w:t>
            </w: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0.155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6.056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Net gains on foreing exchg. transacts.</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6.432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right"/>
              <w:ind w:right="40"/>
              <w:spacing w:after="0" w:line="162" w:lineRule="exact"/>
              <w:rPr>
                <w:sz w:val="20"/>
                <w:szCs w:val="20"/>
                <w:color w:val="auto"/>
              </w:rPr>
            </w:pPr>
            <w:r>
              <w:rPr>
                <w:rFonts w:ascii="Arial" w:cs="Arial" w:eastAsia="Arial" w:hAnsi="Arial"/>
                <w:sz w:val="15"/>
                <w:szCs w:val="15"/>
                <w:color w:val="auto"/>
              </w:rPr>
              <w:t>7.113</w:t>
            </w: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7.636</w:t>
            </w: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17.044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20.979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20" w:type="dxa"/>
            <w:vAlign w:val="bottom"/>
            <w:gridSpan w:val="6"/>
          </w:tcPr>
          <w:p>
            <w:pPr>
              <w:ind w:left="80"/>
              <w:spacing w:after="0" w:line="158" w:lineRule="exact"/>
              <w:rPr>
                <w:sz w:val="20"/>
                <w:szCs w:val="20"/>
                <w:color w:val="auto"/>
              </w:rPr>
            </w:pPr>
            <w:r>
              <w:rPr>
                <w:rFonts w:ascii="Arial" w:cs="Arial" w:eastAsia="Arial" w:hAnsi="Arial"/>
                <w:sz w:val="15"/>
                <w:szCs w:val="15"/>
                <w:color w:val="auto"/>
              </w:rPr>
              <w:t>Other income(2)</w:t>
            </w:r>
          </w:p>
        </w:tc>
        <w:tc>
          <w:tcPr>
            <w:tcW w:w="110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1.</w:t>
            </w:r>
            <w:r>
              <w:rPr>
                <w:rFonts w:ascii="Arial" w:cs="Arial" w:eastAsia="Arial" w:hAnsi="Arial"/>
                <w:sz w:val="15"/>
                <w:szCs w:val="15"/>
                <w:u w:val="single" w:color="auto"/>
                <w:color w:val="auto"/>
              </w:rPr>
              <w:t>506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1.</w:t>
            </w:r>
            <w:r>
              <w:rPr>
                <w:rFonts w:ascii="Arial" w:cs="Arial" w:eastAsia="Arial" w:hAnsi="Arial"/>
                <w:sz w:val="15"/>
                <w:szCs w:val="15"/>
                <w:u w:val="single" w:color="auto"/>
                <w:color w:val="auto"/>
              </w:rPr>
              <w:t>490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4.</w:t>
            </w:r>
            <w:r>
              <w:rPr>
                <w:rFonts w:ascii="Arial" w:cs="Arial" w:eastAsia="Arial" w:hAnsi="Arial"/>
                <w:sz w:val="15"/>
                <w:szCs w:val="15"/>
                <w:u w:val="single" w:color="auto"/>
                <w:color w:val="auto"/>
              </w:rPr>
              <w:t>639</w:t>
            </w:r>
          </w:p>
        </w:tc>
        <w:tc>
          <w:tcPr>
            <w:tcW w:w="220" w:type="dxa"/>
            <w:vAlign w:val="bottom"/>
          </w:tcPr>
          <w:p>
            <w:pPr>
              <w:spacing w:after="0"/>
              <w:rPr>
                <w:sz w:val="13"/>
                <w:szCs w:val="13"/>
                <w:color w:val="auto"/>
              </w:rPr>
            </w:pPr>
          </w:p>
        </w:tc>
        <w:tc>
          <w:tcPr>
            <w:tcW w:w="110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4.</w:t>
            </w:r>
            <w:r>
              <w:rPr>
                <w:rFonts w:ascii="Arial" w:cs="Arial" w:eastAsia="Arial" w:hAnsi="Arial"/>
                <w:sz w:val="15"/>
                <w:szCs w:val="15"/>
                <w:u w:val="single" w:color="auto"/>
                <w:color w:val="auto"/>
              </w:rPr>
              <w:t>678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9.</w:t>
            </w:r>
            <w:r>
              <w:rPr>
                <w:rFonts w:ascii="Arial" w:cs="Arial" w:eastAsia="Arial" w:hAnsi="Arial"/>
                <w:sz w:val="15"/>
                <w:szCs w:val="15"/>
                <w:u w:val="single" w:color="auto"/>
                <w:color w:val="auto"/>
              </w:rPr>
              <w:t>429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4"/>
          </w:tcPr>
          <w:p>
            <w:pPr>
              <w:jc w:val="right"/>
              <w:spacing w:after="0" w:line="142" w:lineRule="exact"/>
              <w:rPr>
                <w:sz w:val="20"/>
                <w:szCs w:val="20"/>
                <w:color w:val="auto"/>
              </w:rPr>
            </w:pPr>
            <w:r>
              <w:rPr>
                <w:rFonts w:ascii="Arial" w:cs="Arial" w:eastAsia="Arial" w:hAnsi="Arial"/>
                <w:sz w:val="15"/>
                <w:szCs w:val="15"/>
                <w:color w:val="auto"/>
              </w:rPr>
              <w:t>59.</w:t>
            </w:r>
            <w:r>
              <w:rPr>
                <w:rFonts w:ascii="Arial" w:cs="Arial" w:eastAsia="Arial" w:hAnsi="Arial"/>
                <w:sz w:val="15"/>
                <w:szCs w:val="15"/>
                <w:u w:val="single" w:color="auto"/>
                <w:color w:val="auto"/>
              </w:rPr>
              <w:t>245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right"/>
              <w:spacing w:after="0" w:line="142" w:lineRule="exact"/>
              <w:rPr>
                <w:sz w:val="20"/>
                <w:szCs w:val="20"/>
                <w:color w:val="auto"/>
              </w:rPr>
            </w:pPr>
            <w:r>
              <w:rPr>
                <w:rFonts w:ascii="Arial" w:cs="Arial" w:eastAsia="Arial" w:hAnsi="Arial"/>
                <w:sz w:val="15"/>
                <w:szCs w:val="15"/>
                <w:color w:val="auto"/>
              </w:rPr>
              <w:t>61.</w:t>
            </w:r>
            <w:r>
              <w:rPr>
                <w:rFonts w:ascii="Arial" w:cs="Arial" w:eastAsia="Arial" w:hAnsi="Arial"/>
                <w:sz w:val="15"/>
                <w:szCs w:val="15"/>
                <w:u w:val="single" w:color="auto"/>
                <w:color w:val="auto"/>
              </w:rPr>
              <w:t>270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right"/>
              <w:ind w:right="40"/>
              <w:spacing w:after="0" w:line="142" w:lineRule="exact"/>
              <w:rPr>
                <w:sz w:val="20"/>
                <w:szCs w:val="20"/>
                <w:color w:val="auto"/>
              </w:rPr>
            </w:pPr>
            <w:r>
              <w:rPr>
                <w:rFonts w:ascii="Arial" w:cs="Arial" w:eastAsia="Arial" w:hAnsi="Arial"/>
                <w:sz w:val="15"/>
                <w:szCs w:val="15"/>
                <w:color w:val="auto"/>
              </w:rPr>
              <w:t>70.</w:t>
            </w:r>
            <w:r>
              <w:rPr>
                <w:rFonts w:ascii="Arial" w:cs="Arial" w:eastAsia="Arial" w:hAnsi="Arial"/>
                <w:sz w:val="15"/>
                <w:szCs w:val="15"/>
                <w:u w:val="single" w:color="auto"/>
                <w:color w:val="auto"/>
              </w:rPr>
              <w:t>560</w:t>
            </w:r>
          </w:p>
        </w:tc>
        <w:tc>
          <w:tcPr>
            <w:tcW w:w="220" w:type="dxa"/>
            <w:vAlign w:val="bottom"/>
          </w:tcPr>
          <w:p>
            <w:pPr>
              <w:spacing w:after="0"/>
              <w:rPr>
                <w:sz w:val="12"/>
                <w:szCs w:val="12"/>
                <w:color w:val="auto"/>
              </w:rPr>
            </w:pPr>
          </w:p>
        </w:tc>
        <w:tc>
          <w:tcPr>
            <w:tcW w:w="1100" w:type="dxa"/>
            <w:vAlign w:val="bottom"/>
            <w:gridSpan w:val="4"/>
          </w:tcPr>
          <w:p>
            <w:pPr>
              <w:jc w:val="right"/>
              <w:spacing w:after="0" w:line="142" w:lineRule="exact"/>
              <w:rPr>
                <w:sz w:val="20"/>
                <w:szCs w:val="20"/>
                <w:color w:val="auto"/>
              </w:rPr>
            </w:pPr>
            <w:r>
              <w:rPr>
                <w:rFonts w:ascii="Arial" w:cs="Arial" w:eastAsia="Arial" w:hAnsi="Arial"/>
                <w:sz w:val="15"/>
                <w:szCs w:val="15"/>
                <w:color w:val="auto"/>
              </w:rPr>
              <w:t>163.</w:t>
            </w:r>
            <w:r>
              <w:rPr>
                <w:rFonts w:ascii="Arial" w:cs="Arial" w:eastAsia="Arial" w:hAnsi="Arial"/>
                <w:sz w:val="15"/>
                <w:szCs w:val="15"/>
                <w:u w:val="single" w:color="auto"/>
                <w:color w:val="auto"/>
              </w:rPr>
              <w:t>931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Arial" w:cs="Arial" w:eastAsia="Arial" w:hAnsi="Arial"/>
                <w:sz w:val="15"/>
                <w:szCs w:val="15"/>
                <w:color w:val="auto"/>
                <w:w w:val="99"/>
              </w:rPr>
              <w:t>191.</w:t>
            </w:r>
            <w:r>
              <w:rPr>
                <w:rFonts w:ascii="Arial" w:cs="Arial" w:eastAsia="Arial" w:hAnsi="Arial"/>
                <w:sz w:val="15"/>
                <w:szCs w:val="15"/>
                <w:u w:val="single" w:color="auto"/>
                <w:color w:val="auto"/>
                <w:w w:val="99"/>
              </w:rPr>
              <w:t>210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4820" w:type="dxa"/>
            <w:vAlign w:val="bottom"/>
            <w:gridSpan w:val="6"/>
          </w:tcPr>
          <w:p>
            <w:pPr>
              <w:spacing w:after="0"/>
              <w:rPr>
                <w:sz w:val="20"/>
                <w:szCs w:val="20"/>
                <w:color w:val="auto"/>
              </w:rPr>
            </w:pPr>
            <w:r>
              <w:rPr>
                <w:rFonts w:ascii="Arial" w:cs="Arial" w:eastAsia="Arial" w:hAnsi="Arial"/>
                <w:sz w:val="15"/>
                <w:szCs w:val="15"/>
                <w:b w:val="1"/>
                <w:bCs w:val="1"/>
                <w:color w:val="auto"/>
              </w:rPr>
              <w:t>Other Expenses</w:t>
            </w:r>
          </w:p>
        </w:tc>
        <w:tc>
          <w:tcPr>
            <w:tcW w:w="7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Salaries and employee benefits</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36.504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39.760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37.907</w:t>
            </w: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107.281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w w:val="99"/>
              </w:rPr>
              <w:t>116.500</w:t>
            </w:r>
          </w:p>
        </w:tc>
        <w:tc>
          <w:tcPr>
            <w:tcW w:w="0" w:type="dxa"/>
            <w:vAlign w:val="bottom"/>
          </w:tcPr>
          <w:p>
            <w:pPr>
              <w:spacing w:after="0"/>
              <w:rPr>
                <w:sz w:val="1"/>
                <w:szCs w:val="1"/>
                <w:color w:val="auto"/>
              </w:rPr>
            </w:pPr>
          </w:p>
        </w:tc>
      </w:tr>
      <w:tr>
        <w:trPr>
          <w:trHeight w:val="162"/>
        </w:trPr>
        <w:tc>
          <w:tcPr>
            <w:tcW w:w="482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General and administrative</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28.541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26.733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30.033</w:t>
            </w: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85.174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85.277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Depreciation and amortization</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9.631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8.484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8.777</w:t>
            </w: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29.146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26.713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Taxes other than income tax</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3.046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3.452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3.040</w:t>
            </w: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10.229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9.738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Other</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12.852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15.582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19.418</w:t>
            </w: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29.000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43.789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20" w:type="dxa"/>
            <w:vAlign w:val="bottom"/>
            <w:gridSpan w:val="6"/>
          </w:tcPr>
          <w:p>
            <w:pPr>
              <w:ind w:left="80"/>
              <w:spacing w:after="0" w:line="158" w:lineRule="exact"/>
              <w:rPr>
                <w:sz w:val="20"/>
                <w:szCs w:val="20"/>
                <w:color w:val="auto"/>
              </w:rPr>
            </w:pPr>
            <w:r>
              <w:rPr>
                <w:rFonts w:ascii="Arial" w:cs="Arial" w:eastAsia="Arial" w:hAnsi="Arial"/>
                <w:sz w:val="15"/>
                <w:szCs w:val="15"/>
                <w:color w:val="auto"/>
              </w:rPr>
              <w:t>Merger costs</w:t>
            </w:r>
          </w:p>
        </w:tc>
        <w:tc>
          <w:tcPr>
            <w:tcW w:w="110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0.</w:t>
            </w:r>
            <w:r>
              <w:rPr>
                <w:rFonts w:ascii="Arial" w:cs="Arial" w:eastAsia="Arial" w:hAnsi="Arial"/>
                <w:sz w:val="15"/>
                <w:szCs w:val="15"/>
                <w:u w:val="single" w:color="auto"/>
                <w:color w:val="auto"/>
              </w:rPr>
              <w:t>538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0.</w:t>
            </w:r>
            <w:r>
              <w:rPr>
                <w:rFonts w:ascii="Arial" w:cs="Arial" w:eastAsia="Arial" w:hAnsi="Arial"/>
                <w:sz w:val="15"/>
                <w:szCs w:val="15"/>
                <w:u w:val="single" w:color="auto"/>
                <w:color w:val="auto"/>
              </w:rPr>
              <w:t>000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0.</w:t>
            </w:r>
            <w:r>
              <w:rPr>
                <w:rFonts w:ascii="Arial" w:cs="Arial" w:eastAsia="Arial" w:hAnsi="Arial"/>
                <w:sz w:val="15"/>
                <w:szCs w:val="15"/>
                <w:u w:val="single" w:color="auto"/>
                <w:color w:val="auto"/>
              </w:rPr>
              <w:t>000</w:t>
            </w:r>
          </w:p>
        </w:tc>
        <w:tc>
          <w:tcPr>
            <w:tcW w:w="220" w:type="dxa"/>
            <w:vAlign w:val="bottom"/>
          </w:tcPr>
          <w:p>
            <w:pPr>
              <w:spacing w:after="0"/>
              <w:rPr>
                <w:sz w:val="13"/>
                <w:szCs w:val="13"/>
                <w:color w:val="auto"/>
              </w:rPr>
            </w:pPr>
          </w:p>
        </w:tc>
        <w:tc>
          <w:tcPr>
            <w:tcW w:w="1100" w:type="dxa"/>
            <w:vAlign w:val="bottom"/>
            <w:gridSpan w:val="4"/>
          </w:tcPr>
          <w:p>
            <w:pPr>
              <w:jc w:val="right"/>
              <w:spacing w:after="0" w:line="158" w:lineRule="exact"/>
              <w:rPr>
                <w:sz w:val="20"/>
                <w:szCs w:val="20"/>
                <w:color w:val="auto"/>
              </w:rPr>
            </w:pPr>
            <w:r>
              <w:rPr>
                <w:rFonts w:ascii="Arial" w:cs="Arial" w:eastAsia="Arial" w:hAnsi="Arial"/>
                <w:sz w:val="15"/>
                <w:szCs w:val="15"/>
                <w:color w:val="auto"/>
              </w:rPr>
              <w:t>3.</w:t>
            </w:r>
            <w:r>
              <w:rPr>
                <w:rFonts w:ascii="Arial" w:cs="Arial" w:eastAsia="Arial" w:hAnsi="Arial"/>
                <w:sz w:val="15"/>
                <w:szCs w:val="15"/>
                <w:u w:val="single" w:color="auto"/>
                <w:color w:val="auto"/>
              </w:rPr>
              <w:t>742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gridSpan w:val="3"/>
          </w:tcPr>
          <w:p>
            <w:pPr>
              <w:jc w:val="right"/>
              <w:spacing w:after="0" w:line="158" w:lineRule="exact"/>
              <w:rPr>
                <w:sz w:val="20"/>
                <w:szCs w:val="20"/>
                <w:color w:val="auto"/>
              </w:rPr>
            </w:pPr>
            <w:r>
              <w:rPr>
                <w:rFonts w:ascii="Arial" w:cs="Arial" w:eastAsia="Arial" w:hAnsi="Arial"/>
                <w:sz w:val="15"/>
                <w:szCs w:val="15"/>
                <w:color w:val="auto"/>
              </w:rPr>
              <w:t>0.</w:t>
            </w:r>
            <w:r>
              <w:rPr>
                <w:rFonts w:ascii="Arial" w:cs="Arial" w:eastAsia="Arial" w:hAnsi="Arial"/>
                <w:sz w:val="15"/>
                <w:szCs w:val="15"/>
                <w:u w:val="single" w:color="auto"/>
                <w:color w:val="auto"/>
              </w:rPr>
              <w:t>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4"/>
          </w:tcPr>
          <w:p>
            <w:pPr>
              <w:jc w:val="right"/>
              <w:spacing w:after="0" w:line="142" w:lineRule="exact"/>
              <w:rPr>
                <w:sz w:val="20"/>
                <w:szCs w:val="20"/>
                <w:color w:val="auto"/>
              </w:rPr>
            </w:pPr>
            <w:r>
              <w:rPr>
                <w:rFonts w:ascii="Arial" w:cs="Arial" w:eastAsia="Arial" w:hAnsi="Arial"/>
                <w:sz w:val="15"/>
                <w:szCs w:val="15"/>
                <w:color w:val="auto"/>
              </w:rPr>
              <w:t>91.</w:t>
            </w:r>
            <w:r>
              <w:rPr>
                <w:rFonts w:ascii="Arial" w:cs="Arial" w:eastAsia="Arial" w:hAnsi="Arial"/>
                <w:sz w:val="15"/>
                <w:szCs w:val="15"/>
                <w:u w:val="single" w:color="auto"/>
                <w:color w:val="auto"/>
              </w:rPr>
              <w:t>112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right"/>
              <w:spacing w:after="0" w:line="142" w:lineRule="exact"/>
              <w:rPr>
                <w:sz w:val="20"/>
                <w:szCs w:val="20"/>
                <w:color w:val="auto"/>
              </w:rPr>
            </w:pPr>
            <w:r>
              <w:rPr>
                <w:rFonts w:ascii="Arial" w:cs="Arial" w:eastAsia="Arial" w:hAnsi="Arial"/>
                <w:sz w:val="15"/>
                <w:szCs w:val="15"/>
                <w:color w:val="auto"/>
              </w:rPr>
              <w:t>94.</w:t>
            </w:r>
            <w:r>
              <w:rPr>
                <w:rFonts w:ascii="Arial" w:cs="Arial" w:eastAsia="Arial" w:hAnsi="Arial"/>
                <w:sz w:val="15"/>
                <w:szCs w:val="15"/>
                <w:u w:val="single" w:color="auto"/>
                <w:color w:val="auto"/>
              </w:rPr>
              <w:t>011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right"/>
              <w:ind w:right="40"/>
              <w:spacing w:after="0" w:line="142" w:lineRule="exact"/>
              <w:rPr>
                <w:sz w:val="20"/>
                <w:szCs w:val="20"/>
                <w:color w:val="auto"/>
              </w:rPr>
            </w:pPr>
            <w:r>
              <w:rPr>
                <w:rFonts w:ascii="Arial" w:cs="Arial" w:eastAsia="Arial" w:hAnsi="Arial"/>
                <w:sz w:val="15"/>
                <w:szCs w:val="15"/>
                <w:color w:val="auto"/>
              </w:rPr>
              <w:t>99.</w:t>
            </w:r>
            <w:r>
              <w:rPr>
                <w:rFonts w:ascii="Arial" w:cs="Arial" w:eastAsia="Arial" w:hAnsi="Arial"/>
                <w:sz w:val="15"/>
                <w:szCs w:val="15"/>
                <w:u w:val="single" w:color="auto"/>
                <w:color w:val="auto"/>
              </w:rPr>
              <w:t>175</w:t>
            </w:r>
          </w:p>
        </w:tc>
        <w:tc>
          <w:tcPr>
            <w:tcW w:w="220" w:type="dxa"/>
            <w:vAlign w:val="bottom"/>
          </w:tcPr>
          <w:p>
            <w:pPr>
              <w:spacing w:after="0"/>
              <w:rPr>
                <w:sz w:val="12"/>
                <w:szCs w:val="12"/>
                <w:color w:val="auto"/>
              </w:rPr>
            </w:pPr>
          </w:p>
        </w:tc>
        <w:tc>
          <w:tcPr>
            <w:tcW w:w="1100" w:type="dxa"/>
            <w:vAlign w:val="bottom"/>
            <w:gridSpan w:val="4"/>
          </w:tcPr>
          <w:p>
            <w:pPr>
              <w:jc w:val="right"/>
              <w:spacing w:after="0" w:line="142" w:lineRule="exact"/>
              <w:rPr>
                <w:sz w:val="20"/>
                <w:szCs w:val="20"/>
                <w:color w:val="auto"/>
              </w:rPr>
            </w:pPr>
            <w:r>
              <w:rPr>
                <w:rFonts w:ascii="Arial" w:cs="Arial" w:eastAsia="Arial" w:hAnsi="Arial"/>
                <w:sz w:val="15"/>
                <w:szCs w:val="15"/>
                <w:color w:val="auto"/>
              </w:rPr>
              <w:t>264.</w:t>
            </w:r>
            <w:r>
              <w:rPr>
                <w:rFonts w:ascii="Arial" w:cs="Arial" w:eastAsia="Arial" w:hAnsi="Arial"/>
                <w:sz w:val="15"/>
                <w:szCs w:val="15"/>
                <w:u w:val="single" w:color="auto"/>
                <w:color w:val="auto"/>
              </w:rPr>
              <w:t>572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Arial" w:cs="Arial" w:eastAsia="Arial" w:hAnsi="Arial"/>
                <w:sz w:val="15"/>
                <w:szCs w:val="15"/>
                <w:color w:val="auto"/>
                <w:w w:val="99"/>
              </w:rPr>
              <w:t>282.</w:t>
            </w:r>
            <w:r>
              <w:rPr>
                <w:rFonts w:ascii="Arial" w:cs="Arial" w:eastAsia="Arial" w:hAnsi="Arial"/>
                <w:sz w:val="15"/>
                <w:szCs w:val="15"/>
                <w:u w:val="single" w:color="auto"/>
                <w:color w:val="auto"/>
                <w:w w:val="99"/>
              </w:rPr>
              <w:t>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gridSpan w:val="6"/>
            <w:vMerge w:val="restart"/>
          </w:tcPr>
          <w:p>
            <w:pPr>
              <w:ind w:left="120"/>
              <w:spacing w:after="0"/>
              <w:rPr>
                <w:sz w:val="20"/>
                <w:szCs w:val="20"/>
                <w:color w:val="auto"/>
              </w:rPr>
            </w:pPr>
            <w:r>
              <w:rPr>
                <w:rFonts w:ascii="Arial" w:cs="Arial" w:eastAsia="Arial" w:hAnsi="Arial"/>
                <w:sz w:val="15"/>
                <w:szCs w:val="15"/>
                <w:b w:val="1"/>
                <w:bCs w:val="1"/>
                <w:color w:val="auto"/>
              </w:rPr>
              <w:t>Translation result</w:t>
            </w:r>
          </w:p>
        </w:tc>
        <w:tc>
          <w:tcPr>
            <w:tcW w:w="72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Borders>
              <w:right w:val="single" w:sz="8" w:color="auto"/>
            </w:tcBorders>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right w:val="single" w:sz="8" w:color="auto"/>
            </w:tcBorders>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820" w:type="dxa"/>
            <w:vAlign w:val="bottom"/>
            <w:gridSpan w:val="6"/>
            <w:vMerge w:val="continue"/>
          </w:tcPr>
          <w:p>
            <w:pPr>
              <w:spacing w:after="0"/>
              <w:rPr>
                <w:sz w:val="24"/>
                <w:szCs w:val="24"/>
                <w:color w:val="auto"/>
              </w:rPr>
            </w:pPr>
          </w:p>
        </w:tc>
        <w:tc>
          <w:tcPr>
            <w:tcW w:w="1220" w:type="dxa"/>
            <w:vAlign w:val="bottom"/>
            <w:gridSpan w:val="6"/>
          </w:tcPr>
          <w:p>
            <w:pPr>
              <w:jc w:val="right"/>
              <w:ind w:right="80"/>
              <w:spacing w:after="0"/>
              <w:rPr>
                <w:sz w:val="20"/>
                <w:szCs w:val="20"/>
                <w:color w:val="auto"/>
              </w:rPr>
            </w:pPr>
            <w:r>
              <w:rPr>
                <w:rFonts w:ascii="Arial" w:cs="Arial" w:eastAsia="Arial" w:hAnsi="Arial"/>
                <w:sz w:val="15"/>
                <w:szCs w:val="15"/>
                <w:color w:val="auto"/>
              </w:rPr>
              <w:t>(0.809)</w:t>
            </w:r>
          </w:p>
        </w:tc>
        <w:tc>
          <w:tcPr>
            <w:tcW w:w="1260" w:type="dxa"/>
            <w:vAlign w:val="bottom"/>
            <w:gridSpan w:val="4"/>
          </w:tcPr>
          <w:p>
            <w:pPr>
              <w:jc w:val="right"/>
              <w:spacing w:after="0"/>
              <w:rPr>
                <w:sz w:val="20"/>
                <w:szCs w:val="20"/>
                <w:color w:val="auto"/>
              </w:rPr>
            </w:pPr>
            <w:r>
              <w:rPr>
                <w:rFonts w:ascii="Arial" w:cs="Arial" w:eastAsia="Arial" w:hAnsi="Arial"/>
                <w:sz w:val="15"/>
                <w:szCs w:val="15"/>
                <w:color w:val="auto"/>
              </w:rPr>
              <w:t>0.395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5"/>
          </w:tcPr>
          <w:p>
            <w:pPr>
              <w:jc w:val="right"/>
              <w:ind w:right="220"/>
              <w:spacing w:after="0"/>
              <w:rPr>
                <w:sz w:val="20"/>
                <w:szCs w:val="20"/>
                <w:color w:val="auto"/>
              </w:rPr>
            </w:pPr>
            <w:r>
              <w:rPr>
                <w:rFonts w:ascii="Arial" w:cs="Arial" w:eastAsia="Arial" w:hAnsi="Arial"/>
                <w:sz w:val="15"/>
                <w:szCs w:val="15"/>
                <w:color w:val="auto"/>
              </w:rPr>
              <w:t>(5.155)</w:t>
            </w:r>
          </w:p>
        </w:tc>
        <w:tc>
          <w:tcPr>
            <w:tcW w:w="1100" w:type="dxa"/>
            <w:vAlign w:val="bottom"/>
            <w:gridSpan w:val="4"/>
          </w:tcPr>
          <w:p>
            <w:pPr>
              <w:jc w:val="right"/>
              <w:spacing w:after="0"/>
              <w:rPr>
                <w:sz w:val="20"/>
                <w:szCs w:val="20"/>
                <w:color w:val="auto"/>
              </w:rPr>
            </w:pPr>
            <w:r>
              <w:rPr>
                <w:rFonts w:ascii="Arial" w:cs="Arial" w:eastAsia="Arial" w:hAnsi="Arial"/>
                <w:sz w:val="15"/>
                <w:szCs w:val="15"/>
                <w:color w:val="auto"/>
              </w:rPr>
              <w:t>1.368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5"/>
                <w:szCs w:val="15"/>
                <w:color w:val="auto"/>
              </w:rPr>
              <w:t>(4.417)</w:t>
            </w:r>
          </w:p>
        </w:tc>
        <w:tc>
          <w:tcPr>
            <w:tcW w:w="0" w:type="dxa"/>
            <w:vAlign w:val="bottom"/>
          </w:tcPr>
          <w:p>
            <w:pPr>
              <w:spacing w:after="0"/>
              <w:rPr>
                <w:sz w:val="1"/>
                <w:szCs w:val="1"/>
                <w:color w:val="auto"/>
              </w:rPr>
            </w:pPr>
          </w:p>
        </w:tc>
      </w:tr>
      <w:tr>
        <w:trPr>
          <w:trHeight w:val="298"/>
        </w:trPr>
        <w:tc>
          <w:tcPr>
            <w:tcW w:w="1220" w:type="dxa"/>
            <w:vAlign w:val="bottom"/>
          </w:tcPr>
          <w:p>
            <w:pPr>
              <w:spacing w:after="0"/>
              <w:rPr>
                <w:sz w:val="24"/>
                <w:szCs w:val="24"/>
                <w:color w:val="auto"/>
              </w:rPr>
            </w:pPr>
          </w:p>
        </w:tc>
        <w:tc>
          <w:tcPr>
            <w:tcW w:w="3600" w:type="dxa"/>
            <w:vAlign w:val="bottom"/>
            <w:gridSpan w:val="5"/>
          </w:tcPr>
          <w:p>
            <w:pPr>
              <w:jc w:val="center"/>
              <w:ind w:right="1480"/>
              <w:spacing w:after="0"/>
              <w:rPr>
                <w:sz w:val="20"/>
                <w:szCs w:val="20"/>
                <w:color w:val="auto"/>
              </w:rPr>
            </w:pPr>
            <w:r>
              <w:rPr>
                <w:rFonts w:ascii="Arial" w:cs="Arial" w:eastAsia="Arial" w:hAnsi="Arial"/>
                <w:sz w:val="15"/>
                <w:szCs w:val="15"/>
                <w:b w:val="1"/>
                <w:bCs w:val="1"/>
                <w:color w:val="auto"/>
                <w:w w:val="88"/>
              </w:rPr>
              <w:t>Income before income tax</w:t>
            </w:r>
          </w:p>
        </w:tc>
        <w:tc>
          <w:tcPr>
            <w:tcW w:w="1100" w:type="dxa"/>
            <w:vAlign w:val="bottom"/>
            <w:gridSpan w:val="4"/>
          </w:tcPr>
          <w:p>
            <w:pPr>
              <w:jc w:val="right"/>
              <w:spacing w:after="0"/>
              <w:rPr>
                <w:sz w:val="20"/>
                <w:szCs w:val="20"/>
                <w:color w:val="auto"/>
              </w:rPr>
            </w:pPr>
            <w:r>
              <w:rPr>
                <w:rFonts w:ascii="Arial" w:cs="Arial" w:eastAsia="Arial" w:hAnsi="Arial"/>
                <w:sz w:val="15"/>
                <w:szCs w:val="15"/>
                <w:b w:val="1"/>
                <w:bCs w:val="1"/>
                <w:color w:val="auto"/>
              </w:rPr>
              <w:t>43.289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15"/>
                <w:szCs w:val="15"/>
                <w:b w:val="1"/>
                <w:bCs w:val="1"/>
                <w:color w:val="auto"/>
              </w:rPr>
              <w:t>58.552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5"/>
                <w:szCs w:val="15"/>
                <w:b w:val="1"/>
                <w:bCs w:val="1"/>
                <w:color w:val="auto"/>
              </w:rPr>
              <w:t>69.307</w:t>
            </w:r>
          </w:p>
        </w:tc>
        <w:tc>
          <w:tcPr>
            <w:tcW w:w="220" w:type="dxa"/>
            <w:vAlign w:val="bottom"/>
          </w:tcPr>
          <w:p>
            <w:pPr>
              <w:spacing w:after="0"/>
              <w:rPr>
                <w:sz w:val="24"/>
                <w:szCs w:val="24"/>
                <w:color w:val="auto"/>
              </w:rPr>
            </w:pPr>
          </w:p>
        </w:tc>
        <w:tc>
          <w:tcPr>
            <w:tcW w:w="1120" w:type="dxa"/>
            <w:vAlign w:val="bottom"/>
            <w:gridSpan w:val="5"/>
          </w:tcPr>
          <w:p>
            <w:pPr>
              <w:jc w:val="right"/>
              <w:ind w:right="20"/>
              <w:spacing w:after="0"/>
              <w:rPr>
                <w:sz w:val="20"/>
                <w:szCs w:val="20"/>
                <w:color w:val="auto"/>
              </w:rPr>
            </w:pPr>
            <w:r>
              <w:rPr>
                <w:rFonts w:ascii="Arial" w:cs="Arial" w:eastAsia="Arial" w:hAnsi="Arial"/>
                <w:sz w:val="15"/>
                <w:szCs w:val="15"/>
                <w:b w:val="1"/>
                <w:bCs w:val="1"/>
                <w:color w:val="auto"/>
              </w:rPr>
              <w:t>119.875</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5"/>
                <w:szCs w:val="15"/>
                <w:b w:val="1"/>
                <w:bCs w:val="1"/>
                <w:color w:val="auto"/>
                <w:w w:val="99"/>
              </w:rPr>
              <w:t>193.183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Employee profit sharing(3)</w:t>
            </w: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1.588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1.733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3.603</w:t>
            </w:r>
          </w:p>
        </w:tc>
        <w:tc>
          <w:tcPr>
            <w:tcW w:w="22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5"/>
                <w:szCs w:val="15"/>
                <w:color w:val="auto"/>
              </w:rPr>
              <w:t>4.242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8.197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20" w:type="dxa"/>
            <w:vAlign w:val="bottom"/>
            <w:gridSpan w:val="6"/>
          </w:tcPr>
          <w:p>
            <w:pPr>
              <w:ind w:left="80"/>
              <w:spacing w:after="0"/>
              <w:rPr>
                <w:sz w:val="20"/>
                <w:szCs w:val="20"/>
                <w:color w:val="auto"/>
              </w:rPr>
            </w:pPr>
            <w:r>
              <w:rPr>
                <w:rFonts w:ascii="Arial" w:cs="Arial" w:eastAsia="Arial" w:hAnsi="Arial"/>
                <w:sz w:val="15"/>
                <w:szCs w:val="15"/>
                <w:color w:val="auto"/>
              </w:rPr>
              <w:t>Income Tax</w:t>
            </w:r>
          </w:p>
        </w:tc>
        <w:tc>
          <w:tcPr>
            <w:tcW w:w="1100" w:type="dxa"/>
            <w:vAlign w:val="bottom"/>
            <w:gridSpan w:val="4"/>
          </w:tcPr>
          <w:p>
            <w:pPr>
              <w:jc w:val="right"/>
              <w:spacing w:after="0"/>
              <w:rPr>
                <w:sz w:val="20"/>
                <w:szCs w:val="20"/>
                <w:color w:val="auto"/>
              </w:rPr>
            </w:pPr>
            <w:r>
              <w:rPr>
                <w:rFonts w:ascii="Arial" w:cs="Arial" w:eastAsia="Arial" w:hAnsi="Arial"/>
                <w:sz w:val="15"/>
                <w:szCs w:val="15"/>
                <w:color w:val="auto"/>
              </w:rPr>
              <w:t>8.422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4"/>
          </w:tcPr>
          <w:p>
            <w:pPr>
              <w:jc w:val="right"/>
              <w:spacing w:after="0"/>
              <w:rPr>
                <w:sz w:val="20"/>
                <w:szCs w:val="20"/>
                <w:color w:val="auto"/>
              </w:rPr>
            </w:pPr>
            <w:r>
              <w:rPr>
                <w:rFonts w:ascii="Arial" w:cs="Arial" w:eastAsia="Arial" w:hAnsi="Arial"/>
                <w:sz w:val="15"/>
                <w:szCs w:val="15"/>
                <w:color w:val="auto"/>
              </w:rPr>
              <w:t>12.503</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5"/>
                <w:szCs w:val="15"/>
                <w:color w:val="auto"/>
              </w:rPr>
              <w:t>19.055</w:t>
            </w:r>
          </w:p>
        </w:tc>
        <w:tc>
          <w:tcPr>
            <w:tcW w:w="220" w:type="dxa"/>
            <w:vAlign w:val="bottom"/>
          </w:tcPr>
          <w:p>
            <w:pPr>
              <w:spacing w:after="0"/>
              <w:rPr>
                <w:sz w:val="16"/>
                <w:szCs w:val="16"/>
                <w:color w:val="auto"/>
              </w:rPr>
            </w:pPr>
          </w:p>
        </w:tc>
        <w:tc>
          <w:tcPr>
            <w:tcW w:w="1100" w:type="dxa"/>
            <w:vAlign w:val="bottom"/>
            <w:gridSpan w:val="4"/>
          </w:tcPr>
          <w:p>
            <w:pPr>
              <w:jc w:val="right"/>
              <w:spacing w:after="0"/>
              <w:rPr>
                <w:sz w:val="20"/>
                <w:szCs w:val="20"/>
                <w:color w:val="auto"/>
              </w:rPr>
            </w:pPr>
            <w:r>
              <w:rPr>
                <w:rFonts w:ascii="Arial" w:cs="Arial" w:eastAsia="Arial" w:hAnsi="Arial"/>
                <w:sz w:val="15"/>
                <w:szCs w:val="15"/>
                <w:color w:val="auto"/>
              </w:rPr>
              <w:t>26.980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48.624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gridSpan w:val="4"/>
          </w:tcPr>
          <w:p>
            <w:pPr>
              <w:jc w:val="center"/>
              <w:ind w:right="1960"/>
              <w:spacing w:after="0"/>
              <w:rPr>
                <w:sz w:val="20"/>
                <w:szCs w:val="20"/>
                <w:color w:val="auto"/>
              </w:rPr>
            </w:pPr>
            <w:r>
              <w:rPr>
                <w:rFonts w:ascii="Arial" w:cs="Arial" w:eastAsia="Arial" w:hAnsi="Arial"/>
                <w:sz w:val="15"/>
                <w:szCs w:val="15"/>
                <w:b w:val="1"/>
                <w:bCs w:val="1"/>
                <w:color w:val="auto"/>
              </w:rPr>
              <w:t>NET INCOME</w:t>
            </w:r>
          </w:p>
        </w:tc>
        <w:tc>
          <w:tcPr>
            <w:tcW w:w="1100" w:type="dxa"/>
            <w:vAlign w:val="bottom"/>
            <w:gridSpan w:val="4"/>
          </w:tcPr>
          <w:p>
            <w:pPr>
              <w:jc w:val="right"/>
              <w:spacing w:after="0"/>
              <w:rPr>
                <w:sz w:val="20"/>
                <w:szCs w:val="20"/>
                <w:color w:val="auto"/>
              </w:rPr>
            </w:pPr>
            <w:r>
              <w:rPr>
                <w:rFonts w:ascii="Arial" w:cs="Arial" w:eastAsia="Arial" w:hAnsi="Arial"/>
                <w:sz w:val="15"/>
                <w:szCs w:val="15"/>
                <w:b w:val="1"/>
                <w:bCs w:val="1"/>
                <w:color w:val="auto"/>
              </w:rPr>
              <w:t>33.279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15"/>
                <w:szCs w:val="15"/>
                <w:b w:val="1"/>
                <w:bCs w:val="1"/>
                <w:color w:val="auto"/>
              </w:rPr>
              <w:t>44.316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5"/>
                <w:szCs w:val="15"/>
                <w:b w:val="1"/>
                <w:bCs w:val="1"/>
                <w:color w:val="auto"/>
              </w:rPr>
              <w:t>46.649</w:t>
            </w:r>
          </w:p>
        </w:tc>
        <w:tc>
          <w:tcPr>
            <w:tcW w:w="22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5"/>
                <w:szCs w:val="15"/>
                <w:b w:val="1"/>
                <w:bCs w:val="1"/>
                <w:color w:val="auto"/>
              </w:rPr>
              <w:t>88.653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5"/>
                <w:szCs w:val="15"/>
                <w:b w:val="1"/>
                <w:bCs w:val="1"/>
                <w:color w:val="auto"/>
                <w:w w:val="99"/>
              </w:rPr>
              <w:t>136.362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20" w:type="dxa"/>
            <w:vAlign w:val="bottom"/>
            <w:tcBorders>
              <w:bottom w:val="single" w:sz="8" w:color="auto"/>
            </w:tcBorders>
            <w:gridSpan w:val="6"/>
          </w:tcPr>
          <w:p>
            <w:pPr>
              <w:spacing w:after="0" w:line="172" w:lineRule="exact"/>
              <w:rPr>
                <w:sz w:val="20"/>
                <w:szCs w:val="20"/>
                <w:color w:val="auto"/>
              </w:rPr>
            </w:pPr>
            <w:r>
              <w:rPr>
                <w:rFonts w:ascii="Arial" w:cs="Arial" w:eastAsia="Arial" w:hAnsi="Arial"/>
                <w:sz w:val="15"/>
                <w:szCs w:val="15"/>
                <w:color w:val="auto"/>
              </w:rPr>
              <w:t>Net income contributed to Credicorp</w:t>
            </w:r>
          </w:p>
        </w:tc>
        <w:tc>
          <w:tcPr>
            <w:tcW w:w="1100" w:type="dxa"/>
            <w:vAlign w:val="bottom"/>
            <w:tcBorders>
              <w:bottom w:val="single" w:sz="8" w:color="auto"/>
            </w:tcBorders>
            <w:gridSpan w:val="4"/>
          </w:tcPr>
          <w:p>
            <w:pPr>
              <w:jc w:val="right"/>
              <w:spacing w:after="0" w:line="172" w:lineRule="exact"/>
              <w:rPr>
                <w:sz w:val="20"/>
                <w:szCs w:val="20"/>
                <w:color w:val="auto"/>
              </w:rPr>
            </w:pPr>
            <w:r>
              <w:rPr>
                <w:rFonts w:ascii="Arial" w:cs="Arial" w:eastAsia="Arial" w:hAnsi="Arial"/>
                <w:sz w:val="15"/>
                <w:szCs w:val="15"/>
                <w:color w:val="auto"/>
              </w:rPr>
              <w:t>32.020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line="172" w:lineRule="exact"/>
              <w:rPr>
                <w:sz w:val="20"/>
                <w:szCs w:val="20"/>
                <w:color w:val="auto"/>
              </w:rPr>
            </w:pPr>
            <w:r>
              <w:rPr>
                <w:rFonts w:ascii="Arial" w:cs="Arial" w:eastAsia="Arial" w:hAnsi="Arial"/>
                <w:sz w:val="15"/>
                <w:szCs w:val="15"/>
                <w:color w:val="auto"/>
              </w:rPr>
              <w:t>42.643</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0"/>
              <w:spacing w:after="0" w:line="172" w:lineRule="exact"/>
              <w:rPr>
                <w:sz w:val="20"/>
                <w:szCs w:val="20"/>
                <w:color w:val="auto"/>
              </w:rPr>
            </w:pPr>
            <w:r>
              <w:rPr>
                <w:rFonts w:ascii="Arial" w:cs="Arial" w:eastAsia="Arial" w:hAnsi="Arial"/>
                <w:sz w:val="15"/>
                <w:szCs w:val="15"/>
                <w:color w:val="auto"/>
              </w:rPr>
              <w:t>44.146</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line="172" w:lineRule="exact"/>
              <w:rPr>
                <w:sz w:val="20"/>
                <w:szCs w:val="20"/>
                <w:color w:val="auto"/>
              </w:rPr>
            </w:pPr>
            <w:r>
              <w:rPr>
                <w:rFonts w:ascii="Arial" w:cs="Arial" w:eastAsia="Arial" w:hAnsi="Arial"/>
                <w:sz w:val="15"/>
                <w:szCs w:val="15"/>
                <w:color w:val="auto"/>
              </w:rPr>
              <w:t>26.980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spacing w:after="0" w:line="172" w:lineRule="exact"/>
              <w:rPr>
                <w:sz w:val="20"/>
                <w:szCs w:val="20"/>
                <w:color w:val="auto"/>
              </w:rPr>
            </w:pPr>
            <w:r>
              <w:rPr>
                <w:rFonts w:ascii="Arial" w:cs="Arial" w:eastAsia="Arial" w:hAnsi="Arial"/>
                <w:sz w:val="15"/>
                <w:szCs w:val="15"/>
                <w:color w:val="auto"/>
                <w:w w:val="99"/>
              </w:rPr>
              <w:t>130.469</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Estados financieros de acuerdo con NIIF, en dólares.</w:t>
      </w:r>
    </w:p>
    <w:p>
      <w:pPr>
        <w:spacing w:after="0" w:line="1" w:lineRule="exact"/>
        <w:rPr>
          <w:rFonts w:ascii="Arial" w:cs="Arial" w:eastAsia="Arial" w:hAnsi="Arial"/>
          <w:sz w:val="15"/>
          <w:szCs w:val="15"/>
          <w:i w:val="1"/>
          <w:iCs w:val="1"/>
          <w:color w:val="auto"/>
        </w:rPr>
      </w:pPr>
    </w:p>
    <w:p>
      <w:pPr>
        <w:ind w:left="220" w:hanging="212"/>
        <w:spacing w:after="0" w:line="225" w:lineRule="auto"/>
        <w:tabs>
          <w:tab w:leader="none" w:pos="22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Income from recoveries of charged-off loans has been reclassified within Provisions for loan losses.</w:t>
      </w:r>
    </w:p>
    <w:p>
      <w:pPr>
        <w:ind w:left="220" w:hanging="212"/>
        <w:spacing w:after="0"/>
        <w:tabs>
          <w:tab w:leader="none" w:pos="22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Previously reported as part of personnel expenses.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BANCO DE CREDITO DEL PERU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6</w:t>
      </w:r>
    </w:p>
    <w:p>
      <w:pPr>
        <w:jc w:val="center"/>
        <w:spacing w:after="0"/>
        <w:rPr>
          <w:sz w:val="20"/>
          <w:szCs w:val="20"/>
          <w:color w:val="auto"/>
        </w:rPr>
      </w:pPr>
      <w:r>
        <w:rPr>
          <w:rFonts w:ascii="Arial" w:cs="Arial" w:eastAsia="Arial" w:hAnsi="Arial"/>
          <w:sz w:val="22"/>
          <w:szCs w:val="22"/>
          <w:b w:val="1"/>
          <w:bCs w:val="1"/>
          <w:color w:val="auto"/>
        </w:rPr>
        <w:t>SELECTED FINANCIAL INDICATORS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23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w w:val="98"/>
              </w:rPr>
              <w:t>Three months ended</w:t>
            </w:r>
          </w:p>
        </w:tc>
        <w:tc>
          <w:tcPr>
            <w:tcW w:w="11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ind w:left="600"/>
              <w:spacing w:after="0"/>
              <w:rPr>
                <w:sz w:val="20"/>
                <w:szCs w:val="20"/>
                <w:color w:val="auto"/>
              </w:rPr>
            </w:pPr>
            <w:r>
              <w:rPr>
                <w:rFonts w:ascii="Arial" w:cs="Arial" w:eastAsia="Arial" w:hAnsi="Arial"/>
                <w:sz w:val="15"/>
                <w:szCs w:val="15"/>
                <w:b w:val="1"/>
                <w:bCs w:val="1"/>
                <w:color w:val="auto"/>
                <w:w w:val="90"/>
              </w:rPr>
              <w:t>Nine months ended</w:t>
            </w:r>
          </w:p>
        </w:tc>
        <w:tc>
          <w:tcPr>
            <w:tcW w:w="6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30.09.04</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30.06.05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30.09.05</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30.09.04</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2"/>
              </w:rPr>
              <w:t>30.09.05</w:t>
            </w:r>
          </w:p>
        </w:tc>
        <w:tc>
          <w:tcPr>
            <w:tcW w:w="0" w:type="dxa"/>
            <w:vAlign w:val="bottom"/>
          </w:tcPr>
          <w:p>
            <w:pPr>
              <w:spacing w:after="0"/>
              <w:rPr>
                <w:sz w:val="1"/>
                <w:szCs w:val="1"/>
                <w:color w:val="auto"/>
              </w:rPr>
            </w:pPr>
          </w:p>
        </w:tc>
      </w:tr>
      <w:tr>
        <w:trPr>
          <w:trHeight w:val="156"/>
        </w:trPr>
        <w:tc>
          <w:tcPr>
            <w:tcW w:w="4580" w:type="dxa"/>
            <w:vAlign w:val="bottom"/>
            <w:gridSpan w:val="6"/>
          </w:tcPr>
          <w:p>
            <w:pPr>
              <w:spacing w:after="0" w:line="156" w:lineRule="exact"/>
              <w:rPr>
                <w:sz w:val="20"/>
                <w:szCs w:val="20"/>
                <w:color w:val="auto"/>
              </w:rPr>
            </w:pPr>
            <w:r>
              <w:rPr>
                <w:rFonts w:ascii="Arial" w:cs="Arial" w:eastAsia="Arial" w:hAnsi="Arial"/>
                <w:sz w:val="15"/>
                <w:szCs w:val="15"/>
                <w:b w:val="1"/>
                <w:bCs w:val="1"/>
                <w:color w:val="auto"/>
              </w:rPr>
              <w:t>Profitability</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0.027</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0.036</w:t>
            </w:r>
          </w:p>
        </w:tc>
        <w:tc>
          <w:tcPr>
            <w:tcW w:w="2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0.038</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0.072</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0.111</w:t>
            </w:r>
          </w:p>
        </w:tc>
        <w:tc>
          <w:tcPr>
            <w:tcW w:w="0" w:type="dxa"/>
            <w:vAlign w:val="bottom"/>
          </w:tcPr>
          <w:p>
            <w:pPr>
              <w:spacing w:after="0"/>
              <w:rPr>
                <w:sz w:val="1"/>
                <w:szCs w:val="1"/>
                <w:color w:val="auto"/>
              </w:rPr>
            </w:pPr>
          </w:p>
        </w:tc>
      </w:tr>
      <w:tr>
        <w:trPr>
          <w:trHeight w:val="146"/>
        </w:trPr>
        <w:tc>
          <w:tcPr>
            <w:tcW w:w="780" w:type="dxa"/>
            <w:vAlign w:val="bottom"/>
            <w:tcBorders>
              <w:top w:val="single" w:sz="8" w:color="auto"/>
            </w:tcBorders>
          </w:tcPr>
          <w:p>
            <w:pPr>
              <w:ind w:left="40"/>
              <w:spacing w:after="0" w:line="146" w:lineRule="exact"/>
              <w:rPr>
                <w:sz w:val="20"/>
                <w:szCs w:val="20"/>
                <w:color w:val="auto"/>
              </w:rPr>
            </w:pPr>
            <w:r>
              <w:rPr>
                <w:rFonts w:ascii="Arial" w:cs="Arial" w:eastAsia="Arial" w:hAnsi="Arial"/>
                <w:sz w:val="15"/>
                <w:szCs w:val="15"/>
                <w:color w:val="auto"/>
                <w:w w:val="94"/>
              </w:rPr>
              <w:t>Net income</w:t>
            </w:r>
          </w:p>
        </w:tc>
        <w:tc>
          <w:tcPr>
            <w:tcW w:w="3800" w:type="dxa"/>
            <w:vAlign w:val="bottom"/>
            <w:gridSpan w:val="5"/>
          </w:tcPr>
          <w:p>
            <w:pPr>
              <w:spacing w:after="0" w:line="146" w:lineRule="exact"/>
              <w:rPr>
                <w:sz w:val="20"/>
                <w:szCs w:val="20"/>
                <w:color w:val="auto"/>
              </w:rPr>
            </w:pPr>
            <w:r>
              <w:rPr>
                <w:rFonts w:ascii="Arial" w:cs="Arial" w:eastAsia="Arial" w:hAnsi="Arial"/>
                <w:sz w:val="15"/>
                <w:szCs w:val="15"/>
                <w:color w:val="auto"/>
              </w:rPr>
              <w:t>per common share (US$ per share)(1)</w:t>
            </w: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8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Net interest margin on interest earning assets (2)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5.72%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5.06%</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5.55%</w:t>
            </w:r>
          </w:p>
        </w:tc>
        <w:tc>
          <w:tcPr>
            <w:tcW w:w="0" w:type="dxa"/>
            <w:vAlign w:val="bottom"/>
          </w:tcPr>
          <w:p>
            <w:pPr>
              <w:spacing w:after="0"/>
              <w:rPr>
                <w:sz w:val="1"/>
                <w:szCs w:val="1"/>
                <w:color w:val="auto"/>
              </w:rPr>
            </w:pPr>
          </w:p>
        </w:tc>
      </w:tr>
      <w:tr>
        <w:trPr>
          <w:trHeight w:val="162"/>
        </w:trPr>
        <w:tc>
          <w:tcPr>
            <w:tcW w:w="4580" w:type="dxa"/>
            <w:vAlign w:val="bottom"/>
            <w:gridSpan w:val="6"/>
          </w:tcPr>
          <w:p>
            <w:pPr>
              <w:ind w:left="40"/>
              <w:spacing w:after="0" w:line="162" w:lineRule="exact"/>
              <w:rPr>
                <w:sz w:val="20"/>
                <w:szCs w:val="20"/>
                <w:color w:val="auto"/>
              </w:rPr>
            </w:pPr>
            <w:r>
              <w:rPr>
                <w:rFonts w:ascii="Arial" w:cs="Arial" w:eastAsia="Arial" w:hAnsi="Arial"/>
                <w:sz w:val="15"/>
                <w:szCs w:val="15"/>
                <w:color w:val="auto"/>
              </w:rPr>
              <w:t>Return on average total assets (2)(3)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2.31%</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1.73%</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88"/>
        </w:trPr>
        <w:tc>
          <w:tcPr>
            <w:tcW w:w="4580" w:type="dxa"/>
            <w:vAlign w:val="bottom"/>
            <w:gridSpan w:val="6"/>
          </w:tcPr>
          <w:p>
            <w:pPr>
              <w:ind w:left="40"/>
              <w:spacing w:after="0"/>
              <w:rPr>
                <w:sz w:val="20"/>
                <w:szCs w:val="20"/>
                <w:color w:val="auto"/>
              </w:rPr>
            </w:pPr>
            <w:r>
              <w:rPr>
                <w:rFonts w:ascii="Arial" w:cs="Arial" w:eastAsia="Arial" w:hAnsi="Arial"/>
                <w:sz w:val="15"/>
                <w:szCs w:val="15"/>
                <w:color w:val="auto"/>
              </w:rPr>
              <w:t>Return on average shareholders' equity (2)(3)</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20.32%</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23.50%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23.08%</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18.45%</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23.10%</w:t>
            </w:r>
          </w:p>
        </w:tc>
        <w:tc>
          <w:tcPr>
            <w:tcW w:w="0" w:type="dxa"/>
            <w:vAlign w:val="bottom"/>
          </w:tcPr>
          <w:p>
            <w:pPr>
              <w:spacing w:after="0"/>
              <w:rPr>
                <w:sz w:val="1"/>
                <w:szCs w:val="1"/>
                <w:color w:val="auto"/>
              </w:rPr>
            </w:pPr>
          </w:p>
        </w:tc>
      </w:tr>
      <w:tr>
        <w:trPr>
          <w:trHeight w:val="294"/>
        </w:trPr>
        <w:tc>
          <w:tcPr>
            <w:tcW w:w="4580" w:type="dxa"/>
            <w:vAlign w:val="bottom"/>
            <w:gridSpan w:val="6"/>
          </w:tcPr>
          <w:p>
            <w:pPr>
              <w:spacing w:after="0"/>
              <w:rPr>
                <w:sz w:val="20"/>
                <w:szCs w:val="20"/>
                <w:color w:val="auto"/>
              </w:rPr>
            </w:pPr>
            <w:r>
              <w:rPr>
                <w:rFonts w:ascii="Arial" w:cs="Arial" w:eastAsia="Arial" w:hAnsi="Arial"/>
                <w:sz w:val="15"/>
                <w:szCs w:val="15"/>
                <w:b w:val="1"/>
                <w:bCs w:val="1"/>
                <w:color w:val="auto"/>
              </w:rPr>
              <w:t>Quality of loan portfolio</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580" w:type="dxa"/>
            <w:vAlign w:val="bottom"/>
            <w:gridSpan w:val="6"/>
          </w:tcPr>
          <w:p>
            <w:pPr>
              <w:ind w:left="80"/>
              <w:spacing w:after="0"/>
              <w:rPr>
                <w:sz w:val="20"/>
                <w:szCs w:val="20"/>
                <w:color w:val="auto"/>
              </w:rPr>
            </w:pPr>
            <w:r>
              <w:rPr>
                <w:rFonts w:ascii="Arial" w:cs="Arial" w:eastAsia="Arial" w:hAnsi="Arial"/>
                <w:sz w:val="15"/>
                <w:szCs w:val="15"/>
                <w:color w:val="auto"/>
              </w:rPr>
              <w:t>Past due loans as a percentage of total loans</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4.98%</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2.69%</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2.55%</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4.98%</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2.55%</w:t>
            </w:r>
          </w:p>
        </w:tc>
        <w:tc>
          <w:tcPr>
            <w:tcW w:w="0" w:type="dxa"/>
            <w:vAlign w:val="bottom"/>
          </w:tcPr>
          <w:p>
            <w:pPr>
              <w:spacing w:after="0"/>
              <w:rPr>
                <w:sz w:val="1"/>
                <w:szCs w:val="1"/>
                <w:color w:val="auto"/>
              </w:rPr>
            </w:pPr>
          </w:p>
        </w:tc>
      </w:tr>
      <w:tr>
        <w:trPr>
          <w:trHeight w:val="162"/>
        </w:trPr>
        <w:tc>
          <w:tcPr>
            <w:tcW w:w="458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Past due loans + refinanced loans as a</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6"/>
          </w:tcPr>
          <w:p>
            <w:pPr>
              <w:ind w:left="240"/>
              <w:spacing w:after="0" w:line="162" w:lineRule="exact"/>
              <w:rPr>
                <w:sz w:val="20"/>
                <w:szCs w:val="20"/>
                <w:color w:val="auto"/>
              </w:rPr>
            </w:pPr>
            <w:r>
              <w:rPr>
                <w:rFonts w:ascii="Arial" w:cs="Arial" w:eastAsia="Arial" w:hAnsi="Arial"/>
                <w:sz w:val="15"/>
                <w:szCs w:val="15"/>
                <w:color w:val="auto"/>
              </w:rPr>
              <w:t>percentage of total loans</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9.87%</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6.62%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9.87%</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6.62%</w:t>
            </w:r>
          </w:p>
        </w:tc>
        <w:tc>
          <w:tcPr>
            <w:tcW w:w="0" w:type="dxa"/>
            <w:vAlign w:val="bottom"/>
          </w:tcPr>
          <w:p>
            <w:pPr>
              <w:spacing w:after="0"/>
              <w:rPr>
                <w:sz w:val="1"/>
                <w:szCs w:val="1"/>
                <w:color w:val="auto"/>
              </w:rPr>
            </w:pPr>
          </w:p>
        </w:tc>
      </w:tr>
      <w:tr>
        <w:trPr>
          <w:trHeight w:val="162"/>
        </w:trPr>
        <w:tc>
          <w:tcPr>
            <w:tcW w:w="458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6"/>
          </w:tcPr>
          <w:p>
            <w:pPr>
              <w:ind w:left="240"/>
              <w:spacing w:after="0" w:line="162" w:lineRule="exact"/>
              <w:rPr>
                <w:sz w:val="20"/>
                <w:szCs w:val="20"/>
                <w:color w:val="auto"/>
              </w:rPr>
            </w:pPr>
            <w:r>
              <w:rPr>
                <w:rFonts w:ascii="Arial" w:cs="Arial" w:eastAsia="Arial" w:hAnsi="Arial"/>
                <w:sz w:val="15"/>
                <w:szCs w:val="15"/>
                <w:color w:val="auto"/>
              </w:rPr>
              <w:t>past due loans</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134.13%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181.69%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175.24%</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134.13%</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w w:val="91"/>
              </w:rPr>
              <w:t>175.24%</w:t>
            </w:r>
          </w:p>
        </w:tc>
        <w:tc>
          <w:tcPr>
            <w:tcW w:w="0" w:type="dxa"/>
            <w:vAlign w:val="bottom"/>
          </w:tcPr>
          <w:p>
            <w:pPr>
              <w:spacing w:after="0"/>
              <w:rPr>
                <w:sz w:val="1"/>
                <w:szCs w:val="1"/>
                <w:color w:val="auto"/>
              </w:rPr>
            </w:pPr>
          </w:p>
        </w:tc>
      </w:tr>
      <w:tr>
        <w:trPr>
          <w:trHeight w:val="162"/>
        </w:trPr>
        <w:tc>
          <w:tcPr>
            <w:tcW w:w="458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6"/>
          </w:tcPr>
          <w:p>
            <w:pPr>
              <w:ind w:left="240"/>
              <w:spacing w:after="0" w:line="162" w:lineRule="exact"/>
              <w:rPr>
                <w:sz w:val="20"/>
                <w:szCs w:val="20"/>
                <w:color w:val="auto"/>
              </w:rPr>
            </w:pPr>
            <w:r>
              <w:rPr>
                <w:rFonts w:ascii="Arial" w:cs="Arial" w:eastAsia="Arial" w:hAnsi="Arial"/>
                <w:sz w:val="15"/>
                <w:szCs w:val="15"/>
                <w:color w:val="auto"/>
              </w:rPr>
              <w:t>substandard loans (C+D+E)</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54.98%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59.50%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63.92%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54.98%</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63.92%</w:t>
            </w:r>
          </w:p>
        </w:tc>
        <w:tc>
          <w:tcPr>
            <w:tcW w:w="0" w:type="dxa"/>
            <w:vAlign w:val="bottom"/>
          </w:tcPr>
          <w:p>
            <w:pPr>
              <w:spacing w:after="0"/>
              <w:rPr>
                <w:sz w:val="1"/>
                <w:szCs w:val="1"/>
                <w:color w:val="auto"/>
              </w:rPr>
            </w:pPr>
          </w:p>
        </w:tc>
      </w:tr>
      <w:tr>
        <w:trPr>
          <w:trHeight w:val="162"/>
        </w:trPr>
        <w:tc>
          <w:tcPr>
            <w:tcW w:w="458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Reserves for loan losses as a percentage of</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80" w:type="dxa"/>
            <w:vAlign w:val="bottom"/>
            <w:gridSpan w:val="6"/>
          </w:tcPr>
          <w:p>
            <w:pPr>
              <w:ind w:left="240"/>
              <w:spacing w:after="0"/>
              <w:rPr>
                <w:sz w:val="20"/>
                <w:szCs w:val="20"/>
                <w:color w:val="auto"/>
              </w:rPr>
            </w:pPr>
            <w:r>
              <w:rPr>
                <w:rFonts w:ascii="Arial" w:cs="Arial" w:eastAsia="Arial" w:hAnsi="Arial"/>
                <w:sz w:val="15"/>
                <w:szCs w:val="15"/>
                <w:color w:val="auto"/>
              </w:rPr>
              <w:t>past due loans + refinanced loans</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67.65%</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66.83%</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67.53%</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67.65%</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67.53%</w:t>
            </w:r>
          </w:p>
        </w:tc>
        <w:tc>
          <w:tcPr>
            <w:tcW w:w="0" w:type="dxa"/>
            <w:vAlign w:val="bottom"/>
          </w:tcPr>
          <w:p>
            <w:pPr>
              <w:spacing w:after="0"/>
              <w:rPr>
                <w:sz w:val="1"/>
                <w:szCs w:val="1"/>
                <w:color w:val="auto"/>
              </w:rPr>
            </w:pPr>
          </w:p>
        </w:tc>
      </w:tr>
      <w:tr>
        <w:trPr>
          <w:trHeight w:val="294"/>
        </w:trPr>
        <w:tc>
          <w:tcPr>
            <w:tcW w:w="4580" w:type="dxa"/>
            <w:vAlign w:val="bottom"/>
            <w:gridSpan w:val="6"/>
          </w:tcPr>
          <w:p>
            <w:pPr>
              <w:spacing w:after="0"/>
              <w:rPr>
                <w:sz w:val="20"/>
                <w:szCs w:val="20"/>
                <w:color w:val="auto"/>
              </w:rPr>
            </w:pPr>
            <w:r>
              <w:rPr>
                <w:rFonts w:ascii="Arial" w:cs="Arial" w:eastAsia="Arial" w:hAnsi="Arial"/>
                <w:sz w:val="15"/>
                <w:szCs w:val="15"/>
                <w:b w:val="1"/>
                <w:bCs w:val="1"/>
                <w:color w:val="auto"/>
              </w:rPr>
              <w:t>Operating efficiency (5)</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58.03%</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51.78%</w:t>
            </w:r>
          </w:p>
        </w:tc>
        <w:tc>
          <w:tcPr>
            <w:tcW w:w="2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49.47%</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59.89%</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51.91%</w:t>
            </w: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580" w:type="dxa"/>
            <w:vAlign w:val="bottom"/>
            <w:gridSpan w:val="6"/>
          </w:tcPr>
          <w:p>
            <w:pPr>
              <w:ind w:left="40"/>
              <w:spacing w:after="0" w:line="146" w:lineRule="exact"/>
              <w:rPr>
                <w:sz w:val="20"/>
                <w:szCs w:val="20"/>
                <w:color w:val="auto"/>
              </w:rPr>
            </w:pPr>
            <w:r>
              <w:rPr>
                <w:rFonts w:ascii="Arial" w:cs="Arial" w:eastAsia="Arial" w:hAnsi="Arial"/>
                <w:sz w:val="15"/>
                <w:szCs w:val="15"/>
                <w:color w:val="auto"/>
              </w:rPr>
              <w:t>Oper. expense as a percent. of total income (4)</w:t>
            </w: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580" w:type="dxa"/>
            <w:vAlign w:val="bottom"/>
            <w:gridSpan w:val="6"/>
          </w:tcPr>
          <w:p>
            <w:pPr>
              <w:ind w:left="40"/>
              <w:spacing w:after="0"/>
              <w:rPr>
                <w:sz w:val="20"/>
                <w:szCs w:val="20"/>
                <w:color w:val="auto"/>
              </w:rPr>
            </w:pPr>
            <w:r>
              <w:rPr>
                <w:rFonts w:ascii="Arial" w:cs="Arial" w:eastAsia="Arial" w:hAnsi="Arial"/>
                <w:sz w:val="15"/>
                <w:szCs w:val="15"/>
                <w:color w:val="auto"/>
              </w:rPr>
              <w:t>Oper. expense as a percent. of av. tot. assets(2)(3)</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4.51%</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3.95%</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3.95%</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4.52%</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4.10%</w:t>
            </w:r>
          </w:p>
        </w:tc>
        <w:tc>
          <w:tcPr>
            <w:tcW w:w="0" w:type="dxa"/>
            <w:vAlign w:val="bottom"/>
          </w:tcPr>
          <w:p>
            <w:pPr>
              <w:spacing w:after="0"/>
              <w:rPr>
                <w:sz w:val="1"/>
                <w:szCs w:val="1"/>
                <w:color w:val="auto"/>
              </w:rPr>
            </w:pPr>
          </w:p>
        </w:tc>
      </w:tr>
      <w:tr>
        <w:trPr>
          <w:trHeight w:val="294"/>
        </w:trPr>
        <w:tc>
          <w:tcPr>
            <w:tcW w:w="4580" w:type="dxa"/>
            <w:vAlign w:val="bottom"/>
            <w:gridSpan w:val="6"/>
          </w:tcPr>
          <w:p>
            <w:pPr>
              <w:spacing w:after="0"/>
              <w:rPr>
                <w:sz w:val="20"/>
                <w:szCs w:val="20"/>
                <w:color w:val="auto"/>
              </w:rPr>
            </w:pPr>
            <w:r>
              <w:rPr>
                <w:rFonts w:ascii="Arial" w:cs="Arial" w:eastAsia="Arial" w:hAnsi="Arial"/>
                <w:sz w:val="15"/>
                <w:szCs w:val="15"/>
                <w:b w:val="1"/>
                <w:bCs w:val="1"/>
                <w:color w:val="auto"/>
              </w:rPr>
              <w:t>Capital adequacy</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682.4</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720.2</w:t>
            </w:r>
          </w:p>
        </w:tc>
        <w:tc>
          <w:tcPr>
            <w:tcW w:w="2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699.9</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682.4</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699.9</w:t>
            </w:r>
          </w:p>
        </w:tc>
        <w:tc>
          <w:tcPr>
            <w:tcW w:w="0" w:type="dxa"/>
            <w:vAlign w:val="bottom"/>
          </w:tcPr>
          <w:p>
            <w:pPr>
              <w:spacing w:after="0"/>
              <w:rPr>
                <w:sz w:val="1"/>
                <w:szCs w:val="1"/>
                <w:color w:val="auto"/>
              </w:rPr>
            </w:pPr>
          </w:p>
        </w:tc>
      </w:tr>
      <w:tr>
        <w:trPr>
          <w:trHeight w:val="146"/>
        </w:trPr>
        <w:tc>
          <w:tcPr>
            <w:tcW w:w="1120" w:type="dxa"/>
            <w:vAlign w:val="bottom"/>
            <w:tcBorders>
              <w:top w:val="single" w:sz="8" w:color="auto"/>
            </w:tcBorders>
            <w:gridSpan w:val="3"/>
          </w:tcPr>
          <w:p>
            <w:pPr>
              <w:ind w:left="80"/>
              <w:spacing w:after="0" w:line="146" w:lineRule="exact"/>
              <w:rPr>
                <w:sz w:val="20"/>
                <w:szCs w:val="20"/>
                <w:color w:val="auto"/>
              </w:rPr>
            </w:pPr>
            <w:r>
              <w:rPr>
                <w:rFonts w:ascii="Arial" w:cs="Arial" w:eastAsia="Arial" w:hAnsi="Arial"/>
                <w:sz w:val="15"/>
                <w:szCs w:val="15"/>
                <w:color w:val="auto"/>
                <w:w w:val="92"/>
              </w:rPr>
              <w:t>Total Regulatory</w:t>
            </w:r>
          </w:p>
        </w:tc>
        <w:tc>
          <w:tcPr>
            <w:tcW w:w="3460" w:type="dxa"/>
            <w:vAlign w:val="bottom"/>
            <w:gridSpan w:val="3"/>
          </w:tcPr>
          <w:p>
            <w:pPr>
              <w:spacing w:after="0" w:line="146" w:lineRule="exact"/>
              <w:rPr>
                <w:sz w:val="20"/>
                <w:szCs w:val="20"/>
                <w:color w:val="auto"/>
              </w:rPr>
            </w:pPr>
            <w:r>
              <w:rPr>
                <w:rFonts w:ascii="Arial" w:cs="Arial" w:eastAsia="Arial" w:hAnsi="Arial"/>
                <w:sz w:val="15"/>
                <w:szCs w:val="15"/>
                <w:color w:val="auto"/>
              </w:rPr>
              <w:t>capital (millions US$)</w:t>
            </w: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8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Tier I Capital (millions US$)</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620.0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638.4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621.4</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620.0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621.4</w:t>
            </w:r>
          </w:p>
        </w:tc>
        <w:tc>
          <w:tcPr>
            <w:tcW w:w="0" w:type="dxa"/>
            <w:vAlign w:val="bottom"/>
          </w:tcPr>
          <w:p>
            <w:pPr>
              <w:spacing w:after="0"/>
              <w:rPr>
                <w:sz w:val="1"/>
                <w:szCs w:val="1"/>
                <w:color w:val="auto"/>
              </w:rPr>
            </w:pPr>
          </w:p>
        </w:tc>
      </w:tr>
      <w:tr>
        <w:trPr>
          <w:trHeight w:val="162"/>
        </w:trPr>
        <w:tc>
          <w:tcPr>
            <w:tcW w:w="458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Net equity as a percentage of period end total assets</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9.67%</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9.76%</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10.26%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9.67%</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10.26%</w:t>
            </w:r>
          </w:p>
        </w:tc>
        <w:tc>
          <w:tcPr>
            <w:tcW w:w="0" w:type="dxa"/>
            <w:vAlign w:val="bottom"/>
          </w:tcPr>
          <w:p>
            <w:pPr>
              <w:spacing w:after="0"/>
              <w:rPr>
                <w:sz w:val="1"/>
                <w:szCs w:val="1"/>
                <w:color w:val="auto"/>
              </w:rPr>
            </w:pPr>
          </w:p>
        </w:tc>
      </w:tr>
      <w:tr>
        <w:trPr>
          <w:trHeight w:val="188"/>
        </w:trPr>
        <w:tc>
          <w:tcPr>
            <w:tcW w:w="4580" w:type="dxa"/>
            <w:vAlign w:val="bottom"/>
            <w:gridSpan w:val="6"/>
          </w:tcPr>
          <w:p>
            <w:pPr>
              <w:ind w:left="80"/>
              <w:spacing w:after="0"/>
              <w:rPr>
                <w:sz w:val="20"/>
                <w:szCs w:val="20"/>
                <w:color w:val="auto"/>
              </w:rPr>
            </w:pPr>
            <w:r>
              <w:rPr>
                <w:rFonts w:ascii="Arial" w:cs="Arial" w:eastAsia="Arial" w:hAnsi="Arial"/>
                <w:sz w:val="15"/>
                <w:szCs w:val="15"/>
                <w:color w:val="auto"/>
              </w:rPr>
              <w:t>Regulatory capital / risk-weighted assets</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14.13%</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13.98%</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14.01%</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14.13%</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14.01%</w:t>
            </w:r>
          </w:p>
        </w:tc>
        <w:tc>
          <w:tcPr>
            <w:tcW w:w="0" w:type="dxa"/>
            <w:vAlign w:val="bottom"/>
          </w:tcPr>
          <w:p>
            <w:pPr>
              <w:spacing w:after="0"/>
              <w:rPr>
                <w:sz w:val="1"/>
                <w:szCs w:val="1"/>
                <w:color w:val="auto"/>
              </w:rPr>
            </w:pPr>
          </w:p>
        </w:tc>
      </w:tr>
      <w:tr>
        <w:trPr>
          <w:trHeight w:val="294"/>
        </w:trPr>
        <w:tc>
          <w:tcPr>
            <w:tcW w:w="4580" w:type="dxa"/>
            <w:vAlign w:val="bottom"/>
            <w:gridSpan w:val="6"/>
          </w:tcPr>
          <w:p>
            <w:pPr>
              <w:spacing w:after="0"/>
              <w:rPr>
                <w:sz w:val="20"/>
                <w:szCs w:val="20"/>
                <w:color w:val="auto"/>
              </w:rPr>
            </w:pPr>
            <w:r>
              <w:rPr>
                <w:rFonts w:ascii="Arial" w:cs="Arial" w:eastAsia="Arial" w:hAnsi="Arial"/>
                <w:sz w:val="15"/>
                <w:szCs w:val="15"/>
                <w:b w:val="1"/>
                <w:bCs w:val="1"/>
                <w:color w:val="auto"/>
              </w:rPr>
              <w:t xml:space="preserve">Average balances (millions </w:t>
            </w:r>
            <w:r>
              <w:rPr>
                <w:rFonts w:ascii="Arial" w:cs="Arial" w:eastAsia="Arial" w:hAnsi="Arial"/>
                <w:sz w:val="15"/>
                <w:szCs w:val="15"/>
                <w:b w:val="1"/>
                <w:bCs w:val="1"/>
                <w:u w:val="single" w:color="auto"/>
                <w:color w:val="auto"/>
              </w:rPr>
              <w:t>US$</w:t>
            </w:r>
            <w:r>
              <w:rPr>
                <w:rFonts w:ascii="Arial" w:cs="Arial" w:eastAsia="Arial" w:hAnsi="Arial"/>
                <w:sz w:val="15"/>
                <w:szCs w:val="15"/>
                <w:b w:val="1"/>
                <w:bCs w:val="1"/>
                <w:color w:val="auto"/>
              </w:rPr>
              <w:t>) (3)</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6,079.9</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6,882.7</w:t>
            </w:r>
          </w:p>
        </w:tc>
        <w:tc>
          <w:tcPr>
            <w:tcW w:w="2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6,996.6</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6,009.9</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6,798.2</w:t>
            </w:r>
          </w:p>
        </w:tc>
        <w:tc>
          <w:tcPr>
            <w:tcW w:w="0" w:type="dxa"/>
            <w:vAlign w:val="bottom"/>
          </w:tcPr>
          <w:p>
            <w:pPr>
              <w:spacing w:after="0"/>
              <w:rPr>
                <w:sz w:val="1"/>
                <w:szCs w:val="1"/>
                <w:color w:val="auto"/>
              </w:rPr>
            </w:pPr>
          </w:p>
        </w:tc>
      </w:tr>
      <w:tr>
        <w:trPr>
          <w:trHeight w:val="146"/>
        </w:trPr>
        <w:tc>
          <w:tcPr>
            <w:tcW w:w="2260" w:type="dxa"/>
            <w:vAlign w:val="bottom"/>
            <w:tcBorders>
              <w:top w:val="single" w:sz="8" w:color="auto"/>
            </w:tcBorders>
            <w:gridSpan w:val="5"/>
          </w:tcPr>
          <w:p>
            <w:pPr>
              <w:ind w:left="80"/>
              <w:spacing w:after="0" w:line="146" w:lineRule="exact"/>
              <w:rPr>
                <w:sz w:val="20"/>
                <w:szCs w:val="20"/>
                <w:color w:val="auto"/>
              </w:rPr>
            </w:pPr>
            <w:r>
              <w:rPr>
                <w:rFonts w:ascii="Arial" w:cs="Arial" w:eastAsia="Arial" w:hAnsi="Arial"/>
                <w:sz w:val="15"/>
                <w:szCs w:val="15"/>
                <w:color w:val="auto"/>
              </w:rPr>
              <w:t>Interest earning assets</w:t>
            </w:r>
          </w:p>
        </w:tc>
        <w:tc>
          <w:tcPr>
            <w:tcW w:w="23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8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Total Assets</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6,886.2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7,946.5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8,075.6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6,833.4</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7,747.2</w:t>
            </w:r>
          </w:p>
        </w:tc>
        <w:tc>
          <w:tcPr>
            <w:tcW w:w="0" w:type="dxa"/>
            <w:vAlign w:val="bottom"/>
          </w:tcPr>
          <w:p>
            <w:pPr>
              <w:spacing w:after="0"/>
              <w:rPr>
                <w:sz w:val="1"/>
                <w:szCs w:val="1"/>
                <w:color w:val="auto"/>
              </w:rPr>
            </w:pPr>
          </w:p>
        </w:tc>
      </w:tr>
      <w:tr>
        <w:trPr>
          <w:trHeight w:val="188"/>
        </w:trPr>
        <w:tc>
          <w:tcPr>
            <w:tcW w:w="4580" w:type="dxa"/>
            <w:vAlign w:val="bottom"/>
            <w:gridSpan w:val="6"/>
          </w:tcPr>
          <w:p>
            <w:pPr>
              <w:ind w:left="80"/>
              <w:spacing w:after="0"/>
              <w:rPr>
                <w:sz w:val="20"/>
                <w:szCs w:val="20"/>
                <w:color w:val="auto"/>
              </w:rPr>
            </w:pPr>
            <w:r>
              <w:rPr>
                <w:rFonts w:ascii="Arial" w:cs="Arial" w:eastAsia="Arial" w:hAnsi="Arial"/>
                <w:sz w:val="15"/>
                <w:szCs w:val="15"/>
                <w:color w:val="auto"/>
              </w:rPr>
              <w:t>Net equity</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655.0</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754.2</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808.4</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640.6</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787.1</w:t>
            </w:r>
          </w:p>
        </w:tc>
        <w:tc>
          <w:tcPr>
            <w:tcW w:w="0" w:type="dxa"/>
            <w:vAlign w:val="bottom"/>
          </w:tcPr>
          <w:p>
            <w:pPr>
              <w:spacing w:after="0"/>
              <w:rPr>
                <w:sz w:val="1"/>
                <w:szCs w:val="1"/>
                <w:color w:val="auto"/>
              </w:rPr>
            </w:pPr>
          </w:p>
        </w:tc>
      </w:tr>
      <w:tr>
        <w:trPr>
          <w:trHeight w:val="294"/>
        </w:trPr>
        <w:tc>
          <w:tcPr>
            <w:tcW w:w="4580" w:type="dxa"/>
            <w:vAlign w:val="bottom"/>
            <w:gridSpan w:val="6"/>
          </w:tcPr>
          <w:p>
            <w:pPr>
              <w:spacing w:after="0"/>
              <w:rPr>
                <w:sz w:val="20"/>
                <w:szCs w:val="20"/>
                <w:color w:val="auto"/>
              </w:rPr>
            </w:pPr>
            <w:r>
              <w:rPr>
                <w:rFonts w:ascii="Arial" w:cs="Arial" w:eastAsia="Arial" w:hAnsi="Arial"/>
                <w:sz w:val="15"/>
                <w:szCs w:val="15"/>
                <w:b w:val="1"/>
                <w:bCs w:val="1"/>
                <w:color w:val="auto"/>
              </w:rPr>
              <w:t>Additional data</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1,226</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1,287</w:t>
            </w:r>
          </w:p>
        </w:tc>
        <w:tc>
          <w:tcPr>
            <w:tcW w:w="2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1,287</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1,226</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00"/>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580" w:type="dxa"/>
            <w:vAlign w:val="bottom"/>
            <w:gridSpan w:val="6"/>
          </w:tcPr>
          <w:p>
            <w:pPr>
              <w:ind w:left="80"/>
              <w:spacing w:after="0" w:line="146" w:lineRule="exact"/>
              <w:rPr>
                <w:sz w:val="20"/>
                <w:szCs w:val="20"/>
                <w:color w:val="auto"/>
              </w:rPr>
            </w:pPr>
            <w:r>
              <w:rPr>
                <w:rFonts w:ascii="Arial" w:cs="Arial" w:eastAsia="Arial" w:hAnsi="Arial"/>
                <w:sz w:val="15"/>
                <w:szCs w:val="15"/>
                <w:color w:val="auto"/>
              </w:rPr>
              <w:t>No. of outstanding shares (millions)</w:t>
            </w: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8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No. of employees</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7,667</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7,575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7,494</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7,667</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7,494</w:t>
            </w:r>
          </w:p>
        </w:tc>
        <w:tc>
          <w:tcPr>
            <w:tcW w:w="0" w:type="dxa"/>
            <w:vAlign w:val="bottom"/>
          </w:tcPr>
          <w:p>
            <w:pPr>
              <w:spacing w:after="0"/>
              <w:rPr>
                <w:sz w:val="1"/>
                <w:szCs w:val="1"/>
                <w:color w:val="auto"/>
              </w:rPr>
            </w:pPr>
          </w:p>
        </w:tc>
      </w:tr>
      <w:tr>
        <w:trPr>
          <w:trHeight w:val="162"/>
        </w:trPr>
        <w:tc>
          <w:tcPr>
            <w:tcW w:w="4580" w:type="dxa"/>
            <w:vAlign w:val="bottom"/>
            <w:gridSpan w:val="6"/>
          </w:tcPr>
          <w:p>
            <w:pPr>
              <w:ind w:left="80"/>
              <w:spacing w:after="0" w:line="162" w:lineRule="exact"/>
              <w:rPr>
                <w:sz w:val="20"/>
                <w:szCs w:val="20"/>
                <w:color w:val="auto"/>
              </w:rPr>
            </w:pPr>
            <w:r>
              <w:rPr>
                <w:rFonts w:ascii="Arial" w:cs="Arial" w:eastAsia="Arial" w:hAnsi="Arial"/>
                <w:sz w:val="15"/>
                <w:szCs w:val="15"/>
                <w:color w:val="auto"/>
              </w:rPr>
              <w:t>Inflation rate ( Wholesale price index)</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0.13%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0.58%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4.91%</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188"/>
        </w:trPr>
        <w:tc>
          <w:tcPr>
            <w:tcW w:w="4580" w:type="dxa"/>
            <w:vAlign w:val="bottom"/>
            <w:gridSpan w:val="6"/>
          </w:tcPr>
          <w:p>
            <w:pPr>
              <w:ind w:left="80"/>
              <w:spacing w:after="0"/>
              <w:rPr>
                <w:sz w:val="20"/>
                <w:szCs w:val="20"/>
                <w:color w:val="auto"/>
              </w:rPr>
            </w:pPr>
            <w:r>
              <w:rPr>
                <w:rFonts w:ascii="Arial" w:cs="Arial" w:eastAsia="Arial" w:hAnsi="Arial"/>
                <w:sz w:val="15"/>
                <w:szCs w:val="15"/>
                <w:color w:val="auto"/>
              </w:rPr>
              <w:t>Exchange rate (S/. per 1 U.S. Dollar)</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3.34</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3.25</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3.34</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3.34</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(1)Shares outstanding of 1,287 million is used for all periods since shares have been</w:t>
      </w:r>
    </w:p>
    <w:p>
      <w:pPr>
        <w:ind w:left="120"/>
        <w:spacing w:after="0" w:line="227" w:lineRule="auto"/>
        <w:rPr>
          <w:sz w:val="20"/>
          <w:szCs w:val="20"/>
          <w:color w:val="auto"/>
        </w:rPr>
      </w:pPr>
      <w:r>
        <w:rPr>
          <w:rFonts w:ascii="Arial" w:cs="Arial" w:eastAsia="Arial" w:hAnsi="Arial"/>
          <w:sz w:val="15"/>
          <w:szCs w:val="15"/>
          <w:i w:val="1"/>
          <w:iCs w:val="1"/>
          <w:color w:val="auto"/>
        </w:rPr>
        <w:t>issued only for capitalization of profits and inflation adjustment.</w:t>
      </w:r>
    </w:p>
    <w:p>
      <w:pPr>
        <w:spacing w:after="0" w:line="226" w:lineRule="auto"/>
        <w:rPr>
          <w:sz w:val="20"/>
          <w:szCs w:val="20"/>
          <w:color w:val="auto"/>
        </w:rPr>
      </w:pPr>
      <w:r>
        <w:rPr>
          <w:rFonts w:ascii="Arial" w:cs="Arial" w:eastAsia="Arial" w:hAnsi="Arial"/>
          <w:sz w:val="15"/>
          <w:szCs w:val="15"/>
          <w:i w:val="1"/>
          <w:iCs w:val="1"/>
          <w:color w:val="auto"/>
        </w:rPr>
        <w:t>(2)Ratios are annualized.</w:t>
      </w:r>
    </w:p>
    <w:p>
      <w:pPr>
        <w:spacing w:after="0" w:line="225" w:lineRule="auto"/>
        <w:rPr>
          <w:sz w:val="20"/>
          <w:szCs w:val="20"/>
          <w:color w:val="auto"/>
        </w:rPr>
      </w:pPr>
      <w:r>
        <w:rPr>
          <w:rFonts w:ascii="Arial" w:cs="Arial" w:eastAsia="Arial" w:hAnsi="Arial"/>
          <w:sz w:val="15"/>
          <w:szCs w:val="15"/>
          <w:i w:val="1"/>
          <w:iCs w:val="1"/>
          <w:color w:val="auto"/>
        </w:rPr>
        <w:t>(3)Averages are determined as the average of period-beginning and period-ending balances.</w:t>
      </w:r>
    </w:p>
    <w:p>
      <w:pPr>
        <w:spacing w:after="0" w:line="226" w:lineRule="auto"/>
        <w:rPr>
          <w:sz w:val="20"/>
          <w:szCs w:val="20"/>
          <w:color w:val="auto"/>
        </w:rPr>
      </w:pPr>
      <w:r>
        <w:rPr>
          <w:rFonts w:ascii="Arial" w:cs="Arial" w:eastAsia="Arial" w:hAnsi="Arial"/>
          <w:sz w:val="15"/>
          <w:szCs w:val="15"/>
          <w:i w:val="1"/>
          <w:iCs w:val="1"/>
          <w:color w:val="auto"/>
        </w:rPr>
        <w:t>(4)Total income includes net interest income and other income, excluding non-recurring items.</w:t>
      </w:r>
    </w:p>
    <w:p>
      <w:pPr>
        <w:spacing w:after="0" w:line="225" w:lineRule="auto"/>
        <w:rPr>
          <w:sz w:val="20"/>
          <w:szCs w:val="20"/>
          <w:color w:val="auto"/>
        </w:rPr>
      </w:pPr>
      <w:r>
        <w:rPr>
          <w:rFonts w:ascii="Arial" w:cs="Arial" w:eastAsia="Arial" w:hAnsi="Arial"/>
          <w:sz w:val="15"/>
          <w:szCs w:val="15"/>
          <w:i w:val="1"/>
          <w:iCs w:val="1"/>
          <w:color w:val="auto"/>
        </w:rPr>
        <w:t>(5)Operating expense does not include mandatory employee profit sharing expense nor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5"/>
          <w:szCs w:val="15"/>
          <w:i w:val="1"/>
          <w:iCs w:val="1"/>
          <w:color w:val="auto"/>
        </w:rPr>
        <w:t>provisions for other assets received in lieu of loan repayment and non-recurring items.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ATLANTIC SECURITY HOLDING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7</w:t>
      </w:r>
    </w:p>
    <w:p>
      <w:pPr>
        <w:jc w:val="center"/>
        <w:spacing w:after="0" w:line="230" w:lineRule="auto"/>
        <w:rPr>
          <w:sz w:val="20"/>
          <w:szCs w:val="20"/>
          <w:color w:val="auto"/>
        </w:rPr>
      </w:pPr>
      <w:r>
        <w:rPr>
          <w:rFonts w:ascii="Arial" w:cs="Arial" w:eastAsia="Arial" w:hAnsi="Arial"/>
          <w:sz w:val="22"/>
          <w:szCs w:val="22"/>
          <w:b w:val="1"/>
          <w:bCs w:val="1"/>
          <w:color w:val="auto"/>
        </w:rPr>
        <w:t>SELECTED FINANCIAL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(Thousands of U.S. Dollars, except net income per share, and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w w:val="98"/>
              </w:rPr>
              <w:t>Three months ended</w:t>
            </w:r>
          </w:p>
        </w:tc>
        <w:tc>
          <w:tcPr>
            <w:tcW w:w="11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40" w:type="dxa"/>
            <w:vAlign w:val="bottom"/>
            <w:tcBorders>
              <w:top w:val="single" w:sz="8" w:color="auto"/>
              <w:bottom w:val="single" w:sz="8" w:color="auto"/>
            </w:tcBorders>
            <w:gridSpan w:val="3"/>
          </w:tcPr>
          <w:p>
            <w:pPr>
              <w:ind w:left="600"/>
              <w:spacing w:after="0"/>
              <w:rPr>
                <w:sz w:val="20"/>
                <w:szCs w:val="20"/>
                <w:color w:val="auto"/>
              </w:rPr>
            </w:pPr>
            <w:r>
              <w:rPr>
                <w:rFonts w:ascii="Arial" w:cs="Arial" w:eastAsia="Arial" w:hAnsi="Arial"/>
                <w:sz w:val="15"/>
                <w:szCs w:val="15"/>
                <w:b w:val="1"/>
                <w:bCs w:val="1"/>
                <w:color w:val="auto"/>
                <w:w w:val="87"/>
              </w:rPr>
              <w:t>Nine months ended</w:t>
            </w:r>
          </w:p>
        </w:tc>
        <w:tc>
          <w:tcPr>
            <w:tcW w:w="6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30.09.04</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30.06.05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30.09.05</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30.09.04</w:t>
            </w: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9"/>
              </w:rPr>
              <w:t>30.09.05</w:t>
            </w:r>
          </w:p>
        </w:tc>
        <w:tc>
          <w:tcPr>
            <w:tcW w:w="0" w:type="dxa"/>
            <w:vAlign w:val="bottom"/>
          </w:tcPr>
          <w:p>
            <w:pPr>
              <w:spacing w:after="0"/>
              <w:rPr>
                <w:sz w:val="1"/>
                <w:szCs w:val="1"/>
                <w:color w:val="auto"/>
              </w:rPr>
            </w:pPr>
          </w:p>
        </w:tc>
      </w:tr>
      <w:tr>
        <w:trPr>
          <w:trHeight w:val="156"/>
        </w:trPr>
        <w:tc>
          <w:tcPr>
            <w:tcW w:w="4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b w:val="1"/>
                <w:bCs w:val="1"/>
                <w:color w:val="auto"/>
                <w:w w:val="84"/>
              </w:rPr>
              <w:t>Results</w:t>
            </w:r>
          </w:p>
        </w:tc>
        <w:tc>
          <w:tcPr>
            <w:tcW w:w="4340" w:type="dxa"/>
            <w:vAlign w:val="bottom"/>
            <w:gridSpan w:val="4"/>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3,374</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3,224</w:t>
            </w:r>
          </w:p>
        </w:tc>
        <w:tc>
          <w:tcPr>
            <w:tcW w:w="2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3,022</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10,389</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9,420</w:t>
            </w:r>
          </w:p>
        </w:tc>
        <w:tc>
          <w:tcPr>
            <w:tcW w:w="0" w:type="dxa"/>
            <w:vAlign w:val="bottom"/>
          </w:tcPr>
          <w:p>
            <w:pPr>
              <w:spacing w:after="0"/>
              <w:rPr>
                <w:sz w:val="1"/>
                <w:szCs w:val="1"/>
                <w:color w:val="auto"/>
              </w:rPr>
            </w:pPr>
          </w:p>
        </w:tc>
      </w:tr>
      <w:tr>
        <w:trPr>
          <w:trHeight w:val="146"/>
        </w:trPr>
        <w:tc>
          <w:tcPr>
            <w:tcW w:w="4820" w:type="dxa"/>
            <w:vAlign w:val="bottom"/>
            <w:gridSpan w:val="5"/>
          </w:tcPr>
          <w:p>
            <w:pPr>
              <w:ind w:left="80"/>
              <w:spacing w:after="0" w:line="146" w:lineRule="exact"/>
              <w:rPr>
                <w:sz w:val="20"/>
                <w:szCs w:val="20"/>
                <w:color w:val="auto"/>
              </w:rPr>
            </w:pPr>
            <w:r>
              <w:rPr>
                <w:rFonts w:ascii="Arial" w:cs="Arial" w:eastAsia="Arial" w:hAnsi="Arial"/>
                <w:sz w:val="15"/>
                <w:szCs w:val="15"/>
                <w:color w:val="auto"/>
              </w:rPr>
              <w:t>Net Interest Income (w/o dividends)</w:t>
            </w:r>
          </w:p>
        </w:tc>
        <w:tc>
          <w:tcPr>
            <w:tcW w:w="114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Dividend income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5,947</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11,825</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Provisions for credit and market risks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200</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1,554</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1,300</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Commissions and fee income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1,001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1,122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1,155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3,212</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3,635</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Other Income(1)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329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1,578</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2,697</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3,936</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Operating Expense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1,911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1,896</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1,979</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5,551</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5,823</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Net Income</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2,827</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2,952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3,629</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15,141</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21,692</w:t>
            </w:r>
          </w:p>
        </w:tc>
        <w:tc>
          <w:tcPr>
            <w:tcW w:w="0" w:type="dxa"/>
            <w:vAlign w:val="bottom"/>
          </w:tcPr>
          <w:p>
            <w:pPr>
              <w:spacing w:after="0"/>
              <w:rPr>
                <w:sz w:val="1"/>
                <w:szCs w:val="1"/>
                <w:color w:val="auto"/>
              </w:rPr>
            </w:pPr>
          </w:p>
        </w:tc>
      </w:tr>
      <w:tr>
        <w:trPr>
          <w:trHeight w:val="188"/>
        </w:trPr>
        <w:tc>
          <w:tcPr>
            <w:tcW w:w="4820" w:type="dxa"/>
            <w:vAlign w:val="bottom"/>
            <w:gridSpan w:val="5"/>
          </w:tcPr>
          <w:p>
            <w:pPr>
              <w:ind w:left="80"/>
              <w:spacing w:after="0"/>
              <w:rPr>
                <w:sz w:val="20"/>
                <w:szCs w:val="20"/>
                <w:color w:val="auto"/>
              </w:rPr>
            </w:pPr>
            <w:r>
              <w:rPr>
                <w:rFonts w:ascii="Arial" w:cs="Arial" w:eastAsia="Arial" w:hAnsi="Arial"/>
                <w:sz w:val="15"/>
                <w:szCs w:val="15"/>
                <w:color w:val="auto"/>
              </w:rPr>
              <w:t>Net Income contributed to Credicorp</w:t>
            </w:r>
          </w:p>
        </w:tc>
        <w:tc>
          <w:tcPr>
            <w:tcW w:w="1140" w:type="dxa"/>
            <w:vAlign w:val="bottom"/>
          </w:tcPr>
          <w:p>
            <w:pPr>
              <w:jc w:val="right"/>
              <w:spacing w:after="0"/>
              <w:rPr>
                <w:sz w:val="20"/>
                <w:szCs w:val="20"/>
                <w:color w:val="auto"/>
              </w:rPr>
            </w:pPr>
            <w:r>
              <w:rPr>
                <w:rFonts w:ascii="Arial" w:cs="Arial" w:eastAsia="Arial" w:hAnsi="Arial"/>
                <w:sz w:val="15"/>
                <w:szCs w:val="15"/>
                <w:color w:val="auto"/>
              </w:rPr>
              <w:t>2,827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2,952</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3,628</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9,287</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9,995</w:t>
            </w:r>
          </w:p>
        </w:tc>
        <w:tc>
          <w:tcPr>
            <w:tcW w:w="0" w:type="dxa"/>
            <w:vAlign w:val="bottom"/>
          </w:tcPr>
          <w:p>
            <w:pPr>
              <w:spacing w:after="0"/>
              <w:rPr>
                <w:sz w:val="1"/>
                <w:szCs w:val="1"/>
                <w:color w:val="auto"/>
              </w:rPr>
            </w:pPr>
          </w:p>
        </w:tc>
      </w:tr>
      <w:tr>
        <w:trPr>
          <w:trHeight w:val="294"/>
        </w:trPr>
        <w:tc>
          <w:tcPr>
            <w:tcW w:w="4820" w:type="dxa"/>
            <w:vAlign w:val="bottom"/>
            <w:gridSpan w:val="5"/>
          </w:tcPr>
          <w:p>
            <w:pPr>
              <w:spacing w:after="0"/>
              <w:rPr>
                <w:sz w:val="20"/>
                <w:szCs w:val="20"/>
                <w:color w:val="auto"/>
              </w:rPr>
            </w:pPr>
            <w:r>
              <w:rPr>
                <w:rFonts w:ascii="Arial" w:cs="Arial" w:eastAsia="Arial" w:hAnsi="Arial"/>
                <w:sz w:val="15"/>
                <w:szCs w:val="15"/>
                <w:b w:val="1"/>
                <w:bCs w:val="1"/>
                <w:color w:val="auto"/>
              </w:rPr>
              <w:t>Balance Sheets (end of period)</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871,734</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926,666</w:t>
            </w:r>
          </w:p>
        </w:tc>
        <w:tc>
          <w:tcPr>
            <w:tcW w:w="2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1,003,367</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871,734</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w w:val="86"/>
              </w:rPr>
              <w:t>1,003,367</w:t>
            </w:r>
          </w:p>
        </w:tc>
        <w:tc>
          <w:tcPr>
            <w:tcW w:w="0" w:type="dxa"/>
            <w:vAlign w:val="bottom"/>
          </w:tcPr>
          <w:p>
            <w:pPr>
              <w:spacing w:after="0"/>
              <w:rPr>
                <w:sz w:val="1"/>
                <w:szCs w:val="1"/>
                <w:color w:val="auto"/>
              </w:rPr>
            </w:pPr>
          </w:p>
        </w:tc>
      </w:tr>
      <w:tr>
        <w:trPr>
          <w:trHeight w:val="146"/>
        </w:trPr>
        <w:tc>
          <w:tcPr>
            <w:tcW w:w="1940" w:type="dxa"/>
            <w:vAlign w:val="bottom"/>
            <w:tcBorders>
              <w:top w:val="single" w:sz="8" w:color="auto"/>
            </w:tcBorders>
            <w:gridSpan w:val="3"/>
          </w:tcPr>
          <w:p>
            <w:pPr>
              <w:ind w:left="80"/>
              <w:spacing w:after="0" w:line="146" w:lineRule="exact"/>
              <w:rPr>
                <w:sz w:val="20"/>
                <w:szCs w:val="20"/>
                <w:color w:val="auto"/>
              </w:rPr>
            </w:pPr>
            <w:r>
              <w:rPr>
                <w:rFonts w:ascii="Arial" w:cs="Arial" w:eastAsia="Arial" w:hAnsi="Arial"/>
                <w:sz w:val="15"/>
                <w:szCs w:val="15"/>
                <w:color w:val="auto"/>
              </w:rPr>
              <w:t>Total Assets</w:t>
            </w:r>
          </w:p>
        </w:tc>
        <w:tc>
          <w:tcPr>
            <w:tcW w:w="2880" w:type="dxa"/>
            <w:vAlign w:val="bottom"/>
            <w:gridSpan w:val="2"/>
          </w:tcPr>
          <w:p>
            <w:pPr>
              <w:spacing w:after="0"/>
              <w:rPr>
                <w:sz w:val="12"/>
                <w:szCs w:val="12"/>
                <w:color w:val="auto"/>
              </w:rPr>
            </w:pPr>
          </w:p>
        </w:tc>
        <w:tc>
          <w:tcPr>
            <w:tcW w:w="114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Loan portfolio, net</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154,518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151,945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130,619</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154,518</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130,619</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Marketable securities and investments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500,498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555,468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618,772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500,498</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618,772</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Total Deposits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688,718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747,123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821,259</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688,718</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821,259</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Shareholders' equity</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146,512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156,832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161,755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146,512</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161,755</w:t>
            </w:r>
          </w:p>
        </w:tc>
        <w:tc>
          <w:tcPr>
            <w:tcW w:w="0" w:type="dxa"/>
            <w:vAlign w:val="bottom"/>
          </w:tcPr>
          <w:p>
            <w:pPr>
              <w:spacing w:after="0"/>
              <w:rPr>
                <w:sz w:val="1"/>
                <w:szCs w:val="1"/>
                <w:color w:val="auto"/>
              </w:rPr>
            </w:pPr>
          </w:p>
        </w:tc>
      </w:tr>
      <w:tr>
        <w:trPr>
          <w:trHeight w:val="188"/>
        </w:trPr>
        <w:tc>
          <w:tcPr>
            <w:tcW w:w="4820" w:type="dxa"/>
            <w:vAlign w:val="bottom"/>
            <w:gridSpan w:val="5"/>
          </w:tcPr>
          <w:p>
            <w:pPr>
              <w:ind w:left="80"/>
              <w:spacing w:after="0"/>
              <w:rPr>
                <w:sz w:val="20"/>
                <w:szCs w:val="20"/>
                <w:color w:val="auto"/>
              </w:rPr>
            </w:pPr>
            <w:r>
              <w:rPr>
                <w:rFonts w:ascii="Arial" w:cs="Arial" w:eastAsia="Arial" w:hAnsi="Arial"/>
                <w:sz w:val="15"/>
                <w:szCs w:val="15"/>
                <w:color w:val="auto"/>
              </w:rPr>
              <w:t>Funds under administration</w:t>
            </w:r>
          </w:p>
        </w:tc>
        <w:tc>
          <w:tcPr>
            <w:tcW w:w="1140" w:type="dxa"/>
            <w:vAlign w:val="bottom"/>
          </w:tcPr>
          <w:p>
            <w:pPr>
              <w:jc w:val="right"/>
              <w:spacing w:after="0"/>
              <w:rPr>
                <w:sz w:val="20"/>
                <w:szCs w:val="20"/>
                <w:color w:val="auto"/>
              </w:rPr>
            </w:pPr>
            <w:r>
              <w:rPr>
                <w:rFonts w:ascii="Arial" w:cs="Arial" w:eastAsia="Arial" w:hAnsi="Arial"/>
                <w:sz w:val="15"/>
                <w:szCs w:val="15"/>
                <w:color w:val="auto"/>
              </w:rPr>
              <w:t>708,752</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797,263</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900,454</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708,752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900,454</w:t>
            </w:r>
          </w:p>
        </w:tc>
        <w:tc>
          <w:tcPr>
            <w:tcW w:w="0" w:type="dxa"/>
            <w:vAlign w:val="bottom"/>
          </w:tcPr>
          <w:p>
            <w:pPr>
              <w:spacing w:after="0"/>
              <w:rPr>
                <w:sz w:val="1"/>
                <w:szCs w:val="1"/>
                <w:color w:val="auto"/>
              </w:rPr>
            </w:pPr>
          </w:p>
        </w:tc>
      </w:tr>
      <w:tr>
        <w:trPr>
          <w:trHeight w:val="294"/>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3"/>
              </w:rPr>
              <w:t>Ratios (3)</w:t>
            </w:r>
          </w:p>
        </w:tc>
        <w:tc>
          <w:tcPr>
            <w:tcW w:w="4160" w:type="dxa"/>
            <w:vAlign w:val="bottom"/>
            <w:gridSpan w:val="3"/>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1.9%</w:t>
            </w:r>
          </w:p>
        </w:tc>
        <w:tc>
          <w:tcPr>
            <w:tcW w:w="1380" w:type="dxa"/>
            <w:vAlign w:val="bottom"/>
            <w:gridSpan w:val="2"/>
            <w:vMerge w:val="restart"/>
          </w:tcPr>
          <w:p>
            <w:pPr>
              <w:jc w:val="right"/>
              <w:spacing w:after="0"/>
              <w:rPr>
                <w:sz w:val="20"/>
                <w:szCs w:val="20"/>
                <w:color w:val="auto"/>
              </w:rPr>
            </w:pPr>
            <w:r>
              <w:rPr>
                <w:rFonts w:ascii="Arial" w:cs="Arial" w:eastAsia="Arial" w:hAnsi="Arial"/>
                <w:sz w:val="15"/>
                <w:szCs w:val="15"/>
                <w:color w:val="auto"/>
              </w:rPr>
              <w:t>1.6%</w:t>
            </w:r>
          </w:p>
        </w:tc>
        <w:tc>
          <w:tcPr>
            <w:tcW w:w="2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1.5%</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1.9%</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46"/>
        </w:trPr>
        <w:tc>
          <w:tcPr>
            <w:tcW w:w="4820" w:type="dxa"/>
            <w:vAlign w:val="bottom"/>
            <w:gridSpan w:val="5"/>
          </w:tcPr>
          <w:p>
            <w:pPr>
              <w:ind w:left="80"/>
              <w:spacing w:after="0" w:line="146" w:lineRule="exact"/>
              <w:rPr>
                <w:sz w:val="20"/>
                <w:szCs w:val="20"/>
                <w:color w:val="auto"/>
              </w:rPr>
            </w:pPr>
            <w:r>
              <w:rPr>
                <w:rFonts w:ascii="Arial" w:cs="Arial" w:eastAsia="Arial" w:hAnsi="Arial"/>
                <w:sz w:val="15"/>
                <w:szCs w:val="15"/>
                <w:color w:val="auto"/>
              </w:rPr>
              <w:t>Net interest margin / interest earning assets (3,4,5)</w:t>
            </w:r>
          </w:p>
        </w:tc>
        <w:tc>
          <w:tcPr>
            <w:tcW w:w="114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Return on average stockholders' equity(4)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9.1%</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15.6%</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Return on average total assets(4)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Past due loans as a percentage of total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2.4%</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0.0%</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Reserves for loan losses as a percentage</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240"/>
              <w:spacing w:after="0" w:line="162" w:lineRule="exact"/>
              <w:rPr>
                <w:sz w:val="20"/>
                <w:szCs w:val="20"/>
                <w:color w:val="auto"/>
              </w:rPr>
            </w:pPr>
            <w:r>
              <w:rPr>
                <w:rFonts w:ascii="Arial" w:cs="Arial" w:eastAsia="Arial" w:hAnsi="Arial"/>
                <w:sz w:val="15"/>
                <w:szCs w:val="15"/>
                <w:color w:val="auto"/>
              </w:rPr>
              <w:t>of total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3.4%</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2.2%</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Operating expense / total income(6)</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40.3%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39.1%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34.1%</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25.0%</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Operating expense / average total assets(4)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0.8%</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0.9%</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62"/>
        </w:trPr>
        <w:tc>
          <w:tcPr>
            <w:tcW w:w="4820" w:type="dxa"/>
            <w:vAlign w:val="bottom"/>
            <w:gridSpan w:val="5"/>
          </w:tcPr>
          <w:p>
            <w:pPr>
              <w:ind w:left="80"/>
              <w:spacing w:after="0" w:line="162" w:lineRule="exact"/>
              <w:rPr>
                <w:sz w:val="20"/>
                <w:szCs w:val="20"/>
                <w:color w:val="auto"/>
              </w:rPr>
            </w:pPr>
            <w:r>
              <w:rPr>
                <w:rFonts w:ascii="Arial" w:cs="Arial" w:eastAsia="Arial" w:hAnsi="Arial"/>
                <w:sz w:val="15"/>
                <w:szCs w:val="15"/>
                <w:color w:val="auto"/>
              </w:rPr>
              <w:t>Operating expense / average total assets +</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3"/>
          </w:tcPr>
          <w:p>
            <w:pPr>
              <w:ind w:left="500"/>
              <w:spacing w:after="0" w:line="172" w:lineRule="exact"/>
              <w:rPr>
                <w:sz w:val="20"/>
                <w:szCs w:val="20"/>
                <w:color w:val="auto"/>
              </w:rPr>
            </w:pPr>
            <w:r>
              <w:rPr>
                <w:rFonts w:ascii="Arial" w:cs="Arial" w:eastAsia="Arial" w:hAnsi="Arial"/>
                <w:sz w:val="15"/>
                <w:szCs w:val="15"/>
                <w:color w:val="auto"/>
              </w:rPr>
              <w:t>funds under management(4)</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0.5%</w:t>
            </w:r>
          </w:p>
        </w:tc>
        <w:tc>
          <w:tcPr>
            <w:tcW w:w="138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0.4%</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0.4%</w:t>
            </w:r>
          </w:p>
        </w:tc>
        <w:tc>
          <w:tcPr>
            <w:tcW w:w="13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0.5%</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Includes realized gains in securities.</w:t>
      </w:r>
    </w:p>
    <w:p>
      <w:pPr>
        <w:spacing w:after="0" w:line="1" w:lineRule="exact"/>
        <w:rPr>
          <w:rFonts w:ascii="Arial" w:cs="Arial" w:eastAsia="Arial" w:hAnsi="Arial"/>
          <w:sz w:val="15"/>
          <w:szCs w:val="15"/>
          <w:i w:val="1"/>
          <w:iCs w:val="1"/>
          <w:color w:val="auto"/>
        </w:rPr>
      </w:pPr>
    </w:p>
    <w:p>
      <w:pPr>
        <w:ind w:left="220" w:hanging="212"/>
        <w:spacing w:after="0" w:line="225" w:lineRule="auto"/>
        <w:tabs>
          <w:tab w:leader="none" w:pos="22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Averages are determined as the average of period-beginning and period-ending balances.</w:t>
      </w:r>
    </w:p>
    <w:p>
      <w:pPr>
        <w:ind w:left="220" w:hanging="212"/>
        <w:spacing w:after="0" w:line="225" w:lineRule="auto"/>
        <w:tabs>
          <w:tab w:leader="none" w:pos="22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Averages determined from monthly balances.</w:t>
      </w:r>
    </w:p>
    <w:p>
      <w:pPr>
        <w:ind w:left="220" w:hanging="212"/>
        <w:spacing w:after="0" w:line="225" w:lineRule="auto"/>
        <w:tabs>
          <w:tab w:leader="none" w:pos="22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Annualized.</w:t>
      </w:r>
    </w:p>
    <w:p>
      <w:pPr>
        <w:ind w:left="220" w:hanging="212"/>
        <w:spacing w:after="0" w:line="225" w:lineRule="auto"/>
        <w:tabs>
          <w:tab w:leader="none" w:pos="22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Without considering dividend income and dividend earning assets.</w:t>
      </w:r>
    </w:p>
    <w:p>
      <w:pPr>
        <w:ind w:left="220" w:hanging="212"/>
        <w:spacing w:after="0"/>
        <w:tabs>
          <w:tab w:leader="none" w:pos="22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Without considering provisions for investments.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1"/>
          <w:szCs w:val="21"/>
          <w:b w:val="1"/>
          <w:bCs w:val="1"/>
          <w:color w:val="auto"/>
        </w:rPr>
        <w:t>EL PACIFICO-PERUANO SUIZA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8</w:t>
      </w:r>
    </w:p>
    <w:p>
      <w:pPr>
        <w:jc w:val="center"/>
        <w:spacing w:after="0" w:line="230" w:lineRule="auto"/>
        <w:rPr>
          <w:sz w:val="20"/>
          <w:szCs w:val="20"/>
          <w:color w:val="auto"/>
        </w:rPr>
      </w:pPr>
      <w:r>
        <w:rPr>
          <w:rFonts w:ascii="Arial" w:cs="Arial" w:eastAsia="Arial" w:hAnsi="Arial"/>
          <w:sz w:val="22"/>
          <w:szCs w:val="22"/>
          <w:b w:val="1"/>
          <w:bCs w:val="1"/>
          <w:color w:val="auto"/>
        </w:rPr>
        <w:t>SELECTED FINANCIAL DATA(1)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 U.S. Dollars in thousands,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58" w:lineRule="exact"/>
        <w:rPr>
          <w:sz w:val="20"/>
          <w:szCs w:val="20"/>
          <w:color w:val="auto"/>
        </w:rPr>
      </w:pPr>
    </w:p>
    <w:p>
      <w:pPr>
        <w:jc w:val="center"/>
        <w:ind w:left="4760"/>
        <w:spacing w:after="0"/>
        <w:rPr>
          <w:sz w:val="20"/>
          <w:szCs w:val="20"/>
          <w:color w:val="auto"/>
        </w:rPr>
      </w:pPr>
      <w:r>
        <w:rPr>
          <w:rFonts w:ascii="Arial" w:cs="Arial" w:eastAsia="Arial" w:hAnsi="Arial"/>
          <w:sz w:val="13"/>
          <w:szCs w:val="13"/>
          <w:b w:val="1"/>
          <w:bCs w:val="1"/>
          <w:color w:val="auto"/>
        </w:rPr>
        <w:t>As of and for the three month</w:t>
      </w:r>
    </w:p>
    <w:p>
      <w:pPr>
        <w:spacing w:after="0" w:line="15" w:lineRule="exact"/>
        <w:rPr>
          <w:sz w:val="20"/>
          <w:szCs w:val="20"/>
          <w:color w:val="auto"/>
        </w:rPr>
      </w:pPr>
    </w:p>
    <w:p>
      <w:pPr>
        <w:jc w:val="center"/>
        <w:ind w:left="4720"/>
        <w:spacing w:after="0"/>
        <w:rPr>
          <w:sz w:val="20"/>
          <w:szCs w:val="20"/>
          <w:color w:val="auto"/>
        </w:rPr>
      </w:pPr>
      <w:r>
        <w:rPr>
          <w:rFonts w:ascii="Arial" w:cs="Arial" w:eastAsia="Arial" w:hAnsi="Arial"/>
          <w:sz w:val="15"/>
          <w:szCs w:val="15"/>
          <w:b w:val="1"/>
          <w:bCs w:val="1"/>
          <w:color w:val="auto"/>
        </w:rPr>
        <w:t>period ended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 of and for the nine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month period ended</w:t>
      </w:r>
    </w:p>
    <w:p>
      <w:pPr>
        <w:spacing w:after="0" w:line="10" w:lineRule="exact"/>
        <w:rPr>
          <w:sz w:val="20"/>
          <w:szCs w:val="20"/>
          <w:color w:val="auto"/>
        </w:rPr>
      </w:pPr>
    </w:p>
    <w:p>
      <w:pPr>
        <w:sectPr>
          <w:pgSz w:w="11900" w:h="16838" w:orient="portrait"/>
          <w:cols w:equalWidth="0" w:num="2">
            <w:col w:w="8760" w:space="720"/>
            <w:col w:w="1940"/>
          </w:cols>
          <w:pgMar w:left="240" w:top="111" w:right="2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bottom w:val="single" w:sz="8" w:color="auto"/>
            </w:tcBorders>
            <w:gridSpan w:val="3"/>
          </w:tcPr>
          <w:p>
            <w:pPr>
              <w:jc w:val="right"/>
              <w:ind w:right="40"/>
              <w:spacing w:after="0" w:line="169" w:lineRule="exact"/>
              <w:rPr>
                <w:sz w:val="20"/>
                <w:szCs w:val="20"/>
                <w:color w:val="auto"/>
              </w:rPr>
            </w:pPr>
            <w:r>
              <w:rPr>
                <w:rFonts w:ascii="Arial" w:cs="Arial" w:eastAsia="Arial" w:hAnsi="Arial"/>
                <w:sz w:val="15"/>
                <w:szCs w:val="15"/>
                <w:b w:val="1"/>
                <w:bCs w:val="1"/>
                <w:color w:val="auto"/>
              </w:rPr>
              <w:t>30.09.04</w:t>
            </w: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gridSpan w:val="2"/>
          </w:tcPr>
          <w:p>
            <w:pPr>
              <w:jc w:val="right"/>
              <w:ind w:right="226"/>
              <w:spacing w:after="0" w:line="169" w:lineRule="exact"/>
              <w:rPr>
                <w:sz w:val="20"/>
                <w:szCs w:val="20"/>
                <w:color w:val="auto"/>
              </w:rPr>
            </w:pPr>
            <w:r>
              <w:rPr>
                <w:rFonts w:ascii="Arial" w:cs="Arial" w:eastAsia="Arial" w:hAnsi="Arial"/>
                <w:sz w:val="15"/>
                <w:szCs w:val="15"/>
                <w:b w:val="1"/>
                <w:bCs w:val="1"/>
                <w:color w:val="auto"/>
              </w:rPr>
              <w:t>30.06.05</w:t>
            </w: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3"/>
          </w:tcPr>
          <w:p>
            <w:pPr>
              <w:jc w:val="right"/>
              <w:ind w:right="40"/>
              <w:spacing w:after="0" w:line="169" w:lineRule="exact"/>
              <w:rPr>
                <w:sz w:val="20"/>
                <w:szCs w:val="20"/>
                <w:color w:val="auto"/>
              </w:rPr>
            </w:pPr>
            <w:r>
              <w:rPr>
                <w:rFonts w:ascii="Arial" w:cs="Arial" w:eastAsia="Arial" w:hAnsi="Arial"/>
                <w:sz w:val="15"/>
                <w:szCs w:val="15"/>
                <w:b w:val="1"/>
                <w:bCs w:val="1"/>
                <w:color w:val="auto"/>
              </w:rPr>
              <w:t>30.09.05</w:t>
            </w:r>
          </w:p>
        </w:tc>
        <w:tc>
          <w:tcPr>
            <w:tcW w:w="220" w:type="dxa"/>
            <w:vAlign w:val="bottom"/>
          </w:tcPr>
          <w:p>
            <w:pPr>
              <w:spacing w:after="0"/>
              <w:rPr>
                <w:sz w:val="14"/>
                <w:szCs w:val="14"/>
                <w:color w:val="auto"/>
              </w:rPr>
            </w:pPr>
          </w:p>
        </w:tc>
        <w:tc>
          <w:tcPr>
            <w:tcW w:w="110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30.09.04</w:t>
            </w: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rPr>
              <w:t>30.09.05</w:t>
            </w:r>
          </w:p>
        </w:tc>
        <w:tc>
          <w:tcPr>
            <w:tcW w:w="40" w:type="dxa"/>
            <w:vAlign w:val="bottom"/>
            <w:tcBorders>
              <w:top w:val="single" w:sz="8" w:color="auto"/>
              <w:bottom w:val="single" w:sz="8" w:color="auto"/>
            </w:tcBorders>
          </w:tcPr>
          <w:p>
            <w:pPr>
              <w:spacing w:after="0"/>
              <w:rPr>
                <w:sz w:val="14"/>
                <w:szCs w:val="14"/>
                <w:color w:val="auto"/>
              </w:rPr>
            </w:pPr>
          </w:p>
        </w:tc>
      </w:tr>
      <w:tr>
        <w:trPr>
          <w:trHeight w:val="156"/>
        </w:trPr>
        <w:tc>
          <w:tcPr>
            <w:tcW w:w="480" w:type="dxa"/>
            <w:vAlign w:val="bottom"/>
            <w:tcBorders>
              <w:bottom w:val="single" w:sz="8" w:color="auto"/>
            </w:tcBorders>
            <w:gridSpan w:val="3"/>
          </w:tcPr>
          <w:p>
            <w:pPr>
              <w:spacing w:after="0" w:line="156" w:lineRule="exact"/>
              <w:rPr>
                <w:sz w:val="20"/>
                <w:szCs w:val="20"/>
                <w:color w:val="auto"/>
              </w:rPr>
            </w:pPr>
            <w:r>
              <w:rPr>
                <w:rFonts w:ascii="Arial" w:cs="Arial" w:eastAsia="Arial" w:hAnsi="Arial"/>
                <w:sz w:val="15"/>
                <w:szCs w:val="15"/>
                <w:b w:val="1"/>
                <w:bCs w:val="1"/>
                <w:color w:val="auto"/>
                <w:w w:val="84"/>
              </w:rPr>
              <w:t>Results</w:t>
            </w:r>
          </w:p>
        </w:tc>
        <w:tc>
          <w:tcPr>
            <w:tcW w:w="434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08"/>
        </w:trPr>
        <w:tc>
          <w:tcPr>
            <w:tcW w:w="4820" w:type="dxa"/>
            <w:vAlign w:val="bottom"/>
            <w:gridSpan w:val="7"/>
          </w:tcPr>
          <w:p>
            <w:pPr>
              <w:ind w:left="80"/>
              <w:spacing w:after="0"/>
              <w:rPr>
                <w:sz w:val="20"/>
                <w:szCs w:val="20"/>
                <w:color w:val="auto"/>
              </w:rPr>
            </w:pPr>
            <w:r>
              <w:rPr>
                <w:rFonts w:ascii="Arial" w:cs="Arial" w:eastAsia="Arial" w:hAnsi="Arial"/>
                <w:sz w:val="15"/>
                <w:szCs w:val="15"/>
                <w:color w:val="auto"/>
              </w:rPr>
              <w:t>Total gross Premiums</w:t>
            </w: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104,535</w:t>
            </w:r>
          </w:p>
        </w:tc>
        <w:tc>
          <w:tcPr>
            <w:tcW w:w="1380" w:type="dxa"/>
            <w:vAlign w:val="bottom"/>
            <w:gridSpan w:val="4"/>
          </w:tcPr>
          <w:p>
            <w:pPr>
              <w:jc w:val="right"/>
              <w:ind w:right="40"/>
              <w:spacing w:after="0"/>
              <w:rPr>
                <w:sz w:val="20"/>
                <w:szCs w:val="20"/>
                <w:color w:val="auto"/>
              </w:rPr>
            </w:pPr>
            <w:r>
              <w:rPr>
                <w:rFonts w:ascii="Arial" w:cs="Arial" w:eastAsia="Arial" w:hAnsi="Arial"/>
                <w:sz w:val="15"/>
                <w:szCs w:val="15"/>
                <w:color w:val="auto"/>
              </w:rPr>
              <w:t>89,110</w:t>
            </w:r>
          </w:p>
        </w:tc>
        <w:tc>
          <w:tcPr>
            <w:tcW w:w="240" w:type="dxa"/>
            <w:vAlign w:val="bottom"/>
          </w:tcPr>
          <w:p>
            <w:pPr>
              <w:spacing w:after="0"/>
              <w:rPr>
                <w:sz w:val="24"/>
                <w:szCs w:val="24"/>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88,562</w:t>
            </w: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250,960</w:t>
            </w:r>
          </w:p>
        </w:tc>
        <w:tc>
          <w:tcPr>
            <w:tcW w:w="2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261,628</w:t>
            </w:r>
          </w:p>
        </w:tc>
        <w:tc>
          <w:tcPr>
            <w:tcW w:w="40" w:type="dxa"/>
            <w:vAlign w:val="bottom"/>
          </w:tcPr>
          <w:p>
            <w:pPr>
              <w:spacing w:after="0"/>
              <w:rPr>
                <w:sz w:val="24"/>
                <w:szCs w:val="24"/>
                <w:color w:val="auto"/>
              </w:rPr>
            </w:pP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Net Premiums Earned</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67,834</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54,239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58,021</w:t>
            </w: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144,842</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166,497</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Change in Reserves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18,166</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20,302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14,357</w:t>
            </w: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65,475</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52,849</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Net Underwriting Results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11,876</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1,953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6,391</w:t>
            </w: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21,361</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15,623</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Net Financial Income</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8,952</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10,242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9,441</w:t>
            </w: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27,607</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28,406</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General Expenses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13,429</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10,840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10,957</w:t>
            </w: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30,741</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32,585</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Income tax</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1,506</w:t>
            </w:r>
          </w:p>
        </w:tc>
        <w:tc>
          <w:tcPr>
            <w:tcW w:w="1620" w:type="dxa"/>
            <w:vAlign w:val="bottom"/>
            <w:gridSpan w:val="5"/>
          </w:tcPr>
          <w:p>
            <w:pPr>
              <w:jc w:val="right"/>
              <w:ind w:right="240"/>
              <w:spacing w:after="0" w:line="162" w:lineRule="exact"/>
              <w:rPr>
                <w:sz w:val="20"/>
                <w:szCs w:val="20"/>
                <w:color w:val="auto"/>
              </w:rPr>
            </w:pPr>
            <w:r>
              <w:rPr>
                <w:rFonts w:ascii="Arial" w:cs="Arial" w:eastAsia="Arial" w:hAnsi="Arial"/>
                <w:sz w:val="15"/>
                <w:szCs w:val="15"/>
                <w:color w:val="auto"/>
              </w:rPr>
              <w:t>(3)</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326</w:t>
            </w: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2,906</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1,355</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Net Income</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3,611</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724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2,703</w:t>
            </w:r>
          </w:p>
        </w:tc>
        <w:tc>
          <w:tcPr>
            <w:tcW w:w="1340" w:type="dxa"/>
            <w:vAlign w:val="bottom"/>
            <w:gridSpan w:val="4"/>
          </w:tcPr>
          <w:p>
            <w:pPr>
              <w:jc w:val="right"/>
              <w:ind w:right="20"/>
              <w:spacing w:after="0" w:line="162" w:lineRule="exact"/>
              <w:rPr>
                <w:sz w:val="20"/>
                <w:szCs w:val="20"/>
                <w:color w:val="auto"/>
              </w:rPr>
            </w:pPr>
            <w:r>
              <w:rPr>
                <w:rFonts w:ascii="Arial" w:cs="Arial" w:eastAsia="Arial" w:hAnsi="Arial"/>
                <w:sz w:val="15"/>
                <w:szCs w:val="15"/>
                <w:color w:val="auto"/>
              </w:rPr>
              <w:t>11,105</w:t>
            </w: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6,310</w:t>
            </w:r>
          </w:p>
        </w:tc>
        <w:tc>
          <w:tcPr>
            <w:tcW w:w="40" w:type="dxa"/>
            <w:vAlign w:val="bottom"/>
          </w:tcPr>
          <w:p>
            <w:pPr>
              <w:spacing w:after="0"/>
              <w:rPr>
                <w:sz w:val="14"/>
                <w:szCs w:val="14"/>
                <w:color w:val="auto"/>
              </w:rPr>
            </w:pPr>
          </w:p>
        </w:tc>
      </w:tr>
      <w:tr>
        <w:trPr>
          <w:trHeight w:val="188"/>
        </w:trPr>
        <w:tc>
          <w:tcPr>
            <w:tcW w:w="80" w:type="dxa"/>
            <w:vAlign w:val="bottom"/>
          </w:tcPr>
          <w:p>
            <w:pPr>
              <w:spacing w:after="0"/>
              <w:rPr>
                <w:sz w:val="16"/>
                <w:szCs w:val="16"/>
                <w:color w:val="auto"/>
              </w:rPr>
            </w:pPr>
          </w:p>
        </w:tc>
        <w:tc>
          <w:tcPr>
            <w:tcW w:w="4740" w:type="dxa"/>
            <w:vAlign w:val="bottom"/>
            <w:gridSpan w:val="6"/>
          </w:tcPr>
          <w:p>
            <w:pPr>
              <w:spacing w:after="0"/>
              <w:rPr>
                <w:sz w:val="20"/>
                <w:szCs w:val="20"/>
                <w:color w:val="auto"/>
              </w:rPr>
            </w:pPr>
            <w:r>
              <w:rPr>
                <w:rFonts w:ascii="Arial" w:cs="Arial" w:eastAsia="Arial" w:hAnsi="Arial"/>
                <w:sz w:val="15"/>
                <w:szCs w:val="15"/>
                <w:color w:val="auto"/>
              </w:rPr>
              <w:t>Net Income contributed to Credicorp</w:t>
            </w: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2,958</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136</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2,400</w:t>
            </w: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7,689</w:t>
            </w:r>
          </w:p>
        </w:tc>
        <w:tc>
          <w:tcPr>
            <w:tcW w:w="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4,713</w:t>
            </w:r>
          </w:p>
        </w:tc>
        <w:tc>
          <w:tcPr>
            <w:tcW w:w="40" w:type="dxa"/>
            <w:vAlign w:val="bottom"/>
          </w:tcPr>
          <w:p>
            <w:pPr>
              <w:spacing w:after="0"/>
              <w:rPr>
                <w:sz w:val="16"/>
                <w:szCs w:val="16"/>
                <w:color w:val="auto"/>
              </w:rPr>
            </w:pPr>
          </w:p>
        </w:tc>
      </w:tr>
      <w:tr>
        <w:trPr>
          <w:trHeight w:val="294"/>
        </w:trPr>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87"/>
              </w:rPr>
              <w:t>Balance Sheets (end of period)</w:t>
            </w:r>
          </w:p>
        </w:tc>
        <w:tc>
          <w:tcPr>
            <w:tcW w:w="288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8"/>
        </w:trPr>
        <w:tc>
          <w:tcPr>
            <w:tcW w:w="4820" w:type="dxa"/>
            <w:vAlign w:val="bottom"/>
            <w:gridSpan w:val="7"/>
          </w:tcPr>
          <w:p>
            <w:pPr>
              <w:ind w:left="80"/>
              <w:spacing w:after="0"/>
              <w:rPr>
                <w:sz w:val="20"/>
                <w:szCs w:val="20"/>
                <w:color w:val="auto"/>
              </w:rPr>
            </w:pPr>
            <w:r>
              <w:rPr>
                <w:rFonts w:ascii="Arial" w:cs="Arial" w:eastAsia="Arial" w:hAnsi="Arial"/>
                <w:sz w:val="15"/>
                <w:szCs w:val="15"/>
                <w:color w:val="auto"/>
              </w:rPr>
              <w:t>Total Assets</w:t>
            </w: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659,558</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748,040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802,786</w:t>
            </w: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659,558</w:t>
            </w:r>
          </w:p>
        </w:tc>
        <w:tc>
          <w:tcPr>
            <w:tcW w:w="2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802,786</w:t>
            </w:r>
          </w:p>
        </w:tc>
        <w:tc>
          <w:tcPr>
            <w:tcW w:w="40" w:type="dxa"/>
            <w:vAlign w:val="bottom"/>
          </w:tcPr>
          <w:p>
            <w:pPr>
              <w:spacing w:after="0"/>
              <w:rPr>
                <w:sz w:val="24"/>
                <w:szCs w:val="24"/>
                <w:color w:val="auto"/>
              </w:rPr>
            </w:pP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Investments in Secur. and Real estate</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460,972</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577,753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623,189</w:t>
            </w: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460,972</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623,189</w:t>
            </w:r>
          </w:p>
        </w:tc>
        <w:tc>
          <w:tcPr>
            <w:tcW w:w="40" w:type="dxa"/>
            <w:vAlign w:val="bottom"/>
          </w:tcPr>
          <w:p>
            <w:pPr>
              <w:spacing w:after="0"/>
              <w:rPr>
                <w:sz w:val="14"/>
                <w:szCs w:val="14"/>
                <w:color w:val="auto"/>
              </w:rPr>
            </w:pPr>
          </w:p>
        </w:tc>
      </w:tr>
      <w:tr>
        <w:trPr>
          <w:trHeight w:val="162"/>
        </w:trPr>
        <w:tc>
          <w:tcPr>
            <w:tcW w:w="4820" w:type="dxa"/>
            <w:vAlign w:val="bottom"/>
            <w:gridSpan w:val="7"/>
          </w:tcPr>
          <w:p>
            <w:pPr>
              <w:ind w:left="40"/>
              <w:spacing w:after="0" w:line="162" w:lineRule="exact"/>
              <w:rPr>
                <w:sz w:val="20"/>
                <w:szCs w:val="20"/>
                <w:color w:val="auto"/>
              </w:rPr>
            </w:pPr>
            <w:r>
              <w:rPr>
                <w:rFonts w:ascii="Arial" w:cs="Arial" w:eastAsia="Arial" w:hAnsi="Arial"/>
                <w:sz w:val="15"/>
                <w:szCs w:val="15"/>
                <w:color w:val="auto"/>
              </w:rPr>
              <w:t>Technical Reserves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443,587</w:t>
            </w: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511,938</w:t>
            </w: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520,652</w:t>
            </w: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443,587</w:t>
            </w:r>
          </w:p>
        </w:tc>
        <w:tc>
          <w:tcPr>
            <w:tcW w:w="2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520,652</w:t>
            </w:r>
          </w:p>
        </w:tc>
        <w:tc>
          <w:tcPr>
            <w:tcW w:w="40" w:type="dxa"/>
            <w:vAlign w:val="bottom"/>
          </w:tcPr>
          <w:p>
            <w:pPr>
              <w:spacing w:after="0"/>
              <w:rPr>
                <w:sz w:val="14"/>
                <w:szCs w:val="14"/>
                <w:color w:val="auto"/>
              </w:rPr>
            </w:pPr>
          </w:p>
        </w:tc>
      </w:tr>
      <w:tr>
        <w:trPr>
          <w:trHeight w:val="188"/>
        </w:trPr>
        <w:tc>
          <w:tcPr>
            <w:tcW w:w="80" w:type="dxa"/>
            <w:vAlign w:val="bottom"/>
          </w:tcPr>
          <w:p>
            <w:pPr>
              <w:spacing w:after="0"/>
              <w:rPr>
                <w:sz w:val="16"/>
                <w:szCs w:val="16"/>
                <w:color w:val="auto"/>
              </w:rPr>
            </w:pPr>
          </w:p>
        </w:tc>
        <w:tc>
          <w:tcPr>
            <w:tcW w:w="4740" w:type="dxa"/>
            <w:vAlign w:val="bottom"/>
            <w:gridSpan w:val="6"/>
          </w:tcPr>
          <w:p>
            <w:pPr>
              <w:spacing w:after="0"/>
              <w:rPr>
                <w:sz w:val="20"/>
                <w:szCs w:val="20"/>
                <w:color w:val="auto"/>
              </w:rPr>
            </w:pPr>
            <w:r>
              <w:rPr>
                <w:rFonts w:ascii="Arial" w:cs="Arial" w:eastAsia="Arial" w:hAnsi="Arial"/>
                <w:sz w:val="15"/>
                <w:szCs w:val="15"/>
                <w:color w:val="auto"/>
              </w:rPr>
              <w:t>Net Equity</w:t>
            </w: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141,226</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158,225</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195,823</w:t>
            </w: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141,226</w:t>
            </w:r>
          </w:p>
        </w:tc>
        <w:tc>
          <w:tcPr>
            <w:tcW w:w="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color w:val="auto"/>
              </w:rPr>
              <w:t>195,823</w:t>
            </w:r>
          </w:p>
        </w:tc>
        <w:tc>
          <w:tcPr>
            <w:tcW w:w="40" w:type="dxa"/>
            <w:vAlign w:val="bottom"/>
          </w:tcPr>
          <w:p>
            <w:pPr>
              <w:spacing w:after="0"/>
              <w:rPr>
                <w:sz w:val="16"/>
                <w:szCs w:val="16"/>
                <w:color w:val="auto"/>
              </w:rPr>
            </w:pPr>
          </w:p>
        </w:tc>
      </w:tr>
      <w:tr>
        <w:trPr>
          <w:trHeight w:val="294"/>
        </w:trPr>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87"/>
              </w:rPr>
              <w:t>Ratios</w:t>
            </w:r>
          </w:p>
        </w:tc>
        <w:tc>
          <w:tcPr>
            <w:tcW w:w="4400" w:type="dxa"/>
            <w:vAlign w:val="bottom"/>
            <w:gridSpan w:val="5"/>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8"/>
        </w:trPr>
        <w:tc>
          <w:tcPr>
            <w:tcW w:w="8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Arial" w:cs="Arial" w:eastAsia="Arial" w:hAnsi="Arial"/>
                <w:sz w:val="15"/>
                <w:szCs w:val="15"/>
                <w:color w:val="auto"/>
              </w:rPr>
              <w:t>Net underwriting results</w:t>
            </w: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11.4%</w:t>
            </w:r>
          </w:p>
        </w:tc>
        <w:tc>
          <w:tcPr>
            <w:tcW w:w="1380" w:type="dxa"/>
            <w:vAlign w:val="bottom"/>
            <w:gridSpan w:val="4"/>
          </w:tcPr>
          <w:p>
            <w:pPr>
              <w:jc w:val="right"/>
              <w:ind w:right="40"/>
              <w:spacing w:after="0"/>
              <w:rPr>
                <w:sz w:val="20"/>
                <w:szCs w:val="20"/>
                <w:color w:val="auto"/>
              </w:rPr>
            </w:pPr>
            <w:r>
              <w:rPr>
                <w:rFonts w:ascii="Arial" w:cs="Arial" w:eastAsia="Arial" w:hAnsi="Arial"/>
                <w:sz w:val="15"/>
                <w:szCs w:val="15"/>
                <w:color w:val="auto"/>
              </w:rPr>
              <w:t>2.2%</w:t>
            </w:r>
          </w:p>
        </w:tc>
        <w:tc>
          <w:tcPr>
            <w:tcW w:w="240" w:type="dxa"/>
            <w:vAlign w:val="bottom"/>
          </w:tcPr>
          <w:p>
            <w:pPr>
              <w:spacing w:after="0"/>
              <w:rPr>
                <w:sz w:val="24"/>
                <w:szCs w:val="24"/>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5"/>
                <w:szCs w:val="15"/>
                <w:color w:val="auto"/>
              </w:rPr>
              <w:t>7.2%</w:t>
            </w:r>
          </w:p>
        </w:tc>
        <w:tc>
          <w:tcPr>
            <w:tcW w:w="1340" w:type="dxa"/>
            <w:vAlign w:val="bottom"/>
            <w:gridSpan w:val="4"/>
          </w:tcPr>
          <w:p>
            <w:pPr>
              <w:jc w:val="right"/>
              <w:ind w:right="20"/>
              <w:spacing w:after="0"/>
              <w:rPr>
                <w:sz w:val="20"/>
                <w:szCs w:val="20"/>
                <w:color w:val="auto"/>
              </w:rPr>
            </w:pPr>
            <w:r>
              <w:rPr>
                <w:rFonts w:ascii="Arial" w:cs="Arial" w:eastAsia="Arial" w:hAnsi="Arial"/>
                <w:sz w:val="15"/>
                <w:szCs w:val="15"/>
                <w:color w:val="auto"/>
              </w:rPr>
              <w:t>8.5%</w:t>
            </w:r>
          </w:p>
        </w:tc>
        <w:tc>
          <w:tcPr>
            <w:tcW w:w="1360" w:type="dxa"/>
            <w:vAlign w:val="bottom"/>
            <w:gridSpan w:val="4"/>
          </w:tcPr>
          <w:p>
            <w:pPr>
              <w:jc w:val="right"/>
              <w:ind w:right="40"/>
              <w:spacing w:after="0"/>
              <w:rPr>
                <w:sz w:val="20"/>
                <w:szCs w:val="20"/>
                <w:color w:val="auto"/>
              </w:rPr>
            </w:pPr>
            <w:r>
              <w:rPr>
                <w:rFonts w:ascii="Arial" w:cs="Arial" w:eastAsia="Arial" w:hAnsi="Arial"/>
                <w:sz w:val="15"/>
                <w:szCs w:val="15"/>
                <w:color w:val="auto"/>
              </w:rPr>
              <w:t>6.0%</w:t>
            </w: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Net earned loss ratio</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71.7%</w:t>
            </w: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82.5%</w:t>
            </w: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75.1%</w:t>
            </w:r>
          </w:p>
        </w:tc>
        <w:tc>
          <w:tcPr>
            <w:tcW w:w="1340" w:type="dxa"/>
            <w:vAlign w:val="bottom"/>
            <w:gridSpan w:val="4"/>
          </w:tcPr>
          <w:p>
            <w:pPr>
              <w:jc w:val="right"/>
              <w:ind w:right="20"/>
              <w:spacing w:after="0" w:line="162" w:lineRule="exact"/>
              <w:rPr>
                <w:sz w:val="20"/>
                <w:szCs w:val="20"/>
                <w:color w:val="auto"/>
              </w:rPr>
            </w:pPr>
            <w:r>
              <w:rPr>
                <w:rFonts w:ascii="Arial" w:cs="Arial" w:eastAsia="Arial" w:hAnsi="Arial"/>
                <w:sz w:val="15"/>
                <w:szCs w:val="15"/>
                <w:color w:val="auto"/>
              </w:rPr>
              <w:t>72.1%</w:t>
            </w:r>
          </w:p>
        </w:tc>
        <w:tc>
          <w:tcPr>
            <w:tcW w:w="13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77.5%</w:t>
            </w: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Return on avge. equity (2)(3)</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10.8%</w:t>
            </w: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1.8%</w:t>
            </w: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6.2%</w:t>
            </w:r>
          </w:p>
        </w:tc>
        <w:tc>
          <w:tcPr>
            <w:tcW w:w="1340" w:type="dxa"/>
            <w:vAlign w:val="bottom"/>
            <w:gridSpan w:val="4"/>
          </w:tcPr>
          <w:p>
            <w:pPr>
              <w:jc w:val="right"/>
              <w:ind w:right="20"/>
              <w:spacing w:after="0" w:line="162" w:lineRule="exact"/>
              <w:rPr>
                <w:sz w:val="20"/>
                <w:szCs w:val="20"/>
                <w:color w:val="auto"/>
              </w:rPr>
            </w:pPr>
            <w:r>
              <w:rPr>
                <w:rFonts w:ascii="Arial" w:cs="Arial" w:eastAsia="Arial" w:hAnsi="Arial"/>
                <w:sz w:val="15"/>
                <w:szCs w:val="15"/>
                <w:color w:val="auto"/>
              </w:rPr>
              <w:t>20.0%</w:t>
            </w:r>
          </w:p>
        </w:tc>
        <w:tc>
          <w:tcPr>
            <w:tcW w:w="13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9.1%</w:t>
            </w: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Return on total premiums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3.5%</w:t>
            </w: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0.8%</w:t>
            </w: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3.1%</w:t>
            </w:r>
          </w:p>
        </w:tc>
        <w:tc>
          <w:tcPr>
            <w:tcW w:w="1340" w:type="dxa"/>
            <w:vAlign w:val="bottom"/>
            <w:gridSpan w:val="4"/>
          </w:tcPr>
          <w:p>
            <w:pPr>
              <w:jc w:val="right"/>
              <w:ind w:right="20"/>
              <w:spacing w:after="0" w:line="162" w:lineRule="exact"/>
              <w:rPr>
                <w:sz w:val="20"/>
                <w:szCs w:val="20"/>
                <w:color w:val="auto"/>
              </w:rPr>
            </w:pPr>
            <w:r>
              <w:rPr>
                <w:rFonts w:ascii="Arial" w:cs="Arial" w:eastAsia="Arial" w:hAnsi="Arial"/>
                <w:sz w:val="15"/>
                <w:szCs w:val="15"/>
                <w:color w:val="auto"/>
              </w:rPr>
              <w:t>4.4%</w:t>
            </w:r>
          </w:p>
        </w:tc>
        <w:tc>
          <w:tcPr>
            <w:tcW w:w="13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2.4%</w:t>
            </w: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Shareholders' Equity / Total Assets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21.4%</w:t>
            </w: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21.2%</w:t>
            </w: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24.4%</w:t>
            </w:r>
          </w:p>
        </w:tc>
        <w:tc>
          <w:tcPr>
            <w:tcW w:w="1340" w:type="dxa"/>
            <w:vAlign w:val="bottom"/>
            <w:gridSpan w:val="4"/>
          </w:tcPr>
          <w:p>
            <w:pPr>
              <w:jc w:val="right"/>
              <w:ind w:right="20"/>
              <w:spacing w:after="0" w:line="162" w:lineRule="exact"/>
              <w:rPr>
                <w:sz w:val="20"/>
                <w:szCs w:val="20"/>
                <w:color w:val="auto"/>
              </w:rPr>
            </w:pPr>
            <w:r>
              <w:rPr>
                <w:rFonts w:ascii="Arial" w:cs="Arial" w:eastAsia="Arial" w:hAnsi="Arial"/>
                <w:sz w:val="15"/>
                <w:szCs w:val="15"/>
                <w:color w:val="auto"/>
              </w:rPr>
              <w:t>21.4%</w:t>
            </w:r>
          </w:p>
        </w:tc>
        <w:tc>
          <w:tcPr>
            <w:tcW w:w="13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24.4%</w:t>
            </w: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Increase in Risk Reserves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21.1%</w:t>
            </w: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27.2%</w:t>
            </w: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19.8%</w:t>
            </w:r>
          </w:p>
        </w:tc>
        <w:tc>
          <w:tcPr>
            <w:tcW w:w="1340" w:type="dxa"/>
            <w:vAlign w:val="bottom"/>
            <w:gridSpan w:val="4"/>
          </w:tcPr>
          <w:p>
            <w:pPr>
              <w:jc w:val="right"/>
              <w:ind w:right="20"/>
              <w:spacing w:after="0" w:line="162" w:lineRule="exact"/>
              <w:rPr>
                <w:sz w:val="20"/>
                <w:szCs w:val="20"/>
                <w:color w:val="auto"/>
              </w:rPr>
            </w:pPr>
            <w:r>
              <w:rPr>
                <w:rFonts w:ascii="Arial" w:cs="Arial" w:eastAsia="Arial" w:hAnsi="Arial"/>
                <w:sz w:val="15"/>
                <w:szCs w:val="15"/>
                <w:color w:val="auto"/>
              </w:rPr>
              <w:t>31.1%</w:t>
            </w:r>
          </w:p>
        </w:tc>
        <w:tc>
          <w:tcPr>
            <w:tcW w:w="13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24.1%</w:t>
            </w:r>
          </w:p>
        </w:tc>
      </w:tr>
      <w:tr>
        <w:trPr>
          <w:trHeight w:val="158"/>
        </w:trPr>
        <w:tc>
          <w:tcPr>
            <w:tcW w:w="80" w:type="dxa"/>
            <w:vAlign w:val="bottom"/>
          </w:tcPr>
          <w:p>
            <w:pPr>
              <w:spacing w:after="0"/>
              <w:rPr>
                <w:sz w:val="13"/>
                <w:szCs w:val="13"/>
                <w:color w:val="auto"/>
              </w:rPr>
            </w:pPr>
          </w:p>
        </w:tc>
        <w:tc>
          <w:tcPr>
            <w:tcW w:w="4740" w:type="dxa"/>
            <w:vAlign w:val="bottom"/>
            <w:gridSpan w:val="6"/>
          </w:tcPr>
          <w:p>
            <w:pPr>
              <w:spacing w:after="0" w:line="158" w:lineRule="exact"/>
              <w:rPr>
                <w:sz w:val="20"/>
                <w:szCs w:val="20"/>
                <w:color w:val="auto"/>
              </w:rPr>
            </w:pPr>
            <w:r>
              <w:rPr>
                <w:rFonts w:ascii="Arial" w:cs="Arial" w:eastAsia="Arial" w:hAnsi="Arial"/>
                <w:sz w:val="15"/>
                <w:szCs w:val="15"/>
                <w:color w:val="auto"/>
              </w:rPr>
              <w:t>Combined Ratio (4)</w:t>
            </w:r>
          </w:p>
        </w:tc>
        <w:tc>
          <w:tcPr>
            <w:tcW w:w="114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94.</w:t>
            </w:r>
            <w:r>
              <w:rPr>
                <w:rFonts w:ascii="Arial" w:cs="Arial" w:eastAsia="Arial" w:hAnsi="Arial"/>
                <w:sz w:val="15"/>
                <w:szCs w:val="15"/>
                <w:u w:val="single" w:color="auto"/>
                <w:color w:val="auto"/>
              </w:rPr>
              <w:t>1%</w:t>
            </w:r>
          </w:p>
        </w:tc>
        <w:tc>
          <w:tcPr>
            <w:tcW w:w="138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108.</w:t>
            </w:r>
            <w:r>
              <w:rPr>
                <w:rFonts w:ascii="Arial" w:cs="Arial" w:eastAsia="Arial" w:hAnsi="Arial"/>
                <w:sz w:val="15"/>
                <w:szCs w:val="15"/>
                <w:u w:val="single" w:color="auto"/>
                <w:color w:val="auto"/>
              </w:rPr>
              <w:t>7%</w:t>
            </w:r>
          </w:p>
        </w:tc>
        <w:tc>
          <w:tcPr>
            <w:tcW w:w="240" w:type="dxa"/>
            <w:vAlign w:val="bottom"/>
          </w:tcPr>
          <w:p>
            <w:pPr>
              <w:spacing w:after="0"/>
              <w:rPr>
                <w:sz w:val="13"/>
                <w:szCs w:val="13"/>
                <w:color w:val="auto"/>
              </w:rPr>
            </w:pPr>
          </w:p>
        </w:tc>
        <w:tc>
          <w:tcPr>
            <w:tcW w:w="1140" w:type="dxa"/>
            <w:vAlign w:val="bottom"/>
            <w:gridSpan w:val="3"/>
          </w:tcPr>
          <w:p>
            <w:pPr>
              <w:jc w:val="right"/>
              <w:ind w:right="40"/>
              <w:spacing w:after="0" w:line="158" w:lineRule="exact"/>
              <w:rPr>
                <w:sz w:val="20"/>
                <w:szCs w:val="20"/>
                <w:color w:val="auto"/>
              </w:rPr>
            </w:pPr>
            <w:r>
              <w:rPr>
                <w:rFonts w:ascii="Arial" w:cs="Arial" w:eastAsia="Arial" w:hAnsi="Arial"/>
                <w:sz w:val="15"/>
                <w:szCs w:val="15"/>
                <w:color w:val="auto"/>
              </w:rPr>
              <w:t>95.</w:t>
            </w:r>
            <w:r>
              <w:rPr>
                <w:rFonts w:ascii="Arial" w:cs="Arial" w:eastAsia="Arial" w:hAnsi="Arial"/>
                <w:sz w:val="15"/>
                <w:szCs w:val="15"/>
                <w:u w:val="single" w:color="auto"/>
                <w:color w:val="auto"/>
              </w:rPr>
              <w:t>1%</w:t>
            </w:r>
          </w:p>
        </w:tc>
        <w:tc>
          <w:tcPr>
            <w:tcW w:w="1340" w:type="dxa"/>
            <w:vAlign w:val="bottom"/>
            <w:gridSpan w:val="4"/>
          </w:tcPr>
          <w:p>
            <w:pPr>
              <w:jc w:val="right"/>
              <w:ind w:right="20"/>
              <w:spacing w:after="0" w:line="158" w:lineRule="exact"/>
              <w:rPr>
                <w:sz w:val="20"/>
                <w:szCs w:val="20"/>
                <w:color w:val="auto"/>
              </w:rPr>
            </w:pPr>
            <w:r>
              <w:rPr>
                <w:rFonts w:ascii="Arial" w:cs="Arial" w:eastAsia="Arial" w:hAnsi="Arial"/>
                <w:sz w:val="15"/>
                <w:szCs w:val="15"/>
                <w:color w:val="auto"/>
              </w:rPr>
              <w:t>96.</w:t>
            </w:r>
            <w:r>
              <w:rPr>
                <w:rFonts w:ascii="Arial" w:cs="Arial" w:eastAsia="Arial" w:hAnsi="Arial"/>
                <w:sz w:val="15"/>
                <w:szCs w:val="15"/>
                <w:u w:val="single" w:color="auto"/>
                <w:color w:val="auto"/>
              </w:rPr>
              <w:t>2%</w:t>
            </w:r>
          </w:p>
        </w:tc>
        <w:tc>
          <w:tcPr>
            <w:tcW w:w="1360" w:type="dxa"/>
            <w:vAlign w:val="bottom"/>
            <w:gridSpan w:val="4"/>
          </w:tcPr>
          <w:p>
            <w:pPr>
              <w:jc w:val="right"/>
              <w:ind w:right="40"/>
              <w:spacing w:after="0" w:line="158" w:lineRule="exact"/>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6%</w:t>
            </w:r>
          </w:p>
        </w:tc>
      </w:tr>
      <w:tr>
        <w:trPr>
          <w:trHeight w:val="146"/>
        </w:trPr>
        <w:tc>
          <w:tcPr>
            <w:tcW w:w="80" w:type="dxa"/>
            <w:vAlign w:val="bottom"/>
          </w:tcPr>
          <w:p>
            <w:pPr>
              <w:ind w:left="40"/>
              <w:spacing w:after="0"/>
              <w:rPr>
                <w:sz w:val="20"/>
                <w:szCs w:val="20"/>
                <w:color w:val="auto"/>
              </w:rPr>
            </w:pPr>
            <w:r>
              <w:rPr>
                <w:rFonts w:ascii="Arial" w:cs="Arial" w:eastAsia="Arial" w:hAnsi="Arial"/>
                <w:sz w:val="8"/>
                <w:szCs w:val="8"/>
                <w:color w:val="auto"/>
                <w:w w:val="73"/>
              </w:rPr>
              <w:t>-</w:t>
            </w:r>
          </w:p>
        </w:tc>
        <w:tc>
          <w:tcPr>
            <w:tcW w:w="1200" w:type="dxa"/>
            <w:vAlign w:val="bottom"/>
            <w:tcBorders>
              <w:top w:val="single" w:sz="8" w:color="auto"/>
            </w:tcBorders>
            <w:gridSpan w:val="3"/>
          </w:tcPr>
          <w:p>
            <w:pPr>
              <w:ind w:left="20"/>
              <w:spacing w:after="0" w:line="146" w:lineRule="exact"/>
              <w:rPr>
                <w:sz w:val="20"/>
                <w:szCs w:val="20"/>
                <w:color w:val="auto"/>
              </w:rPr>
            </w:pPr>
            <w:r>
              <w:rPr>
                <w:rFonts w:ascii="Arial" w:cs="Arial" w:eastAsia="Arial" w:hAnsi="Arial"/>
                <w:sz w:val="15"/>
                <w:szCs w:val="15"/>
                <w:color w:val="auto"/>
              </w:rPr>
              <w:t>Net Claims / Net</w:t>
            </w:r>
          </w:p>
        </w:tc>
        <w:tc>
          <w:tcPr>
            <w:tcW w:w="3540" w:type="dxa"/>
            <w:vAlign w:val="bottom"/>
            <w:gridSpan w:val="3"/>
          </w:tcPr>
          <w:p>
            <w:pPr>
              <w:spacing w:after="0" w:line="146" w:lineRule="exact"/>
              <w:rPr>
                <w:sz w:val="20"/>
                <w:szCs w:val="20"/>
                <w:color w:val="auto"/>
              </w:rPr>
            </w:pPr>
            <w:r>
              <w:rPr>
                <w:rFonts w:ascii="Arial" w:cs="Arial" w:eastAsia="Arial" w:hAnsi="Arial"/>
                <w:sz w:val="15"/>
                <w:szCs w:val="15"/>
                <w:color w:val="auto"/>
              </w:rPr>
              <w:t>Premiums Earned</w:t>
            </w:r>
          </w:p>
        </w:tc>
        <w:tc>
          <w:tcPr>
            <w:tcW w:w="720" w:type="dxa"/>
            <w:vAlign w:val="bottom"/>
          </w:tcPr>
          <w:p>
            <w:pPr>
              <w:spacing w:after="0"/>
              <w:rPr>
                <w:sz w:val="12"/>
                <w:szCs w:val="12"/>
                <w:color w:val="auto"/>
              </w:rPr>
            </w:pPr>
          </w:p>
        </w:tc>
        <w:tc>
          <w:tcPr>
            <w:tcW w:w="3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4"/>
              </w:rPr>
              <w:t>67.2%</w:t>
            </w:r>
          </w:p>
        </w:tc>
        <w:tc>
          <w:tcPr>
            <w:tcW w:w="4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c>
          <w:tcPr>
            <w:tcW w:w="46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rPr>
              <w:t>78.1%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4"/>
              </w:rPr>
              <w:t>70.9%</w:t>
            </w:r>
          </w:p>
        </w:tc>
        <w:tc>
          <w:tcPr>
            <w:tcW w:w="4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4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9"/>
              </w:rPr>
              <w:t>66.9%</w:t>
            </w:r>
          </w:p>
        </w:tc>
        <w:tc>
          <w:tcPr>
            <w:tcW w:w="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46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rPr>
              <w:t>74.2%</w:t>
            </w:r>
          </w:p>
        </w:tc>
        <w:tc>
          <w:tcPr>
            <w:tcW w:w="40" w:type="dxa"/>
            <w:vAlign w:val="bottom"/>
          </w:tcPr>
          <w:p>
            <w:pPr>
              <w:spacing w:after="0"/>
              <w:rPr>
                <w:sz w:val="12"/>
                <w:szCs w:val="12"/>
                <w:color w:val="auto"/>
              </w:rPr>
            </w:pPr>
          </w:p>
        </w:tc>
      </w:tr>
      <w:tr>
        <w:trPr>
          <w:trHeight w:val="162"/>
        </w:trPr>
        <w:tc>
          <w:tcPr>
            <w:tcW w:w="4820" w:type="dxa"/>
            <w:vAlign w:val="bottom"/>
            <w:gridSpan w:val="7"/>
          </w:tcPr>
          <w:p>
            <w:pPr>
              <w:ind w:left="40"/>
              <w:spacing w:after="0" w:line="162" w:lineRule="exact"/>
              <w:rPr>
                <w:sz w:val="20"/>
                <w:szCs w:val="20"/>
                <w:color w:val="auto"/>
              </w:rPr>
            </w:pPr>
            <w:r>
              <w:rPr>
                <w:rFonts w:ascii="Arial" w:cs="Arial" w:eastAsia="Arial" w:hAnsi="Arial"/>
                <w:sz w:val="15"/>
                <w:szCs w:val="15"/>
                <w:color w:val="auto"/>
              </w:rPr>
              <w:t>-Op. Exp.+Comiss./Net Prems. Earned</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26.9%</w:t>
            </w: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30.6%</w:t>
            </w: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24.2%</w:t>
            </w:r>
          </w:p>
        </w:tc>
        <w:tc>
          <w:tcPr>
            <w:tcW w:w="1340" w:type="dxa"/>
            <w:vAlign w:val="bottom"/>
            <w:gridSpan w:val="4"/>
          </w:tcPr>
          <w:p>
            <w:pPr>
              <w:jc w:val="right"/>
              <w:ind w:right="20"/>
              <w:spacing w:after="0" w:line="162" w:lineRule="exact"/>
              <w:rPr>
                <w:sz w:val="20"/>
                <w:szCs w:val="20"/>
                <w:color w:val="auto"/>
              </w:rPr>
            </w:pPr>
            <w:r>
              <w:rPr>
                <w:rFonts w:ascii="Arial" w:cs="Arial" w:eastAsia="Arial" w:hAnsi="Arial"/>
                <w:sz w:val="15"/>
                <w:szCs w:val="15"/>
                <w:color w:val="auto"/>
              </w:rPr>
              <w:t>29.3%</w:t>
            </w:r>
          </w:p>
        </w:tc>
        <w:tc>
          <w:tcPr>
            <w:tcW w:w="13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26.5%</w:t>
            </w:r>
          </w:p>
        </w:tc>
      </w:tr>
      <w:tr>
        <w:trPr>
          <w:trHeight w:val="162"/>
        </w:trPr>
        <w:tc>
          <w:tcPr>
            <w:tcW w:w="80" w:type="dxa"/>
            <w:vAlign w:val="bottom"/>
          </w:tcPr>
          <w:p>
            <w:pPr>
              <w:spacing w:after="0"/>
              <w:rPr>
                <w:sz w:val="14"/>
                <w:szCs w:val="14"/>
                <w:color w:val="auto"/>
              </w:rPr>
            </w:pPr>
          </w:p>
        </w:tc>
        <w:tc>
          <w:tcPr>
            <w:tcW w:w="4740" w:type="dxa"/>
            <w:vAlign w:val="bottom"/>
            <w:gridSpan w:val="6"/>
          </w:tcPr>
          <w:p>
            <w:pPr>
              <w:spacing w:after="0" w:line="162" w:lineRule="exact"/>
              <w:rPr>
                <w:sz w:val="20"/>
                <w:szCs w:val="20"/>
                <w:color w:val="auto"/>
              </w:rPr>
            </w:pPr>
            <w:r>
              <w:rPr>
                <w:rFonts w:ascii="Arial" w:cs="Arial" w:eastAsia="Arial" w:hAnsi="Arial"/>
                <w:sz w:val="15"/>
                <w:szCs w:val="15"/>
                <w:color w:val="auto"/>
              </w:rPr>
              <w:t>Operating expense/Net Earn. Premiums</w:t>
            </w: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19.8%</w:t>
            </w:r>
          </w:p>
        </w:tc>
        <w:tc>
          <w:tcPr>
            <w:tcW w:w="138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20.0%</w:t>
            </w:r>
          </w:p>
        </w:tc>
        <w:tc>
          <w:tcPr>
            <w:tcW w:w="240" w:type="dxa"/>
            <w:vAlign w:val="bottom"/>
          </w:tcPr>
          <w:p>
            <w:pPr>
              <w:spacing w:after="0"/>
              <w:rPr>
                <w:sz w:val="14"/>
                <w:szCs w:val="14"/>
                <w:color w:val="auto"/>
              </w:rPr>
            </w:pPr>
          </w:p>
        </w:tc>
        <w:tc>
          <w:tcPr>
            <w:tcW w:w="114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18.9%</w:t>
            </w:r>
          </w:p>
        </w:tc>
        <w:tc>
          <w:tcPr>
            <w:tcW w:w="1340" w:type="dxa"/>
            <w:vAlign w:val="bottom"/>
            <w:gridSpan w:val="4"/>
          </w:tcPr>
          <w:p>
            <w:pPr>
              <w:jc w:val="right"/>
              <w:ind w:right="20"/>
              <w:spacing w:after="0" w:line="162" w:lineRule="exact"/>
              <w:rPr>
                <w:sz w:val="20"/>
                <w:szCs w:val="20"/>
                <w:color w:val="auto"/>
              </w:rPr>
            </w:pPr>
            <w:r>
              <w:rPr>
                <w:rFonts w:ascii="Arial" w:cs="Arial" w:eastAsia="Arial" w:hAnsi="Arial"/>
                <w:sz w:val="15"/>
                <w:szCs w:val="15"/>
                <w:color w:val="auto"/>
              </w:rPr>
              <w:t>21.2%</w:t>
            </w:r>
          </w:p>
        </w:tc>
        <w:tc>
          <w:tcPr>
            <w:tcW w:w="136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19.6%</w:t>
            </w:r>
          </w:p>
        </w:tc>
      </w:tr>
      <w:tr>
        <w:trPr>
          <w:trHeight w:val="171"/>
        </w:trPr>
        <w:tc>
          <w:tcPr>
            <w:tcW w:w="80" w:type="dxa"/>
            <w:vAlign w:val="bottom"/>
            <w:tcBorders>
              <w:bottom w:val="single" w:sz="8" w:color="auto"/>
            </w:tcBorders>
          </w:tcPr>
          <w:p>
            <w:pPr>
              <w:spacing w:after="0"/>
              <w:rPr>
                <w:sz w:val="14"/>
                <w:szCs w:val="14"/>
                <w:color w:val="auto"/>
              </w:rPr>
            </w:pPr>
          </w:p>
        </w:tc>
        <w:tc>
          <w:tcPr>
            <w:tcW w:w="4740" w:type="dxa"/>
            <w:vAlign w:val="bottom"/>
            <w:tcBorders>
              <w:bottom w:val="single" w:sz="8" w:color="auto"/>
            </w:tcBorders>
            <w:gridSpan w:val="6"/>
          </w:tcPr>
          <w:p>
            <w:pPr>
              <w:spacing w:after="0" w:line="172" w:lineRule="exact"/>
              <w:rPr>
                <w:sz w:val="20"/>
                <w:szCs w:val="20"/>
                <w:color w:val="auto"/>
              </w:rPr>
            </w:pPr>
            <w:r>
              <w:rPr>
                <w:rFonts w:ascii="Arial" w:cs="Arial" w:eastAsia="Arial" w:hAnsi="Arial"/>
                <w:sz w:val="15"/>
                <w:szCs w:val="15"/>
                <w:color w:val="auto"/>
              </w:rPr>
              <w:t>Oper. expense / Avge. assets (2)(3)</w:t>
            </w:r>
          </w:p>
        </w:tc>
        <w:tc>
          <w:tcPr>
            <w:tcW w:w="114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8.8%</w:t>
            </w:r>
          </w:p>
        </w:tc>
        <w:tc>
          <w:tcPr>
            <w:tcW w:w="1380" w:type="dxa"/>
            <w:vAlign w:val="bottom"/>
            <w:tcBorders>
              <w:bottom w:val="single" w:sz="8" w:color="auto"/>
            </w:tcBorders>
            <w:gridSpan w:val="4"/>
          </w:tcPr>
          <w:p>
            <w:pPr>
              <w:jc w:val="right"/>
              <w:ind w:right="40"/>
              <w:spacing w:after="0" w:line="172" w:lineRule="exact"/>
              <w:rPr>
                <w:sz w:val="20"/>
                <w:szCs w:val="20"/>
                <w:color w:val="auto"/>
              </w:rPr>
            </w:pPr>
            <w:r>
              <w:rPr>
                <w:rFonts w:ascii="Arial" w:cs="Arial" w:eastAsia="Arial" w:hAnsi="Arial"/>
                <w:sz w:val="15"/>
                <w:szCs w:val="15"/>
                <w:color w:val="auto"/>
              </w:rPr>
              <w:t>6.1%</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5.8%</w:t>
            </w:r>
          </w:p>
        </w:tc>
        <w:tc>
          <w:tcPr>
            <w:tcW w:w="1340" w:type="dxa"/>
            <w:vAlign w:val="bottom"/>
            <w:tcBorders>
              <w:bottom w:val="single" w:sz="8" w:color="auto"/>
            </w:tcBorders>
            <w:gridSpan w:val="4"/>
          </w:tcPr>
          <w:p>
            <w:pPr>
              <w:jc w:val="right"/>
              <w:ind w:right="20"/>
              <w:spacing w:after="0" w:line="172" w:lineRule="exact"/>
              <w:rPr>
                <w:sz w:val="20"/>
                <w:szCs w:val="20"/>
                <w:color w:val="auto"/>
              </w:rPr>
            </w:pPr>
            <w:r>
              <w:rPr>
                <w:rFonts w:ascii="Arial" w:cs="Arial" w:eastAsia="Arial" w:hAnsi="Arial"/>
                <w:sz w:val="15"/>
                <w:szCs w:val="15"/>
                <w:color w:val="auto"/>
              </w:rPr>
              <w:t>12.4%</w:t>
            </w:r>
          </w:p>
        </w:tc>
        <w:tc>
          <w:tcPr>
            <w:tcW w:w="1360" w:type="dxa"/>
            <w:vAlign w:val="bottom"/>
            <w:tcBorders>
              <w:bottom w:val="single" w:sz="8" w:color="auto"/>
            </w:tcBorders>
            <w:gridSpan w:val="4"/>
          </w:tcPr>
          <w:p>
            <w:pPr>
              <w:jc w:val="right"/>
              <w:ind w:right="40"/>
              <w:spacing w:after="0" w:line="172" w:lineRule="exact"/>
              <w:rPr>
                <w:sz w:val="20"/>
                <w:szCs w:val="20"/>
                <w:color w:val="auto"/>
              </w:rPr>
            </w:pPr>
            <w:r>
              <w:rPr>
                <w:rFonts w:ascii="Arial" w:cs="Arial" w:eastAsia="Arial" w:hAnsi="Arial"/>
                <w:sz w:val="15"/>
                <w:szCs w:val="15"/>
                <w:color w:val="auto"/>
              </w:rPr>
              <w:t>10.5%</w:t>
            </w:r>
          </w:p>
        </w:tc>
      </w:tr>
    </w:tbl>
    <w:p>
      <w:pPr>
        <w:spacing w:after="0" w:line="4" w:lineRule="exact"/>
        <w:rPr>
          <w:sz w:val="20"/>
          <w:szCs w:val="20"/>
          <w:color w:val="auto"/>
        </w:rPr>
      </w:pPr>
    </w:p>
    <w:p>
      <w:pPr>
        <w:ind w:left="120" w:right="5420" w:hanging="110"/>
        <w:spacing w:after="0" w:line="233" w:lineRule="auto"/>
        <w:rPr>
          <w:sz w:val="20"/>
          <w:szCs w:val="20"/>
          <w:color w:val="auto"/>
        </w:rPr>
      </w:pPr>
      <w:r>
        <w:rPr>
          <w:rFonts w:ascii="Arial" w:cs="Arial" w:eastAsia="Arial" w:hAnsi="Arial"/>
          <w:sz w:val="15"/>
          <w:szCs w:val="15"/>
          <w:i w:val="1"/>
          <w:iCs w:val="1"/>
          <w:color w:val="auto"/>
        </w:rPr>
        <w:t>(1)Financial statements following IFRS rules in U.S. Dollars. In 2004 certain amounts are estimated from adjusted Peruvian GAAP records for comparison purposes.</w:t>
      </w:r>
    </w:p>
    <w:p>
      <w:pPr>
        <w:spacing w:after="0" w:line="227" w:lineRule="auto"/>
        <w:rPr>
          <w:sz w:val="20"/>
          <w:szCs w:val="20"/>
          <w:color w:val="auto"/>
        </w:rPr>
      </w:pPr>
      <w:r>
        <w:rPr>
          <w:rFonts w:ascii="Arial" w:cs="Arial" w:eastAsia="Arial" w:hAnsi="Arial"/>
          <w:sz w:val="15"/>
          <w:szCs w:val="15"/>
          <w:i w:val="1"/>
          <w:iCs w:val="1"/>
          <w:color w:val="auto"/>
        </w:rPr>
        <w:t>(2)Averages are determined as the average of period-beginning and period-ending balances.</w:t>
      </w:r>
    </w:p>
    <w:p>
      <w:pPr>
        <w:spacing w:after="0" w:line="225" w:lineRule="auto"/>
        <w:rPr>
          <w:sz w:val="20"/>
          <w:szCs w:val="20"/>
          <w:color w:val="auto"/>
        </w:rPr>
      </w:pPr>
      <w:r>
        <w:rPr>
          <w:rFonts w:ascii="Arial" w:cs="Arial" w:eastAsia="Arial" w:hAnsi="Arial"/>
          <w:sz w:val="15"/>
          <w:szCs w:val="15"/>
          <w:i w:val="1"/>
          <w:iCs w:val="1"/>
          <w:color w:val="auto"/>
        </w:rPr>
        <w:t>(3)Annualized.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(4)Does not include the life insurance subsidiary Pacifico Vida.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111"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November 04, 2005</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2019-12-12T00:24:57Z</dcterms:created>
  <dcterms:modified xsi:type="dcterms:W3CDTF">2019-12-12T00:24:57Z</dcterms:modified>
</cp:coreProperties>
</file>