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May 2020</w:t>
      </w:r>
    </w:p>
    <w:p>
      <w:pPr>
        <w:spacing w:after="0" w:line="22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400"/>
        <w:spacing w:after="0" w:line="207" w:lineRule="exact"/>
        <w:tabs>
          <w:tab w:leader="none" w:pos="58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5283200</wp:posOffset>
            </wp:positionH>
            <wp:positionV relativeFrom="page">
              <wp:posOffset>586105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May 6,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hereby notify you of the following Material Event:</w:t>
      </w:r>
    </w:p>
    <w:p>
      <w:pPr>
        <w:spacing w:after="0" w:line="225" w:lineRule="exact"/>
        <w:rPr>
          <w:sz w:val="20"/>
          <w:szCs w:val="20"/>
          <w:color w:val="auto"/>
        </w:rPr>
      </w:pPr>
    </w:p>
    <w:p>
      <w:pPr>
        <w:jc w:val="both"/>
        <w:ind w:left="380" w:hanging="372"/>
        <w:spacing w:after="0" w:line="263"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weighted exchange rate registered by the Peruvian Superintendence of Banking, Insurance and AFP (Superintendencia de Banca, Seguros y AFP) at the close of business on May 6, 2020, to be used for the calculation of the dividends to be paid by Credicorp Ltd. on May 8, 2020 is S/3.4081 per US Dollar.</w:t>
      </w:r>
    </w:p>
    <w:p>
      <w:pPr>
        <w:spacing w:after="0" w:line="183"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this regard, the dividend to be paid per share shall be US$8.8026, equivalent to S/30.00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communication is related to the dividend distribution agreement adopted by the Board of Directors at its meeting held on February 27, 2020 and informed to the market as a Material Event.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6, 2020</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2348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2020-05-07T05:17:44Z</dcterms:created>
  <dcterms:modified xsi:type="dcterms:W3CDTF">2020-05-07T05:17:44Z</dcterms:modified>
</cp:coreProperties>
</file>