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05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1 of 6</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36"/>
          <w:szCs w:val="36"/>
          <w:color w:val="auto"/>
        </w:rPr>
        <w:t>SCHEDULE 13G</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74295</wp:posOffset>
            </wp:positionV>
            <wp:extent cx="2838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85725</wp:posOffset>
            </wp:positionV>
            <wp:extent cx="2838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G2519Y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85725</wp:posOffset>
            </wp:positionV>
            <wp:extent cx="291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85725</wp:posOffset>
            </wp:positionV>
            <wp:extent cx="291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 Rule 13d-1(b)</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 Rule 13d-1(c)</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 Rule 13d-1(d)</w:t>
      </w:r>
    </w:p>
    <w:p>
      <w:pPr>
        <w:spacing w:after="0" w:line="324" w:lineRule="exact"/>
        <w:rPr>
          <w:sz w:val="24"/>
          <w:szCs w:val="24"/>
          <w:color w:val="auto"/>
        </w:rPr>
      </w:pPr>
    </w:p>
    <w:p>
      <w:pPr>
        <w:ind w:firstLine="656"/>
        <w:spacing w:after="0" w:line="194" w:lineRule="auto"/>
        <w:tabs>
          <w:tab w:leader="none" w:pos="76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56"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G2519Y 10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6238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6238875"/>
                    </a:xfrm>
                    <a:prstGeom prst="rect">
                      <a:avLst/>
                    </a:prstGeom>
                    <a:noFill/>
                  </pic:spPr>
                </pic:pic>
              </a:graphicData>
            </a:graphic>
          </wp:anchor>
        </w:drawing>
      </w:r>
    </w:p>
    <w:p>
      <w:pPr>
        <w:spacing w:after="0" w:line="30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Names of Reporting Persons</w:t>
      </w:r>
    </w:p>
    <w:p>
      <w:pPr>
        <w:spacing w:after="0" w:line="1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I.R.S. Identification Nos. of above persons (entities only):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 of 6</w:t>
      </w:r>
    </w:p>
    <w:p>
      <w:pPr>
        <w:spacing w:after="0" w:line="744" w:lineRule="exact"/>
        <w:rPr>
          <w:sz w:val="20"/>
          <w:szCs w:val="20"/>
          <w:color w:val="auto"/>
        </w:rPr>
      </w:pPr>
    </w:p>
    <w:p>
      <w:pPr>
        <w:sectPr>
          <w:pgSz w:w="11900" w:h="16838" w:orient="portrait"/>
          <w:cols w:equalWidth="0" w:num="2">
            <w:col w:w="9880" w:space="720"/>
            <w:col w:w="860"/>
          </w:cols>
          <w:pgMar w:left="240" w:top="368" w:right="199" w:bottom="1440" w:gutter="0" w:footer="0" w:header="0"/>
        </w:sectPr>
      </w:pPr>
    </w:p>
    <w:p>
      <w:pPr>
        <w:ind w:left="40"/>
        <w:spacing w:after="0"/>
        <w:rPr>
          <w:sz w:val="20"/>
          <w:szCs w:val="20"/>
          <w:color w:val="auto"/>
        </w:rPr>
      </w:pPr>
      <w:r>
        <w:rPr>
          <w:rFonts w:ascii="Arial" w:cs="Arial" w:eastAsia="Arial" w:hAnsi="Arial"/>
          <w:sz w:val="28"/>
          <w:szCs w:val="28"/>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2</w:t>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3</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Prima AFP </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(Administradora de Fondos de Pensiones).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Check the Appropriate Box if a Member of a Group (See Instructions):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7"/>
          <w:szCs w:val="17"/>
          <w:color w:val="auto"/>
        </w:rPr>
        <w: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7"/>
          <w:szCs w:val="17"/>
          <w:color w:val="auto"/>
        </w:rPr>
        <w:t>o</w:t>
      </w:r>
    </w:p>
    <w:p>
      <w:pPr>
        <w:spacing w:after="0" w:line="747" w:lineRule="exact"/>
        <w:rPr>
          <w:sz w:val="20"/>
          <w:szCs w:val="20"/>
          <w:color w:val="auto"/>
        </w:rPr>
      </w:pPr>
    </w:p>
    <w:p>
      <w:pPr>
        <w:sectPr>
          <w:pgSz w:w="11900" w:h="16838" w:orient="portrait"/>
          <w:cols w:equalWidth="0" w:num="3">
            <w:col w:w="200" w:space="580"/>
            <w:col w:w="9480" w:space="720"/>
            <w:col w:w="480"/>
          </w:cols>
          <w:pgMar w:left="240" w:top="368" w:right="199" w:bottom="1440" w:gutter="0" w:footer="0" w:header="0"/>
          <w:type w:val="continuous"/>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60" w:type="dxa"/>
            <w:vAlign w:val="bottom"/>
            <w:gridSpan w:val="2"/>
          </w:tcPr>
          <w:p>
            <w:pPr>
              <w:ind w:left="780"/>
              <w:spacing w:after="0"/>
              <w:rPr>
                <w:sz w:val="20"/>
                <w:szCs w:val="20"/>
                <w:color w:val="auto"/>
              </w:rPr>
            </w:pPr>
            <w:r>
              <w:rPr>
                <w:rFonts w:ascii="Arial" w:cs="Arial" w:eastAsia="Arial" w:hAnsi="Arial"/>
                <w:sz w:val="18"/>
                <w:szCs w:val="18"/>
                <w:color w:val="auto"/>
              </w:rPr>
              <w:t>Citizenship or Place of Organization:</w:t>
            </w:r>
          </w:p>
        </w:tc>
      </w:tr>
      <w:tr>
        <w:trPr>
          <w:trHeight w:val="306"/>
        </w:trPr>
        <w:tc>
          <w:tcPr>
            <w:tcW w:w="1380" w:type="dxa"/>
            <w:vAlign w:val="bottom"/>
          </w:tcPr>
          <w:p>
            <w:pPr>
              <w:jc w:val="right"/>
              <w:ind w:right="1083"/>
              <w:spacing w:after="0" w:line="306" w:lineRule="exact"/>
              <w:rPr>
                <w:sz w:val="20"/>
                <w:szCs w:val="20"/>
                <w:color w:val="auto"/>
              </w:rPr>
            </w:pPr>
            <w:r>
              <w:rPr>
                <w:rFonts w:ascii="Arial" w:cs="Arial" w:eastAsia="Arial" w:hAnsi="Arial"/>
                <w:sz w:val="32"/>
                <w:szCs w:val="32"/>
                <w:b w:val="1"/>
                <w:bCs w:val="1"/>
                <w:color w:val="auto"/>
              </w:rPr>
              <w:t>4</w:t>
            </w:r>
          </w:p>
        </w:tc>
        <w:tc>
          <w:tcPr>
            <w:tcW w:w="10080" w:type="dxa"/>
            <w:vAlign w:val="bottom"/>
          </w:tcPr>
          <w:p>
            <w:pPr>
              <w:spacing w:after="0"/>
              <w:rPr>
                <w:sz w:val="24"/>
                <w:szCs w:val="24"/>
                <w:color w:val="auto"/>
              </w:rPr>
            </w:pPr>
          </w:p>
        </w:tc>
      </w:tr>
      <w:tr>
        <w:trPr>
          <w:trHeight w:val="241"/>
        </w:trPr>
        <w:tc>
          <w:tcPr>
            <w:tcW w:w="13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Perú</w:t>
            </w:r>
          </w:p>
        </w:tc>
        <w:tc>
          <w:tcPr>
            <w:tcW w:w="10080" w:type="dxa"/>
            <w:vAlign w:val="bottom"/>
            <w:tcBorders>
              <w:bottom w:val="single" w:sz="8" w:color="auto"/>
            </w:tcBorders>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10080" w:type="dxa"/>
            <w:vAlign w:val="bottom"/>
          </w:tcPr>
          <w:p>
            <w:pPr>
              <w:ind w:left="680"/>
              <w:spacing w:after="0"/>
              <w:rPr>
                <w:sz w:val="20"/>
                <w:szCs w:val="20"/>
                <w:color w:val="auto"/>
              </w:rPr>
            </w:pPr>
            <w:r>
              <w:rPr>
                <w:rFonts w:ascii="Arial" w:cs="Arial" w:eastAsia="Arial" w:hAnsi="Arial"/>
                <w:sz w:val="18"/>
                <w:szCs w:val="18"/>
                <w:color w:val="auto"/>
              </w:rPr>
              <w:t>Sole Voting Power:</w:t>
            </w:r>
          </w:p>
        </w:tc>
      </w:tr>
      <w:tr>
        <w:trPr>
          <w:trHeight w:val="306"/>
        </w:trPr>
        <w:tc>
          <w:tcPr>
            <w:tcW w:w="1380" w:type="dxa"/>
            <w:vAlign w:val="bottom"/>
          </w:tcPr>
          <w:p>
            <w:pPr>
              <w:spacing w:after="0"/>
              <w:rPr>
                <w:sz w:val="24"/>
                <w:szCs w:val="24"/>
                <w:color w:val="auto"/>
              </w:rPr>
            </w:pPr>
          </w:p>
        </w:tc>
        <w:tc>
          <w:tcPr>
            <w:tcW w:w="10080" w:type="dxa"/>
            <w:vAlign w:val="bottom"/>
          </w:tcPr>
          <w:p>
            <w:pPr>
              <w:jc w:val="right"/>
              <w:ind w:right="9768"/>
              <w:spacing w:after="0" w:line="306" w:lineRule="exact"/>
              <w:rPr>
                <w:sz w:val="20"/>
                <w:szCs w:val="20"/>
                <w:color w:val="auto"/>
              </w:rPr>
            </w:pPr>
            <w:r>
              <w:rPr>
                <w:rFonts w:ascii="Arial" w:cs="Arial" w:eastAsia="Arial" w:hAnsi="Arial"/>
                <w:sz w:val="32"/>
                <w:szCs w:val="32"/>
                <w:b w:val="1"/>
                <w:bCs w:val="1"/>
                <w:color w:val="auto"/>
              </w:rPr>
              <w:t>5</w:t>
            </w:r>
          </w:p>
        </w:tc>
      </w:tr>
      <w:tr>
        <w:trPr>
          <w:trHeight w:val="24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100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6.033.735</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0080" w:type="dxa"/>
            <w:vAlign w:val="bottom"/>
          </w:tcPr>
          <w:p>
            <w:pPr>
              <w:ind w:left="680"/>
              <w:spacing w:after="0"/>
              <w:rPr>
                <w:sz w:val="20"/>
                <w:szCs w:val="20"/>
                <w:color w:val="auto"/>
              </w:rPr>
            </w:pPr>
            <w:r>
              <w:rPr>
                <w:rFonts w:ascii="Arial" w:cs="Arial" w:eastAsia="Arial" w:hAnsi="Arial"/>
                <w:sz w:val="18"/>
                <w:szCs w:val="18"/>
                <w:color w:val="auto"/>
              </w:rPr>
              <w:t>Shared Voting Power:</w:t>
            </w:r>
          </w:p>
        </w:tc>
      </w:tr>
      <w:tr>
        <w:trPr>
          <w:trHeight w:val="306"/>
        </w:trPr>
        <w:tc>
          <w:tcPr>
            <w:tcW w:w="11460" w:type="dxa"/>
            <w:vAlign w:val="bottom"/>
            <w:gridSpan w:val="2"/>
          </w:tcPr>
          <w:p>
            <w:pPr>
              <w:jc w:val="right"/>
              <w:ind w:right="9768"/>
              <w:spacing w:after="0" w:line="306" w:lineRule="exact"/>
              <w:rPr>
                <w:sz w:val="20"/>
                <w:szCs w:val="20"/>
                <w:color w:val="auto"/>
              </w:rPr>
            </w:pPr>
            <w:r>
              <w:rPr>
                <w:rFonts w:ascii="Arial" w:cs="Arial" w:eastAsia="Arial" w:hAnsi="Arial"/>
                <w:sz w:val="18"/>
                <w:szCs w:val="18"/>
                <w:b w:val="1"/>
                <w:bCs w:val="1"/>
                <w:color w:val="auto"/>
              </w:rPr>
              <w:t xml:space="preserve">BENEFICIALLY </w:t>
            </w:r>
            <w:r>
              <w:rPr>
                <w:rFonts w:ascii="Arial" w:cs="Arial" w:eastAsia="Arial" w:hAnsi="Arial"/>
                <w:sz w:val="32"/>
                <w:szCs w:val="32"/>
                <w:b w:val="1"/>
                <w:bCs w:val="1"/>
                <w:color w:val="auto"/>
              </w:rPr>
              <w:t>6</w:t>
            </w:r>
          </w:p>
        </w:tc>
      </w:tr>
      <w:tr>
        <w:trPr>
          <w:trHeight w:val="24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100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0</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EACH</w:t>
            </w:r>
          </w:p>
        </w:tc>
        <w:tc>
          <w:tcPr>
            <w:tcW w:w="10080" w:type="dxa"/>
            <w:vAlign w:val="bottom"/>
          </w:tcPr>
          <w:p>
            <w:pPr>
              <w:ind w:left="680"/>
              <w:spacing w:after="0"/>
              <w:rPr>
                <w:sz w:val="20"/>
                <w:szCs w:val="20"/>
                <w:color w:val="auto"/>
              </w:rPr>
            </w:pPr>
            <w:r>
              <w:rPr>
                <w:rFonts w:ascii="Arial" w:cs="Arial" w:eastAsia="Arial" w:hAnsi="Arial"/>
                <w:sz w:val="18"/>
                <w:szCs w:val="18"/>
                <w:color w:val="auto"/>
              </w:rPr>
              <w:t>Sole Dispositive Power:</w:t>
            </w:r>
          </w:p>
        </w:tc>
      </w:tr>
      <w:tr>
        <w:trPr>
          <w:trHeight w:val="30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10080" w:type="dxa"/>
            <w:vAlign w:val="bottom"/>
          </w:tcPr>
          <w:p>
            <w:pPr>
              <w:jc w:val="right"/>
              <w:ind w:right="9768"/>
              <w:spacing w:after="0" w:line="306" w:lineRule="exact"/>
              <w:rPr>
                <w:sz w:val="20"/>
                <w:szCs w:val="20"/>
                <w:color w:val="auto"/>
              </w:rPr>
            </w:pPr>
            <w:r>
              <w:rPr>
                <w:rFonts w:ascii="Arial" w:cs="Arial" w:eastAsia="Arial" w:hAnsi="Arial"/>
                <w:sz w:val="32"/>
                <w:szCs w:val="32"/>
                <w:b w:val="1"/>
                <w:bCs w:val="1"/>
                <w:color w:val="auto"/>
              </w:rPr>
              <w:t>7</w:t>
            </w:r>
          </w:p>
        </w:tc>
      </w:tr>
      <w:tr>
        <w:trPr>
          <w:trHeight w:val="24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PERSON</w:t>
            </w:r>
          </w:p>
        </w:tc>
        <w:tc>
          <w:tcPr>
            <w:tcW w:w="100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6.033.735</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WITH</w:t>
            </w:r>
          </w:p>
        </w:tc>
        <w:tc>
          <w:tcPr>
            <w:tcW w:w="10080" w:type="dxa"/>
            <w:vAlign w:val="bottom"/>
          </w:tcPr>
          <w:p>
            <w:pPr>
              <w:ind w:left="680"/>
              <w:spacing w:after="0"/>
              <w:rPr>
                <w:sz w:val="20"/>
                <w:szCs w:val="20"/>
                <w:color w:val="auto"/>
              </w:rPr>
            </w:pPr>
            <w:r>
              <w:rPr>
                <w:rFonts w:ascii="Arial" w:cs="Arial" w:eastAsia="Arial" w:hAnsi="Arial"/>
                <w:sz w:val="18"/>
                <w:szCs w:val="18"/>
                <w:color w:val="auto"/>
              </w:rPr>
              <w:t>Shared Dispositive Power:</w:t>
            </w:r>
          </w:p>
        </w:tc>
      </w:tr>
      <w:tr>
        <w:trPr>
          <w:trHeight w:val="326"/>
        </w:trPr>
        <w:tc>
          <w:tcPr>
            <w:tcW w:w="1380" w:type="dxa"/>
            <w:vAlign w:val="bottom"/>
          </w:tcPr>
          <w:p>
            <w:pPr>
              <w:spacing w:after="0"/>
              <w:rPr>
                <w:sz w:val="24"/>
                <w:szCs w:val="24"/>
                <w:color w:val="auto"/>
              </w:rPr>
            </w:pPr>
          </w:p>
        </w:tc>
        <w:tc>
          <w:tcPr>
            <w:tcW w:w="10080" w:type="dxa"/>
            <w:vAlign w:val="bottom"/>
          </w:tcPr>
          <w:p>
            <w:pPr>
              <w:jc w:val="right"/>
              <w:ind w:right="9768"/>
              <w:spacing w:after="0" w:line="326" w:lineRule="exact"/>
              <w:rPr>
                <w:sz w:val="20"/>
                <w:szCs w:val="20"/>
                <w:color w:val="auto"/>
              </w:rPr>
            </w:pPr>
            <w:r>
              <w:rPr>
                <w:rFonts w:ascii="Arial" w:cs="Arial" w:eastAsia="Arial" w:hAnsi="Arial"/>
                <w:sz w:val="32"/>
                <w:szCs w:val="32"/>
                <w:b w:val="1"/>
                <w:bCs w:val="1"/>
                <w:color w:val="auto"/>
              </w:rPr>
              <w:t>8</w:t>
            </w:r>
          </w:p>
        </w:tc>
      </w:tr>
    </w:tbl>
    <w:p>
      <w:pPr>
        <w:spacing w:after="0" w:line="1" w:lineRule="exact"/>
        <w:rPr>
          <w:sz w:val="20"/>
          <w:szCs w:val="20"/>
          <w:color w:val="auto"/>
        </w:rPr>
      </w:pPr>
    </w:p>
    <w:p>
      <w:pPr>
        <w:sectPr>
          <w:pgSz w:w="11900" w:h="16838" w:orient="portrait"/>
          <w:cols w:equalWidth="0" w:num="1">
            <w:col w:w="11460"/>
          </w:cols>
          <w:pgMar w:left="240" w:top="368" w:right="19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9</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18"/>
          <w:szCs w:val="18"/>
          <w:color w:val="auto"/>
        </w:rPr>
        <w:t>0</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Beneficially Owned by Each Reporting Person: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6.033.735</w:t>
      </w:r>
    </w:p>
    <w:p>
      <w:pPr>
        <w:spacing w:after="0" w:line="94" w:lineRule="exact"/>
        <w:rPr>
          <w:sz w:val="20"/>
          <w:szCs w:val="20"/>
          <w:color w:val="auto"/>
        </w:rPr>
      </w:pPr>
    </w:p>
    <w:p>
      <w:pPr>
        <w:sectPr>
          <w:pgSz w:w="11900" w:h="16838" w:orient="portrait"/>
          <w:cols w:equalWidth="0" w:num="2">
            <w:col w:w="200" w:space="580"/>
            <w:col w:w="10680"/>
          </w:cols>
          <w:pgMar w:left="240" w:top="368" w:right="199" w:bottom="1440" w:gutter="0" w:footer="0" w:header="0"/>
          <w:type w:val="continuous"/>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Check if the Aggregate Amount in Row (9) Excludes Certain Shares (See Instructions):</w:t>
      </w:r>
    </w:p>
    <w:p>
      <w:pPr>
        <w:spacing w:after="0" w:line="473" w:lineRule="exact"/>
        <w:rPr>
          <w:sz w:val="20"/>
          <w:szCs w:val="20"/>
          <w:color w:val="auto"/>
        </w:rPr>
      </w:pPr>
    </w:p>
    <w:p>
      <w:pPr>
        <w:sectPr>
          <w:pgSz w:w="11900" w:h="16838" w:orient="portrait"/>
          <w:cols w:equalWidth="0" w:num="2">
            <w:col w:w="360" w:space="420"/>
            <w:col w:w="10680"/>
          </w:cols>
          <w:pgMar w:left="240" w:top="368" w:right="199" w:bottom="1440" w:gutter="0" w:footer="0" w:header="0"/>
          <w:type w:val="continuous"/>
        </w:sect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Percent of Class Represented by Amount in Row (9):</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w:t>
      </w:r>
    </w:p>
    <w:p>
      <w:pPr>
        <w:spacing w:after="0" w:line="94" w:lineRule="exact"/>
        <w:rPr>
          <w:sz w:val="20"/>
          <w:szCs w:val="20"/>
          <w:color w:val="auto"/>
        </w:rPr>
      </w:pPr>
    </w:p>
    <w:p>
      <w:pPr>
        <w:sectPr>
          <w:pgSz w:w="11900" w:h="16838" w:orient="portrait"/>
          <w:cols w:equalWidth="0" w:num="2">
            <w:col w:w="340" w:space="440"/>
            <w:col w:w="10680"/>
          </w:cols>
          <w:pgMar w:left="240" w:top="368" w:right="199" w:bottom="1440" w:gutter="0" w:footer="0" w:header="0"/>
          <w:type w:val="continuous"/>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Type of Reporting Person (See Instructions):</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272415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60" w:space="420"/>
            <w:col w:w="10680"/>
          </w:cols>
          <w:pgMar w:left="240" w:top="368" w:right="1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G2519Y 10 8</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3 of 6</w:t>
      </w:r>
    </w:p>
    <w:p>
      <w:pPr>
        <w:spacing w:after="0" w:line="709" w:lineRule="exact"/>
        <w:rPr>
          <w:sz w:val="20"/>
          <w:szCs w:val="20"/>
          <w:color w:val="auto"/>
        </w:rPr>
      </w:pPr>
    </w:p>
    <w:p>
      <w:pPr>
        <w:sectPr>
          <w:pgSz w:w="11900" w:h="16838" w:orient="portrait"/>
          <w:cols w:equalWidth="0" w:num="2">
            <w:col w:w="9880" w:space="720"/>
            <w:col w:w="820"/>
          </w:cols>
          <w:pgMar w:left="240" w:top="368" w:right="239" w:bottom="1440" w:gutter="0" w:footer="0" w:header="0"/>
        </w:sectPr>
      </w:pP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Address of Issuer’s Principal Executive Offices: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b w:val="1"/>
          <w:bCs w:val="1"/>
          <w:color w:val="auto"/>
        </w:rPr>
        <w:t>Clarendon House</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Hamilton HM11 Bermuda</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Persons Filing:</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Prima AFP</w:t>
      </w:r>
    </w:p>
    <w:p>
      <w:pPr>
        <w:spacing w:after="0" w:line="2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Prima AFP</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Chinchón 980</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San Isidro</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Lima 27, Perú</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See Item 4 on Page 2</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Common Shares</w:t>
      </w:r>
    </w:p>
    <w:p>
      <w:pPr>
        <w:spacing w:after="0" w:line="2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G2519Y 10 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Rules 13d-1(b), or 13d-2(b), check whether the person filing is a:</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 Applicable.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580"/>
              <w:spacing w:after="0"/>
              <w:rPr>
                <w:sz w:val="20"/>
                <w:szCs w:val="20"/>
                <w:color w:val="auto"/>
              </w:rPr>
            </w:pPr>
            <w:r>
              <w:rPr>
                <w:rFonts w:ascii="Arial" w:cs="Arial" w:eastAsia="Arial" w:hAnsi="Arial"/>
                <w:sz w:val="18"/>
                <w:szCs w:val="18"/>
                <w:color w:val="auto"/>
              </w:rPr>
              <w:t>(a)</w:t>
            </w:r>
          </w:p>
        </w:tc>
        <w:tc>
          <w:tcPr>
            <w:tcW w:w="720" w:type="dxa"/>
            <w:vAlign w:val="bottom"/>
          </w:tcPr>
          <w:p>
            <w:pPr>
              <w:ind w:left="280"/>
              <w:spacing w:after="0"/>
              <w:rPr>
                <w:sz w:val="20"/>
                <w:szCs w:val="20"/>
                <w:color w:val="auto"/>
              </w:rPr>
            </w:pPr>
            <w:r>
              <w:rPr>
                <w:rFonts w:ascii="Arial" w:cs="Arial" w:eastAsia="Arial" w:hAnsi="Arial"/>
                <w:sz w:val="18"/>
                <w:szCs w:val="18"/>
                <w:color w:val="auto"/>
              </w:rPr>
              <w:t>o</w:t>
            </w:r>
          </w:p>
        </w:tc>
        <w:tc>
          <w:tcPr>
            <w:tcW w:w="9600" w:type="dxa"/>
            <w:vAlign w:val="bottom"/>
          </w:tcPr>
          <w:p>
            <w:pPr>
              <w:ind w:left="36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513"/>
        </w:trPr>
        <w:tc>
          <w:tcPr>
            <w:tcW w:w="1100" w:type="dxa"/>
            <w:vAlign w:val="bottom"/>
          </w:tcPr>
          <w:p>
            <w:pPr>
              <w:ind w:left="580"/>
              <w:spacing w:after="0"/>
              <w:rPr>
                <w:sz w:val="20"/>
                <w:szCs w:val="20"/>
                <w:color w:val="auto"/>
              </w:rPr>
            </w:pPr>
            <w:r>
              <w:rPr>
                <w:rFonts w:ascii="Arial" w:cs="Arial" w:eastAsia="Arial" w:hAnsi="Arial"/>
                <w:sz w:val="18"/>
                <w:szCs w:val="18"/>
                <w:color w:val="auto"/>
              </w:rPr>
              <w:t>(b)</w:t>
            </w:r>
          </w:p>
        </w:tc>
        <w:tc>
          <w:tcPr>
            <w:tcW w:w="720" w:type="dxa"/>
            <w:vAlign w:val="bottom"/>
          </w:tcPr>
          <w:p>
            <w:pPr>
              <w:ind w:left="280"/>
              <w:spacing w:after="0"/>
              <w:rPr>
                <w:sz w:val="20"/>
                <w:szCs w:val="20"/>
                <w:color w:val="auto"/>
              </w:rPr>
            </w:pPr>
            <w:r>
              <w:rPr>
                <w:rFonts w:ascii="Arial" w:cs="Arial" w:eastAsia="Arial" w:hAnsi="Arial"/>
                <w:sz w:val="18"/>
                <w:szCs w:val="18"/>
                <w:color w:val="auto"/>
              </w:rPr>
              <w:t>o</w:t>
            </w:r>
          </w:p>
        </w:tc>
        <w:tc>
          <w:tcPr>
            <w:tcW w:w="9600" w:type="dxa"/>
            <w:vAlign w:val="bottom"/>
          </w:tcPr>
          <w:p>
            <w:pPr>
              <w:ind w:left="360"/>
              <w:spacing w:after="0"/>
              <w:rPr>
                <w:sz w:val="20"/>
                <w:szCs w:val="20"/>
                <w:color w:val="auto"/>
              </w:rPr>
            </w:pPr>
            <w:r>
              <w:rPr>
                <w:rFonts w:ascii="Arial" w:cs="Arial" w:eastAsia="Arial" w:hAnsi="Arial"/>
                <w:sz w:val="18"/>
                <w:szCs w:val="18"/>
                <w:color w:val="auto"/>
              </w:rPr>
              <w:t>Bank as defined in Section 3(a)(6) of the Act (15 U.S.C. 78c)</w:t>
            </w:r>
          </w:p>
        </w:tc>
      </w:tr>
      <w:tr>
        <w:trPr>
          <w:trHeight w:val="486"/>
        </w:trPr>
        <w:tc>
          <w:tcPr>
            <w:tcW w:w="1100" w:type="dxa"/>
            <w:vAlign w:val="bottom"/>
          </w:tcPr>
          <w:p>
            <w:pPr>
              <w:ind w:left="580"/>
              <w:spacing w:after="0"/>
              <w:rPr>
                <w:sz w:val="20"/>
                <w:szCs w:val="20"/>
                <w:color w:val="auto"/>
              </w:rPr>
            </w:pPr>
            <w:r>
              <w:rPr>
                <w:rFonts w:ascii="Arial" w:cs="Arial" w:eastAsia="Arial" w:hAnsi="Arial"/>
                <w:sz w:val="18"/>
                <w:szCs w:val="18"/>
                <w:color w:val="auto"/>
              </w:rPr>
              <w:t>(c)</w:t>
            </w:r>
          </w:p>
        </w:tc>
        <w:tc>
          <w:tcPr>
            <w:tcW w:w="720" w:type="dxa"/>
            <w:vAlign w:val="bottom"/>
          </w:tcPr>
          <w:p>
            <w:pPr>
              <w:ind w:left="280"/>
              <w:spacing w:after="0"/>
              <w:rPr>
                <w:sz w:val="20"/>
                <w:szCs w:val="20"/>
                <w:color w:val="auto"/>
              </w:rPr>
            </w:pPr>
            <w:r>
              <w:rPr>
                <w:rFonts w:ascii="Arial" w:cs="Arial" w:eastAsia="Arial" w:hAnsi="Arial"/>
                <w:sz w:val="18"/>
                <w:szCs w:val="18"/>
                <w:color w:val="auto"/>
              </w:rPr>
              <w:t>o</w:t>
            </w:r>
          </w:p>
        </w:tc>
        <w:tc>
          <w:tcPr>
            <w:tcW w:w="9600" w:type="dxa"/>
            <w:vAlign w:val="bottom"/>
          </w:tcPr>
          <w:p>
            <w:pPr>
              <w:ind w:left="36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348"/>
        </w:trPr>
        <w:tc>
          <w:tcPr>
            <w:tcW w:w="1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9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3" w:name="page4"/>
    <w:bookmarkEnd w:id="3"/>
    <w:p>
      <w:pPr>
        <w:spacing w:after="0"/>
        <w:tabs>
          <w:tab w:leader="none" w:pos="105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w:t>
            </w:r>
          </w:p>
        </w:tc>
        <w:tc>
          <w:tcPr>
            <w:tcW w:w="720" w:type="dxa"/>
            <w:vAlign w:val="bottom"/>
          </w:tcPr>
          <w:p>
            <w:pPr>
              <w:ind w:left="280"/>
              <w:spacing w:after="0"/>
              <w:rPr>
                <w:sz w:val="20"/>
                <w:szCs w:val="20"/>
                <w:color w:val="auto"/>
              </w:rPr>
            </w:pPr>
            <w:r>
              <w:rPr>
                <w:rFonts w:ascii="Arial" w:cs="Arial" w:eastAsia="Arial" w:hAnsi="Arial"/>
                <w:sz w:val="18"/>
                <w:szCs w:val="18"/>
                <w:color w:val="auto"/>
              </w:rPr>
              <w:t>o</w:t>
            </w:r>
          </w:p>
        </w:tc>
        <w:tc>
          <w:tcPr>
            <w:tcW w:w="8080" w:type="dxa"/>
            <w:vAlign w:val="bottom"/>
          </w:tcPr>
          <w:p>
            <w:pPr>
              <w:ind w:left="36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(e)</w:t>
            </w:r>
          </w:p>
        </w:tc>
        <w:tc>
          <w:tcPr>
            <w:tcW w:w="720" w:type="dxa"/>
            <w:vAlign w:val="bottom"/>
          </w:tcPr>
          <w:p>
            <w:pPr>
              <w:ind w:left="280"/>
              <w:spacing w:after="0"/>
              <w:rPr>
                <w:sz w:val="20"/>
                <w:szCs w:val="20"/>
                <w:color w:val="auto"/>
              </w:rPr>
            </w:pPr>
            <w:r>
              <w:rPr>
                <w:rFonts w:ascii="Arial" w:cs="Arial" w:eastAsia="Arial" w:hAnsi="Arial"/>
                <w:sz w:val="18"/>
                <w:szCs w:val="18"/>
                <w:color w:val="auto"/>
              </w:rPr>
              <w:t>o</w:t>
            </w:r>
          </w:p>
        </w:tc>
        <w:tc>
          <w:tcPr>
            <w:tcW w:w="8080" w:type="dxa"/>
            <w:vAlign w:val="bottom"/>
          </w:tcPr>
          <w:p>
            <w:pPr>
              <w:ind w:left="360"/>
              <w:spacing w:after="0"/>
              <w:rPr>
                <w:sz w:val="20"/>
                <w:szCs w:val="20"/>
                <w:color w:val="auto"/>
              </w:rPr>
            </w:pPr>
            <w:r>
              <w:rPr>
                <w:rFonts w:ascii="Arial" w:cs="Arial" w:eastAsia="Arial" w:hAnsi="Arial"/>
                <w:sz w:val="18"/>
                <w:szCs w:val="18"/>
                <w:color w:val="auto"/>
              </w:rPr>
              <w:t>An investment adviser in accordance with §240.13d-1(b)(1)(ii)(E)</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(f)</w:t>
            </w:r>
          </w:p>
        </w:tc>
        <w:tc>
          <w:tcPr>
            <w:tcW w:w="720" w:type="dxa"/>
            <w:vAlign w:val="bottom"/>
          </w:tcPr>
          <w:p>
            <w:pPr>
              <w:ind w:left="280"/>
              <w:spacing w:after="0"/>
              <w:rPr>
                <w:sz w:val="20"/>
                <w:szCs w:val="20"/>
                <w:color w:val="auto"/>
              </w:rPr>
            </w:pPr>
            <w:r>
              <w:rPr>
                <w:rFonts w:ascii="Arial" w:cs="Arial" w:eastAsia="Arial" w:hAnsi="Arial"/>
                <w:sz w:val="18"/>
                <w:szCs w:val="18"/>
                <w:color w:val="auto"/>
              </w:rPr>
              <w:t>o</w:t>
            </w:r>
          </w:p>
        </w:tc>
        <w:tc>
          <w:tcPr>
            <w:tcW w:w="8080" w:type="dxa"/>
            <w:vAlign w:val="bottom"/>
          </w:tcPr>
          <w:p>
            <w:pPr>
              <w:ind w:left="36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(g)</w:t>
            </w:r>
          </w:p>
        </w:tc>
        <w:tc>
          <w:tcPr>
            <w:tcW w:w="720" w:type="dxa"/>
            <w:vAlign w:val="bottom"/>
          </w:tcPr>
          <w:p>
            <w:pPr>
              <w:ind w:left="280"/>
              <w:spacing w:after="0"/>
              <w:rPr>
                <w:sz w:val="20"/>
                <w:szCs w:val="20"/>
                <w:color w:val="auto"/>
              </w:rPr>
            </w:pPr>
            <w:r>
              <w:rPr>
                <w:rFonts w:ascii="Arial" w:cs="Arial" w:eastAsia="Arial" w:hAnsi="Arial"/>
                <w:sz w:val="18"/>
                <w:szCs w:val="18"/>
                <w:color w:val="auto"/>
              </w:rPr>
              <w:t>o</w:t>
            </w:r>
          </w:p>
        </w:tc>
        <w:tc>
          <w:tcPr>
            <w:tcW w:w="8080" w:type="dxa"/>
            <w:vAlign w:val="bottom"/>
          </w:tcPr>
          <w:p>
            <w:pPr>
              <w:ind w:left="360"/>
              <w:spacing w:after="0"/>
              <w:rPr>
                <w:sz w:val="20"/>
                <w:szCs w:val="20"/>
                <w:color w:val="auto"/>
              </w:rPr>
            </w:pPr>
            <w:r>
              <w:rPr>
                <w:rFonts w:ascii="Arial" w:cs="Arial" w:eastAsia="Arial" w:hAnsi="Arial"/>
                <w:sz w:val="18"/>
                <w:szCs w:val="18"/>
                <w:color w:val="auto"/>
              </w:rPr>
              <w:t>A parent holding company or control person in accordance with §240.13d-1(b)(ii)(G)</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(h)</w:t>
            </w:r>
          </w:p>
        </w:tc>
        <w:tc>
          <w:tcPr>
            <w:tcW w:w="720" w:type="dxa"/>
            <w:vAlign w:val="bottom"/>
          </w:tcPr>
          <w:p>
            <w:pPr>
              <w:ind w:left="280"/>
              <w:spacing w:after="0"/>
              <w:rPr>
                <w:sz w:val="20"/>
                <w:szCs w:val="20"/>
                <w:color w:val="auto"/>
              </w:rPr>
            </w:pPr>
            <w:r>
              <w:rPr>
                <w:rFonts w:ascii="Arial" w:cs="Arial" w:eastAsia="Arial" w:hAnsi="Arial"/>
                <w:sz w:val="18"/>
                <w:szCs w:val="18"/>
                <w:color w:val="auto"/>
              </w:rPr>
              <w:t>o</w:t>
            </w:r>
          </w:p>
        </w:tc>
        <w:tc>
          <w:tcPr>
            <w:tcW w:w="8080" w:type="dxa"/>
            <w:vAlign w:val="bottom"/>
          </w:tcPr>
          <w:p>
            <w:pPr>
              <w:ind w:left="360"/>
              <w:spacing w:after="0"/>
              <w:rPr>
                <w:sz w:val="20"/>
                <w:szCs w:val="20"/>
                <w:color w:val="auto"/>
              </w:rPr>
            </w:pPr>
            <w:r>
              <w:rPr>
                <w:rFonts w:ascii="Arial" w:cs="Arial" w:eastAsia="Arial" w:hAnsi="Arial"/>
                <w:sz w:val="18"/>
                <w:szCs w:val="18"/>
                <w:color w:val="auto"/>
              </w:rPr>
              <w:t>A savings associations as defined in Section 3(b) of the Federal Deposit Insurance Act</w:t>
            </w:r>
          </w:p>
        </w:tc>
      </w:tr>
    </w:tbl>
    <w:p>
      <w:pPr>
        <w:spacing w:after="0" w:line="256" w:lineRule="exact"/>
        <w:rPr>
          <w:sz w:val="20"/>
          <w:szCs w:val="20"/>
          <w:color w:val="auto"/>
        </w:rPr>
      </w:pPr>
    </w:p>
    <w:p>
      <w:pPr>
        <w:ind w:left="2180" w:right="20" w:hanging="1591"/>
        <w:spacing w:after="0" w:line="277" w:lineRule="auto"/>
        <w:tabs>
          <w:tab w:leader="none" w:pos="1383" w:val="left"/>
        </w:tabs>
        <w:numPr>
          <w:ilvl w:val="0"/>
          <w:numId w:val="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sz w:val="20"/>
          <w:szCs w:val="20"/>
          <w:color w:val="auto"/>
        </w:rPr>
      </w:pPr>
    </w:p>
    <w:p>
      <w:pPr>
        <w:ind w:left="580"/>
        <w:spacing w:after="0"/>
        <w:tabs>
          <w:tab w:leader="none" w:pos="1360" w:val="left"/>
          <w:tab w:leader="none" w:pos="216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Group, in accordance with §240.13d-1(b)(1)(ii)(J)</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Item 4. Ownership</w:t>
      </w:r>
    </w:p>
    <w:p>
      <w:pPr>
        <w:spacing w:after="0" w:line="283" w:lineRule="exact"/>
        <w:rPr>
          <w:sz w:val="20"/>
          <w:szCs w:val="20"/>
          <w:color w:val="auto"/>
        </w:rPr>
      </w:pPr>
    </w:p>
    <w:p>
      <w:pPr>
        <w:ind w:left="1380" w:right="7900" w:hanging="791"/>
        <w:spacing w:after="0" w:line="613" w:lineRule="auto"/>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Amount Beneficially Owned: See Item 9 on Page 2</w:t>
      </w:r>
    </w:p>
    <w:p>
      <w:pPr>
        <w:ind w:left="1380" w:hanging="79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Item 11 on Page 2</w:t>
      </w:r>
    </w:p>
    <w:p>
      <w:pPr>
        <w:spacing w:after="0" w:line="306" w:lineRule="exact"/>
        <w:rPr>
          <w:rFonts w:ascii="Arial" w:cs="Arial" w:eastAsia="Arial" w:hAnsi="Arial"/>
          <w:sz w:val="18"/>
          <w:szCs w:val="18"/>
          <w:color w:val="auto"/>
        </w:rPr>
      </w:pPr>
    </w:p>
    <w:p>
      <w:pPr>
        <w:ind w:left="1380" w:hanging="79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79" w:lineRule="exact"/>
        <w:rPr>
          <w:rFonts w:ascii="Arial" w:cs="Arial" w:eastAsia="Arial" w:hAnsi="Arial"/>
          <w:sz w:val="18"/>
          <w:szCs w:val="18"/>
          <w:color w:val="auto"/>
        </w:rPr>
      </w:pPr>
    </w:p>
    <w:p>
      <w:pPr>
        <w:ind w:left="2180" w:right="6380" w:hanging="794"/>
        <w:spacing w:after="0" w:line="563" w:lineRule="auto"/>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spacing w:after="0" w:line="1" w:lineRule="exact"/>
        <w:rPr>
          <w:rFonts w:ascii="Arial" w:cs="Arial" w:eastAsia="Arial" w:hAnsi="Arial"/>
          <w:sz w:val="18"/>
          <w:szCs w:val="18"/>
          <w:color w:val="auto"/>
        </w:rPr>
      </w:pPr>
    </w:p>
    <w:p>
      <w:pPr>
        <w:ind w:left="2180" w:right="6200" w:hanging="794"/>
        <w:spacing w:after="0" w:line="563" w:lineRule="auto"/>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on Page 2</w:t>
      </w:r>
    </w:p>
    <w:p>
      <w:pPr>
        <w:spacing w:after="0" w:line="1" w:lineRule="exact"/>
        <w:rPr>
          <w:rFonts w:ascii="Arial" w:cs="Arial" w:eastAsia="Arial" w:hAnsi="Arial"/>
          <w:sz w:val="18"/>
          <w:szCs w:val="18"/>
          <w:color w:val="auto"/>
        </w:rPr>
      </w:pPr>
    </w:p>
    <w:p>
      <w:pPr>
        <w:ind w:left="2180" w:right="5480" w:hanging="794"/>
        <w:spacing w:after="0" w:line="653" w:lineRule="auto"/>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CUSIP No G2519Y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5 of 6</w:t>
      </w:r>
    </w:p>
    <w:p>
      <w:pPr>
        <w:spacing w:after="0" w:line="200" w:lineRule="exact"/>
        <w:rPr>
          <w:sz w:val="20"/>
          <w:szCs w:val="20"/>
          <w:color w:val="auto"/>
        </w:rPr>
      </w:pPr>
    </w:p>
    <w:p>
      <w:pPr>
        <w:sectPr>
          <w:pgSz w:w="11900" w:h="16838" w:orient="portrait"/>
          <w:cols w:equalWidth="0" w:num="2">
            <w:col w:w="9880" w:space="720"/>
            <w:col w:w="820"/>
          </w:cols>
          <w:pgMar w:left="240" w:top="341" w:right="239" w:bottom="1440" w:gutter="0" w:footer="0" w:header="0"/>
        </w:sectPr>
      </w:pPr>
    </w:p>
    <w:p>
      <w:pPr>
        <w:spacing w:after="0" w:line="4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Shared power to dispose or to direct the disposition of:</w:t>
      </w:r>
    </w:p>
    <w:p>
      <w:pPr>
        <w:spacing w:after="0" w:line="222" w:lineRule="exact"/>
        <w:rPr>
          <w:sz w:val="20"/>
          <w:szCs w:val="20"/>
          <w:color w:val="auto"/>
        </w:rPr>
      </w:pPr>
    </w:p>
    <w:p>
      <w:pPr>
        <w:sectPr>
          <w:pgSz w:w="11900" w:h="16838" w:orient="portrait"/>
          <w:cols w:equalWidth="0" w:num="2">
            <w:col w:w="1640" w:space="540"/>
            <w:col w:w="9240"/>
          </w:cols>
          <w:pgMar w:left="240" w:top="341" w:right="239" w:bottom="1440" w:gutter="0" w:footer="0" w:header="0"/>
          <w:type w:val="continuous"/>
        </w:sectPr>
      </w:pPr>
    </w:p>
    <w:p>
      <w:pPr>
        <w:spacing w:after="0" w:line="10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See Item 8 on Page 2</w:t>
      </w:r>
    </w:p>
    <w:p>
      <w:pPr>
        <w:spacing w:after="0" w:line="27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7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Not Applicable</w:t>
      </w:r>
    </w:p>
    <w:p>
      <w:pPr>
        <w:spacing w:after="0" w:line="310"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75" w:lineRule="exact"/>
        <w:rPr>
          <w:sz w:val="20"/>
          <w:szCs w:val="20"/>
          <w:color w:val="auto"/>
        </w:rPr>
      </w:pPr>
    </w:p>
    <w:p>
      <w:pPr>
        <w:jc w:val="both"/>
        <w:ind w:left="1380"/>
        <w:spacing w:after="0" w:line="282" w:lineRule="auto"/>
        <w:rPr>
          <w:sz w:val="20"/>
          <w:szCs w:val="20"/>
          <w:color w:val="auto"/>
        </w:rPr>
      </w:pPr>
      <w:r>
        <w:rPr>
          <w:rFonts w:ascii="Arial" w:cs="Arial" w:eastAsia="Arial" w:hAnsi="Arial"/>
          <w:sz w:val="18"/>
          <w:szCs w:val="18"/>
          <w:b w:val="1"/>
          <w:bCs w:val="1"/>
          <w:color w:val="auto"/>
        </w:rPr>
        <w:t>Prima AFP, a subsidiary of the Issuer, is a pension fund administrator constituted under Peruvian law. Prima AFP owns the shares for the benefit of the beneficiaries of the pension fund.</w:t>
      </w:r>
    </w:p>
    <w:p>
      <w:pPr>
        <w:spacing w:after="0" w:line="193"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Not Applicable</w:t>
      </w:r>
    </w:p>
    <w:p>
      <w:pPr>
        <w:spacing w:after="0" w:line="310"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7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Not Applicable</w:t>
      </w:r>
    </w:p>
    <w:p>
      <w:pPr>
        <w:spacing w:after="0" w:line="310"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27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Not Applicable</w:t>
      </w:r>
    </w:p>
    <w:p>
      <w:pPr>
        <w:spacing w:after="0" w:line="310"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75" w:lineRule="exact"/>
        <w:rPr>
          <w:sz w:val="20"/>
          <w:szCs w:val="20"/>
          <w:color w:val="auto"/>
        </w:rPr>
      </w:pPr>
    </w:p>
    <w:p>
      <w:pPr>
        <w:jc w:val="both"/>
        <w:ind w:left="1380"/>
        <w:spacing w:after="0" w:line="314" w:lineRule="auto"/>
        <w:rPr>
          <w:sz w:val="20"/>
          <w:szCs w:val="20"/>
          <w:color w:val="auto"/>
        </w:rPr>
      </w:pPr>
      <w:r>
        <w:rPr>
          <w:rFonts w:ascii="Arial" w:cs="Arial" w:eastAsia="Arial" w:hAnsi="Arial"/>
          <w:sz w:val="16"/>
          <w:szCs w:val="16"/>
          <w:b w:val="1"/>
          <w:bCs w:val="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tabs>
          <w:tab w:leader="none" w:pos="105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6 of 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7th, 2008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Prima AFP</w:t>
      </w:r>
    </w:p>
    <w:p>
      <w:pPr>
        <w:spacing w:after="0" w:line="24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Michel Flit Pait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2019-12-14T06:09:21Z</dcterms:created>
  <dcterms:modified xsi:type="dcterms:W3CDTF">2019-12-14T06:09:21Z</dcterms:modified>
</cp:coreProperties>
</file>