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January,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January 23, 2004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accordance with articles 10 and 28 of the Capital Markets Law and CONASEV resolution number 107-2002-EF/94.10, Credicorp Ltd. complies in notifying you of the following Material Event:</w:t>
      </w:r>
    </w:p>
    <w:p>
      <w:pPr>
        <w:spacing w:after="0" w:line="209" w:lineRule="exact"/>
        <w:rPr>
          <w:sz w:val="20"/>
          <w:szCs w:val="20"/>
          <w:color w:val="auto"/>
        </w:rPr>
      </w:pPr>
    </w:p>
    <w:p>
      <w:pPr>
        <w:jc w:val="both"/>
        <w:ind w:firstLine="8"/>
        <w:spacing w:after="0" w:line="238" w:lineRule="auto"/>
        <w:tabs>
          <w:tab w:leader="none" w:pos="20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 session held on January 22, 2004, Credicorp’s Board of Directors agreed to set the date for the Annual General Shareholder’s meeting for March 26, 2004 at 3:00 pm at the main offices of Banco de Credito del Peru, located at 156 Calle Centenario, Laderas de Melarejo, in La Molina, Lima, Peru to attend to the following matters:</w:t>
      </w:r>
    </w:p>
    <w:p>
      <w:pPr>
        <w:spacing w:after="0" w:line="2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consideration and approval of the company’s Annual Report for the year ended on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The consideration and approval of the company’s consolidated financial statements and External Auditors’ report for the year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-250190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55" w:lineRule="auto"/>
        <w:rPr>
          <w:sz w:val="20"/>
          <w:szCs w:val="20"/>
          <w:color w:val="auto"/>
        </w:rPr>
      </w:pPr>
      <w:r>
        <w:rPr>
          <w:rFonts w:ascii="Arial" w:cs="Arial" w:eastAsia="Arial" w:hAnsi="Arial"/>
          <w:sz w:val="18"/>
          <w:szCs w:val="18"/>
          <w:color w:val="auto"/>
        </w:rPr>
        <w:t>Approval of the company’s External Auditors for 2004, (as proposed by Credicorp’s Audit Committee) and the authorization for the Board to agree upon their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-250190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has established that those shareholders who have purchased shares of the Company on or before February 5, 2004 and who are officially registered as shareholders of the company on February 10, 2004 (Record Date) will be entitled to attend and vote in the above mentioned shareholder’s meeting.</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accordance with the company’s Bye-laws, if a quorum is not met in the first instance, the meeting will be postponed until the following week at the same place and time.</w:t>
      </w:r>
    </w:p>
    <w:p>
      <w:pPr>
        <w:spacing w:after="0" w:line="20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This announcement has been made in accordance with the Laws of Bermuda, and as per the recommendations of the New York Stock Exchange, as to duly notify all shareholders in anticipation of the shareholder’s meeting.</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2003 Annual Report and the independent Auditors Report and Opinion will be approved by the Board prior to being considered at the Annual General Shareholders meeting, at which time said documents will be presented to the CONASEV in accordance with the new regulations for Material Events and Reserved Information and Other Communications as approved by CONASEV Resolution No. 107-2002/EF/94.10.</w:t>
      </w:r>
    </w:p>
    <w:p>
      <w:pPr>
        <w:spacing w:after="0" w:line="209" w:lineRule="exact"/>
        <w:rPr>
          <w:sz w:val="20"/>
          <w:szCs w:val="20"/>
          <w:color w:val="auto"/>
        </w:rPr>
      </w:pPr>
    </w:p>
    <w:p>
      <w:pPr>
        <w:jc w:val="both"/>
        <w:ind w:right="20" w:firstLine="8"/>
        <w:spacing w:after="0" w:line="281" w:lineRule="auto"/>
        <w:tabs>
          <w:tab w:leader="none" w:pos="195"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Walter Bayly Llona was designated as the new Chief Financial and Accounting Officer to cover the vacancy created by the resignation of Mr. Benedicto Cigüeñas. The Board Members expressed their regret for this decision and commended the valuable services and contributions that Mr. Cigüeñas has given to the Corporation. The resignation of Mr. Cigüeñas and the designation of Mr. Bayly, will be effective on April 30, 2004.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_José 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-18415</wp:posOffset>
            </wp:positionV>
            <wp:extent cx="71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820" cy="8890"/>
                    </a:xfrm>
                    <a:prstGeom prst="rect">
                      <a:avLst/>
                    </a:prstGeom>
                    <a:noFill/>
                  </pic:spPr>
                </pic:pic>
              </a:graphicData>
            </a:graphic>
          </wp:anchor>
        </w:drawing>
      </w:r>
    </w:p>
    <w:p>
      <w:pPr>
        <w:ind w:left="260"/>
        <w:spacing w:after="0" w:line="234" w:lineRule="auto"/>
        <w:rPr>
          <w:sz w:val="20"/>
          <w:szCs w:val="20"/>
          <w:color w:val="auto"/>
        </w:rPr>
      </w:pPr>
      <w:r>
        <w:rPr>
          <w:rFonts w:ascii="Arial" w:cs="Arial" w:eastAsia="Arial" w:hAnsi="Arial"/>
          <w:sz w:val="18"/>
          <w:szCs w:val="18"/>
          <w:color w:val="auto"/>
        </w:rPr>
        <w:t>José Hung</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1">
            <w:col w:w="11420"/>
          </w:cols>
          <w:pgMar w:left="240" w:top="14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January 23,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2019-12-14T06:56:27Z</dcterms:created>
  <dcterms:modified xsi:type="dcterms:W3CDTF">2019-12-14T06:56:27Z</dcterms:modified>
</cp:coreProperties>
</file>