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July 2013</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00" w:lineRule="exact"/>
        <w:rPr>
          <w:sz w:val="24"/>
          <w:szCs w:val="24"/>
          <w:color w:val="auto"/>
        </w:rPr>
      </w:pPr>
    </w:p>
    <w:p>
      <w:pPr>
        <w:spacing w:after="0" w:line="27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612775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740410</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July 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June 28, 2013, Credicorp Ltd. has made a second capital contribution of US$ 68,161,330 (sixty eight million, one hundred sixty one thousand, three hundred and thirty and 00/100 U.S. dollars) to its subsidiary Credicorp Investments Ltd., so that the latter can acquire the shares that Banco de Crédito del Perú holds in BCP Colombia S.A.S., which in turn holds a 51% stake in Correval Sociedad Comisionista de Bolsa 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is in line with the material events of September 20 and 27,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1, 2013</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877"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2019-12-06T14:05:19Z</dcterms:created>
  <dcterms:modified xsi:type="dcterms:W3CDTF">2019-12-06T14:05:19Z</dcterms:modified>
</cp:coreProperties>
</file>