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July 2021</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630555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9"/>
          </w:cols>
          <w:pgMar w:left="380" w:top="756" w:right="1440" w:bottom="1440" w:gutter="0" w:footer="0" w:header="0"/>
        </w:sectPr>
      </w:pPr>
    </w:p>
    <w:bookmarkStart w:id="1" w:name="page2"/>
    <w:bookmarkEnd w:id="1"/>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36867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3686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July 21,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notify you as a Material Event that the company S&amp;P Global Ratings published its credit risk rating ‘BBB’ rating and stable outlook of Credicorp Ltd.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information in this Form 6-K regarding the rating of S&amp;P Global Ratings has been disclosed in Peru in conformity with Peruvian law (Article 28 of the Capital Markets Law, approved by Supreme Decree 093-2002-EF, and by the Regulation of the Disclosure of Material Facts and Reserved Information approved by Resolution 005-2014-SMV/01 of the Peruvian Capital Markets Superintendency). The ratings of S&amp;P Global Ratings do not necessarily represent the opinion of Credicorp Ltd. nor should they be seen as a recommendation to buy shares or any other securities of Credicorp Ltd. Credicorp Ltd. accepts no liability for the completeness, timeliness, accuracy or selection of such information.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July 21,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 (Registrant)</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2021-07-22T05:16:06Z</dcterms:created>
  <dcterms:modified xsi:type="dcterms:W3CDTF">2021-07-22T05:16:06Z</dcterms:modified>
</cp:coreProperties>
</file>