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October 2018</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7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568960</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October 18</w:t>
      </w:r>
      <w:r>
        <w:rPr>
          <w:rFonts w:ascii="Arial" w:cs="Arial" w:eastAsia="Arial" w:hAnsi="Arial"/>
          <w:sz w:val="30"/>
          <w:szCs w:val="30"/>
          <w:color w:val="auto"/>
          <w:vertAlign w:val="superscript"/>
        </w:rPr>
        <w:t>th</w:t>
      </w:r>
      <w:r>
        <w:rPr>
          <w:rFonts w:ascii="Arial" w:cs="Arial" w:eastAsia="Arial" w:hAnsi="Arial"/>
          <w:sz w:val="18"/>
          <w:szCs w:val="18"/>
          <w:color w:val="auto"/>
        </w:rPr>
        <w:t>, 2018</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Credicorp Ltd. notifies you, as a Material Event, that the Board of Directors of its investment banking subsidiary, Credicorp Capital Ltd., in its session held on October 18</w:t>
      </w:r>
      <w:r>
        <w:rPr>
          <w:rFonts w:ascii="Arial" w:cs="Arial" w:eastAsia="Arial" w:hAnsi="Arial"/>
          <w:sz w:val="30"/>
          <w:szCs w:val="30"/>
          <w:color w:val="auto"/>
          <w:vertAlign w:val="superscript"/>
        </w:rPr>
        <w:t>th</w:t>
      </w:r>
      <w:r>
        <w:rPr>
          <w:rFonts w:ascii="Arial" w:cs="Arial" w:eastAsia="Arial" w:hAnsi="Arial"/>
          <w:sz w:val="18"/>
          <w:szCs w:val="18"/>
          <w:color w:val="auto"/>
        </w:rPr>
        <w:t>, 2018 accepted the resignation of Mr. Christian Laub, Credicorp Capital’s Chief Executive Officer, and appointed Mr. Eduardo Montero, Head of Wealth Management at that subsidiary, as new Chief Executive Officer. As a result, Mr. Montero will also hold the position as Head of Investment Banking &amp; Wealth Management, one of Credicorp’s Lines of Business.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Eduardo Montero has worked at Credicorp since 1994. His extensive experience in the organization includes expertise in different areas such as Corporate Finance, Business Solutions, Retail and Consumer Banking at Banco de Credito del Peru (BCP). He also held the position as CEO at Atlantic Security Bank, BCP in Miami and Credicorp Securities. Mr. Montero holds a Bachelor’s degree in Economics from Lehigh University (USA), and an MBA from the Wharton Graduate School of Finance (USA).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resolution will be effective as from January 1</w:t>
      </w:r>
      <w:r>
        <w:rPr>
          <w:rFonts w:ascii="Arial" w:cs="Arial" w:eastAsia="Arial" w:hAnsi="Arial"/>
          <w:sz w:val="30"/>
          <w:szCs w:val="30"/>
          <w:color w:val="auto"/>
          <w:vertAlign w:val="superscript"/>
        </w:rPr>
        <w:t>st</w:t>
      </w:r>
      <w:r>
        <w:rPr>
          <w:rFonts w:ascii="Arial" w:cs="Arial" w:eastAsia="Arial" w:hAnsi="Arial"/>
          <w:sz w:val="18"/>
          <w:szCs w:val="18"/>
          <w:color w:val="auto"/>
        </w:rPr>
        <w:t>, 2019.</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18</w:t>
      </w:r>
      <w:r>
        <w:rPr>
          <w:rFonts w:ascii="Arial" w:cs="Arial" w:eastAsia="Arial" w:hAnsi="Arial"/>
          <w:sz w:val="30"/>
          <w:szCs w:val="30"/>
          <w:color w:val="auto"/>
          <w:vertAlign w:val="superscript"/>
        </w:rPr>
        <w:t>th</w:t>
      </w:r>
      <w:r>
        <w:rPr>
          <w:rFonts w:ascii="Arial" w:cs="Arial" w:eastAsia="Arial" w:hAnsi="Arial"/>
          <w:sz w:val="18"/>
          <w:szCs w:val="18"/>
          <w:color w:val="auto"/>
        </w:rPr>
        <w:t>, 2018</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87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2019-12-06T06:43:38Z</dcterms:created>
  <dcterms:modified xsi:type="dcterms:W3CDTF">2019-12-06T06:43:38Z</dcterms:modified>
</cp:coreProperties>
</file>