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G2519Y108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G2519Y108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Invesco Ltd.</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98-0557567</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Bermuda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4,705,679</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4,731,510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4,731,510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5.9%</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HC, 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520" w:right="8340" w:hanging="593"/>
        <w:spacing w:after="0" w:line="335" w:lineRule="auto"/>
        <w:tabs>
          <w:tab w:leader="none" w:pos="15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Credicorp Ltd</w:t>
      </w:r>
    </w:p>
    <w:p>
      <w:pPr>
        <w:spacing w:after="0" w:line="11" w:lineRule="exact"/>
        <w:rPr>
          <w:rFonts w:ascii="Arial" w:cs="Arial" w:eastAsia="Arial" w:hAnsi="Arial"/>
          <w:sz w:val="19"/>
          <w:szCs w:val="19"/>
          <w:b w:val="1"/>
          <w:bCs w:val="1"/>
          <w:color w:val="auto"/>
        </w:rPr>
      </w:pPr>
    </w:p>
    <w:p>
      <w:pPr>
        <w:ind w:left="1520" w:right="5420" w:hanging="593"/>
        <w:spacing w:after="0" w:line="335" w:lineRule="auto"/>
        <w:tabs>
          <w:tab w:leader="none" w:pos="15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156 Calle Centenario, La Molina, Lima 12, PE</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20" w:right="72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520" w:right="43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520" w:right="87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520" w:right="73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520" w:right="826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G2519Y108</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7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1813);</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340"/>
            <w:col w:w="892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20" w:right="8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4,731,510 shares of the Issuer which are held of record by clients of Invesco Ltd. ..</w:t>
      </w:r>
    </w:p>
    <w:p>
      <w:pPr>
        <w:spacing w:after="0" w:line="24"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20"/>
        <w:spacing w:after="0"/>
        <w:rPr>
          <w:rFonts w:ascii="Arial" w:cs="Arial" w:eastAsia="Arial" w:hAnsi="Arial"/>
          <w:sz w:val="22"/>
          <w:szCs w:val="22"/>
          <w:color w:val="auto"/>
        </w:rPr>
      </w:pPr>
      <w:r>
        <w:rPr>
          <w:rFonts w:ascii="Arial" w:cs="Arial" w:eastAsia="Arial" w:hAnsi="Arial"/>
          <w:sz w:val="22"/>
          <w:szCs w:val="22"/>
          <w:color w:val="auto"/>
        </w:rPr>
        <w:t>5.9%</w:t>
      </w:r>
    </w:p>
    <w:p>
      <w:pPr>
        <w:spacing w:after="0" w:line="125"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38" w:orient="portrait"/>
          <w:cols w:equalWidth="0" w:num="1">
            <w:col w:w="11260"/>
          </w:cols>
          <w:pgMar w:left="320" w:top="423" w:right="319" w:bottom="0" w:gutter="0" w:footer="0" w:header="0"/>
          <w:type w:val="continuous"/>
        </w:sectPr>
      </w:pPr>
    </w:p>
    <w:p>
      <w:pPr>
        <w:spacing w:after="0" w:line="125" w:lineRule="exact"/>
        <w:rPr>
          <w:sz w:val="20"/>
          <w:szCs w:val="20"/>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80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4,705,679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4,731,510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40" w:space="320"/>
            <w:col w:w="440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right="10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48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ind w:left="920"/>
        <w:spacing w:after="0" w:line="238" w:lineRule="auto"/>
        <w:rPr>
          <w:sz w:val="20"/>
          <w:szCs w:val="20"/>
          <w:color w:val="auto"/>
        </w:rPr>
      </w:pPr>
      <w:r>
        <w:rPr>
          <w:rFonts w:ascii="Arial" w:cs="Arial" w:eastAsia="Arial" w:hAnsi="Arial"/>
          <w:sz w:val="22"/>
          <w:szCs w:val="22"/>
          <w:color w:val="auto"/>
        </w:rPr>
        <w:t>Invesco Asset Management Ltd</w:t>
      </w: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40"/>
          </w:cols>
          <w:pgMar w:left="320" w:top="112"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Date: February 13, 2020</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02/10/2020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Nancy Tomassone</w:t>
      </w:r>
    </w:p>
    <w:p>
      <w:pPr>
        <w:spacing w:after="0" w:line="230" w:lineRule="auto"/>
        <w:rPr>
          <w:sz w:val="20"/>
          <w:szCs w:val="20"/>
          <w:color w:val="auto"/>
        </w:rPr>
      </w:pPr>
      <w:r>
        <w:rPr>
          <w:rFonts w:ascii="Arial" w:cs="Arial" w:eastAsia="Arial" w:hAnsi="Arial"/>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Kate Archibald</w:t>
      </w:r>
    </w:p>
    <w:p>
      <w:pPr>
        <w:spacing w:after="0" w:line="230" w:lineRule="auto"/>
        <w:rPr>
          <w:sz w:val="20"/>
          <w:szCs w:val="20"/>
          <w:color w:val="auto"/>
        </w:rPr>
      </w:pPr>
      <w:r>
        <w:rPr>
          <w:rFonts w:ascii="Arial" w:cs="Arial" w:eastAsia="Arial" w:hAnsi="Arial"/>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Head of Compliance, and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Odeh Stevens</w:t>
      </w:r>
    </w:p>
    <w:p>
      <w:pPr>
        <w:spacing w:after="0" w:line="230" w:lineRule="auto"/>
        <w:rPr>
          <w:sz w:val="20"/>
          <w:szCs w:val="20"/>
          <w:color w:val="auto"/>
        </w:rPr>
      </w:pPr>
      <w:r>
        <w:rPr>
          <w:rFonts w:ascii="Arial" w:cs="Arial" w:eastAsia="Arial" w:hAnsi="Arial"/>
          <w:sz w:val="22"/>
          <w:szCs w:val="22"/>
          <w:color w:val="auto"/>
        </w:rPr>
        <w:t>Name: Odeh Stevens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Stephanie Ehrenfried</w:t>
      </w:r>
    </w:p>
    <w:p>
      <w:pPr>
        <w:spacing w:after="0" w:line="230" w:lineRule="auto"/>
        <w:rPr>
          <w:sz w:val="20"/>
          <w:szCs w:val="20"/>
          <w:color w:val="auto"/>
        </w:rPr>
      </w:pPr>
      <w:r>
        <w:rPr>
          <w:rFonts w:ascii="Arial" w:cs="Arial" w:eastAsia="Arial" w:hAnsi="Arial"/>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Legal Continental Europe &amp; Cross-Border Funds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Laurent Vitel-Lepinay</w:t>
      </w:r>
    </w:p>
    <w:p>
      <w:pPr>
        <w:spacing w:after="0" w:line="230" w:lineRule="auto"/>
        <w:rPr>
          <w:sz w:val="20"/>
          <w:szCs w:val="20"/>
          <w:color w:val="auto"/>
        </w:rPr>
      </w:pPr>
      <w:r>
        <w:rPr>
          <w:rFonts w:ascii="Arial" w:cs="Arial" w:eastAsia="Arial" w:hAnsi="Arial"/>
          <w:sz w:val="22"/>
          <w:szCs w:val="22"/>
          <w:color w:val="auto"/>
        </w:rPr>
        <w:t>Name: Laurent Vitel-Lepinay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Deputy CEO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Bernard Aybran</w:t>
      </w:r>
    </w:p>
    <w:p>
      <w:pPr>
        <w:spacing w:after="0" w:line="230" w:lineRule="auto"/>
        <w:rPr>
          <w:sz w:val="20"/>
          <w:szCs w:val="20"/>
          <w:color w:val="auto"/>
        </w:rPr>
      </w:pPr>
      <w:r>
        <w:rPr>
          <w:rFonts w:ascii="Arial" w:cs="Arial" w:eastAsia="Arial" w:hAnsi="Arial"/>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Multi-Management CIO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ectPr>
          <w:pgSz w:w="11900" w:h="16877" w:orient="portrait"/>
          <w:cols w:equalWidth="0" w:num="1">
            <w:col w:w="11120"/>
          </w:cols>
          <w:pgMar w:left="340" w:top="111" w:right="439" w:bottom="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Invesco Asset Management (Japan)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Tsuyoshi Mochiyama</w:t>
      </w:r>
    </w:p>
    <w:p>
      <w:pPr>
        <w:spacing w:after="0" w:line="230" w:lineRule="auto"/>
        <w:rPr>
          <w:sz w:val="20"/>
          <w:szCs w:val="20"/>
          <w:color w:val="auto"/>
        </w:rPr>
      </w:pPr>
      <w:r>
        <w:rPr>
          <w:rFonts w:ascii="Arial" w:cs="Arial" w:eastAsia="Arial" w:hAnsi="Arial"/>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Joslyn Telford</w:t>
      </w:r>
    </w:p>
    <w:p>
      <w:pPr>
        <w:spacing w:after="0" w:line="230" w:lineRule="auto"/>
        <w:rPr>
          <w:sz w:val="20"/>
          <w:szCs w:val="20"/>
          <w:color w:val="auto"/>
        </w:rPr>
      </w:pPr>
      <w:r>
        <w:rPr>
          <w:rFonts w:ascii="Arial" w:cs="Arial" w:eastAsia="Arial" w:hAnsi="Arial"/>
          <w:sz w:val="22"/>
          <w:szCs w:val="22"/>
          <w:color w:val="auto"/>
        </w:rPr>
        <w:t>Name: Joslyn Telford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Private Capital,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Josh E Levit</w:t>
      </w:r>
    </w:p>
    <w:p>
      <w:pPr>
        <w:spacing w:after="0" w:line="230" w:lineRule="auto"/>
        <w:rPr>
          <w:sz w:val="20"/>
          <w:szCs w:val="20"/>
          <w:color w:val="auto"/>
        </w:rPr>
      </w:pPr>
      <w:r>
        <w:rPr>
          <w:rFonts w:ascii="Arial" w:cs="Arial" w:eastAsia="Arial" w:hAnsi="Arial"/>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sectPr>
      <w:pgSz w:w="11900" w:h="16838" w:orient="portrait"/>
      <w:cols w:equalWidth="0" w:num="1">
        <w:col w:w="10119"/>
      </w:cols>
      <w:pgMar w:left="3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2020-02-17T17:17:09Z</dcterms:created>
  <dcterms:modified xsi:type="dcterms:W3CDTF">2020-02-17T17:17:09Z</dcterms:modified>
</cp:coreProperties>
</file>