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November 2016</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450850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8" w:right="5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3380"/>
        <w:spacing w:after="0" w:line="266" w:lineRule="auto"/>
        <w:rPr>
          <w:sz w:val="20"/>
          <w:szCs w:val="20"/>
          <w:color w:val="auto"/>
        </w:rPr>
      </w:pPr>
      <w:r>
        <w:rPr>
          <w:rFonts w:ascii="Arial" w:cs="Arial" w:eastAsia="Arial" w:hAnsi="Arial"/>
          <w:sz w:val="18"/>
          <w:szCs w:val="18"/>
          <w:b w:val="1"/>
          <w:bCs w:val="1"/>
          <w:color w:val="auto"/>
        </w:rPr>
        <w:t xml:space="preserve">Lima, Peru, November 03, 2016 </w:t>
      </w:r>
      <w:r>
        <w:rPr>
          <w:rFonts w:ascii="Arial" w:cs="Arial" w:eastAsia="Arial" w:hAnsi="Arial"/>
          <w:sz w:val="18"/>
          <w:szCs w:val="18"/>
          <w:color w:val="auto"/>
        </w:rPr>
        <w:t>– Credicorp (NYSE:BAP) announced its unaudited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third quarter of 2016. These results are consolidated and reported in Soles according to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-424815</wp:posOffset>
            </wp:positionV>
            <wp:extent cx="1586230" cy="7058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7058025"/>
                    </a:xfrm>
                    <a:prstGeom prst="rect">
                      <a:avLst/>
                    </a:prstGeom>
                    <a:noFill/>
                  </pic:spPr>
                </pic:pic>
              </a:graphicData>
            </a:graphic>
          </wp:anchor>
        </w:drawing>
      </w:r>
    </w:p>
    <w:p>
      <w:pPr>
        <w:spacing w:after="0" w:line="156"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Third Quarter Results 2016</w:t>
      </w:r>
    </w:p>
    <w:p>
      <w:pPr>
        <w:spacing w:after="0" w:line="229" w:lineRule="exact"/>
        <w:rPr>
          <w:sz w:val="20"/>
          <w:szCs w:val="20"/>
          <w:color w:val="auto"/>
        </w:rPr>
      </w:pPr>
    </w:p>
    <w:p>
      <w:pPr>
        <w:jc w:val="both"/>
        <w:ind w:left="3380"/>
        <w:spacing w:after="0" w:line="254" w:lineRule="auto"/>
        <w:rPr>
          <w:sz w:val="20"/>
          <w:szCs w:val="20"/>
          <w:color w:val="auto"/>
        </w:rPr>
      </w:pPr>
      <w:r>
        <w:rPr>
          <w:rFonts w:ascii="Arial" w:cs="Arial" w:eastAsia="Arial" w:hAnsi="Arial"/>
          <w:sz w:val="18"/>
          <w:szCs w:val="18"/>
          <w:color w:val="auto"/>
        </w:rPr>
        <w:t>In 3Q16, Credicorp posted a record high in quarterly net income of S/949.8 million. This figure represented an ROAE of 20.7% and an ROAA of 2.4%. Recurring net income was S/951.9 million, after deducting a translation loss of S/2.1 million. The group’s excellent performance this quarter is even more noteworthy in a context of a slowdown in loan growth and reflects the fruits of our clear and effective focus on prioritizing risk quality in all banking segments. In accumulated terms, recurring net income posted growth of 16.1% with regards to the level of the same period in 2015, which translates into a recurring ROAE and ROAA of 19.8% and 2.2%, respectively.</w:t>
      </w:r>
    </w:p>
    <w:p>
      <w:pPr>
        <w:spacing w:after="0" w:line="19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3Q16 results show that:</w:t>
      </w:r>
    </w:p>
    <w:p>
      <w:pPr>
        <w:spacing w:after="0" w:line="225" w:lineRule="exact"/>
        <w:rPr>
          <w:sz w:val="20"/>
          <w:szCs w:val="20"/>
          <w:color w:val="auto"/>
        </w:rPr>
      </w:pPr>
    </w:p>
    <w:p>
      <w:pPr>
        <w:jc w:val="both"/>
        <w:ind w:left="3380" w:hanging="7"/>
        <w:spacing w:after="0" w:line="255" w:lineRule="auto"/>
        <w:tabs>
          <w:tab w:leader="none" w:pos="387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Loans, in quarter-end balances, rose +2.9% QoQ and posted +7.4% expansion YoY. Currency adjusted growth rates were +1.5% QoQ and +5.1% YoY. Although the QoQ evolution shows a slightly better dynamic, YoY growth continues to slowdown. In this context year-to-date, loans have only grown +4.4%. The business segments that were the most dynamic were: Middle Market Banking, BCP Bolivia, Mortgage, SME-Business, SME-Pyme and Mibanco.</w:t>
      </w:r>
    </w:p>
    <w:p>
      <w:pPr>
        <w:spacing w:after="0" w:line="193" w:lineRule="exact"/>
        <w:rPr>
          <w:rFonts w:ascii="Arial" w:cs="Arial" w:eastAsia="Arial" w:hAnsi="Arial"/>
          <w:sz w:val="18"/>
          <w:szCs w:val="18"/>
          <w:color w:val="auto"/>
        </w:rPr>
      </w:pPr>
    </w:p>
    <w:p>
      <w:pPr>
        <w:jc w:val="both"/>
        <w:ind w:left="3380" w:hanging="7"/>
        <w:spacing w:after="0" w:line="302" w:lineRule="auto"/>
        <w:tabs>
          <w:tab w:leader="none" w:pos="3706"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Despite low loan growth, interest income on loans increased +2.6% QoQ and +9.4% YoY, which offset the effect of higher interest expenses and lower gains in forwards. Consequently, net interest income (NII) increased +2.9% QoQ and +5.0% YoY. In accumulated terms, NII increased +5.8% with regard to level reported in the same period in 2015.</w:t>
      </w:r>
    </w:p>
    <w:p>
      <w:pPr>
        <w:spacing w:after="0" w:line="154" w:lineRule="exact"/>
        <w:rPr>
          <w:rFonts w:ascii="Arial" w:cs="Arial" w:eastAsia="Arial" w:hAnsi="Arial"/>
          <w:sz w:val="16"/>
          <w:szCs w:val="16"/>
          <w:color w:val="auto"/>
        </w:rPr>
      </w:pPr>
    </w:p>
    <w:p>
      <w:pPr>
        <w:jc w:val="both"/>
        <w:ind w:left="3380" w:hanging="7"/>
        <w:spacing w:after="0" w:line="288" w:lineRule="auto"/>
        <w:tabs>
          <w:tab w:leader="none" w:pos="370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net interest margin (NIM) was 5.37%, which represented a recovery of +18 bps QoQ. This meant that the YoY decline was only -12 bps, which is lower than the 51 basis-point reduction reported last quarter. The main factors that explain the slight recovery in NIM were</w:t>
      </w:r>
    </w:p>
    <w:p>
      <w:pPr>
        <w:jc w:val="both"/>
        <w:ind w:left="3380"/>
        <w:spacing w:after="0" w:line="253" w:lineRule="auto"/>
        <w:rPr>
          <w:rFonts w:ascii="Arial" w:cs="Arial" w:eastAsia="Arial" w:hAnsi="Arial"/>
          <w:sz w:val="16"/>
          <w:szCs w:val="16"/>
          <w:color w:val="auto"/>
        </w:rPr>
      </w:pPr>
      <w:r>
        <w:rPr>
          <w:rFonts w:ascii="Arial" w:cs="Arial" w:eastAsia="Arial" w:hAnsi="Arial"/>
          <w:sz w:val="18"/>
          <w:szCs w:val="18"/>
          <w:color w:val="auto"/>
        </w:rPr>
        <w:t>(i) higher growth in segments with higher margins such as SME-Pyme and Mibanco, which is in line with the seasonality of these businesses; and (ii) a better pricing strategy. The slight increase registered in NIM is positive given that some of the factors that have pressured this indicator downward are still in play, such as the increase in funding cost, mainly in Soles, and the slowdown in loan growth.</w:t>
      </w:r>
    </w:p>
    <w:p>
      <w:pPr>
        <w:spacing w:after="0" w:line="191" w:lineRule="exact"/>
        <w:rPr>
          <w:rFonts w:ascii="Arial" w:cs="Arial" w:eastAsia="Arial" w:hAnsi="Arial"/>
          <w:sz w:val="16"/>
          <w:szCs w:val="16"/>
          <w:color w:val="auto"/>
        </w:rPr>
      </w:pPr>
    </w:p>
    <w:p>
      <w:pPr>
        <w:jc w:val="both"/>
        <w:ind w:left="3380" w:hanging="7"/>
        <w:spacing w:after="0" w:line="293" w:lineRule="auto"/>
        <w:tabs>
          <w:tab w:leader="none" w:pos="373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cost of risk fell -46 bps to situate at 1.65%, which is the lowest level reported in the last three years. The aforementioned was due to a decrease in gross provisions for loan losses (-11.6% QoQ), which in turn reflects an improvement in the portfolio’s risk quality, and, to a lesser extent, an increase in the level of recoveries and reversals (+27.4% QoQ). The YoY evolution also shows a drop of -37 bps, which is due to growth in the level of recoveries and reversals, which offset the slight increase in gross provisions (+3.9% YoY).</w:t>
      </w:r>
    </w:p>
    <w:p>
      <w:pPr>
        <w:spacing w:after="0" w:line="164" w:lineRule="exact"/>
        <w:rPr>
          <w:rFonts w:ascii="Arial" w:cs="Arial" w:eastAsia="Arial" w:hAnsi="Arial"/>
          <w:sz w:val="16"/>
          <w:szCs w:val="16"/>
          <w:color w:val="auto"/>
        </w:rPr>
      </w:pPr>
    </w:p>
    <w:p>
      <w:pPr>
        <w:ind w:left="3720" w:hanging="347"/>
        <w:spacing w:after="0"/>
        <w:tabs>
          <w:tab w:leader="none" w:pos="37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recovery posted by the margin and a lower cost of risk translated into an increase of</w:t>
      </w:r>
    </w:p>
    <w:p>
      <w:pPr>
        <w:spacing w:after="0" w:line="46" w:lineRule="exact"/>
        <w:rPr>
          <w:rFonts w:ascii="Arial" w:cs="Arial" w:eastAsia="Arial" w:hAnsi="Arial"/>
          <w:sz w:val="16"/>
          <w:szCs w:val="16"/>
          <w:color w:val="auto"/>
        </w:rPr>
      </w:pPr>
    </w:p>
    <w:p>
      <w:pPr>
        <w:ind w:left="3380"/>
        <w:spacing w:after="0"/>
        <w:rPr>
          <w:rFonts w:ascii="Arial" w:cs="Arial" w:eastAsia="Arial" w:hAnsi="Arial"/>
          <w:sz w:val="16"/>
          <w:szCs w:val="16"/>
          <w:color w:val="auto"/>
        </w:rPr>
      </w:pPr>
      <w:r>
        <w:rPr>
          <w:rFonts w:ascii="Arial" w:cs="Arial" w:eastAsia="Arial" w:hAnsi="Arial"/>
          <w:sz w:val="18"/>
          <w:szCs w:val="18"/>
          <w:color w:val="auto"/>
        </w:rPr>
        <w:t>+43 bps and +11 bps QoQ and YoY, respectively, in the NIM after provisions.</w:t>
      </w:r>
    </w:p>
    <w:p>
      <w:pPr>
        <w:spacing w:after="0" w:line="210" w:lineRule="exact"/>
        <w:rPr>
          <w:rFonts w:ascii="Arial" w:cs="Arial" w:eastAsia="Arial" w:hAnsi="Arial"/>
          <w:sz w:val="16"/>
          <w:szCs w:val="16"/>
          <w:color w:val="auto"/>
        </w:rPr>
      </w:pPr>
    </w:p>
    <w:p>
      <w:pPr>
        <w:jc w:val="both"/>
        <w:ind w:left="3380" w:hanging="7"/>
        <w:spacing w:after="0" w:line="255" w:lineRule="auto"/>
        <w:tabs>
          <w:tab w:leader="none" w:pos="370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contracted QoQ due to the effect of a non-recurring gain on the sale of of 50% of the investment in BCI that was made in 2Q. Recurring non-financial income grew +8.0% QoQ due to an increase in earnings generation in all categories. The YoY evolution shows an increase of +13.4%, which was mainly attributable to the gain on sales of securities and fee income, which offset the contraction in the gain on foreign exchange transactions.</w:t>
      </w:r>
    </w:p>
    <w:p>
      <w:pPr>
        <w:spacing w:after="0" w:line="193" w:lineRule="exact"/>
        <w:rPr>
          <w:rFonts w:ascii="Arial" w:cs="Arial" w:eastAsia="Arial" w:hAnsi="Arial"/>
          <w:sz w:val="18"/>
          <w:szCs w:val="18"/>
          <w:color w:val="auto"/>
        </w:rPr>
      </w:pPr>
    </w:p>
    <w:p>
      <w:pPr>
        <w:jc w:val="both"/>
        <w:ind w:left="3380" w:hanging="7"/>
        <w:spacing w:after="0" w:line="255" w:lineRule="auto"/>
        <w:tabs>
          <w:tab w:leader="none" w:pos="378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fell -1.0% QoQ due to an increase in the acquisition cost in the life insurance line, which offset the increase in net earned premiums. YoY, the underwriting result grew +6.6% due to an increase in net earned premiums, mainly in property and casualty insurance, which outpaced the slight increase in claims and in the acquisition cost. In this context, the combined ratio fell to 88.0% while the loss ratio was stable at 56.9%.</w:t>
      </w:r>
    </w:p>
    <w:p>
      <w:pPr>
        <w:spacing w:after="0" w:line="193" w:lineRule="exact"/>
        <w:rPr>
          <w:rFonts w:ascii="Arial" w:cs="Arial" w:eastAsia="Arial" w:hAnsi="Arial"/>
          <w:sz w:val="18"/>
          <w:szCs w:val="18"/>
          <w:color w:val="auto"/>
        </w:rPr>
      </w:pPr>
    </w:p>
    <w:p>
      <w:pPr>
        <w:jc w:val="both"/>
        <w:ind w:left="3380" w:hanging="7"/>
        <w:spacing w:after="0" w:line="259" w:lineRule="auto"/>
        <w:tabs>
          <w:tab w:leader="none" w:pos="380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was situated at 43.8%, which represented a drop of -10 bps QoQ. Although our control over and governance of operating expenses continues to be highly efficacious, income generation has been lower-than-expected, thus the cost-to-income ratio increased +80 bps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436245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60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4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4"/>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Credicorp (NYSE: BAP): Third Quarter Results 2016</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Executive Summary</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Credicorp and subsidiaries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Interest-earning assets (IEA)</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Evolution of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1.2</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Credicorp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1.2.1</w:t>
            </w:r>
          </w:p>
        </w:tc>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 evolution by business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w w:val="94"/>
              </w:rPr>
              <w:t>1.2.2</w:t>
            </w:r>
          </w:p>
        </w:tc>
        <w:tc>
          <w:tcPr>
            <w:tcW w:w="7240" w:type="dxa"/>
            <w:vAlign w:val="bottom"/>
          </w:tcPr>
          <w:p>
            <w:pPr>
              <w:ind w:left="220"/>
              <w:spacing w:after="0"/>
              <w:rPr>
                <w:sz w:val="20"/>
                <w:szCs w:val="20"/>
                <w:color w:val="auto"/>
              </w:rPr>
            </w:pPr>
            <w:r>
              <w:rPr>
                <w:rFonts w:ascii="Arial" w:cs="Arial" w:eastAsia="Arial" w:hAnsi="Arial"/>
                <w:sz w:val="18"/>
                <w:szCs w:val="18"/>
                <w:color w:val="auto"/>
              </w:rPr>
              <w:t>Evolution of dollarization by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1.2.3</w:t>
            </w:r>
          </w:p>
        </w:tc>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BCRP de-dollarization plan at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w w:val="94"/>
              </w:rPr>
              <w:t>1.2.4</w:t>
            </w:r>
          </w:p>
        </w:tc>
        <w:tc>
          <w:tcPr>
            <w:tcW w:w="7240" w:type="dxa"/>
            <w:vAlign w:val="bottom"/>
          </w:tcPr>
          <w:p>
            <w:pPr>
              <w:ind w:left="220"/>
              <w:spacing w:after="0"/>
              <w:rPr>
                <w:sz w:val="20"/>
                <w:szCs w:val="20"/>
                <w:color w:val="auto"/>
              </w:rPr>
            </w:pPr>
            <w:r>
              <w:rPr>
                <w:rFonts w:ascii="Arial" w:cs="Arial" w:eastAsia="Arial" w:hAnsi="Arial"/>
                <w:sz w:val="18"/>
                <w:szCs w:val="18"/>
                <w:color w:val="auto"/>
              </w:rPr>
              <w:t>Market share in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2.1</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Funding Structure</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2.2</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2.2.1</w:t>
            </w:r>
          </w:p>
        </w:tc>
        <w:tc>
          <w:tcPr>
            <w:tcW w:w="20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Arial" w:cs="Arial" w:eastAsia="Arial" w:hAnsi="Arial"/>
                <w:sz w:val="18"/>
                <w:szCs w:val="18"/>
                <w:color w:val="auto"/>
              </w:rPr>
              <w:t>Deposit dollarization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2.2.2</w:t>
            </w:r>
          </w:p>
        </w:tc>
        <w:tc>
          <w:tcPr>
            <w:tcW w:w="200" w:type="dxa"/>
            <w:vAlign w:val="bottom"/>
            <w:shd w:val="clear" w:color="auto" w:fill="CCEEFF"/>
          </w:tcPr>
          <w:p>
            <w:pPr>
              <w:spacing w:after="0"/>
              <w:rPr>
                <w:sz w:val="18"/>
                <w:szCs w:val="18"/>
                <w:color w:val="auto"/>
              </w:rPr>
            </w:pPr>
          </w:p>
        </w:tc>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Market share in 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2.3</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Other 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Loan / Deposit (L/D)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2.5</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Funding Cost</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2.6</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Mutual Funds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3.</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3.1</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3.2</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Portfolio Quality</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3.2.1</w:t>
            </w:r>
          </w:p>
        </w:tc>
        <w:tc>
          <w:tcPr>
            <w:tcW w:w="200" w:type="dxa"/>
            <w:vAlign w:val="bottom"/>
            <w:shd w:val="clear" w:color="auto" w:fill="CCEEFF"/>
          </w:tcPr>
          <w:p>
            <w:pPr>
              <w:spacing w:after="0"/>
              <w:rPr>
                <w:sz w:val="18"/>
                <w:szCs w:val="18"/>
                <w:color w:val="auto"/>
              </w:rPr>
            </w:pPr>
          </w:p>
        </w:tc>
        <w:tc>
          <w:tcPr>
            <w:tcW w:w="7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Delinquency ratios by business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4.</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Net Interest Income (NII)</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4.1</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4.2</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Interest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4.3</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Net Interest Margin (NIM)</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Non-Financial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5.1.</w:t>
            </w:r>
          </w:p>
        </w:tc>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Insurance Underwriting Result</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6.1</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Net earned premiums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6.2</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Net claims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6.3</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Acquisition cost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7.</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8.1</w:t>
            </w:r>
          </w:p>
        </w:tc>
        <w:tc>
          <w:tcPr>
            <w:tcW w:w="7740" w:type="dxa"/>
            <w:vAlign w:val="bottom"/>
            <w:gridSpan w:val="3"/>
          </w:tcPr>
          <w:p>
            <w:pPr>
              <w:ind w:left="260"/>
              <w:spacing w:after="0"/>
              <w:rPr>
                <w:sz w:val="20"/>
                <w:szCs w:val="20"/>
                <w:color w:val="auto"/>
              </w:rPr>
            </w:pPr>
            <w:r>
              <w:rPr>
                <w:rFonts w:ascii="Arial" w:cs="Arial" w:eastAsia="Arial" w:hAnsi="Arial"/>
                <w:sz w:val="18"/>
                <w:szCs w:val="18"/>
                <w:color w:val="auto"/>
              </w:rPr>
              <w:t>Regulatory Capital – BAP</w:t>
            </w:r>
          </w:p>
        </w:tc>
        <w:tc>
          <w:tcPr>
            <w:tcW w:w="3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8.2</w:t>
            </w:r>
          </w:p>
        </w:tc>
        <w:tc>
          <w:tcPr>
            <w:tcW w:w="7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9.</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Distribution channels</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Economic outlook</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740" w:type="dxa"/>
            <w:vAlign w:val="bottom"/>
            <w:gridSpan w:val="3"/>
          </w:tcPr>
          <w:p>
            <w:pPr>
              <w:spacing w:after="0"/>
              <w:rPr>
                <w:sz w:val="20"/>
                <w:szCs w:val="20"/>
                <w:color w:val="auto"/>
              </w:rPr>
            </w:pPr>
            <w:r>
              <w:rPr>
                <w:rFonts w:ascii="Arial" w:cs="Arial" w:eastAsia="Arial" w:hAnsi="Arial"/>
                <w:sz w:val="18"/>
                <w:szCs w:val="18"/>
                <w:color w:val="auto"/>
              </w:rPr>
              <w:t>Appendix</w:t>
            </w:r>
          </w:p>
        </w:tc>
        <w:tc>
          <w:tcPr>
            <w:tcW w:w="3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11.1</w:t>
            </w:r>
          </w:p>
        </w:tc>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Credicorp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11.2</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BCP Consolidated</w:t>
            </w:r>
          </w:p>
        </w:tc>
        <w:tc>
          <w:tcPr>
            <w:tcW w:w="3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Mibanco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11.4</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Credicorp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11.6</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Atlantic Security Bank</w:t>
            </w:r>
          </w:p>
        </w:tc>
        <w:tc>
          <w:tcPr>
            <w:tcW w:w="3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11.7</w:t>
            </w:r>
          </w:p>
        </w:tc>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Grupo Pacifico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11.8</w:t>
            </w:r>
          </w:p>
        </w:tc>
        <w:tc>
          <w:tcPr>
            <w:tcW w:w="7440" w:type="dxa"/>
            <w:vAlign w:val="bottom"/>
            <w:gridSpan w:val="2"/>
          </w:tcPr>
          <w:p>
            <w:pPr>
              <w:ind w:left="40"/>
              <w:spacing w:after="0"/>
              <w:rPr>
                <w:sz w:val="20"/>
                <w:szCs w:val="20"/>
                <w:color w:val="auto"/>
              </w:rPr>
            </w:pPr>
            <w:r>
              <w:rPr>
                <w:rFonts w:ascii="Arial" w:cs="Arial" w:eastAsia="Arial" w:hAnsi="Arial"/>
                <w:sz w:val="18"/>
                <w:szCs w:val="18"/>
                <w:color w:val="auto"/>
              </w:rPr>
              <w:t>Prima AFP</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11.9</w:t>
            </w:r>
          </w:p>
        </w:tc>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Table of calculations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Credicorp (NYSE: BAP): Third Quarter Results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color w:val="auto"/>
              </w:rPr>
              <w:t>S/ 000</w:t>
            </w:r>
          </w:p>
        </w:tc>
        <w:tc>
          <w:tcPr>
            <w:tcW w:w="1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3Q15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2Q16</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3Q16</w:t>
            </w:r>
          </w:p>
        </w:tc>
        <w:tc>
          <w:tcPr>
            <w:tcW w:w="2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16</w:t>
            </w:r>
          </w:p>
        </w:tc>
        <w:tc>
          <w:tcPr>
            <w:tcW w:w="14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16 / Sep 15</w:t>
            </w: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1,866,893</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1,904,219</w:t>
            </w:r>
          </w:p>
        </w:tc>
        <w:tc>
          <w:tcPr>
            <w:tcW w:w="2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1,959,424</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5.0%</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5,489,455</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5,810,333</w:t>
            </w: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(444,425)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(483,911)</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(389,086)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(1,378,324)</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(1,326,234)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1,422,468</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1,420,308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1,570,338</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10.4%</w:t>
            </w:r>
          </w:p>
        </w:tc>
        <w:tc>
          <w:tcPr>
            <w:tcW w:w="10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4,111,131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4,484,099</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916,081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1,084,748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1,038,655</w:t>
            </w:r>
          </w:p>
        </w:tc>
        <w:tc>
          <w:tcPr>
            <w:tcW w:w="2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2,863,239</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3,030,781</w:t>
            </w:r>
          </w:p>
        </w:tc>
        <w:tc>
          <w:tcPr>
            <w:tcW w:w="14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125,245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134,766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133,465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341,843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397,369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(1,337,802)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(1,410,439)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(1,426,612)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(3,999,850)</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(4,185,510)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1,125,992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1,229,383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1,315,846</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16.9%</w:t>
            </w:r>
          </w:p>
        </w:tc>
        <w:tc>
          <w:tcPr>
            <w:tcW w:w="10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3,316,363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3,726,739</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(2,583)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-187.9%</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13,830</w:t>
            </w: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(59,719)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(300,989)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(311,932)</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(338,018)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(899,809)</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(974,754)</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827,943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897,442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975,245</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8.7%</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17.8%</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2,430,384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2,692,266</w:t>
            </w:r>
          </w:p>
        </w:tc>
        <w:tc>
          <w:tcPr>
            <w:tcW w:w="14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20,798</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23,250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25,451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69,210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72,651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807,145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874,192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949,794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8.6%</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17.7%</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2,361,174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2,619,615</w:t>
            </w:r>
          </w:p>
        </w:tc>
        <w:tc>
          <w:tcPr>
            <w:tcW w:w="14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Non-recurring income (expense)</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61,117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105,170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-102.0%</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-103.5%</w:t>
            </w: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176,011</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77,543</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9"/>
        </w:trPr>
        <w:tc>
          <w:tcPr>
            <w:tcW w:w="32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Recurring net income</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746,028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769,022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951,907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23.8%</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27.6%</w:t>
            </w:r>
          </w:p>
        </w:tc>
        <w:tc>
          <w:tcPr>
            <w:tcW w:w="102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2,185,163</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2,542,072</w:t>
            </w:r>
          </w:p>
        </w:tc>
        <w:tc>
          <w:tcPr>
            <w:tcW w:w="14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income/share (S/)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11.91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w:t>
            </w: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29.60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Total loans</w:t>
            </w: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87,842,690</w:t>
            </w:r>
          </w:p>
        </w:tc>
        <w:tc>
          <w:tcPr>
            <w:tcW w:w="22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91,655,366</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94,319,220</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7.4%</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87,842,690</w:t>
            </w: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91"/>
              </w:rPr>
              <w:t>94,319,220</w:t>
            </w:r>
          </w:p>
        </w:tc>
        <w:tc>
          <w:tcPr>
            <w:tcW w:w="1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86,426,707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89,936,981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88,709,612</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86,426,707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88,709,612</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15,153,252</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17,656,273</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19,116,945</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26.2%</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15,153,252</w:t>
            </w: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19,116,945</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Profitability</w:t>
            </w:r>
          </w:p>
        </w:tc>
        <w:tc>
          <w:tcPr>
            <w:tcW w:w="244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gridSpan w:val="5"/>
          </w:tcPr>
          <w:p>
            <w:pPr>
              <w:spacing w:after="0" w:line="142" w:lineRule="exact"/>
              <w:rPr>
                <w:sz w:val="20"/>
                <w:szCs w:val="20"/>
                <w:color w:val="auto"/>
              </w:rPr>
            </w:pPr>
            <w:r>
              <w:rPr>
                <w:rFonts w:ascii="Arial" w:cs="Arial" w:eastAsia="Arial" w:hAnsi="Arial"/>
                <w:sz w:val="14"/>
                <w:szCs w:val="14"/>
                <w:color w:val="auto"/>
              </w:rPr>
              <w:t>Net interest margin</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5.49%</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5.19%</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5.37%</w:t>
            </w:r>
          </w:p>
        </w:tc>
        <w:tc>
          <w:tcPr>
            <w:tcW w:w="1040" w:type="dxa"/>
            <w:vAlign w:val="bottom"/>
            <w:gridSpan w:val="2"/>
          </w:tcPr>
          <w:p>
            <w:pPr>
              <w:jc w:val="right"/>
              <w:ind w:right="168"/>
              <w:spacing w:after="0" w:line="142" w:lineRule="exact"/>
              <w:rPr>
                <w:sz w:val="20"/>
                <w:szCs w:val="20"/>
                <w:color w:val="auto"/>
              </w:rPr>
            </w:pPr>
            <w:r>
              <w:rPr>
                <w:rFonts w:ascii="Arial" w:cs="Arial" w:eastAsia="Arial" w:hAnsi="Arial"/>
                <w:sz w:val="14"/>
                <w:szCs w:val="14"/>
                <w:color w:val="auto"/>
              </w:rPr>
              <w:t>18 bps</w:t>
            </w:r>
          </w:p>
        </w:tc>
        <w:tc>
          <w:tcPr>
            <w:tcW w:w="1040" w:type="dxa"/>
            <w:vAlign w:val="bottom"/>
            <w:gridSpan w:val="2"/>
          </w:tcPr>
          <w:p>
            <w:pPr>
              <w:jc w:val="right"/>
              <w:ind w:right="168"/>
              <w:spacing w:after="0" w:line="142" w:lineRule="exact"/>
              <w:rPr>
                <w:sz w:val="20"/>
                <w:szCs w:val="20"/>
                <w:color w:val="auto"/>
              </w:rPr>
            </w:pPr>
            <w:r>
              <w:rPr>
                <w:rFonts w:ascii="Arial" w:cs="Arial" w:eastAsia="Arial" w:hAnsi="Arial"/>
                <w:sz w:val="14"/>
                <w:szCs w:val="14"/>
                <w:color w:val="auto"/>
              </w:rPr>
              <w:t>-12 bps</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8.35%</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7.99%</w:t>
            </w:r>
          </w:p>
        </w:tc>
        <w:tc>
          <w:tcPr>
            <w:tcW w:w="106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-36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after provisions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43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11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0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5"/>
          </w:tcPr>
          <w:p>
            <w:pPr>
              <w:spacing w:after="0" w:line="149" w:lineRule="exact"/>
              <w:rPr>
                <w:sz w:val="20"/>
                <w:szCs w:val="20"/>
                <w:color w:val="auto"/>
              </w:rPr>
            </w:pPr>
            <w:r>
              <w:rPr>
                <w:rFonts w:ascii="Arial" w:cs="Arial" w:eastAsia="Arial" w:hAnsi="Arial"/>
                <w:sz w:val="14"/>
                <w:szCs w:val="14"/>
                <w:color w:val="auto"/>
              </w:rPr>
              <w:t>Funding cost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13 bps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 bps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30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-90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10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280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70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19.5%</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-70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ROAA</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 bps</w:t>
            </w:r>
          </w:p>
        </w:tc>
        <w:tc>
          <w:tcPr>
            <w:tcW w:w="10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5"/>
          </w:tcPr>
          <w:p>
            <w:pPr>
              <w:spacing w:after="0" w:line="202" w:lineRule="exact"/>
              <w:rPr>
                <w:sz w:val="20"/>
                <w:szCs w:val="20"/>
                <w:color w:val="auto"/>
              </w:rPr>
            </w:pPr>
            <w:r>
              <w:rPr>
                <w:rFonts w:ascii="Arial" w:cs="Arial" w:eastAsia="Arial" w:hAnsi="Arial"/>
                <w:sz w:val="14"/>
                <w:szCs w:val="14"/>
                <w:color w:val="auto"/>
              </w:rPr>
              <w:t xml:space="preserve">Recurring ROAA </w:t>
            </w:r>
            <w:r>
              <w:rPr>
                <w:rFonts w:ascii="Arial" w:cs="Arial" w:eastAsia="Arial" w:hAnsi="Arial"/>
                <w:sz w:val="23"/>
                <w:szCs w:val="23"/>
                <w:color w:val="auto"/>
                <w:vertAlign w:val="superscript"/>
              </w:rPr>
              <w:t>(3)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50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40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Borders>
              <w:top w:val="single" w:sz="8" w:color="CCEEFF"/>
            </w:tcBorders>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Loan portfolio quality</w:t>
            </w: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gridSpan w:val="5"/>
          </w:tcPr>
          <w:p>
            <w:pPr>
              <w:spacing w:after="0" w:line="142" w:lineRule="exact"/>
              <w:rPr>
                <w:sz w:val="20"/>
                <w:szCs w:val="20"/>
                <w:color w:val="auto"/>
              </w:rPr>
            </w:pPr>
            <w:r>
              <w:rPr>
                <w:rFonts w:ascii="Arial" w:cs="Arial" w:eastAsia="Arial" w:hAnsi="Arial"/>
                <w:sz w:val="14"/>
                <w:szCs w:val="14"/>
                <w:color w:val="auto"/>
              </w:rPr>
              <w:t>Delinquency ratio over 90 days</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1.88%</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2.05%</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2.12%</w:t>
            </w:r>
          </w:p>
        </w:tc>
        <w:tc>
          <w:tcPr>
            <w:tcW w:w="1040" w:type="dxa"/>
            <w:vAlign w:val="bottom"/>
            <w:gridSpan w:val="2"/>
          </w:tcPr>
          <w:p>
            <w:pPr>
              <w:jc w:val="right"/>
              <w:ind w:right="168"/>
              <w:spacing w:after="0" w:line="142" w:lineRule="exact"/>
              <w:rPr>
                <w:sz w:val="20"/>
                <w:szCs w:val="20"/>
                <w:color w:val="auto"/>
              </w:rPr>
            </w:pPr>
            <w:r>
              <w:rPr>
                <w:rFonts w:ascii="Arial" w:cs="Arial" w:eastAsia="Arial" w:hAnsi="Arial"/>
                <w:sz w:val="14"/>
                <w:szCs w:val="14"/>
                <w:color w:val="auto"/>
              </w:rPr>
              <w:t>7 bps</w:t>
            </w:r>
          </w:p>
        </w:tc>
        <w:tc>
          <w:tcPr>
            <w:tcW w:w="1040" w:type="dxa"/>
            <w:vAlign w:val="bottom"/>
            <w:gridSpan w:val="2"/>
          </w:tcPr>
          <w:p>
            <w:pPr>
              <w:jc w:val="right"/>
              <w:ind w:right="168"/>
              <w:spacing w:after="0" w:line="142" w:lineRule="exact"/>
              <w:rPr>
                <w:sz w:val="20"/>
                <w:szCs w:val="20"/>
                <w:color w:val="auto"/>
              </w:rPr>
            </w:pPr>
            <w:r>
              <w:rPr>
                <w:rFonts w:ascii="Arial" w:cs="Arial" w:eastAsia="Arial" w:hAnsi="Arial"/>
                <w:sz w:val="14"/>
                <w:szCs w:val="14"/>
                <w:color w:val="auto"/>
              </w:rPr>
              <w:t>24 bps</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1.88%</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2.12%</w:t>
            </w:r>
          </w:p>
        </w:tc>
        <w:tc>
          <w:tcPr>
            <w:tcW w:w="106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24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-6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22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2.79%</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3.67%</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3.64%</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-3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24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3.64%</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24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-46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-37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5"/>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250 bps</w:t>
            </w:r>
          </w:p>
        </w:tc>
        <w:tc>
          <w:tcPr>
            <w:tcW w:w="10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-740 bps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155.4%</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Coverage of NPLs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118.9%</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-430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118.9%</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-430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Operating efficiency</w:t>
            </w:r>
          </w:p>
        </w:tc>
        <w:tc>
          <w:tcPr>
            <w:tcW w:w="1940" w:type="dxa"/>
            <w:vAlign w:val="bottom"/>
            <w:gridSpan w:val="2"/>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gridSpan w:val="5"/>
            <w:shd w:val="clear" w:color="auto" w:fill="CCEEFF"/>
          </w:tcPr>
          <w:p>
            <w:pPr>
              <w:spacing w:after="0" w:line="183"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43.8%</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5"/>
          </w:tcPr>
          <w:p>
            <w:pPr>
              <w:spacing w:after="0"/>
              <w:rPr>
                <w:sz w:val="20"/>
                <w:szCs w:val="20"/>
                <w:color w:val="auto"/>
              </w:rPr>
            </w:pPr>
            <w:r>
              <w:rPr>
                <w:rFonts w:ascii="Arial" w:cs="Arial" w:eastAsia="Arial" w:hAnsi="Arial"/>
                <w:sz w:val="14"/>
                <w:szCs w:val="14"/>
                <w:color w:val="auto"/>
              </w:rPr>
              <w:t>Operating expenses / Total average assets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Borders>
              <w:top w:val="single" w:sz="8" w:color="CCEEFF"/>
              <w:bottom w:val="single" w:sz="8" w:color="auto"/>
              <w:right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Insurance ratios</w:t>
            </w:r>
          </w:p>
        </w:tc>
        <w:tc>
          <w:tcPr>
            <w:tcW w:w="212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gridSpan w:val="5"/>
          </w:tcPr>
          <w:p>
            <w:pPr>
              <w:spacing w:after="0" w:line="183"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92.2%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88.8%</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88.0%</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-80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-420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91.9%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89.1%</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-70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-350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57.0%</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5"/>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-80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330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16.2%</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190 bps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2"/>
                <w:szCs w:val="12"/>
                <w:b w:val="1"/>
                <w:bCs w:val="1"/>
                <w:i w:val="1"/>
                <w:iCs w:val="1"/>
                <w:color w:val="auto"/>
              </w:rPr>
              <w:t xml:space="preserve">Capital adequacy </w:t>
            </w:r>
            <w:r>
              <w:rPr>
                <w:rFonts w:ascii="Arial" w:cs="Arial" w:eastAsia="Arial" w:hAnsi="Arial"/>
                <w:sz w:val="18"/>
                <w:szCs w:val="18"/>
                <w:b w:val="1"/>
                <w:bCs w:val="1"/>
                <w:color w:val="auto"/>
                <w:vertAlign w:val="superscript"/>
              </w:rPr>
              <w:t>(10)</w:t>
            </w: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180" w:type="dxa"/>
            <w:vAlign w:val="bottom"/>
            <w:gridSpan w:val="5"/>
          </w:tcPr>
          <w:p>
            <w:pPr>
              <w:spacing w:after="0" w:line="183" w:lineRule="exact"/>
              <w:rPr>
                <w:sz w:val="20"/>
                <w:szCs w:val="20"/>
                <w:color w:val="auto"/>
              </w:rPr>
            </w:pPr>
            <w:r>
              <w:rPr>
                <w:rFonts w:ascii="Arial" w:cs="Arial" w:eastAsia="Arial" w:hAnsi="Arial"/>
                <w:sz w:val="13"/>
                <w:szCs w:val="13"/>
                <w:color w:val="auto"/>
              </w:rPr>
              <w:t xml:space="preserve">Tier 1 Capital (S/. Million) </w:t>
            </w:r>
            <w:r>
              <w:rPr>
                <w:rFonts w:ascii="Arial" w:cs="Arial" w:eastAsia="Arial" w:hAnsi="Arial"/>
                <w:sz w:val="21"/>
                <w:szCs w:val="21"/>
                <w:color w:val="auto"/>
                <w:vertAlign w:val="superscript"/>
              </w:rPr>
              <w:t>(11)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8,968</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10,794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10,874</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0.7%</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21.3%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8,968</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10,874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5"/>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10.64%</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40 bps</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160 bps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5"/>
          </w:tcPr>
          <w:p>
            <w:pPr>
              <w:spacing w:after="0" w:line="202"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3"/>
                <w:szCs w:val="23"/>
                <w:color w:val="auto"/>
                <w:vertAlign w:val="superscript"/>
              </w:rPr>
              <w:t>(13)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13.89%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15.76%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15.56%</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-20 bps</w:t>
            </w:r>
          </w:p>
        </w:tc>
        <w:tc>
          <w:tcPr>
            <w:tcW w:w="1040" w:type="dxa"/>
            <w:vAlign w:val="bottom"/>
            <w:gridSpan w:val="2"/>
          </w:tcPr>
          <w:p>
            <w:pPr>
              <w:jc w:val="right"/>
              <w:ind w:right="168"/>
              <w:spacing w:after="0"/>
              <w:rPr>
                <w:sz w:val="20"/>
                <w:szCs w:val="20"/>
                <w:color w:val="auto"/>
              </w:rPr>
            </w:pPr>
            <w:r>
              <w:rPr>
                <w:rFonts w:ascii="Arial" w:cs="Arial" w:eastAsia="Arial" w:hAnsi="Arial"/>
                <w:sz w:val="14"/>
                <w:szCs w:val="14"/>
                <w:color w:val="auto"/>
              </w:rPr>
              <w:t>170 bps</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15.6%</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170 bps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top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33,423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33,481</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33,115</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33,423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33,115</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Recurring ROAE: recurring net income is used for calculations. In the equity side, adjustments are made to exclude non-recurring income (expense).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recurring net income is used for calculations.</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firstLine="8"/>
        <w:spacing w:after="0" w:line="250" w:lineRule="auto"/>
        <w:tabs>
          <w:tab w:leader="none" w:pos="261"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has been adjusted, for more detail see Appendix 11.9. Efficiency ratio = [Total Expenses + Acquisition Cost - Other expenses] / [Net Interest Income + Fee Income + Net Fain on Foreign Exchange Transactions + Net Gain From Subsidiaries + Net Premiums Earned]</w:t>
      </w: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Combined ratio= (Net claims + General expenses + Fees + Underwriting expenses) / Net earned premiums. Does not include Life insurance business.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Capital ratios are for BCP Stand-slone and based on Peru GAAP</w:t>
      </w:r>
    </w:p>
    <w:p>
      <w:pPr>
        <w:spacing w:after="0" w:line="9" w:lineRule="exact"/>
        <w:rPr>
          <w:rFonts w:ascii="Arial" w:cs="Arial" w:eastAsia="Arial" w:hAnsi="Arial"/>
          <w:sz w:val="18"/>
          <w:szCs w:val="18"/>
          <w:color w:val="auto"/>
        </w:rPr>
      </w:pPr>
    </w:p>
    <w:p>
      <w:pPr>
        <w:jc w:val="both"/>
        <w:ind w:firstLine="8"/>
        <w:spacing w:after="0" w:line="265" w:lineRule="auto"/>
        <w:tabs>
          <w:tab w:leader="none" w:pos="369" w:val="left"/>
        </w:tabs>
        <w:numPr>
          <w:ilvl w:val="0"/>
          <w:numId w:val="2"/>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8"/>
        <w:spacing w:after="0" w:line="250" w:lineRule="auto"/>
        <w:tabs>
          <w:tab w:leader="none" w:pos="35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Credicorp and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820"/>
              <w:spacing w:after="0"/>
              <w:rPr>
                <w:sz w:val="20"/>
                <w:szCs w:val="20"/>
                <w:color w:val="auto"/>
              </w:rPr>
            </w:pPr>
            <w:r>
              <w:rPr>
                <w:rFonts w:ascii="Arial" w:cs="Arial" w:eastAsia="Arial" w:hAnsi="Arial"/>
                <w:sz w:val="14"/>
                <w:szCs w:val="14"/>
                <w:b w:val="1"/>
                <w:bCs w:val="1"/>
                <w:color w:val="auto"/>
                <w:w w:val="94"/>
              </w:rPr>
              <w:t>% 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YTD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4"/>
                <w:szCs w:val="14"/>
                <w:color w:val="auto"/>
              </w:rPr>
              <w:t>S/ 000</w:t>
            </w:r>
          </w:p>
        </w:tc>
        <w:tc>
          <w:tcPr>
            <w:tcW w:w="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3Q15</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2Q16</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3Q16</w:t>
            </w:r>
          </w:p>
        </w:tc>
        <w:tc>
          <w:tcPr>
            <w:tcW w:w="20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16</w:t>
            </w:r>
          </w:p>
        </w:tc>
        <w:tc>
          <w:tcPr>
            <w:tcW w:w="1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Sep 16 / Sep 15</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Banco de Crédito BCP </w:t>
            </w:r>
            <w:r>
              <w:rPr>
                <w:rFonts w:ascii="Arial" w:cs="Arial" w:eastAsia="Arial" w:hAnsi="Arial"/>
                <w:sz w:val="21"/>
                <w:szCs w:val="21"/>
                <w:color w:val="auto"/>
                <w:vertAlign w:val="superscript"/>
              </w:rPr>
              <w:t>(1)</w:t>
            </w:r>
          </w:p>
        </w:tc>
        <w:tc>
          <w:tcPr>
            <w:tcW w:w="120" w:type="dxa"/>
            <w:vAlign w:val="bottom"/>
            <w:vMerge w:val="continue"/>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633,633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573,683</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740,240</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29.0%</w:t>
            </w: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1,774,665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1,967,746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 xml:space="preserve">Mibanco </w:t>
            </w:r>
            <w:r>
              <w:rPr>
                <w:rFonts w:ascii="Arial" w:cs="Arial" w:eastAsia="Arial" w:hAnsi="Arial"/>
                <w:sz w:val="21"/>
                <w:szCs w:val="21"/>
                <w:color w:val="auto"/>
                <w:vertAlign w:val="superscript"/>
              </w:rPr>
              <w:t>(2)</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70,938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66,234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83,539</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26.1%</w:t>
            </w:r>
          </w:p>
        </w:tc>
        <w:tc>
          <w:tcPr>
            <w:tcW w:w="3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17.8%</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158,514</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221,206</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BCB</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16,333</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20,740</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20,599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26.1%</w:t>
            </w:r>
          </w:p>
        </w:tc>
        <w:tc>
          <w:tcPr>
            <w:tcW w:w="11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42,421</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62,169</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Grupo Pacífico </w:t>
            </w:r>
            <w:r>
              <w:rPr>
                <w:rFonts w:ascii="Arial" w:cs="Arial" w:eastAsia="Arial" w:hAnsi="Arial"/>
                <w:sz w:val="21"/>
                <w:szCs w:val="21"/>
                <w:color w:val="auto"/>
                <w:vertAlign w:val="superscript"/>
              </w:rPr>
              <w:t>(3)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48,498</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83,305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87,196</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79.8%</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282,599</w:t>
            </w: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237,925</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Prima AFP</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40,074</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39,846</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41,840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123,699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121,455</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Credicorp Capital</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10,759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26,367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19,179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w:t>
            </w:r>
          </w:p>
        </w:tc>
        <w:tc>
          <w:tcPr>
            <w:tcW w:w="3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78.3%</w:t>
            </w:r>
          </w:p>
        </w:tc>
        <w:tc>
          <w:tcPr>
            <w:tcW w:w="11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44,853</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62,354</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67,792</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47,999</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57,220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117,971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100,764</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(9,943)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82,253</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(16,479)</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-120.0%</w:t>
            </w:r>
          </w:p>
        </w:tc>
        <w:tc>
          <w:tcPr>
            <w:tcW w:w="3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(25,033)</w:t>
            </w: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67,204</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368.5%</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Credicorp</w:t>
            </w: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807,146</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874,192</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949,794</w:t>
            </w:r>
          </w:p>
        </w:tc>
        <w:tc>
          <w:tcPr>
            <w:tcW w:w="200" w:type="dxa"/>
            <w:vAlign w:val="bottom"/>
            <w:vMerge w:val="continue"/>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8.6%</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17.7%</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2,361,175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2,619,615</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Recurring net income Credicorp </w:t>
            </w:r>
            <w:r>
              <w:rPr>
                <w:rFonts w:ascii="Arial" w:cs="Arial" w:eastAsia="Arial" w:hAnsi="Arial"/>
                <w:sz w:val="23"/>
                <w:szCs w:val="23"/>
                <w:b w:val="1"/>
                <w:bCs w:val="1"/>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746,173</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769,013</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951,907</w:t>
            </w: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23.8%</w:t>
            </w:r>
          </w:p>
        </w:tc>
        <w:tc>
          <w:tcPr>
            <w:tcW w:w="3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27.6%</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2,192,209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2,544,185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w:t>
      </w:r>
    </w:p>
    <w:p>
      <w:pPr>
        <w:spacing w:after="0" w:line="9" w:lineRule="exact"/>
        <w:rPr>
          <w:rFonts w:ascii="Arial" w:cs="Arial" w:eastAsia="Arial" w:hAnsi="Arial"/>
          <w:sz w:val="18"/>
          <w:szCs w:val="18"/>
          <w:color w:val="auto"/>
        </w:rPr>
      </w:pPr>
    </w:p>
    <w:p>
      <w:pPr>
        <w:ind w:firstLine="8"/>
        <w:spacing w:after="0" w:line="250" w:lineRule="auto"/>
        <w:tabs>
          <w:tab w:leader="none" w:pos="28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98.5% of Grupo Pacifico (directly and indirectly).</w:t>
      </w:r>
    </w:p>
    <w:p>
      <w:pPr>
        <w:ind w:right="20" w:firstLine="8"/>
        <w:spacing w:after="0" w:line="25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excluding Prima (Servicorp and Emisiones BCP Latam), others of Atlantic Security Holding Corporation and others of Credicorp Ltd.</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ROAEs *</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80" w:type="dxa"/>
            <w:vAlign w:val="bottom"/>
          </w:tcPr>
          <w:p>
            <w:pPr>
              <w:ind w:left="1240"/>
              <w:spacing w:after="0"/>
              <w:rPr>
                <w:sz w:val="20"/>
                <w:szCs w:val="20"/>
                <w:color w:val="auto"/>
              </w:rPr>
            </w:pPr>
            <w:r>
              <w:rPr>
                <w:rFonts w:ascii="Arial" w:cs="Arial" w:eastAsia="Arial" w:hAnsi="Arial"/>
                <w:sz w:val="18"/>
                <w:szCs w:val="18"/>
                <w:b w:val="1"/>
                <w:bCs w:val="1"/>
                <w:color w:val="auto"/>
              </w:rPr>
              <w:t>ROAE</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b w:val="1"/>
                <w:bCs w:val="1"/>
                <w:color w:val="auto"/>
              </w:rPr>
              <w:t>YTD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3Q15</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2Q16</w:t>
            </w: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3Q16</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Sep 15</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Sep 16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Banco de Crédito BCP</w:t>
            </w:r>
            <w:r>
              <w:rPr>
                <w:rFonts w:ascii="Arial" w:cs="Arial" w:eastAsia="Arial" w:hAnsi="Arial"/>
                <w:sz w:val="27"/>
                <w:szCs w:val="27"/>
                <w:color w:val="auto"/>
                <w:vertAlign w:val="superscript"/>
              </w:rPr>
              <w:t>(1)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19.4%</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23.7%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21.3%</w:t>
            </w:r>
          </w:p>
        </w:tc>
        <w:tc>
          <w:tcPr>
            <w:tcW w:w="0" w:type="dxa"/>
            <w:vAlign w:val="bottom"/>
          </w:tcPr>
          <w:p>
            <w:pPr>
              <w:spacing w:after="0"/>
              <w:rPr>
                <w:sz w:val="1"/>
                <w:szCs w:val="1"/>
                <w:color w:val="auto"/>
              </w:rPr>
            </w:pPr>
          </w:p>
        </w:tc>
      </w:tr>
      <w:tr>
        <w:trPr>
          <w:trHeight w:val="257"/>
        </w:trPr>
        <w:tc>
          <w:tcPr>
            <w:tcW w:w="30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19.8%</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2"/>
                <w:szCs w:val="22"/>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w w:val="93"/>
              </w:rPr>
              <w:t>21.0%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BCB</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14.5%</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13.8%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13.8%</w:t>
            </w:r>
          </w:p>
        </w:tc>
        <w:tc>
          <w:tcPr>
            <w:tcW w:w="0" w:type="dxa"/>
            <w:vAlign w:val="bottom"/>
          </w:tcPr>
          <w:p>
            <w:pPr>
              <w:spacing w:after="0"/>
              <w:rPr>
                <w:sz w:val="1"/>
                <w:szCs w:val="1"/>
                <w:color w:val="auto"/>
              </w:rPr>
            </w:pPr>
          </w:p>
        </w:tc>
      </w:tr>
      <w:tr>
        <w:trPr>
          <w:trHeight w:val="257"/>
        </w:trPr>
        <w:tc>
          <w:tcPr>
            <w:tcW w:w="3080" w:type="dxa"/>
            <w:vAlign w:val="bottom"/>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16.0%</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2"/>
                <w:szCs w:val="22"/>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Prima</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32.6%</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30.7%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27.9%</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Credicorp Capital</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17.1%</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10.8%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25.8%</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17.0%</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Credicorp</w:t>
            </w: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1220" w:type="dxa"/>
            <w:vAlign w:val="bottom"/>
            <w:gridSpan w:val="2"/>
          </w:tcPr>
          <w:p>
            <w:pPr>
              <w:ind w:left="640"/>
              <w:spacing w:after="0"/>
              <w:rPr>
                <w:sz w:val="20"/>
                <w:szCs w:val="20"/>
                <w:color w:val="auto"/>
              </w:rPr>
            </w:pPr>
            <w:r>
              <w:rPr>
                <w:rFonts w:ascii="Arial" w:cs="Arial" w:eastAsia="Arial" w:hAnsi="Arial"/>
                <w:sz w:val="18"/>
                <w:szCs w:val="18"/>
                <w:b w:val="1"/>
                <w:bCs w:val="1"/>
                <w:color w:val="auto"/>
              </w:rPr>
              <w:t>20.4%</w:t>
            </w:r>
          </w:p>
        </w:tc>
        <w:tc>
          <w:tcPr>
            <w:tcW w:w="1240" w:type="dxa"/>
            <w:vAlign w:val="bottom"/>
            <w:gridSpan w:val="2"/>
          </w:tcPr>
          <w:p>
            <w:pPr>
              <w:ind w:left="660"/>
              <w:spacing w:after="0"/>
              <w:rPr>
                <w:sz w:val="20"/>
                <w:szCs w:val="20"/>
                <w:color w:val="auto"/>
              </w:rPr>
            </w:pPr>
            <w:r>
              <w:rPr>
                <w:rFonts w:ascii="Arial" w:cs="Arial" w:eastAsia="Arial" w:hAnsi="Arial"/>
                <w:sz w:val="18"/>
                <w:szCs w:val="18"/>
                <w:b w:val="1"/>
                <w:bCs w:val="1"/>
                <w:color w:val="auto"/>
              </w:rPr>
              <w:t>20.7%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21.9%</w:t>
            </w:r>
          </w:p>
        </w:tc>
        <w:tc>
          <w:tcPr>
            <w:tcW w:w="14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b w:val="1"/>
                <w:bCs w:val="1"/>
                <w:color w:val="auto"/>
                <w:w w:val="93"/>
              </w:rPr>
              <w:t>19.8%</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Recurring ROAE Credicorp </w:t>
            </w:r>
            <w:r>
              <w:rPr>
                <w:rFonts w:ascii="Arial" w:cs="Arial" w:eastAsia="Arial" w:hAnsi="Arial"/>
                <w:sz w:val="30"/>
                <w:szCs w:val="30"/>
                <w:b w:val="1"/>
                <w:bCs w:val="1"/>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18.0%</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20.8%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3"/>
              </w:rPr>
              <w:t>19.5%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These figures differ from those previously reported; these ratios have been calculated using the total contribution of each subsidiary to Credicorp.</w:t>
      </w:r>
    </w:p>
    <w:p>
      <w:pPr>
        <w:spacing w:after="0" w:line="3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Figures do not include the gain on sale of BCI shares reported in 1Q15. The Recurring ROAE is 23.3% in 3Q15, 19.7% in 2Q16 and 23.7% in 3Q16.</w:t>
      </w:r>
    </w:p>
    <w:p>
      <w:pPr>
        <w:spacing w:after="0" w:line="20" w:lineRule="exact"/>
        <w:rPr>
          <w:rFonts w:ascii="Arial" w:cs="Arial" w:eastAsia="Arial" w:hAnsi="Arial"/>
          <w:sz w:val="17"/>
          <w:szCs w:val="17"/>
          <w:color w:val="auto"/>
        </w:rPr>
      </w:pPr>
    </w:p>
    <w:p>
      <w:pPr>
        <w:ind w:firstLine="8"/>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20.4% in 3Q15, 17.9% in 2Q16 and 21.4% in 3Q16.</w:t>
      </w:r>
    </w:p>
    <w:p>
      <w:pPr>
        <w:ind w:firstLine="8"/>
        <w:spacing w:after="0" w:line="250"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19.1% in 2Q16 and 3Q16.</w:t>
      </w:r>
    </w:p>
    <w:p>
      <w:pPr>
        <w:ind w:firstLine="8"/>
        <w:spacing w:after="0" w:line="261" w:lineRule="auto"/>
        <w:tabs>
          <w:tab w:leader="none" w:pos="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ROAE = (Net income attributable to Credicorp - Non-recurring income/expenses after taxes)*4 / Average (Net equity - Non-recurring income/expenses after taxes).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 recurring income and / or expense - Credicorp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3Q15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2Q16</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3Q16</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 15</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16</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rPr>
                <w:sz w:val="12"/>
                <w:szCs w:val="12"/>
                <w:color w:val="auto"/>
              </w:rPr>
            </w:pPr>
          </w:p>
        </w:tc>
        <w:tc>
          <w:tcPr>
            <w:tcW w:w="2520" w:type="dxa"/>
            <w:vAlign w:val="bottom"/>
            <w:tcBorders>
              <w:top w:val="single" w:sz="8" w:color="CCEEFF"/>
            </w:tcBorders>
            <w:shd w:val="clear" w:color="auto" w:fill="CCEEFF"/>
          </w:tcPr>
          <w:p>
            <w:pPr>
              <w:jc w:val="center"/>
              <w:ind w:right="168"/>
              <w:spacing w:after="0" w:line="142" w:lineRule="exact"/>
              <w:rPr>
                <w:sz w:val="20"/>
                <w:szCs w:val="20"/>
                <w:color w:val="auto"/>
              </w:rPr>
            </w:pPr>
            <w:r>
              <w:rPr>
                <w:rFonts w:ascii="Arial" w:cs="Arial" w:eastAsia="Arial" w:hAnsi="Arial"/>
                <w:sz w:val="14"/>
                <w:szCs w:val="14"/>
                <w:b w:val="1"/>
                <w:bCs w:val="1"/>
                <w:color w:val="auto"/>
                <w:w w:val="93"/>
              </w:rPr>
              <w:t>Net income Credicorp</w:t>
            </w:r>
          </w:p>
        </w:tc>
        <w:tc>
          <w:tcPr>
            <w:tcW w:w="20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807,145</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874,192</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949,794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2,361,175</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2,619,615</w:t>
            </w:r>
          </w:p>
        </w:tc>
        <w:tc>
          <w:tcPr>
            <w:tcW w:w="0" w:type="dxa"/>
            <w:vAlign w:val="bottom"/>
          </w:tcPr>
          <w:p>
            <w:pPr>
              <w:spacing w:after="0"/>
              <w:rPr>
                <w:sz w:val="1"/>
                <w:szCs w:val="1"/>
                <w:color w:val="auto"/>
              </w:rPr>
            </w:pPr>
          </w:p>
        </w:tc>
      </w:tr>
      <w:tr>
        <w:trPr>
          <w:trHeight w:val="187"/>
        </w:trPr>
        <w:tc>
          <w:tcPr>
            <w:tcW w:w="21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Subsidiaries</w:t>
            </w:r>
          </w:p>
        </w:tc>
        <w:tc>
          <w:tcPr>
            <w:tcW w:w="2520" w:type="dxa"/>
            <w:vAlign w:val="bottom"/>
          </w:tcPr>
          <w:p>
            <w:pPr>
              <w:ind w:left="1280"/>
              <w:spacing w:after="0"/>
              <w:rPr>
                <w:sz w:val="20"/>
                <w:szCs w:val="20"/>
                <w:color w:val="auto"/>
              </w:rPr>
            </w:pPr>
            <w:r>
              <w:rPr>
                <w:rFonts w:ascii="Arial" w:cs="Arial" w:eastAsia="Arial" w:hAnsi="Arial"/>
                <w:sz w:val="14"/>
                <w:szCs w:val="14"/>
                <w:b w:val="1"/>
                <w:bCs w:val="1"/>
                <w:color w:val="auto"/>
              </w:rPr>
              <w:t>Non-recurring</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Affected line in the P&amp;L</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2520" w:type="dxa"/>
            <w:vAlign w:val="bottom"/>
          </w:tcPr>
          <w:p>
            <w:pPr>
              <w:ind w:left="820"/>
              <w:spacing w:after="0"/>
              <w:rPr>
                <w:sz w:val="20"/>
                <w:szCs w:val="20"/>
                <w:color w:val="auto"/>
              </w:rPr>
            </w:pPr>
            <w:r>
              <w:rPr>
                <w:rFonts w:ascii="Arial" w:cs="Arial" w:eastAsia="Arial" w:hAnsi="Arial"/>
                <w:sz w:val="14"/>
                <w:szCs w:val="14"/>
                <w:b w:val="1"/>
                <w:bCs w:val="1"/>
                <w:color w:val="auto"/>
              </w:rPr>
              <w:t>Explanation</w:t>
            </w:r>
          </w:p>
        </w:tc>
        <w:tc>
          <w:tcPr>
            <w:tcW w:w="204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1160"/>
              <w:spacing w:after="0" w:line="149" w:lineRule="exact"/>
              <w:rPr>
                <w:sz w:val="20"/>
                <w:szCs w:val="20"/>
                <w:color w:val="auto"/>
              </w:rPr>
            </w:pPr>
            <w:r>
              <w:rPr>
                <w:rFonts w:ascii="Arial" w:cs="Arial" w:eastAsia="Arial" w:hAnsi="Arial"/>
                <w:sz w:val="14"/>
                <w:szCs w:val="14"/>
                <w:color w:val="auto"/>
                <w:w w:val="99"/>
              </w:rPr>
              <w:t>Atlantic Security</w:t>
            </w:r>
          </w:p>
        </w:tc>
        <w:tc>
          <w:tcPr>
            <w:tcW w:w="25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 Sale of a fund position</w:t>
            </w:r>
          </w:p>
        </w:tc>
        <w:tc>
          <w:tcPr>
            <w:tcW w:w="2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Non-financial income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58,963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58,963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40" w:type="dxa"/>
            <w:vAlign w:val="bottom"/>
          </w:tcPr>
          <w:p>
            <w:pPr>
              <w:ind w:left="120"/>
              <w:spacing w:after="0"/>
              <w:rPr>
                <w:sz w:val="20"/>
                <w:szCs w:val="20"/>
                <w:color w:val="auto"/>
              </w:rPr>
            </w:pPr>
            <w:r>
              <w:rPr>
                <w:rFonts w:ascii="Arial" w:cs="Arial" w:eastAsia="Arial" w:hAnsi="Arial"/>
                <w:sz w:val="14"/>
                <w:szCs w:val="14"/>
                <w:color w:val="auto"/>
              </w:rPr>
              <w:t>Non-financial income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180" w:type="dxa"/>
            <w:vAlign w:val="bottom"/>
          </w:tcPr>
          <w:p>
            <w:pPr>
              <w:ind w:left="1160"/>
              <w:spacing w:after="0"/>
              <w:rPr>
                <w:sz w:val="20"/>
                <w:szCs w:val="20"/>
                <w:color w:val="auto"/>
              </w:rPr>
            </w:pPr>
            <w:r>
              <w:rPr>
                <w:rFonts w:ascii="Arial" w:cs="Arial" w:eastAsia="Arial" w:hAnsi="Arial"/>
                <w:sz w:val="14"/>
                <w:szCs w:val="14"/>
                <w:color w:val="auto"/>
              </w:rPr>
              <w:t>Others</w:t>
            </w:r>
          </w:p>
        </w:tc>
        <w:tc>
          <w:tcPr>
            <w:tcW w:w="2520" w:type="dxa"/>
            <w:vAlign w:val="bottom"/>
          </w:tcPr>
          <w:p>
            <w:pPr>
              <w:ind w:left="820"/>
              <w:spacing w:after="0"/>
              <w:rPr>
                <w:sz w:val="20"/>
                <w:szCs w:val="20"/>
                <w:color w:val="auto"/>
              </w:rPr>
            </w:pPr>
            <w:r>
              <w:rPr>
                <w:rFonts w:ascii="Arial" w:cs="Arial" w:eastAsia="Arial" w:hAnsi="Arial"/>
                <w:sz w:val="14"/>
                <w:szCs w:val="14"/>
                <w:color w:val="auto"/>
              </w:rPr>
              <w:t>- BCI</w:t>
            </w:r>
          </w:p>
        </w:tc>
        <w:tc>
          <w:tcPr>
            <w:tcW w:w="2040" w:type="dxa"/>
            <w:vAlign w:val="bottom"/>
          </w:tcPr>
          <w:p>
            <w:pPr>
              <w:ind w:left="120"/>
              <w:spacing w:after="0"/>
              <w:rPr>
                <w:sz w:val="20"/>
                <w:szCs w:val="20"/>
                <w:color w:val="auto"/>
              </w:rPr>
            </w:pPr>
            <w:r>
              <w:rPr>
                <w:rFonts w:ascii="Arial" w:cs="Arial" w:eastAsia="Arial" w:hAnsi="Arial"/>
                <w:sz w:val="14"/>
                <w:szCs w:val="14"/>
                <w:color w:val="auto"/>
                <w:w w:val="97"/>
              </w:rPr>
              <w:t>- Net gain on sales of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120,199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120,199</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Translation result</w:t>
            </w:r>
          </w:p>
        </w:tc>
        <w:tc>
          <w:tcPr>
            <w:tcW w:w="25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-44,769</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w w:val="97"/>
              </w:rPr>
              <w:t>Total non-recurring income / expense*</w:t>
            </w:r>
          </w:p>
        </w:tc>
        <w:tc>
          <w:tcPr>
            <w:tcW w:w="20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60,972</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105,179</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-2,113</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168,966</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75,430</w:t>
            </w: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8"/>
              <w:spacing w:after="0" w:line="142" w:lineRule="exact"/>
              <w:rPr>
                <w:sz w:val="20"/>
                <w:szCs w:val="20"/>
                <w:color w:val="auto"/>
              </w:rPr>
            </w:pPr>
            <w:r>
              <w:rPr>
                <w:rFonts w:ascii="Arial" w:cs="Arial" w:eastAsia="Arial" w:hAnsi="Arial"/>
                <w:sz w:val="14"/>
                <w:szCs w:val="14"/>
                <w:b w:val="1"/>
                <w:bCs w:val="1"/>
                <w:color w:val="auto"/>
                <w:w w:val="93"/>
              </w:rPr>
              <w:t>Recurring net income Credicorp</w:t>
            </w:r>
          </w:p>
        </w:tc>
        <w:tc>
          <w:tcPr>
            <w:tcW w:w="20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746,173</w:t>
            </w: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769,013</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951,907</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2,192,209</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2,544,185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Figures net of taxes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BCP Consolidated </w:t>
      </w:r>
      <w:r>
        <w:rPr>
          <w:rFonts w:ascii="Arial" w:cs="Arial" w:eastAsia="Arial" w:hAnsi="Arial"/>
          <w:sz w:val="18"/>
          <w:szCs w:val="18"/>
          <w:color w:val="auto"/>
        </w:rPr>
        <w:t>reported a contribution to Credicorp of S/ 740 million. This represented an increase of 29% QoQ and 16.8 % YoY. This quarter’s evolution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a QoQ significant decrease in net provisions for loan losses and in operating expenses, as well as MiBanco’s higher contribution to BCP earnings, which offset the slight decrease in NII and in non-financial income. In this context, BCP Consolidated’s ROAE for 3Q16 was 23.7%. This figure was higher than 19.4% and 22.5% posted in 2Q16 and 1Q16, respectively.</w:t>
      </w:r>
    </w:p>
    <w:p>
      <w:pPr>
        <w:spacing w:after="0" w:line="18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18"/>
          <w:szCs w:val="18"/>
          <w:color w:val="auto"/>
        </w:rPr>
        <w:t>reported a net contribution to Credicorp of S/.83.5 million and an ROAE of 23.5% at the end of 3Q16. These results indicate a QoQ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entity’s contribution that was primarily attributable to higher net interest income. The evolution of NII (+4.6% QoQ) was mainly the result of loan expansion in the micro and small business segments and to the fact that these loans performed better. The internal overdue ratio and the NPL ratio improved QoQ by 20bps and 10bps respectively, which led to a drop in provisions. The operating expenses were lower this quarter (-1.6% QoQ) due to a decrease in employee salaries and benefits expense after the headcount fell. The efficiency ratio at Mibanco improved to situate at 56% at the end of 3Q16 (-320 bps QoQ).</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BCP Bolivia </w:t>
      </w:r>
      <w:r>
        <w:rPr>
          <w:rFonts w:ascii="Arial" w:cs="Arial" w:eastAsia="Arial" w:hAnsi="Arial"/>
          <w:sz w:val="16"/>
          <w:szCs w:val="16"/>
          <w:color w:val="auto"/>
        </w:rPr>
        <w:t>reported a contribution of S/20.6 million in 3Q16, which represented a decrease of -0.7% QoQ. This translated into an ROAE of 13.8% in 3Q16</w:t>
      </w:r>
      <w:r>
        <w:rPr>
          <w:rFonts w:ascii="Arial" w:cs="Arial" w:eastAsia="Arial" w:hAnsi="Arial"/>
          <w:sz w:val="16"/>
          <w:szCs w:val="16"/>
          <w:b w:val="1"/>
          <w:bCs w:val="1"/>
          <w:color w:val="auto"/>
        </w:rPr>
        <w:t xml:space="preserve"> </w:t>
      </w:r>
      <w:r>
        <w:rPr>
          <w:rFonts w:ascii="Arial" w:cs="Arial" w:eastAsia="Arial" w:hAnsi="Arial"/>
          <w:sz w:val="16"/>
          <w:szCs w:val="16"/>
          <w:color w:val="auto"/>
        </w:rPr>
        <w:t>(vs 14.5% in 2Q16). The contribution was lower this quarter due to: (i) an 11.4% increase in operating expenses, which was associated primarily with higher employees salaries and benefits expenses and to set aside provisions for future losses due to operating risk; (ii) a decrease in non-financial income due to a lower gain on foreign exchange transactions; and (iii) an increase in the income tax provision; the aforementioned was offset by: (iii) a +5.4% increase in net interest income due to loan growth; and (iv) a -60.9% drop in provisions for total loans due to an improvement in the portfolio’s risk quality.</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In 3Q16, </w:t>
      </w:r>
      <w:r>
        <w:rPr>
          <w:rFonts w:ascii="Arial" w:cs="Arial" w:eastAsia="Arial" w:hAnsi="Arial"/>
          <w:sz w:val="17"/>
          <w:szCs w:val="17"/>
          <w:b w:val="1"/>
          <w:bCs w:val="1"/>
          <w:color w:val="auto"/>
        </w:rPr>
        <w:t>Grupo Pacifico</w:t>
      </w:r>
      <w:r>
        <w:rPr>
          <w:rFonts w:ascii="Arial" w:cs="Arial" w:eastAsia="Arial" w:hAnsi="Arial"/>
          <w:sz w:val="17"/>
          <w:szCs w:val="17"/>
          <w:color w:val="auto"/>
        </w:rPr>
        <w:t xml:space="preserve"> reported a contribution of S/87.2 million, which represented an increase of 4.7% QoQ. This growth was due primarily to higher net financial income; an increase in net translation gain; and higher income from the agreement with Banmedica. Nevertheless, this effect was mainly offset by higher general expenses; higher expenses for income taxes; and a lower underwriting result. The drop in the underwriting result was due to higher expenses for fees; an increase in net claims; and growth in underwriting expenses, which was partially offset by higher net earned premiums.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In 3Q16, </w:t>
      </w:r>
      <w:r>
        <w:rPr>
          <w:rFonts w:ascii="Arial" w:cs="Arial" w:eastAsia="Arial" w:hAnsi="Arial"/>
          <w:sz w:val="17"/>
          <w:szCs w:val="17"/>
          <w:b w:val="1"/>
          <w:bCs w:val="1"/>
          <w:color w:val="auto"/>
        </w:rPr>
        <w:t>Prima AFP’s</w:t>
      </w:r>
      <w:r>
        <w:rPr>
          <w:rFonts w:ascii="Arial" w:cs="Arial" w:eastAsia="Arial" w:hAnsi="Arial"/>
          <w:sz w:val="17"/>
          <w:szCs w:val="17"/>
          <w:color w:val="auto"/>
        </w:rPr>
        <w:t xml:space="preserve"> contribution to Credicorp was S/. 41.8 million, which represented an increase of +5.0% QoQ and +4.4% YoY that translated into an ROAE of 30.7% for the quarter. Operating income posted growth +3.7% QoQ due to lower expenses. The operating efficiency ratio for 3Q16 was 42.2%, which fell below the figure posted in 2Q16 (44.1%). This improvement was due to lower general and marketing expenses this quarter. Prima AFP’s funds under management totaled S/ 43,592 million, which represented a 31.8% share of total funds in the system.</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Credicorp Capital </w:t>
      </w:r>
      <w:r>
        <w:rPr>
          <w:rFonts w:ascii="Arial" w:cs="Arial" w:eastAsia="Arial" w:hAnsi="Arial"/>
          <w:sz w:val="16"/>
          <w:szCs w:val="16"/>
          <w:color w:val="auto"/>
        </w:rPr>
        <w:t>reported a contribution to Credicorp of S/. 19.2 million in the third quarter of the year (+78.3% YoY). Non-financial income totaled S/.</w:t>
      </w:r>
      <w:r>
        <w:rPr>
          <w:rFonts w:ascii="Arial" w:cs="Arial" w:eastAsia="Arial" w:hAnsi="Arial"/>
          <w:sz w:val="16"/>
          <w:szCs w:val="16"/>
          <w:b w:val="1"/>
          <w:bCs w:val="1"/>
          <w:color w:val="auto"/>
        </w:rPr>
        <w:t xml:space="preserve"> </w:t>
      </w:r>
      <w:r>
        <w:rPr>
          <w:rFonts w:ascii="Arial" w:cs="Arial" w:eastAsia="Arial" w:hAnsi="Arial"/>
          <w:sz w:val="16"/>
          <w:szCs w:val="16"/>
          <w:color w:val="auto"/>
        </w:rPr>
        <w:t>143 million (+12.7% QoQ), with noteworthy growth in the net gain on foreign exchange transactions (+103% QoQ) and in the net gain on sales of securities (+72% QoQ). The good evolution of income was due primarily to the boost provided by the Capital Markets business, which posted excellent results for fixed income and currency trading transactions and for sales of equity and fixed income instruments. Corporate Finance obtained important mandates for financing and capital market transactions as well as for private investment funds, structured products and mutual funds in the Asset Management business.</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 contribution to Credicorp of S/. 57.2 million in 3Q16. This result tops that reported in 2Q16, S/48MM. ROAE was situated at 27.9%,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topped 2Q16’s figure (25.8%). The efficiency ratio was situated at 15.6%, better than the 17.6% posted on 2Q16.</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QoQ and YoY evolution reveal that IEAs mix has reconfigured to favor more profitable assets, in particular loans, which are the most profitable IEA. Investments available for sale and trading securities also expanded QoQ. Loan expansion was due primarily to growth in Middle-Market Banking, BCP Bolivia, and within Retail Banking, to an increase in the SME-Business and Mortgage segments.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800" w:type="dxa"/>
            <w:vAlign w:val="bottom"/>
            <w:gridSpan w:val="3"/>
          </w:tcPr>
          <w:p>
            <w:pPr>
              <w:ind w:left="180"/>
              <w:spacing w:after="0"/>
              <w:rPr>
                <w:sz w:val="20"/>
                <w:szCs w:val="20"/>
                <w:color w:val="auto"/>
              </w:rPr>
            </w:pPr>
            <w:r>
              <w:rPr>
                <w:rFonts w:ascii="Arial" w:cs="Arial" w:eastAsia="Arial" w:hAnsi="Arial"/>
                <w:sz w:val="18"/>
                <w:szCs w:val="18"/>
                <w:b w:val="1"/>
                <w:bCs w:val="1"/>
                <w:color w:val="auto"/>
              </w:rPr>
              <w:t>Interest earning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3Q15</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2Q16</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27,845,765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27,776,938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23,394,407</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20" w:type="dxa"/>
            <w:vAlign w:val="bottom"/>
          </w:tcPr>
          <w:p>
            <w:pPr>
              <w:jc w:val="right"/>
              <w:spacing w:after="0"/>
              <w:rPr>
                <w:sz w:val="20"/>
                <w:szCs w:val="20"/>
                <w:color w:val="auto"/>
              </w:rPr>
            </w:pPr>
            <w:r>
              <w:rPr>
                <w:rFonts w:ascii="Arial" w:cs="Arial" w:eastAsia="Arial" w:hAnsi="Arial"/>
                <w:sz w:val="18"/>
                <w:szCs w:val="18"/>
                <w:color w:val="auto"/>
              </w:rPr>
              <w:t>109,592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54,950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207,518</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277.6%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2,608,267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3,383,545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4,609,582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20" w:type="dxa"/>
            <w:vAlign w:val="bottom"/>
          </w:tcPr>
          <w:p>
            <w:pPr>
              <w:jc w:val="right"/>
              <w:spacing w:after="0"/>
              <w:rPr>
                <w:sz w:val="20"/>
                <w:szCs w:val="20"/>
                <w:color w:val="auto"/>
              </w:rPr>
            </w:pPr>
            <w:r>
              <w:rPr>
                <w:rFonts w:ascii="Arial" w:cs="Arial" w:eastAsia="Arial" w:hAnsi="Arial"/>
                <w:sz w:val="18"/>
                <w:szCs w:val="18"/>
                <w:color w:val="auto"/>
              </w:rPr>
              <w:t>19,152,134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18,188,377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19,949,532</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3,161,475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4,288,379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4,243,603</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87,842,690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91,655,366</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94,319,220</w:t>
            </w: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140,719,923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145,347,555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146,723,862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Pr>
          <w:p>
            <w:pPr>
              <w:spacing w:after="0"/>
              <w:rPr>
                <w:sz w:val="24"/>
                <w:szCs w:val="24"/>
                <w:color w:val="auto"/>
              </w:rPr>
            </w:pPr>
          </w:p>
        </w:tc>
        <w:tc>
          <w:tcPr>
            <w:tcW w:w="3620" w:type="dxa"/>
            <w:vAlign w:val="bottom"/>
            <w:gridSpan w:val="2"/>
          </w:tcPr>
          <w:p>
            <w:pPr>
              <w:ind w:left="80"/>
              <w:spacing w:after="0"/>
              <w:rPr>
                <w:sz w:val="20"/>
                <w:szCs w:val="20"/>
                <w:color w:val="auto"/>
              </w:rPr>
            </w:pPr>
            <w:r>
              <w:rPr>
                <w:rFonts w:ascii="Arial" w:cs="Arial" w:eastAsia="Arial" w:hAnsi="Arial"/>
                <w:sz w:val="18"/>
                <w:szCs w:val="18"/>
                <w:b w:val="1"/>
                <w:bCs w:val="1"/>
                <w:color w:val="auto"/>
              </w:rPr>
              <w:t>Evolution of IEA</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which are the most profitable asset, increased their share of IEA (64.3% in 3Q16 vs. 63.1% in 2Q16). This improved the return on these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as we will explain later in the report.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loans reported a nominal QoQ increase of +2.9%, currency adjusted growth rate was situated at only +1.5% in a context in which the US Dollar appreciated +3.37% QoQ, and the level of dollarization reached 39.8%. The YoY analysis continues to reflect the slowdown in loan growth, which was situated at +7.4%. This figure fell below the +16.8% reported in 1Q, and the +9.8% in 2Q.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 context of low loan growth it is important to note that:</w:t>
      </w:r>
    </w:p>
    <w:p>
      <w:pPr>
        <w:spacing w:after="0" w:line="225" w:lineRule="exact"/>
        <w:rPr>
          <w:sz w:val="20"/>
          <w:szCs w:val="20"/>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Middle-Market banking was more dynamic this quarter, posting loan growth of +3.8% after having contracted two consecutive quarters (-2.2% in 1Q and -3.3% in 2Q).</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+1.8% QoQ in the Mortgage segment, which registered virtually no growth the previous quarter.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helped offset the contraction in loans in Corporate Banking, the segment that has led loan expansion at Credicorp for the past 3 years.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Investments increased their share of total IEAs, going from 17.8% in 2Q16 to 19.6% in 3Q16. This was due primarily to the situation at BCP, which posted growth in (i) </w:t>
      </w:r>
      <w:r>
        <w:rPr>
          <w:rFonts w:ascii="Arial" w:cs="Arial" w:eastAsia="Arial" w:hAnsi="Arial"/>
          <w:sz w:val="17"/>
          <w:szCs w:val="17"/>
          <w:b w:val="1"/>
          <w:bCs w:val="1"/>
          <w:color w:val="auto"/>
        </w:rPr>
        <w:t>investments available for sale</w:t>
      </w:r>
      <w:r>
        <w:rPr>
          <w:rFonts w:ascii="Arial" w:cs="Arial" w:eastAsia="Arial" w:hAnsi="Arial"/>
          <w:sz w:val="17"/>
          <w:szCs w:val="17"/>
          <w:color w:val="auto"/>
        </w:rPr>
        <w:t xml:space="preserve"> (+9.7% QoQ), which was due mainly to an increase in the balance for BCRP Certificates of Deposit (CD) and in foreign government bonds; and (ii) </w:t>
      </w:r>
      <w:r>
        <w:rPr>
          <w:rFonts w:ascii="Arial" w:cs="Arial" w:eastAsia="Arial" w:hAnsi="Arial"/>
          <w:sz w:val="17"/>
          <w:szCs w:val="17"/>
          <w:b w:val="1"/>
          <w:bCs w:val="1"/>
          <w:color w:val="auto"/>
        </w:rPr>
        <w:t>trading securities</w:t>
      </w:r>
      <w:r>
        <w:rPr>
          <w:rFonts w:ascii="Arial" w:cs="Arial" w:eastAsia="Arial" w:hAnsi="Arial"/>
          <w:sz w:val="17"/>
          <w:szCs w:val="17"/>
          <w:color w:val="auto"/>
        </w:rPr>
        <w:t xml:space="preserve"> (+36.2% QoQ), which was primarily associated with an increase in the volume of BCRP CDs. The aforementioned offset the decrease in </w:t>
      </w:r>
      <w:r>
        <w:rPr>
          <w:rFonts w:ascii="Arial" w:cs="Arial" w:eastAsia="Arial" w:hAnsi="Arial"/>
          <w:sz w:val="17"/>
          <w:szCs w:val="17"/>
          <w:b w:val="1"/>
          <w:bCs w:val="1"/>
          <w:color w:val="auto"/>
        </w:rPr>
        <w:t>investments held to maturity</w:t>
      </w:r>
      <w:r>
        <w:rPr>
          <w:rFonts w:ascii="Arial" w:cs="Arial" w:eastAsia="Arial" w:hAnsi="Arial"/>
          <w:sz w:val="17"/>
          <w:szCs w:val="17"/>
          <w:color w:val="auto"/>
        </w:rPr>
        <w:t xml:space="preserve"> after Peruvian governments bonds at BCP matured.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BCRP and other banks </w:t>
      </w:r>
      <w:r>
        <w:rPr>
          <w:rFonts w:ascii="Arial" w:cs="Arial" w:eastAsia="Arial" w:hAnsi="Arial"/>
          <w:sz w:val="18"/>
          <w:szCs w:val="18"/>
          <w:color w:val="auto"/>
        </w:rPr>
        <w:t>registered a decrease in its share of total IEAs, which fell from 19.1% in 2Q16 to 15.9% in 3Q16 after this account posted a drop</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registered at BCP). The aforementioned was due mainly to the fact that reserve requirements, which are set by BCRP, decreased in light of (i) the drop in total obligations subject to reserve requirements (TOSE), and (ii) a decrease in the average reserve rate, which went from 30.3584% in June 2016 to 26.0068% in September 2016.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 the YoY analysis, +4.3% growth in IEAs was due mainly to:</w:t>
      </w:r>
    </w:p>
    <w:p>
      <w:pPr>
        <w:spacing w:after="0" w:line="225" w:lineRule="exact"/>
        <w:rPr>
          <w:sz w:val="20"/>
          <w:szCs w:val="20"/>
          <w:color w:val="auto"/>
        </w:rPr>
      </w:pPr>
    </w:p>
    <w:p>
      <w:pPr>
        <w:ind w:left="980" w:hanging="648"/>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Growth of +7.4% in loans, which was led by Corporate Banking and BCP Bolivia and by Mortgage and SME-Business loans in Retail Banking. In 3Q16, currency adjusted growth rate was situated at +5.1%, which was in line with the +5.5% appreciation in the Sol;</w:t>
      </w:r>
    </w:p>
    <w:p>
      <w:pPr>
        <w:spacing w:after="0" w:line="146" w:lineRule="exact"/>
        <w:rPr>
          <w:rFonts w:ascii="Arial" w:cs="Arial" w:eastAsia="Arial" w:hAnsi="Arial"/>
          <w:sz w:val="17"/>
          <w:szCs w:val="17"/>
          <w:color w:val="auto"/>
        </w:rPr>
      </w:pPr>
    </w:p>
    <w:p>
      <w:pPr>
        <w:ind w:left="98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high level of trading securities that was associated with (i) BCP, in line with higher balances of BCRP CDs and foreign government bonds with investment grades; and (ii) Credicorp Capital, given higher investments in debt instruments.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higher level of investments held to maturity at BCP, which was mainly attributable to higher balances of restricted bonds.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aforementioned offset the -16.0% drop in BCRP and in other banks due to a decrease in reserve requirements, as explained above.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Credicorp Loans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Loan evolution by business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TOTAL LOANS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 Part. in total loans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100" w:type="dxa"/>
            <w:vAlign w:val="bottom"/>
            <w:gridSpan w:val="5"/>
          </w:tcPr>
          <w:p>
            <w:pPr>
              <w:jc w:val="center"/>
              <w:ind w:left="488"/>
              <w:spacing w:after="0" w:line="158" w:lineRule="exact"/>
              <w:rPr>
                <w:sz w:val="20"/>
                <w:szCs w:val="20"/>
                <w:color w:val="auto"/>
              </w:rPr>
            </w:pPr>
            <w:r>
              <w:rPr>
                <w:rFonts w:ascii="Arial" w:cs="Arial" w:eastAsia="Arial" w:hAnsi="Arial"/>
                <w:sz w:val="14"/>
                <w:szCs w:val="14"/>
                <w:i w:val="1"/>
                <w:iCs w:val="1"/>
                <w:color w:val="auto"/>
                <w:w w:val="93"/>
              </w:rPr>
              <w:t>Expressed in million soles</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3Q15</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2Q16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3Q16</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3Q15</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3Q16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72,393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76,854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77,295</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0.6%</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83.4%</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Wholesale Banking</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39,015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41,494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41,178</w:t>
            </w: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-0.8%</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11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44.9%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300"/>
              <w:spacing w:after="0" w:line="189" w:lineRule="exact"/>
              <w:rPr>
                <w:sz w:val="20"/>
                <w:szCs w:val="20"/>
                <w:color w:val="auto"/>
              </w:rPr>
            </w:pPr>
            <w:r>
              <w:rPr>
                <w:rFonts w:ascii="Arial" w:cs="Arial" w:eastAsia="Arial" w:hAnsi="Arial"/>
                <w:sz w:val="13"/>
                <w:szCs w:val="13"/>
                <w:color w:val="auto"/>
              </w:rPr>
              <w:t xml:space="preserve">Corporate </w:t>
            </w:r>
            <w:r>
              <w:rPr>
                <w:rFonts w:ascii="Arial" w:cs="Arial" w:eastAsia="Arial" w:hAnsi="Arial"/>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28,217</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27,392</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FCD5B4"/>
          </w:tcPr>
          <w:p>
            <w:pPr>
              <w:jc w:val="right"/>
              <w:ind w:right="120"/>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5D9F1"/>
          </w:tcPr>
          <w:p>
            <w:pPr>
              <w:spacing w:after="0"/>
              <w:rPr>
                <w:sz w:val="16"/>
                <w:szCs w:val="16"/>
                <w:color w:val="auto"/>
              </w:rPr>
            </w:pPr>
          </w:p>
        </w:tc>
        <w:tc>
          <w:tcPr>
            <w:tcW w:w="700" w:type="dxa"/>
            <w:vAlign w:val="bottom"/>
            <w:gridSpan w:val="2"/>
            <w:shd w:val="clear" w:color="auto" w:fill="C5D9F1"/>
          </w:tcPr>
          <w:p>
            <w:pPr>
              <w:jc w:val="right"/>
              <w:ind w:right="40"/>
              <w:spacing w:after="0"/>
              <w:rPr>
                <w:sz w:val="20"/>
                <w:szCs w:val="20"/>
                <w:color w:val="auto"/>
              </w:rPr>
            </w:pPr>
            <w:r>
              <w:rPr>
                <w:rFonts w:ascii="Arial" w:cs="Arial" w:eastAsia="Arial" w:hAnsi="Arial"/>
                <w:sz w:val="14"/>
                <w:szCs w:val="14"/>
                <w:color w:val="auto"/>
              </w:rPr>
              <w:t>7.5%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29.3%</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Middle - Market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13,538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13,277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13,786</w:t>
            </w:r>
          </w:p>
        </w:tc>
        <w:tc>
          <w:tcPr>
            <w:tcW w:w="180" w:type="dxa"/>
            <w:vAlign w:val="bottom"/>
          </w:tcPr>
          <w:p>
            <w:pPr>
              <w:spacing w:after="0"/>
              <w:rPr>
                <w:sz w:val="12"/>
                <w:szCs w:val="12"/>
                <w:color w:val="auto"/>
              </w:rPr>
            </w:pPr>
          </w:p>
        </w:tc>
        <w:tc>
          <w:tcPr>
            <w:tcW w:w="1000" w:type="dxa"/>
            <w:vAlign w:val="bottom"/>
            <w:gridSpan w:val="2"/>
            <w:shd w:val="clear" w:color="auto" w:fill="C5D9F1"/>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Retail Banking</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32,811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34,700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35,413</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37.8%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SME - Business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3,718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4,230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4,460</w:t>
            </w:r>
          </w:p>
        </w:tc>
        <w:tc>
          <w:tcPr>
            <w:tcW w:w="180" w:type="dxa"/>
            <w:vAlign w:val="bottom"/>
          </w:tcPr>
          <w:p>
            <w:pPr>
              <w:spacing w:after="0"/>
              <w:rPr>
                <w:sz w:val="12"/>
                <w:szCs w:val="12"/>
                <w:color w:val="auto"/>
              </w:rPr>
            </w:pPr>
          </w:p>
        </w:tc>
        <w:tc>
          <w:tcPr>
            <w:tcW w:w="1000" w:type="dxa"/>
            <w:vAlign w:val="bottom"/>
            <w:gridSpan w:val="2"/>
            <w:shd w:val="clear" w:color="auto" w:fill="C5D9F1"/>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20.0%</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SME - Pyme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7,102</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7,422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7,598</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Mortgage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11,819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12,383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12,609</w:t>
            </w:r>
          </w:p>
        </w:tc>
        <w:tc>
          <w:tcPr>
            <w:tcW w:w="180" w:type="dxa"/>
            <w:vAlign w:val="bottom"/>
          </w:tcPr>
          <w:p>
            <w:pPr>
              <w:spacing w:after="0"/>
              <w:rPr>
                <w:sz w:val="12"/>
                <w:szCs w:val="12"/>
                <w:color w:val="auto"/>
              </w:rPr>
            </w:pPr>
          </w:p>
        </w:tc>
        <w:tc>
          <w:tcPr>
            <w:tcW w:w="1000" w:type="dxa"/>
            <w:vAlign w:val="bottom"/>
            <w:gridSpan w:val="2"/>
            <w:shd w:val="clear" w:color="auto" w:fill="C5D9F1"/>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13.6%</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Consumer</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Credit Card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4,299</w:t>
            </w:r>
          </w:p>
        </w:tc>
        <w:tc>
          <w:tcPr>
            <w:tcW w:w="1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6.5%</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7,463</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8,002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8,158</w:t>
            </w: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w:t>
            </w:r>
          </w:p>
        </w:tc>
        <w:tc>
          <w:tcPr>
            <w:tcW w:w="2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9.3%</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8.6%</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4,078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5,159</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6.1%</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26.5%</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2,873</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3,007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3,081</w:t>
            </w:r>
          </w:p>
        </w:tc>
        <w:tc>
          <w:tcPr>
            <w:tcW w:w="1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7.2%</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3.3%</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BAP's total loans </w:t>
            </w:r>
            <w:r>
              <w:rPr>
                <w:rFonts w:ascii="Arial" w:cs="Arial" w:eastAsia="Arial" w:hAnsi="Arial"/>
                <w:sz w:val="23"/>
                <w:szCs w:val="23"/>
                <w:b w:val="1"/>
                <w:bCs w:val="1"/>
                <w:color w:val="auto"/>
                <w:vertAlign w:val="superscript"/>
              </w:rPr>
              <w:t>(1)</w:t>
            </w: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8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86,808</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92,727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93,693</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Figures differ from previously reported, as a result of eliminations for consolidation.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575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575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5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 xml:space="preserve">DOMESTIC CURRENCY LOANS </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9"/>
              </w:rPr>
              <w:t xml:space="preserve">FOREIGN CURRENCY LOANS </w:t>
            </w:r>
            <w:r>
              <w:rPr>
                <w:rFonts w:ascii="Arial" w:cs="Arial" w:eastAsia="Arial" w:hAnsi="Arial"/>
                <w:sz w:val="23"/>
                <w:szCs w:val="23"/>
                <w:b w:val="1"/>
                <w:bCs w:val="1"/>
                <w:color w:val="auto"/>
                <w:w w:val="99"/>
                <w:vertAlign w:val="superscript"/>
              </w:rPr>
              <w:t>(1)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 part. by</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4"/>
                <w:szCs w:val="14"/>
                <w:i w:val="1"/>
                <w:iCs w:val="1"/>
                <w:color w:val="auto"/>
              </w:rPr>
              <w:t>(Expressed in million Soles)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380"/>
              <w:spacing w:after="0"/>
              <w:rPr>
                <w:sz w:val="20"/>
                <w:szCs w:val="20"/>
                <w:color w:val="auto"/>
              </w:rPr>
            </w:pPr>
            <w:r>
              <w:rPr>
                <w:rFonts w:ascii="Arial" w:cs="Arial" w:eastAsia="Arial" w:hAnsi="Arial"/>
                <w:sz w:val="14"/>
                <w:szCs w:val="14"/>
                <w:i w:val="1"/>
                <w:iCs w:val="1"/>
                <w:color w:val="auto"/>
              </w:rPr>
              <w:t>(Expressed in million USD)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currency 3Q16</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3Q15</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2Q16</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43,281</w:t>
            </w:r>
          </w:p>
        </w:tc>
        <w:tc>
          <w:tcPr>
            <w:tcW w:w="26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49,461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48,768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9,053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8,272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8,433</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63.1%</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36.9%</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18,138</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21,819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20,606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6,492</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5,941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6,082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50.0%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40"/>
              <w:spacing w:after="0" w:line="171" w:lineRule="exact"/>
              <w:rPr>
                <w:sz w:val="20"/>
                <w:szCs w:val="20"/>
                <w:color w:val="auto"/>
              </w:rPr>
            </w:pPr>
            <w:r>
              <w:rPr>
                <w:rFonts w:ascii="Arial" w:cs="Arial" w:eastAsia="Arial" w:hAnsi="Arial"/>
                <w:sz w:val="12"/>
                <w:szCs w:val="12"/>
                <w:color w:val="auto"/>
              </w:rPr>
              <w:t xml:space="preserve">Corporate </w:t>
            </w:r>
            <w:r>
              <w:rPr>
                <w:rFonts w:ascii="Arial" w:cs="Arial" w:eastAsia="Arial" w:hAnsi="Arial"/>
                <w:sz w:val="19"/>
                <w:szCs w:val="19"/>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11,884</w:t>
            </w:r>
          </w:p>
        </w:tc>
        <w:tc>
          <w:tcPr>
            <w:tcW w:w="104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14,735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13,669</w:t>
            </w:r>
          </w:p>
        </w:tc>
        <w:tc>
          <w:tcPr>
            <w:tcW w:w="700" w:type="dxa"/>
            <w:vAlign w:val="bottom"/>
            <w:gridSpan w:val="2"/>
            <w:shd w:val="clear" w:color="auto" w:fill="FCD5B4"/>
          </w:tcPr>
          <w:p>
            <w:pPr>
              <w:jc w:val="right"/>
              <w:ind w:right="2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5D9F1"/>
          </w:tcPr>
          <w:p>
            <w:pPr>
              <w:jc w:val="right"/>
              <w:ind w:right="20"/>
              <w:spacing w:after="0"/>
              <w:rPr>
                <w:sz w:val="20"/>
                <w:szCs w:val="20"/>
                <w:color w:val="auto"/>
              </w:rPr>
            </w:pPr>
            <w:r>
              <w:rPr>
                <w:rFonts w:ascii="Arial" w:cs="Arial" w:eastAsia="Arial" w:hAnsi="Arial"/>
                <w:sz w:val="14"/>
                <w:szCs w:val="14"/>
                <w:color w:val="auto"/>
              </w:rPr>
              <w:t>15.0%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4,071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4,057</w:t>
            </w:r>
          </w:p>
        </w:tc>
        <w:tc>
          <w:tcPr>
            <w:tcW w:w="700" w:type="dxa"/>
            <w:vAlign w:val="bottom"/>
            <w:gridSpan w:val="2"/>
            <w:shd w:val="clear" w:color="auto" w:fill="FCD5B4"/>
          </w:tcPr>
          <w:p>
            <w:pPr>
              <w:jc w:val="right"/>
              <w:ind w:right="20"/>
              <w:spacing w:after="0"/>
              <w:rPr>
                <w:sz w:val="20"/>
                <w:szCs w:val="20"/>
                <w:color w:val="auto"/>
              </w:rPr>
            </w:pPr>
            <w:r>
              <w:rPr>
                <w:rFonts w:ascii="Arial" w:cs="Arial" w:eastAsia="Arial" w:hAnsi="Arial"/>
                <w:sz w:val="14"/>
                <w:szCs w:val="14"/>
                <w:color w:val="auto"/>
              </w:rPr>
              <w:t>-0.3%</w:t>
            </w:r>
          </w:p>
        </w:tc>
        <w:tc>
          <w:tcPr>
            <w:tcW w:w="820" w:type="dxa"/>
            <w:vAlign w:val="bottom"/>
            <w:gridSpan w:val="3"/>
            <w:shd w:val="clear" w:color="auto" w:fill="FCD5B4"/>
          </w:tcPr>
          <w:p>
            <w:pPr>
              <w:jc w:val="right"/>
              <w:ind w:right="20"/>
              <w:spacing w:after="0"/>
              <w:rPr>
                <w:sz w:val="20"/>
                <w:szCs w:val="20"/>
                <w:color w:val="auto"/>
              </w:rPr>
            </w:pPr>
            <w:r>
              <w:rPr>
                <w:rFonts w:ascii="Arial" w:cs="Arial" w:eastAsia="Arial" w:hAnsi="Arial"/>
                <w:sz w:val="14"/>
                <w:szCs w:val="14"/>
                <w:color w:val="auto"/>
              </w:rPr>
              <w:t>-4.0%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6,254</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7,084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6,937</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2,265</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1,870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2,025</w:t>
            </w:r>
          </w:p>
        </w:tc>
        <w:tc>
          <w:tcPr>
            <w:tcW w:w="700" w:type="dxa"/>
            <w:vAlign w:val="bottom"/>
            <w:gridSpan w:val="2"/>
            <w:shd w:val="clear" w:color="auto" w:fill="C5D9F1"/>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820" w:type="dxa"/>
            <w:vAlign w:val="bottom"/>
            <w:gridSpan w:val="3"/>
            <w:shd w:val="clear" w:color="auto" w:fill="FCD5B4"/>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24,986</w:t>
            </w:r>
          </w:p>
        </w:tc>
        <w:tc>
          <w:tcPr>
            <w:tcW w:w="1040" w:type="dxa"/>
            <w:vAlign w:val="bottom"/>
            <w:tcBorders>
              <w:left w:val="single" w:sz="8" w:color="CCEEFF"/>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27,419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27,879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2,434</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2,199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2,227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78.7%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1,559</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2,027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2,121</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36.0%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692</w:t>
            </w:r>
          </w:p>
        </w:tc>
        <w:tc>
          <w:tcPr>
            <w:tcW w:w="2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47.6%</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5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6,541</w:t>
            </w:r>
          </w:p>
        </w:tc>
        <w:tc>
          <w:tcPr>
            <w:tcW w:w="1040" w:type="dxa"/>
            <w:vAlign w:val="bottom"/>
            <w:tcBorders>
              <w:left w:val="single" w:sz="8" w:color="CCEEFF"/>
            </w:tcBorders>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6,991</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7,184</w:t>
            </w:r>
          </w:p>
        </w:tc>
        <w:tc>
          <w:tcPr>
            <w:tcW w:w="700" w:type="dxa"/>
            <w:vAlign w:val="bottom"/>
            <w:gridSpan w:val="2"/>
            <w:shd w:val="clear" w:color="auto" w:fill="C5D9F1"/>
          </w:tcPr>
          <w:p>
            <w:pPr>
              <w:jc w:val="right"/>
              <w:ind w:right="20"/>
              <w:spacing w:after="0" w:line="130" w:lineRule="exact"/>
              <w:rPr>
                <w:sz w:val="20"/>
                <w:szCs w:val="20"/>
                <w:color w:val="auto"/>
              </w:rPr>
            </w:pPr>
            <w:r>
              <w:rPr>
                <w:rFonts w:ascii="Arial" w:cs="Arial" w:eastAsia="Arial" w:hAnsi="Arial"/>
                <w:sz w:val="14"/>
                <w:szCs w:val="14"/>
                <w:color w:val="auto"/>
              </w:rPr>
              <w:t>2.8%</w:t>
            </w:r>
          </w:p>
        </w:tc>
        <w:tc>
          <w:tcPr>
            <w:tcW w:w="80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9.8%</w:t>
            </w:r>
          </w:p>
        </w:tc>
        <w:tc>
          <w:tcPr>
            <w:tcW w:w="6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174</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-6.2%</w:t>
            </w:r>
          </w:p>
        </w:tc>
        <w:tc>
          <w:tcPr>
            <w:tcW w:w="8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-29.9%</w:t>
            </w:r>
          </w:p>
        </w:tc>
        <w:tc>
          <w:tcPr>
            <w:tcW w:w="9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94.6%</w:t>
            </w:r>
          </w:p>
        </w:tc>
        <w:tc>
          <w:tcPr>
            <w:tcW w:w="7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8,245</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9,101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9,266</w:t>
            </w:r>
          </w:p>
        </w:tc>
        <w:tc>
          <w:tcPr>
            <w:tcW w:w="700" w:type="dxa"/>
            <w:vAlign w:val="bottom"/>
            <w:gridSpan w:val="2"/>
            <w:shd w:val="clear" w:color="auto" w:fill="C5D9F1"/>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800" w:type="dxa"/>
            <w:vAlign w:val="bottom"/>
            <w:gridSpan w:val="3"/>
            <w:shd w:val="clear" w:color="auto" w:fill="C5D9F1"/>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2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700" w:type="dxa"/>
            <w:vAlign w:val="bottom"/>
            <w:gridSpan w:val="2"/>
            <w:shd w:val="clear" w:color="auto" w:fill="FCD5B4"/>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73.5%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5,132</w:t>
            </w:r>
          </w:p>
        </w:tc>
        <w:tc>
          <w:tcPr>
            <w:tcW w:w="1040" w:type="dxa"/>
            <w:vAlign w:val="bottom"/>
            <w:tcBorders>
              <w:left w:val="single" w:sz="8" w:color="CCEEFF"/>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5,479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5,493</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85.2%</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3,508</w:t>
            </w: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3,821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2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88.7%</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223</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79.9%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132</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59.7%</w:t>
            </w:r>
          </w:p>
        </w:tc>
        <w:tc>
          <w:tcPr>
            <w:tcW w:w="0" w:type="dxa"/>
            <w:vAlign w:val="bottom"/>
          </w:tcPr>
          <w:p>
            <w:pPr>
              <w:spacing w:after="0"/>
              <w:rPr>
                <w:sz w:val="1"/>
                <w:szCs w:val="1"/>
                <w:color w:val="auto"/>
              </w:rPr>
            </w:pP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6,861</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7,473</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7,638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2.2%</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11.3%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187</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160</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2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-4.0%</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-17.9%</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93.6%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1,469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1,525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894</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908</w:t>
            </w:r>
          </w:p>
        </w:tc>
        <w:tc>
          <w:tcPr>
            <w:tcW w:w="2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911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0.3%</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1.9%</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196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Total loans </w:t>
            </w:r>
            <w:r>
              <w:rPr>
                <w:rFonts w:ascii="Arial" w:cs="Arial" w:eastAsia="Arial" w:hAnsi="Arial"/>
                <w:sz w:val="23"/>
                <w:szCs w:val="23"/>
                <w:b w:val="1"/>
                <w:bCs w:val="1"/>
                <w:color w:val="auto"/>
                <w:vertAlign w:val="superscript"/>
              </w:rPr>
              <w:t>(1)</w:t>
            </w:r>
          </w:p>
        </w:tc>
        <w:tc>
          <w:tcPr>
            <w:tcW w:w="5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50,142</w:t>
            </w:r>
          </w:p>
        </w:tc>
        <w:tc>
          <w:tcPr>
            <w:tcW w:w="104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56,934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56,406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11,402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10,809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11,023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39.8%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Figures differ from previously reported, as a result of eliminations for consolidation.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575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2575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Loans measured in average daily balances can reflect a trend or variation to a greater degree than quarter-end balances given that the latter often include payments in full or loans placed at the end of the quarter, which affect average daily loan balances to a lesser extent.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QoQ growth in loans measured in average daily balances was due mainly to loan expansion in Middle-Market Banking, BCP Bolivia, Mibanco, and in SME-Business and Mortgage, which offset the decrease posted by Corporate Banking.</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Wholesale Banking </w:t>
      </w:r>
      <w:r>
        <w:rPr>
          <w:rFonts w:ascii="Arial" w:cs="Arial" w:eastAsia="Arial" w:hAnsi="Arial"/>
          <w:sz w:val="18"/>
          <w:szCs w:val="18"/>
          <w:color w:val="auto"/>
        </w:rPr>
        <w:t>at BCP Standalone posted a contraction QoQ due to a decrease in average daily balances in Corporate Banking, which was partially</w:t>
      </w:r>
      <w:r>
        <w:rPr>
          <w:rFonts w:ascii="Arial" w:cs="Arial" w:eastAsia="Arial" w:hAnsi="Arial"/>
          <w:sz w:val="18"/>
          <w:szCs w:val="18"/>
          <w:b w:val="1"/>
          <w:bCs w:val="1"/>
          <w:color w:val="auto"/>
        </w:rPr>
        <w:t xml:space="preserve"> </w:t>
      </w:r>
      <w:r>
        <w:rPr>
          <w:rFonts w:ascii="Arial" w:cs="Arial" w:eastAsia="Arial" w:hAnsi="Arial"/>
          <w:sz w:val="18"/>
          <w:szCs w:val="18"/>
          <w:color w:val="auto"/>
        </w:rPr>
        <w:t>offset by growth in Middle-Market Banking:</w:t>
      </w:r>
    </w:p>
    <w:p>
      <w:pPr>
        <w:spacing w:after="0" w:line="162" w:lineRule="exact"/>
        <w:rPr>
          <w:sz w:val="20"/>
          <w:szCs w:val="20"/>
          <w:color w:val="auto"/>
        </w:rPr>
      </w:pPr>
    </w:p>
    <w:p>
      <w:pPr>
        <w:ind w:left="130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QoQ contraction in loans in </w:t>
      </w:r>
      <w:r>
        <w:rPr>
          <w:rFonts w:ascii="Arial" w:cs="Arial" w:eastAsia="Arial" w:hAnsi="Arial"/>
          <w:sz w:val="18"/>
          <w:szCs w:val="18"/>
          <w:b w:val="1"/>
          <w:bCs w:val="1"/>
          <w:color w:val="auto"/>
        </w:rPr>
        <w:t>Corporate Banking</w:t>
      </w:r>
      <w:r>
        <w:rPr>
          <w:rFonts w:ascii="Arial" w:cs="Arial" w:eastAsia="Arial" w:hAnsi="Arial"/>
          <w:sz w:val="18"/>
          <w:szCs w:val="18"/>
          <w:color w:val="auto"/>
        </w:rPr>
        <w:t xml:space="preserve"> was reported mainly by the LC portfolio and was attributable to a decrease in financing for working capital and long term loans due to aggressive competition in pricing for this segment.</w:t>
      </w:r>
    </w:p>
    <w:p>
      <w:pPr>
        <w:spacing w:after="0" w:line="161"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QoQ growth in loans for </w:t>
      </w:r>
      <w:r>
        <w:rPr>
          <w:rFonts w:ascii="Arial" w:cs="Arial" w:eastAsia="Arial" w:hAnsi="Arial"/>
          <w:sz w:val="18"/>
          <w:szCs w:val="18"/>
          <w:b w:val="1"/>
          <w:bCs w:val="1"/>
          <w:color w:val="auto"/>
        </w:rPr>
        <w:t>Middle-Market Banking</w:t>
      </w:r>
      <w:r>
        <w:rPr>
          <w:rFonts w:ascii="Arial" w:cs="Arial" w:eastAsia="Arial" w:hAnsi="Arial"/>
          <w:sz w:val="18"/>
          <w:szCs w:val="18"/>
          <w:color w:val="auto"/>
        </w:rPr>
        <w:t>, which was wholly associated with the FC portfolio and in line with an increase in working capital and foreign trade loans. The aforementioned was accentuated by the depreciation of +3.4% QoQ of the Sol against the US Dollar. Growth in the FC portfolio offset the drop originated by the LC portfolio.</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terms of the </w:t>
      </w:r>
      <w:r>
        <w:rPr>
          <w:rFonts w:ascii="Arial" w:cs="Arial" w:eastAsia="Arial" w:hAnsi="Arial"/>
          <w:sz w:val="17"/>
          <w:szCs w:val="17"/>
          <w:b w:val="1"/>
          <w:bCs w:val="1"/>
          <w:color w:val="auto"/>
        </w:rPr>
        <w:t>Retail Banking</w:t>
      </w:r>
      <w:r>
        <w:rPr>
          <w:rFonts w:ascii="Arial" w:cs="Arial" w:eastAsia="Arial" w:hAnsi="Arial"/>
          <w:sz w:val="17"/>
          <w:szCs w:val="17"/>
          <w:color w:val="auto"/>
        </w:rPr>
        <w:t xml:space="preserve"> portfolio at BCP Stand-alone, it is important to consider the seasonality in some business segments that leads to more dynamic activity in loan placement in the second half of every year. The +2.1% expansion in Retail Banking loans was mainly due to growth in LC loans, primarily in the SME-Pyme and Mortgage segments and to a much lesser degree in the SME-Business and Consumer segments.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Variations by business segment within Retail Banking were due to:</w:t>
      </w:r>
    </w:p>
    <w:p>
      <w:pPr>
        <w:spacing w:after="0" w:line="225" w:lineRule="exact"/>
        <w:rPr>
          <w:sz w:val="20"/>
          <w:szCs w:val="20"/>
          <w:color w:val="auto"/>
        </w:rPr>
      </w:pPr>
    </w:p>
    <w:p>
      <w:pPr>
        <w:ind w:left="130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SME-Pyme segment, which posted an increase of +2.4% QoQ. The aforementioned was due to an increase in loans issued in LC, which was in line with seasonality due to campaigns in the second half of the year. The aforementioned offset the contraction in FC loans.</w:t>
      </w:r>
    </w:p>
    <w:p>
      <w:pPr>
        <w:spacing w:after="0" w:line="123"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 the YoY analysis, loans grew +7.0%, which was in line with the country’s economic growth.</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Loans in the Mortgage Segment increased due to expansion in the LC portfolio, which was mainly associated with growth in the BCP Traditional Mortgage product. The FC portfolio contracted -0.3% QoQ due to quarterly amortizations and to the portfolio’s de-dollarization strategy.</w:t>
      </w:r>
    </w:p>
    <w:p>
      <w:pPr>
        <w:spacing w:after="0" w:line="181"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It is important to note that the FC stock reported a loan to value (LTV) of 53%, which is below the LTV registered for the total portfolio, which was situated at 58%. Additionally, disbursements for mortgage loans continue to be made primarily in LC (reflecting 100% of total loans posted for most months).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reported growth of +5.4% QoQ in loans due to an increase in loans in both LC and FC.</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reported slight growth QoQ due to an increase in LC and FC loans, which was in line with growth in mortgage back consumer loans and car loans.</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posted slight growth of +0.7% QoQ. Slower growth in Credit Cards reflects the adjustment implemented in the risk policy after the higher-than-expected delinquency registered since 4Q15.</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BCP Bolivia </w:t>
      </w:r>
      <w:r>
        <w:rPr>
          <w:rFonts w:ascii="Arial" w:cs="Arial" w:eastAsia="Arial" w:hAnsi="Arial"/>
          <w:sz w:val="16"/>
          <w:szCs w:val="16"/>
          <w:color w:val="auto"/>
        </w:rPr>
        <w:t>reported an increase in loan dynamism, posting loan growth, measured in average daily balances, of +6.1% QoQ vs +2.0% in 2Q16. This</w:t>
      </w:r>
      <w:r>
        <w:rPr>
          <w:rFonts w:ascii="Arial" w:cs="Arial" w:eastAsia="Arial" w:hAnsi="Arial"/>
          <w:sz w:val="16"/>
          <w:szCs w:val="16"/>
          <w:b w:val="1"/>
          <w:bCs w:val="1"/>
          <w:color w:val="auto"/>
        </w:rPr>
        <w:t xml:space="preserve"> </w:t>
      </w:r>
      <w:r>
        <w:rPr>
          <w:rFonts w:ascii="Arial" w:cs="Arial" w:eastAsia="Arial" w:hAnsi="Arial"/>
          <w:sz w:val="16"/>
          <w:szCs w:val="16"/>
          <w:color w:val="auto"/>
        </w:rPr>
        <w:t>evolution was due to an increase in loans in the Wholesale Banking segment, which was attributable to expansion in Corporate Banking and Middle-Market Banking. Consequently, Wholesale Banking loans went from representing 41.3% of the total portfolio at the end of 2Q16 to accounting for 42.2% at the end of 3Q16. The Retail Banking segment increased QoQ due to an expansion in mortgage loans after the government set lower interest rates for financing for the regulated portfolio (productive sector and low-income housing), which are required to represent 60% of total loans by the end of 2018.</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average daily loan balances increased +1.9% QoQ. This reflects on-going recovery at Mibanco after the acquisition and portfolio clean-up</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It is important to note that 2H tends to be the most dynamic, particularly with regard to clients in the micro and small business segments. Nevertheless, Mibanco’s focus is still on prioritizing portfolio quality rather than speeding-up loan growth due to the current macroeconomic context. As such, the speed of origination is still below this segment’s potential.</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growth of +2.5% QoQ in average daily balances and +6.1% in quarter-end balances. It is important to note that ASB maintains a good risk</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which is reflected in the quality of its portfolio and the fact that its loans are 100% guaranteed.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YoY analysis reveals growth of +7.9% in loans that was led first by Retail Banking and followed by Wholesale Banking, BCP Bolivia and Mibanco.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Evolution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Credicorp segment </w:t>
      </w:r>
      <w:r>
        <w:rPr>
          <w:rFonts w:ascii="Arial" w:cs="Arial" w:eastAsia="Arial" w:hAnsi="Arial"/>
          <w:sz w:val="30"/>
          <w:szCs w:val="30"/>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81915</wp:posOffset>
            </wp:positionV>
            <wp:extent cx="5222875" cy="2409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287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003399"/>
        </w:rPr>
        <w:t>(</w:t>
      </w:r>
      <w:r>
        <w:rPr>
          <w:rFonts w:ascii="Arial" w:cs="Arial" w:eastAsia="Arial" w:hAnsi="Arial"/>
          <w:sz w:val="18"/>
          <w:szCs w:val="18"/>
          <w:color w:val="000000"/>
        </w:rPr>
        <w:t>1) Average daily balances.</w:t>
      </w:r>
    </w:p>
    <w:p>
      <w:pPr>
        <w:spacing w:after="0" w:line="23" w:lineRule="exact"/>
        <w:rPr>
          <w:sz w:val="20"/>
          <w:szCs w:val="20"/>
          <w:color w:val="auto"/>
        </w:rPr>
      </w:pPr>
    </w:p>
    <w:p>
      <w:pPr>
        <w:ind w:left="660" w:hanging="4"/>
        <w:spacing w:after="0" w:line="261" w:lineRule="auto"/>
        <w:tabs>
          <w:tab w:leader="none" w:pos="9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participation of Credicorp’s portfolio is calculated including BCP Bolivia and ASB, but the chart shows only BCP Stand-alone and Mibanco’s loan books.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YoY evolution of dollarization shows that Credicorp’s FC portfolio represents 39.8% of total portfolio vs. 42.2% in 3Q15. BCP Standalone continues to dedollarize but at a lower rate than that seen throughout 2015. In this context, BCP Standalone reported a loan dollarization level of 36.9% in 3Q16 vs. 40.2% in 3Q15.</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BCRP de-dollarization plan at BCP Stand-alone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2014, BCRP established a Loan De-dollarization Program. Among other measures taken, goals were set for progressive de-dollarization by the end of June 2015, December 2015 and December 2016 for the total portfolio in FC with certain exceptions and for the joint mortgage-car loan portfolio. The balance required at the end of December 2016 was adjusted in the following way:</w:t>
      </w:r>
    </w:p>
    <w:p>
      <w:pPr>
        <w:spacing w:after="0" w:line="181" w:lineRule="exact"/>
        <w:rPr>
          <w:sz w:val="20"/>
          <w:szCs w:val="20"/>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terms of the total FC portfolio, the dollarized balance at the end of December 2016 must represent no more than 80% of the total loan balance at the end of September 2013 (excluding certain loans);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regard to the FC mortgage-car portfolio, the dollarization level at the end of 2016 must not represent more than 70% of the same balance at the end of February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bases for both goals refer to quarter-end balances in local accounting but the level of compliance is measured by using average daily balances from the month that the report was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right="20" w:firstLine="8"/>
        <w:spacing w:after="0" w:line="194" w:lineRule="auto"/>
        <w:tabs>
          <w:tab w:leader="none" w:pos="125"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This total portfolio excludes loans for foreign trade and loans issued for a tenure greater than 3 years and which exceed US$ 10 million that were issued as of January 1, 2015.</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figures show the percentage of compliance at the end of September 2016:</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at the end of September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142875</wp:posOffset>
            </wp:positionV>
            <wp:extent cx="2813050" cy="1132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13050" cy="1132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 at the end of September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142875</wp:posOffset>
            </wp:positionV>
            <wp:extent cx="2881630" cy="1200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1630" cy="1200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is evident in the figures, BCP Stand-alone has achieved a comfortable compliance level for both of the loan portfolios that are subject to the de-dollarization program.</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90170</wp:posOffset>
            </wp:positionV>
            <wp:extent cx="5746115" cy="1260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611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003399"/>
        </w:rPr>
        <w:t>(</w:t>
      </w:r>
      <w:r>
        <w:rPr>
          <w:rFonts w:ascii="Arial" w:cs="Arial" w:eastAsia="Arial" w:hAnsi="Arial"/>
          <w:sz w:val="18"/>
          <w:szCs w:val="18"/>
          <w:color w:val="000000"/>
        </w:rPr>
        <w:t>1) At the end of August 2016.</w:t>
      </w:r>
    </w:p>
    <w:p>
      <w:pPr>
        <w:spacing w:after="0" w:line="23"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September 2015, June and August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2.1% as of September 2015, and 2.2% as of June and August 2016.</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August 2016, BCP Stand-alone continued as the leader with a market share of 29.8%, which was significantly higher than the level posted by its closest competitor.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Banking also continued as the leader despite posting a reduction QoQ, going from 44.5% in June 2016 to 43.0% in August 2016. This was in line with a contraction in its portfolio measured in average daily balances. Middle-Market Banking increased its market share QoQ, going from 33.6% in March 2016 to 34.5% in August 2016. This growth was due mainly to loan growth of +3.8% QoQ measured in average daily balances.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Retail Banking, BCP reported a relatively stable market share and continued to lead the market in the vast majority of its segments with the exception of SME-Business, where it ranked second.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Mibanco’s share (including Edyficar) held steady at 3.1% for both June 2016 and August 2016. An analysis of the SME-Pyme segment in Peru reveals that Mibanco increased its share to 22.5% at the end of August 2016 compared to 21.1% in September 2015 and 22.3% in June 2016.</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BCP Bolivia posted stable figures for market share QoQ and YoY (9.1% at the end of August 2016) and continued to be ranked fourth in the Bolivian Financial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funding at Credicorp increased slightly QoQ. This was mainly due to growth in core deposits (Savings and non-interest bearing demand deposits) and, to a lesser extent, to Due to Banks and Correspondents. The aforementioned offset the drop in interest bearing demand deposits and BCRP instruments. Credicorp’s funding cost increased +13 bps QoQ, which was primarily attributable to an increase in volumes in local currency, whose rates are higher in comparison with rates in foreign currency.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Arial" w:cs="Arial" w:eastAsia="Arial" w:hAnsi="Arial"/>
                <w:sz w:val="18"/>
                <w:szCs w:val="18"/>
                <w:color w:val="auto"/>
              </w:rPr>
              <w:t>S/ 000</w:t>
            </w: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3Q15</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2Q16</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3Q16</w:t>
            </w:r>
          </w:p>
        </w:tc>
        <w:tc>
          <w:tcPr>
            <w:tcW w:w="840" w:type="dxa"/>
            <w:vAlign w:val="bottom"/>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23,240,530</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23,194,081</w:t>
            </w:r>
          </w:p>
        </w:tc>
        <w:tc>
          <w:tcPr>
            <w:tcW w:w="2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23,684,449</w:t>
            </w:r>
          </w:p>
        </w:tc>
        <w:tc>
          <w:tcPr>
            <w:tcW w:w="20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5,885,143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8,443,396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5,530,717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-34.5%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22,794,914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25,205,462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26,015,226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27,688,032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25,764,437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26,515,785</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CTS deposits(1)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6,535,695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6,997,706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6,611,956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282,393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331,899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351,479</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86,426,707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89,936,981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88,709,612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9,737,111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8,931,350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9,790,822</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11,863,340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11,305,771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10,798,751</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16,016,573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15,255,588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15,571,172</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liabilities(2)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13,010,791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12,519,684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14,181,411</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137,054,522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137,949,374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139,051,768</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154940</wp:posOffset>
            </wp:positionV>
            <wp:extent cx="4982845" cy="1809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284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80" w:hanging="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acceptances outstanding, reserve for property and casualty claims, reserve for unearned premiums, reinsurance payable and other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figure for </w:t>
      </w:r>
      <w:r>
        <w:rPr>
          <w:rFonts w:ascii="Arial" w:cs="Arial" w:eastAsia="Arial" w:hAnsi="Arial"/>
          <w:sz w:val="18"/>
          <w:szCs w:val="18"/>
          <w:b w:val="1"/>
          <w:bCs w:val="1"/>
          <w:color w:val="auto"/>
        </w:rPr>
        <w:t>Evolution of Credicorp’s funding structure and cost</w:t>
      </w:r>
      <w:r>
        <w:rPr>
          <w:rFonts w:ascii="Arial" w:cs="Arial" w:eastAsia="Arial" w:hAnsi="Arial"/>
          <w:sz w:val="18"/>
          <w:szCs w:val="18"/>
          <w:color w:val="auto"/>
        </w:rPr>
        <w:t xml:space="preserve"> was calculated with quarter-end balances.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share of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fell -150 bps QoQ and grew +60 bps YoY (62.9% in 3Q15, 65.0% in 2Q16 and 63.5% in 3Q16) and continued to represent Credicorp’s main source of funding. The deposit structure shows that the shares of </w:t>
      </w:r>
      <w:r>
        <w:rPr>
          <w:rFonts w:ascii="Arial" w:cs="Arial" w:eastAsia="Arial" w:hAnsi="Arial"/>
          <w:sz w:val="18"/>
          <w:szCs w:val="18"/>
          <w:b w:val="1"/>
          <w:bCs w:val="1"/>
          <w:color w:val="auto"/>
        </w:rPr>
        <w:t>Savings and Time Deposits</w:t>
      </w:r>
      <w:r>
        <w:rPr>
          <w:rFonts w:ascii="Arial" w:cs="Arial" w:eastAsia="Arial" w:hAnsi="Arial"/>
          <w:sz w:val="18"/>
          <w:szCs w:val="18"/>
          <w:color w:val="auto"/>
        </w:rPr>
        <w:t xml:space="preserve"> have increased, which was attributable to large-scale campaigns at BCP Stand-alone and Mibanco respectively.</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 xml:space="preserve">Bonds and sovereign debt </w:t>
      </w:r>
      <w:r>
        <w:rPr>
          <w:rFonts w:ascii="Arial" w:cs="Arial" w:eastAsia="Arial" w:hAnsi="Arial"/>
          <w:sz w:val="18"/>
          <w:szCs w:val="18"/>
          <w:color w:val="auto"/>
        </w:rPr>
        <w:t>posted a slight increase in share, which was mainly due to a +3.37% QoQ appreciation of the US Dollar against the Sol and to a</w:t>
      </w:r>
      <w:r>
        <w:rPr>
          <w:rFonts w:ascii="Arial" w:cs="Arial" w:eastAsia="Arial" w:hAnsi="Arial"/>
          <w:sz w:val="18"/>
          <w:szCs w:val="18"/>
          <w:b w:val="1"/>
          <w:bCs w:val="1"/>
          <w:color w:val="auto"/>
        </w:rPr>
        <w:t xml:space="preserve"> </w:t>
      </w:r>
      <w:r>
        <w:rPr>
          <w:rFonts w:ascii="Arial" w:cs="Arial" w:eastAsia="Arial" w:hAnsi="Arial"/>
          <w:sz w:val="18"/>
          <w:szCs w:val="18"/>
          <w:color w:val="auto"/>
        </w:rPr>
        <w:t>lesser extent, to a new issuance in LC at BCP Standalone in the month of September.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fell QoQ due to an increase in maturities at BCP Standalone and to a lesser extent at Mibanco. This quarter, BCRP do not conducted new</w:t>
      </w:r>
      <w:r>
        <w:rPr>
          <w:rFonts w:ascii="Arial" w:cs="Arial" w:eastAsia="Arial" w:hAnsi="Arial"/>
          <w:sz w:val="18"/>
          <w:szCs w:val="18"/>
          <w:b w:val="1"/>
          <w:bCs w:val="1"/>
          <w:color w:val="auto"/>
        </w:rPr>
        <w:t xml:space="preserve"> </w:t>
      </w:r>
      <w:r>
        <w:rPr>
          <w:rFonts w:ascii="Arial" w:cs="Arial" w:eastAsia="Arial" w:hAnsi="Arial"/>
          <w:sz w:val="18"/>
          <w:szCs w:val="18"/>
          <w:color w:val="auto"/>
        </w:rPr>
        <w:t>auctions.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registered a QoQ increase that was attributable to a higher level of repurchase agreements, particularly in FC, at the BCP</w:t>
      </w:r>
      <w:r>
        <w:rPr>
          <w:rFonts w:ascii="Arial" w:cs="Arial" w:eastAsia="Arial" w:hAnsi="Arial"/>
          <w:sz w:val="18"/>
          <w:szCs w:val="18"/>
          <w:b w:val="1"/>
          <w:bCs w:val="1"/>
          <w:color w:val="auto"/>
        </w:rPr>
        <w:t xml:space="preserve"> </w:t>
      </w:r>
      <w:r>
        <w:rPr>
          <w:rFonts w:ascii="Arial" w:cs="Arial" w:eastAsia="Arial" w:hAnsi="Arial"/>
          <w:sz w:val="18"/>
          <w:szCs w:val="18"/>
          <w:color w:val="auto"/>
        </w:rPr>
        <w:t>Stand-alone subsidiary.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2.1</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S/ 000</w:t>
            </w: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3Q15</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2Q16</w:t>
            </w: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3Q16</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23,240,530</w:t>
            </w:r>
          </w:p>
        </w:tc>
        <w:tc>
          <w:tcPr>
            <w:tcW w:w="18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23,194,081</w:t>
            </w:r>
          </w:p>
        </w:tc>
        <w:tc>
          <w:tcPr>
            <w:tcW w:w="2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23,684,449</w:t>
            </w:r>
          </w:p>
        </w:tc>
        <w:tc>
          <w:tcPr>
            <w:tcW w:w="1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5,885,143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8,443,396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5,530,717</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-34.5%</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22,794,914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25,205,462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26,015,226</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27,688,032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25,764,437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26,515,785</w:t>
            </w:r>
          </w:p>
        </w:tc>
        <w:tc>
          <w:tcPr>
            <w:tcW w:w="7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6,535,695</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6,997,706</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6,611,956</w:t>
            </w:r>
          </w:p>
        </w:tc>
        <w:tc>
          <w:tcPr>
            <w:tcW w:w="7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282,393</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331,899</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351,479</w:t>
            </w:r>
          </w:p>
        </w:tc>
        <w:tc>
          <w:tcPr>
            <w:tcW w:w="76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86,426,707</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89,936,981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88,709,612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Severance indemnity deposits.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fell QoQ in line with a significant drop in interest bearing demand deposits at BCP Standalone and, to a lesser extent, to a seasonal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CTS deposits this quarter.</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interest-bearing demand deposits</w:t>
      </w:r>
      <w:r>
        <w:rPr>
          <w:rFonts w:ascii="Arial" w:cs="Arial" w:eastAsia="Arial" w:hAnsi="Arial"/>
          <w:sz w:val="18"/>
          <w:szCs w:val="18"/>
          <w:color w:val="auto"/>
        </w:rPr>
        <w:t xml:space="preserve"> at BCP Standalone was associated with current accounts held by institutional clients that were originated in 1Q16.</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CTS Deposits </w:t>
      </w:r>
      <w:r>
        <w:rPr>
          <w:rFonts w:ascii="Arial" w:cs="Arial" w:eastAsia="Arial" w:hAnsi="Arial"/>
          <w:sz w:val="18"/>
          <w:szCs w:val="18"/>
          <w:color w:val="auto"/>
        </w:rPr>
        <w:t>reported a drop of -5.5% QoQ due to seasonal growth in 2Q16. CTS payments are made in May, which leads to a subsequent contraction every</w:t>
      </w:r>
      <w:r>
        <w:rPr>
          <w:rFonts w:ascii="Arial" w:cs="Arial" w:eastAsia="Arial" w:hAnsi="Arial"/>
          <w:sz w:val="18"/>
          <w:szCs w:val="18"/>
          <w:b w:val="1"/>
          <w:bCs w:val="1"/>
          <w:color w:val="auto"/>
        </w:rPr>
        <w:t xml:space="preserve"> </w:t>
      </w:r>
      <w:r>
        <w:rPr>
          <w:rFonts w:ascii="Arial" w:cs="Arial" w:eastAsia="Arial" w:hAnsi="Arial"/>
          <w:sz w:val="18"/>
          <w:szCs w:val="18"/>
          <w:color w:val="auto"/>
        </w:rPr>
        <w:t>3Q as a result of the withdrawal of the surplus.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aforementioned was partially offset by the QoQ increase in (i)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which increased +3.2% QoQ in LC, in line with large-scale campaigns at BCP Standalone to promote savings accounts. Mibanco also reported a higher level of savings deposits; (ii)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due to higher deposits by institutional clients at Mibanco and BCP Bolivia; and iii) </w:t>
      </w:r>
      <w:r>
        <w:rPr>
          <w:rFonts w:ascii="Arial" w:cs="Arial" w:eastAsia="Arial" w:hAnsi="Arial"/>
          <w:sz w:val="18"/>
          <w:szCs w:val="18"/>
          <w:b w:val="1"/>
          <w:bCs w:val="1"/>
          <w:color w:val="auto"/>
        </w:rPr>
        <w:t>Non-interest bearing Deposits</w:t>
      </w:r>
      <w:r>
        <w:rPr>
          <w:rFonts w:ascii="Arial" w:cs="Arial" w:eastAsia="Arial" w:hAnsi="Arial"/>
          <w:sz w:val="18"/>
          <w:szCs w:val="18"/>
          <w:color w:val="auto"/>
        </w:rPr>
        <w:t xml:space="preserve"> (+2.1% QoQ).</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YoY terms, the +2.6% increase in total deposits was primarily due to growth at BCP Bolivia and Mibanco, where time deposits, followed by savings Deposits, led expansion.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90170</wp:posOffset>
            </wp:positionV>
            <wp:extent cx="3439160" cy="875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91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 Q-end balances.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The level of deposit dollarization at Credicorp fell and was situated at 56.3%. This was due primarily to a drop in FC deposits at BCP Stand-alone. The aforementioned was partially offset by an increase in FC deposits at BCP Bolivia and ASB.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154940</wp:posOffset>
            </wp:positionV>
            <wp:extent cx="5274310" cy="1252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7431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An analysis of the QoQ evolution of the four types of Deposits at BCP Stand-alone in terms of average daily balances shows a decrease in the dollarization level of (i) </w:t>
      </w:r>
      <w:r>
        <w:rPr>
          <w:rFonts w:ascii="Arial" w:cs="Arial" w:eastAsia="Arial" w:hAnsi="Arial"/>
          <w:sz w:val="17"/>
          <w:szCs w:val="17"/>
          <w:b w:val="1"/>
          <w:bCs w:val="1"/>
          <w:color w:val="auto"/>
        </w:rPr>
        <w:t>Time Deposits</w:t>
      </w:r>
      <w:r>
        <w:rPr>
          <w:rFonts w:ascii="Arial" w:cs="Arial" w:eastAsia="Arial" w:hAnsi="Arial"/>
          <w:sz w:val="17"/>
          <w:szCs w:val="17"/>
          <w:color w:val="auto"/>
        </w:rPr>
        <w:t xml:space="preserve"> due to a specific withdrawal in Middle-Market Banking, which reflected the aggressive competition in the Peruvian financial system; and (ii) </w:t>
      </w:r>
      <w:r>
        <w:rPr>
          <w:rFonts w:ascii="Arial" w:cs="Arial" w:eastAsia="Arial" w:hAnsi="Arial"/>
          <w:sz w:val="17"/>
          <w:szCs w:val="17"/>
          <w:b w:val="1"/>
          <w:bCs w:val="1"/>
          <w:color w:val="auto"/>
        </w:rPr>
        <w:t>demand deposits,</w:t>
      </w:r>
      <w:r>
        <w:rPr>
          <w:rFonts w:ascii="Arial" w:cs="Arial" w:eastAsia="Arial" w:hAnsi="Arial"/>
          <w:sz w:val="17"/>
          <w:szCs w:val="17"/>
          <w:color w:val="auto"/>
        </w:rPr>
        <w:t xml:space="preserve"> in line with a decrease in the volume of interest bearing deposits in FC by institutional clients.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posted no change in their level in the currency mix, which was in line with a decrease in this type of deposit in FC at BCP Standalone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increase in LC deposits at BCP Standalone and Mibanco.</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154940</wp:posOffset>
            </wp:positionV>
            <wp:extent cx="5162550" cy="132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255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deposits includes Mibanco's market share of 0.2% at the end of September 2015, June 2016 and August 2016.</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Savings deposits includes Mibanco's market share of 1.3% at the end of September 2015 and 1.2% at the end of June 2016 and August 2016.</w:t>
      </w:r>
    </w:p>
    <w:p>
      <w:pPr>
        <w:spacing w:after="0" w:line="32" w:lineRule="exact"/>
        <w:rPr>
          <w:rFonts w:ascii="Arial" w:cs="Arial" w:eastAsia="Arial" w:hAnsi="Arial"/>
          <w:sz w:val="16"/>
          <w:szCs w:val="16"/>
          <w:color w:val="auto"/>
        </w:rPr>
      </w:pPr>
    </w:p>
    <w:p>
      <w:pPr>
        <w:ind w:left="660" w:hanging="4"/>
        <w:spacing w:after="0" w:line="250" w:lineRule="auto"/>
        <w:tabs>
          <w:tab w:leader="none" w:pos="9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deposits includes Mibanco's market share of 4.9% at the end of September 2015, 5.5% at the end of June 2016 and 6.0% at the end of August 2016.</w:t>
      </w:r>
    </w:p>
    <w:p>
      <w:pPr>
        <w:ind w:left="920" w:hanging="26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CTS or Severance indemnity deposits includes Mibanco's market share of 1.2% at the end of September 2015, June 2016 and August 2016.</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August 2016, Credicorp’s banking subsidiaries in Peru, BCP and Mibanco, continued to lead the market for different types of deposits with a share of 31.9%, which fell slightly below the 32.9% posted at the end of September 2015. It is important to note that the result posted in August 2016 was situated approximately 12 percentage points above the level reported by its closest competitor.</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YoY analysis reveals a slight contraction in all deposit types due to aggressive competition in the past few months. Nevertheless, it is important to note the YoY increase in Mibanco’s market share of term deposits, which rose from 4.9% at the end of September 2015 to 6.0% at the end of September 2016.</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 market share of 9.2% at the end of September 2016 (compared to 8.9% at the end of June 2016). This increase was due to growth in time deposits.</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2.3</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S/ 000</w:t>
            </w: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3Q15</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2Q16</w:t>
            </w: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3Q16</w:t>
            </w:r>
          </w:p>
        </w:tc>
        <w:tc>
          <w:tcPr>
            <w:tcW w:w="780" w:type="dxa"/>
            <w:vAlign w:val="bottom"/>
          </w:tcPr>
          <w:p>
            <w:pPr>
              <w:ind w:left="38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9,737,111</w:t>
            </w:r>
          </w:p>
        </w:tc>
        <w:tc>
          <w:tcPr>
            <w:tcW w:w="18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8,931,350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9,790,822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11,863,340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11,305,771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10,798,751</w:t>
            </w:r>
          </w:p>
        </w:tc>
        <w:tc>
          <w:tcPr>
            <w:tcW w:w="7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16,016,573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15,255,588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15,571,172</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13,010,791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12,519,684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14,181,411</w:t>
            </w:r>
          </w:p>
        </w:tc>
        <w:tc>
          <w:tcPr>
            <w:tcW w:w="780" w:type="dxa"/>
            <w:vAlign w:val="bottom"/>
          </w:tcPr>
          <w:p>
            <w:pPr>
              <w:spacing w:after="0"/>
              <w:rPr>
                <w:sz w:val="23"/>
                <w:szCs w:val="23"/>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13.3%</w:t>
            </w:r>
          </w:p>
        </w:tc>
        <w:tc>
          <w:tcPr>
            <w:tcW w:w="3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50,627,815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48,012,393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50,342,156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Funding Sources</w:t>
      </w:r>
      <w:r>
        <w:rPr>
          <w:rFonts w:ascii="Arial" w:cs="Arial" w:eastAsia="Arial" w:hAnsi="Arial"/>
          <w:sz w:val="18"/>
          <w:szCs w:val="18"/>
          <w:color w:val="auto"/>
        </w:rPr>
        <w:t xml:space="preserve"> increased 4.9% QoQ. This was mainly due to growth in </w:t>
      </w:r>
      <w:r>
        <w:rPr>
          <w:rFonts w:ascii="Arial" w:cs="Arial" w:eastAsia="Arial" w:hAnsi="Arial"/>
          <w:sz w:val="18"/>
          <w:szCs w:val="18"/>
          <w:b w:val="1"/>
          <w:bCs w:val="1"/>
          <w:color w:val="auto"/>
        </w:rPr>
        <w:t>Other Liabilities,</w:t>
      </w:r>
      <w:r>
        <w:rPr>
          <w:rFonts w:ascii="Arial" w:cs="Arial" w:eastAsia="Arial" w:hAnsi="Arial"/>
          <w:sz w:val="18"/>
          <w:szCs w:val="18"/>
          <w:color w:val="auto"/>
        </w:rPr>
        <w:t xml:space="preserve"> which was in turn attributable to a transaction that took place in the last week of 3Q16 and was liquidated at the beginning of 4Q16. This transaction consisted of an exchange of sovereign bonds of the Peruvian government to obtain sovereign bonds with longer tenures.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increase posted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was a result of a higher level of repurchase agreements between BCP Stand-alone and other banks.</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The level of </w:t>
      </w:r>
      <w:r>
        <w:rPr>
          <w:rFonts w:ascii="Arial" w:cs="Arial" w:eastAsia="Arial" w:hAnsi="Arial"/>
          <w:sz w:val="17"/>
          <w:szCs w:val="17"/>
          <w:b w:val="1"/>
          <w:bCs w:val="1"/>
          <w:color w:val="auto"/>
        </w:rPr>
        <w:t>Bonds and Subordinated Debt</w:t>
      </w:r>
      <w:r>
        <w:rPr>
          <w:rFonts w:ascii="Arial" w:cs="Arial" w:eastAsia="Arial" w:hAnsi="Arial"/>
          <w:sz w:val="17"/>
          <w:szCs w:val="17"/>
          <w:color w:val="auto"/>
        </w:rPr>
        <w:t xml:space="preserve"> increased QoQ. This was mainly attributable to BCP Stand-alone due to i) +3.37% QoQ appreciation of the US Dollar versus the Sol and to a lesser extent to ii) a new issuance in LC through BCP Standalone in the month of September.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posted a drop QoQ due to maturities related to last year’s operations.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YoY analysis reflects a slight decrease in the total of other funding sources due to a reduction in instruments with the Central Bank and in Bonds and subordinated debt. This was offset by an increase in other liabilities and, to a lesser extent, by expansion in Due to Banks and Correspondents. The significant increase in other liabilities reflects the exchange of sovereign bonds conducted by the Peruvian government.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Loan/Deposit Ratio per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154940</wp:posOffset>
            </wp:positionV>
            <wp:extent cx="4776470" cy="1895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7647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L/D ratio rose QoQ to 106.3% due to an increase in this ratio at the main banking business subsidiary, BCP Standalone, and to a lesser extent at ASB. The aforementioned was due to the -1.4% QoQ drop in total deposits in a scenario in which loans registered a more dynamic growth this quarter than last quarter (+2.9% QoQ).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 the YoY analysis, the L/D ratio increased +470 bps. This was mainly attributable to BCP Standalone.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80"/>
        <w:spacing w:after="0"/>
        <w:tabs>
          <w:tab w:leader="none" w:pos="788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154940</wp:posOffset>
            </wp:positionV>
            <wp:extent cx="6440170" cy="14922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017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analysis of the L/D ratio by currency shows a drop in the L/D ratio in LC at Credicorp. This was mainly associated with a drop in BCP Standalone’s ratio, which was attributable to an increase in LC deposits.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Credicorp’s </w:t>
      </w:r>
      <w:r>
        <w:rPr>
          <w:rFonts w:ascii="Arial" w:cs="Arial" w:eastAsia="Arial" w:hAnsi="Arial"/>
          <w:sz w:val="17"/>
          <w:szCs w:val="17"/>
          <w:color w:val="auto"/>
        </w:rPr>
        <w:t>funding cost increased +13 bps QoQ given the growth in interest expenses (+5.0% QoQ), which was accentuated by the drop in average total</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(-1.3% QoQ). The increase in interest expenses was mainly attributable to higher interest expenses on Bonds and Subordinated Notes, which was in turn due to an increase in the Libor (3-month and 6-month), and to growth in time deposits, which is have a high cost.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funding cost by subsidiary: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ind w:left="300"/>
              <w:spacing w:after="0"/>
              <w:rPr>
                <w:sz w:val="20"/>
                <w:szCs w:val="20"/>
                <w:color w:val="auto"/>
              </w:rPr>
            </w:pPr>
            <w:r>
              <w:rPr>
                <w:rFonts w:ascii="Arial" w:cs="Arial" w:eastAsia="Arial" w:hAnsi="Arial"/>
                <w:sz w:val="18"/>
                <w:szCs w:val="18"/>
                <w:b w:val="1"/>
                <w:bCs w:val="1"/>
                <w:color w:val="auto"/>
                <w:w w:val="89"/>
              </w:rPr>
              <w:t>Funding cost by banking subsidiary</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12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BCP Stand-alone</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Mibanco</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BCP Bolivia</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ASB</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Banking business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Credicorp</w:t>
            </w:r>
            <w:r>
              <w:rPr>
                <w:rFonts w:ascii="Arial" w:cs="Arial" w:eastAsia="Arial" w:hAnsi="Arial"/>
                <w:sz w:val="30"/>
                <w:szCs w:val="3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120" w:type="dxa"/>
            <w:vAlign w:val="bottom"/>
            <w:vMerge w:val="restart"/>
            <w:shd w:val="clear" w:color="auto" w:fill="CCEEFF"/>
          </w:tcPr>
          <w:p>
            <w:pPr>
              <w:ind w:left="1600"/>
              <w:spacing w:after="0"/>
              <w:rPr>
                <w:sz w:val="20"/>
                <w:szCs w:val="20"/>
                <w:color w:val="auto"/>
              </w:rPr>
            </w:pPr>
            <w:r>
              <w:rPr>
                <w:rFonts w:ascii="Arial" w:cs="Arial" w:eastAsia="Arial" w:hAnsi="Arial"/>
                <w:sz w:val="18"/>
                <w:szCs w:val="18"/>
                <w:b w:val="1"/>
                <w:bCs w:val="1"/>
                <w:color w:val="auto"/>
              </w:rPr>
              <w:t>3Q15</w:t>
            </w: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6"/>
        </w:trPr>
        <w:tc>
          <w:tcPr>
            <w:tcW w:w="2120" w:type="dxa"/>
            <w:vAlign w:val="bottom"/>
          </w:tcPr>
          <w:p>
            <w:pPr>
              <w:ind w:left="1600"/>
              <w:spacing w:after="0"/>
              <w:rPr>
                <w:sz w:val="20"/>
                <w:szCs w:val="20"/>
                <w:color w:val="auto"/>
              </w:rPr>
            </w:pPr>
            <w:r>
              <w:rPr>
                <w:rFonts w:ascii="Arial" w:cs="Arial" w:eastAsia="Arial" w:hAnsi="Arial"/>
                <w:sz w:val="18"/>
                <w:szCs w:val="18"/>
                <w:b w:val="1"/>
                <w:bCs w:val="1"/>
                <w:color w:val="auto"/>
              </w:rPr>
              <w:t>2Q16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600"/>
              <w:spacing w:after="0"/>
              <w:rPr>
                <w:sz w:val="20"/>
                <w:szCs w:val="20"/>
                <w:color w:val="auto"/>
              </w:rPr>
            </w:pPr>
            <w:r>
              <w:rPr>
                <w:rFonts w:ascii="Arial" w:cs="Arial" w:eastAsia="Arial" w:hAnsi="Arial"/>
                <w:sz w:val="18"/>
                <w:szCs w:val="18"/>
                <w:b w:val="1"/>
                <w:bCs w:val="1"/>
                <w:color w:val="auto"/>
              </w:rPr>
              <w:t>3Q16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banking business results, other subsidiaries and consolidation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at Credicorp increased +13 bps QoQ, which reflects the same trend of the 4 banking subsidiaries.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increased +8 bps QoQ due to growth in interest expenses on Bonds and Subordinated Notes and, to a lesser extent, to an increase in the volume of savings deposits. The aforementioned was accentuated by a contraction in the average of total liabilities (-2.3% QoQ) due to a drop in the total deposit volume.</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Mibanco’s </w:t>
      </w:r>
      <w:r>
        <w:rPr>
          <w:rFonts w:ascii="Arial" w:cs="Arial" w:eastAsia="Arial" w:hAnsi="Arial"/>
          <w:sz w:val="17"/>
          <w:szCs w:val="17"/>
          <w:color w:val="auto"/>
        </w:rPr>
        <w:t>funding cost has been under more pressure since 4Q15. In 3Q16, this cost posted growth of +13 bps QoQ. This expansion was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higher interest expenses for time deposits, which was in line with the large-scale campaigns conducted in 2Q16 and 3Q16.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increased +3 bps QoQ due to growth in interest expenses for time deposits.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line="347" w:lineRule="auto"/>
        <w:rPr>
          <w:sz w:val="20"/>
          <w:szCs w:val="20"/>
          <w:color w:val="auto"/>
        </w:rPr>
      </w:pPr>
      <w:r>
        <w:rPr>
          <w:rFonts w:ascii="Arial" w:cs="Arial" w:eastAsia="Arial" w:hAnsi="Arial"/>
          <w:sz w:val="16"/>
          <w:szCs w:val="16"/>
          <w:b w:val="1"/>
          <w:bCs w:val="1"/>
          <w:color w:val="auto"/>
        </w:rPr>
        <w:t xml:space="preserve">ASB </w:t>
      </w:r>
      <w:r>
        <w:rPr>
          <w:rFonts w:ascii="Arial" w:cs="Arial" w:eastAsia="Arial" w:hAnsi="Arial"/>
          <w:sz w:val="16"/>
          <w:szCs w:val="16"/>
          <w:color w:val="auto"/>
        </w:rPr>
        <w:t>posted growth in its funding cost due to a QoQ drop in average liabilities. This was due to the fact that in 1Q16, the level of total liabilities was higher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in 2Q16 and in 3Q16. It is also important to note that interest expenses at ASB fell QoQ due to a drop in due to banks in the last two quarters of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show the funding cost of our Banking business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by funding source:</w:t>
      </w:r>
    </w:p>
    <w:p>
      <w:pPr>
        <w:spacing w:after="0" w:line="120" w:lineRule="exact"/>
        <w:rPr>
          <w:sz w:val="20"/>
          <w:szCs w:val="20"/>
          <w:color w:val="auto"/>
        </w:rPr>
      </w:pPr>
    </w:p>
    <w:p>
      <w:pPr>
        <w:ind w:left="2480"/>
        <w:spacing w:after="0"/>
        <w:tabs>
          <w:tab w:leader="none" w:pos="7940" w:val="left"/>
        </w:tabs>
        <w:rPr>
          <w:sz w:val="20"/>
          <w:szCs w:val="20"/>
          <w:color w:val="auto"/>
        </w:rPr>
      </w:pPr>
      <w:r>
        <w:rPr>
          <w:rFonts w:ascii="Arial" w:cs="Arial" w:eastAsia="Arial" w:hAnsi="Arial"/>
          <w:sz w:val="18"/>
          <w:szCs w:val="18"/>
          <w:b w:val="1"/>
          <w:bCs w:val="1"/>
          <w:color w:val="auto"/>
        </w:rPr>
        <w:t>June 2016</w:t>
      </w:r>
      <w:r>
        <w:rPr>
          <w:sz w:val="20"/>
          <w:szCs w:val="20"/>
          <w:color w:val="auto"/>
        </w:rPr>
        <w:tab/>
      </w:r>
      <w:r>
        <w:rPr>
          <w:rFonts w:ascii="Arial" w:cs="Arial" w:eastAsia="Arial" w:hAnsi="Arial"/>
          <w:sz w:val="15"/>
          <w:szCs w:val="15"/>
          <w:b w:val="1"/>
          <w:bCs w:val="1"/>
          <w:color w:val="auto"/>
        </w:rPr>
        <w:t>September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154940</wp:posOffset>
            </wp:positionV>
            <wp:extent cx="5857240" cy="129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724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40" w:hanging="319"/>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include Demand, Savings, Severance indemnity (CTS) and Time Deposits.</w:t>
      </w:r>
    </w:p>
    <w:p>
      <w:pPr>
        <w:spacing w:after="0" w:line="23" w:lineRule="exact"/>
        <w:rPr>
          <w:rFonts w:ascii="Arial" w:cs="Arial" w:eastAsia="Arial" w:hAnsi="Arial"/>
          <w:sz w:val="18"/>
          <w:szCs w:val="18"/>
          <w:color w:val="auto"/>
        </w:rPr>
      </w:pPr>
    </w:p>
    <w:p>
      <w:pPr>
        <w:ind w:left="1340" w:hanging="319"/>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mainly includes outstanding acceptances and other payable accounts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2.6</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3Q15</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2Q16</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3Q16</w:t>
            </w: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8,728,789</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9,374,929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10,581,802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in Bolivia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437,792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520,584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543,444</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24.1%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9,166,581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9,895,513</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11,125,246</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12.4%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3"/>
              </w:rPr>
              <w:t>21.4%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reported a significant increase QoQ and YoY. QoQ growth was due primarily to an increase in funds from corporate clients. This allowed the organization to post a market share of 42.7% at the end of September 2016 (vs. 42.3% at the end of June 2016) and maintain leadership in the Peruvian market.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Credicorp Capital Fondos Peru reported growth of +21.2% in assets under management. If we exclude the effect of the appreciation of the US Dollar against the Sol, we find that YoY growth was situated at +14.9%.</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portfolio managed by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increased QoQ. This was mainly due to the effect of the appreciation of the Bolivian against the Sol (3.37% QoQ) and, to a lesser extent, to an increase of the number of clients and growth in investment volumes.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Credifondo Bolivia posted a market share of 12.1% at the end of September 2016 and situated among the 5 largest competitors in the Bolivian market.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Credifondo Bolivia reported expansion of +24.1% in FuM. If we exclude the effect of the appreciation of the Boliviano against the Sol, the increase was situated at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Includes BCP Stand-alone, Mibanco, BCP Bolivia and ASB.</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 3Q16, all risk quality ratios improved. The cost of risk declined -46 bps reaching 1.65%, the lowest level recorded in the last three years. The internal-overdue-loan ratio and non-performing-loan ratio decreased -6 and -3 bps,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3Q15</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2Q16</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3Q16</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(497,077)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(583,863)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(516,388)</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Loan loss recoveries and reversions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52,652</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99,952</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127,302</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(444,425)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(483,911)</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(389,086)</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-46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-37 bps</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-555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-395 bps</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87,842,690</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91,655,366</w:t>
            </w:r>
          </w:p>
        </w:tc>
        <w:tc>
          <w:tcPr>
            <w:tcW w:w="3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94,319,220</w:t>
            </w:r>
          </w:p>
        </w:tc>
        <w:tc>
          <w:tcPr>
            <w:tcW w:w="3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3,674,654</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3,994,390</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4,084,178</w:t>
            </w:r>
          </w:p>
        </w:tc>
        <w:tc>
          <w:tcPr>
            <w:tcW w:w="3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Write-offs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442,767</w:t>
            </w:r>
          </w:p>
        </w:tc>
        <w:tc>
          <w:tcPr>
            <w:tcW w:w="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458,686</w:t>
            </w:r>
          </w:p>
        </w:tc>
        <w:tc>
          <w:tcPr>
            <w:tcW w:w="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398,410</w:t>
            </w: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Internal overdue loans </w:t>
            </w:r>
            <w:r>
              <w:rPr>
                <w:rFonts w:ascii="Arial" w:cs="Arial" w:eastAsia="Arial" w:hAnsi="Arial"/>
                <w:sz w:val="27"/>
                <w:szCs w:val="27"/>
                <w:color w:val="auto"/>
                <w:vertAlign w:val="superscript"/>
              </w:rPr>
              <w:t>(2)</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2,256,655</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2,611,949</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2,627,587</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727,014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751,284</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807,904</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2,983,669</w:t>
            </w:r>
          </w:p>
        </w:tc>
        <w:tc>
          <w:tcPr>
            <w:tcW w:w="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3,363,233</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3,435,491</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 bps</w:t>
            </w:r>
          </w:p>
        </w:tc>
        <w:tc>
          <w:tcPr>
            <w:tcW w:w="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 bps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Internal overdue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2.79%</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 bps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3.64%</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-3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24 bps</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251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-740 bps</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123.2%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118.8%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10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-430 bps</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 for loan losses net of recoveries and reversals </w:t>
      </w:r>
      <w:r>
        <w:rPr>
          <w:rFonts w:ascii="Arial" w:cs="Arial" w:eastAsia="Arial" w:hAnsi="Arial"/>
          <w:sz w:val="18"/>
          <w:szCs w:val="18"/>
          <w:color w:val="auto"/>
        </w:rPr>
        <w:t>fell -19.6% QoQ. This was due primarily to:</w:t>
      </w:r>
    </w:p>
    <w:p>
      <w:pPr>
        <w:spacing w:after="0" w:line="22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gross provisions at BCP, BCP Bolivia and Mibanco due mainly to an improvement in portfolio quality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level of recoveries and reversals at BCP. This mainly entailed recoveries in the written-off portfolio for the Consumer and Middle-Market Banking segment and to reversals of provisions for Corporate Banking.</w:t>
      </w:r>
    </w:p>
    <w:p>
      <w:pPr>
        <w:spacing w:after="0" w:line="174"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 xml:space="preserve">The aforementioned, coupled with loan growth, translated into a drop of -46 bps QoQ and -37 bps YoY in the </w:t>
      </w:r>
      <w:r>
        <w:rPr>
          <w:rFonts w:ascii="Arial" w:cs="Arial" w:eastAsia="Arial" w:hAnsi="Arial"/>
          <w:sz w:val="17"/>
          <w:szCs w:val="17"/>
          <w:b w:val="1"/>
          <w:bCs w:val="1"/>
          <w:color w:val="auto"/>
        </w:rPr>
        <w:t>cost of risk</w:t>
      </w:r>
      <w:r>
        <w:rPr>
          <w:rFonts w:ascii="Arial" w:cs="Arial" w:eastAsia="Arial" w:hAnsi="Arial"/>
          <w:sz w:val="28"/>
          <w:szCs w:val="28"/>
          <w:color w:val="auto"/>
          <w:vertAlign w:val="superscript"/>
        </w:rPr>
        <w:t>3</w:t>
      </w:r>
      <w:r>
        <w:rPr>
          <w:rFonts w:ascii="Arial" w:cs="Arial" w:eastAsia="Arial" w:hAnsi="Arial"/>
          <w:sz w:val="17"/>
          <w:szCs w:val="17"/>
          <w:color w:val="auto"/>
        </w:rPr>
        <w:t>, which reflected the positive results obtained from the adjustments made to our risk models and the new risk appetite that the organization has adopted for the riskiest segments.</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 for the internal overdue loans</w:t>
      </w:r>
      <w:r>
        <w:rPr>
          <w:rFonts w:ascii="Arial" w:cs="Arial" w:eastAsia="Arial" w:hAnsi="Arial"/>
          <w:sz w:val="18"/>
          <w:szCs w:val="18"/>
          <w:color w:val="auto"/>
        </w:rPr>
        <w:t xml:space="preserve"> increased QoQ due to higher growth in the allowance for loan losses than in the overdue portfolio. The </w:t>
      </w:r>
      <w:r>
        <w:rPr>
          <w:rFonts w:ascii="Arial" w:cs="Arial" w:eastAsia="Arial" w:hAnsi="Arial"/>
          <w:sz w:val="18"/>
          <w:szCs w:val="18"/>
          <w:b w:val="1"/>
          <w:bCs w:val="1"/>
          <w:color w:val="auto"/>
        </w:rPr>
        <w:t xml:space="preserve">coverage ratio for the non-performing loans </w:t>
      </w:r>
      <w:r>
        <w:rPr>
          <w:rFonts w:ascii="Arial" w:cs="Arial" w:eastAsia="Arial" w:hAnsi="Arial"/>
          <w:sz w:val="18"/>
          <w:szCs w:val="18"/>
          <w:color w:val="auto"/>
        </w:rPr>
        <w:t>remained relatively stable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9"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Provisions ratio for doubtful collections annualized for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154940</wp:posOffset>
            </wp:positionV>
            <wp:extent cx="5179695" cy="2006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7969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Cost of risk = Annualized provisions for loan losses / Total loans.</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 the YoY analysis, </w:t>
      </w:r>
      <w:r>
        <w:rPr>
          <w:rFonts w:ascii="Arial" w:cs="Arial" w:eastAsia="Arial" w:hAnsi="Arial"/>
          <w:sz w:val="16"/>
          <w:szCs w:val="16"/>
          <w:color w:val="auto"/>
        </w:rPr>
        <w:t>provisions for loan losses fell -12.5% due to an increase in recoveries and reversals in 3Q16, which offset growth in gross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YoY. The aforementioned, coupled with YoY growth in loans measured in quarter-end balances, led to a -37 bps drop YoY in the </w:t>
      </w:r>
      <w:r>
        <w:rPr>
          <w:rFonts w:ascii="Arial" w:cs="Arial" w:eastAsia="Arial" w:hAnsi="Arial"/>
          <w:sz w:val="16"/>
          <w:szCs w:val="16"/>
          <w:b w:val="1"/>
          <w:bCs w:val="1"/>
          <w:color w:val="auto"/>
        </w:rPr>
        <w:t>cost of risk.</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Coverage for both the internal overdue loans and the non-performing loans fell YoY; nevertheless, both coverage ratios are within the levels set by the organization in its risk policy.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Given the seasonality of loans, the YoY analysis reveals an improvement in the cost of risk; however, the delinquency ratios posted less favorable levels due to the impact of loans with </w:t>
      </w:r>
      <w:r>
        <w:rPr>
          <w:rFonts w:ascii="Arial" w:cs="Arial" w:eastAsia="Arial" w:hAnsi="Arial"/>
          <w:sz w:val="18"/>
          <w:szCs w:val="18"/>
          <w:b w:val="1"/>
          <w:bCs w:val="1"/>
          <w:color w:val="auto"/>
        </w:rPr>
        <w:t>real estate collateral</w:t>
      </w:r>
      <w:r>
        <w:rPr>
          <w:rFonts w:ascii="Arial" w:cs="Arial" w:eastAsia="Arial" w:hAnsi="Arial"/>
          <w:sz w:val="18"/>
          <w:szCs w:val="18"/>
          <w:color w:val="auto"/>
        </w:rPr>
        <w:t xml:space="preserve"> in the SME-Business, SME-Pyme and Mortgage segments.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Portfolio Quality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analyzing the evolution of traditional delinquency ratios (internal overdue ratio and non-performing ratio), it is important to note that these indicators continue to be distorted by the presence of real estate collateral (commercial properties). The aforementioned has meant that loans which are more than 150 days overdue cannot be written-off despite the fact that they are fully provisioned given that it is necessary to first undergo a judicial process to liquidate and reposes the collateral, which takes four years on average.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important to remember that loans are more dynamic in the second semester (2H) in general and in the SME-Pyme and Mibanco segments in particular given that the main financing campaigns for Christmas are held in 2H and these short-term loans are paid off in 1H the following 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context, the internal overdue portfolio posted a drop of -6 bps QoQ to situate at 2.79% in 3Q16. This was due primarily to lower growth in internal-overdue loans (+0.6% QoQ) than in total loans (+2.9% QoQ). Expansion in internal overdue loans was mainly associated with the Mortgage and SME-Pyme segments.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Non-performing loans (which includes refinanced loans) grew +2.1% QoQ. This was mainly due to growth in the refinanced portfolio (+7.5% QoQ). Despite the aforementioned, the non-performing ratio fell -3 bps QoQ, which was in line with higher loan growth.</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 the YoY analysis, </w:t>
      </w:r>
      <w:r>
        <w:rPr>
          <w:rFonts w:ascii="Arial" w:cs="Arial" w:eastAsia="Arial" w:hAnsi="Arial"/>
          <w:sz w:val="18"/>
          <w:szCs w:val="18"/>
          <w:color w:val="auto"/>
        </w:rPr>
        <w:t>both the internal overdue loan ratio and the non-performing loan ratio posted growth. This was due mainly to higher growth of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overdue loans than that of loans.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figure shows the evolution of delinquency ratios by business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overdue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154940</wp:posOffset>
            </wp:positionV>
            <wp:extent cx="5480050" cy="4459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005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3.2.1 Delinquency ratios by business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154940</wp:posOffset>
            </wp:positionV>
            <wp:extent cx="5419725" cy="1775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972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040" w:hanging="519"/>
        <w:spacing w:after="0" w:line="266"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internal overdue ratio for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contracted -5 bps QoQ and situated at 0.28%. The NPL ratio increased 1 bps during the same period. The cost of risk was situated at -0.05% due to provisions reversals in Corporate Banking and to recoveries in the written-off portfolio in Middle-Market Banking.</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YoY analysis, the internal overdue loan ratio held steady while the NPL ratio grew +19 bps due to an increase in the volume of refinanced loans.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154940</wp:posOffset>
            </wp:positionV>
            <wp:extent cx="5179695" cy="1989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7969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040" w:hanging="519"/>
        <w:spacing w:after="0" w:line="258"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an improvement in its internal overdue loan and NPL ratios at the end of 3Q16, which fell -12 bps and -10 bps QoQ</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The improvement in the delinquency ratios reflects the contraction in the internal overdue portfolio and an acceleration in loan growth. The contraction in the internal overdue portfolio is associated with write offs particularly in uncollateralized consumer loans. The improvement in portfolio quality and the subsequent contraction in provisions, coupled with loans expansion, had a positive impact on the cost of risk, which fell -88 bps QoQ.</w:t>
      </w:r>
    </w:p>
    <w:p>
      <w:pPr>
        <w:spacing w:after="0" w:line="188"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In the YoY analysis, the delinquency indicator grew, which was in line with growth in the internal overdue portfolio in the mortgage and SME-Pyme segments due to regulatory changes in 2014. In the SME-Pyme segment in particular, these changes limited the possibility of renewing loans, which meant that clients had to become accustomed to new debt levels. Nevertheless, the cost of risk fell -45 bps YoY due to the drop in YoY provisions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3300"/>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154940</wp:posOffset>
            </wp:positionV>
            <wp:extent cx="5205730" cy="2075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573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hanging="246"/>
        <w:spacing w:after="0"/>
        <w:tabs>
          <w:tab w:leader="none" w:pos="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Data before March 2014 is not available</w:t>
      </w:r>
    </w:p>
    <w:p>
      <w:pPr>
        <w:spacing w:after="0" w:line="225"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analysis of the portfolio in the SME-Business segment reveals a significant reduction of -28 bps QoQ in the internal overdue loan ratio. This was attributable to i) an improvement in portfolio quality, which was reflected in a drop in the internal overdue portfolio, which was accentuated by ii) QoQ growth in the loan balance. The NPL ratio increased +7 bps QoQ due to growth in refinanced loans. Nevertheless, the cost of risk increased +25 bps QoQ due to an unusually low provision level in June 2016 (due to reversals of provisions).</w:t>
      </w:r>
    </w:p>
    <w:p>
      <w:pPr>
        <w:spacing w:after="0" w:line="16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154940</wp:posOffset>
            </wp:positionV>
            <wp:extent cx="5291455" cy="1886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9145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 w:hanging="246"/>
        <w:spacing w:after="0"/>
        <w:tabs>
          <w:tab w:leader="none" w:pos="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w:t>
      </w:r>
      <w:r>
        <w:rPr>
          <w:rFonts w:ascii="Arial" w:cs="Arial" w:eastAsia="Arial" w:hAnsi="Arial"/>
          <w:sz w:val="18"/>
          <w:szCs w:val="18"/>
          <w:color w:val="auto"/>
        </w:rPr>
        <w:t>-</w:t>
      </w:r>
      <w:r>
        <w:rPr>
          <w:rFonts w:ascii="Arial" w:cs="Arial" w:eastAsia="Arial" w:hAnsi="Arial"/>
          <w:sz w:val="18"/>
          <w:szCs w:val="18"/>
          <w:b w:val="1"/>
          <w:bCs w:val="1"/>
          <w:color w:val="auto"/>
        </w:rPr>
        <w:t>Pyme</w:t>
      </w:r>
      <w:r>
        <w:rPr>
          <w:rFonts w:ascii="Arial" w:cs="Arial" w:eastAsia="Arial" w:hAnsi="Arial"/>
          <w:sz w:val="18"/>
          <w:szCs w:val="18"/>
          <w:color w:val="auto"/>
        </w:rPr>
        <w:t xml:space="preserve"> segment, it is important to analyze the early deliquency indicator, which excludes loans that have been overdue for less than 60 days (volatile loans whose percentage of recovery is very high) and loans that have been overdue more than 150 days (loans for which provisions have already been set aside but cannot be written off given the existence of real estate collateral – commercial properties whose liquidation process takes 4 years on average).</w:t>
      </w:r>
    </w:p>
    <w:p>
      <w:pPr>
        <w:spacing w:after="0" w:line="184"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Since the beginning of the second half of 2014, early delinquency has continued to follow downward trend YoY, which is in line with ongoing improvement in vintages, mainly those originated after the main adjustments were made to the SME-Pyme business model. This mainly refers to vintages from 2015. In 3Q16, early delinquency fell -3 bps YoY.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1440" w:gutter="0" w:footer="0" w:header="0"/>
        </w:sectPr>
      </w:pPr>
    </w:p>
    <w:bookmarkStart w:id="24" w:name="page25"/>
    <w:bookmarkEnd w:id="24"/>
    <w:p>
      <w:pPr>
        <w:ind w:left="20" w:right="20"/>
        <w:spacing w:after="0" w:line="342" w:lineRule="auto"/>
        <w:rPr>
          <w:sz w:val="20"/>
          <w:szCs w:val="20"/>
          <w:color w:val="auto"/>
        </w:rPr>
      </w:pPr>
      <w:r>
        <w:rPr>
          <w:rFonts w:ascii="Arial" w:cs="Arial" w:eastAsia="Arial" w:hAnsi="Arial"/>
          <w:sz w:val="16"/>
          <w:szCs w:val="16"/>
          <w:color w:val="auto"/>
        </w:rPr>
        <w:t>In this context, the cost of risk fell -53 bps YoY due to an improvement in the risk quality of vintages as well as to measures to manage the portfolio adequately and improve acceptance policies, which led to a drop in provision expenses. The aforementioned was reinforced by higher loan growth.</w:t>
      </w:r>
    </w:p>
    <w:p>
      <w:pPr>
        <w:spacing w:after="0" w:line="12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154940</wp:posOffset>
            </wp:positionV>
            <wp:extent cx="5385435" cy="1749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8543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0" w:hanging="246"/>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ind w:left="500" w:hanging="492"/>
        <w:spacing w:after="0" w:line="282"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loans, traditional ratios for portfolio quality are also affected by the existence of real estate collateral. As such, it is also important to analyze the evolution of early delinquency, which increased +12 bps QoQ.</w:t>
      </w:r>
    </w:p>
    <w:p>
      <w:pPr>
        <w:spacing w:after="0" w:line="166"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Nevertheless, the cost of risk fell -40 bps QoQ due to a contraction in QoQ provisions due mainly to less provisions required from clients that have registered deterioration with other financial institutions or in other BCP’s products such as Credit Cards or consumer loans, as it happened in previous quarters.</w:t>
      </w:r>
    </w:p>
    <w:p>
      <w:pPr>
        <w:spacing w:after="0" w:line="177" w:lineRule="exact"/>
        <w:rPr>
          <w:sz w:val="20"/>
          <w:szCs w:val="20"/>
          <w:color w:val="auto"/>
        </w:rPr>
      </w:pPr>
    </w:p>
    <w:p>
      <w:pPr>
        <w:jc w:val="both"/>
        <w:ind w:left="20" w:right="20"/>
        <w:spacing w:after="0" w:line="261" w:lineRule="auto"/>
        <w:rPr>
          <w:sz w:val="20"/>
          <w:szCs w:val="20"/>
          <w:color w:val="auto"/>
        </w:rPr>
      </w:pPr>
      <w:r>
        <w:rPr>
          <w:rFonts w:ascii="Arial" w:cs="Arial" w:eastAsia="Arial" w:hAnsi="Arial"/>
          <w:sz w:val="18"/>
          <w:szCs w:val="18"/>
          <w:b w:val="1"/>
          <w:bCs w:val="1"/>
          <w:color w:val="auto"/>
        </w:rPr>
        <w:t xml:space="preserve">In the YoY analysis, </w:t>
      </w:r>
      <w:r>
        <w:rPr>
          <w:rFonts w:ascii="Arial" w:cs="Arial" w:eastAsia="Arial" w:hAnsi="Arial"/>
          <w:sz w:val="18"/>
          <w:szCs w:val="18"/>
          <w:color w:val="auto"/>
        </w:rPr>
        <w:t>the increase in early delinquency of +34 bps YoY was in line with the evolution of loan vintages in FC from 2013, which began</w:t>
      </w:r>
      <w:r>
        <w:rPr>
          <w:rFonts w:ascii="Arial" w:cs="Arial" w:eastAsia="Arial" w:hAnsi="Arial"/>
          <w:sz w:val="18"/>
          <w:szCs w:val="18"/>
          <w:b w:val="1"/>
          <w:bCs w:val="1"/>
          <w:color w:val="auto"/>
        </w:rPr>
        <w:t xml:space="preserve"> </w:t>
      </w:r>
      <w:r>
        <w:rPr>
          <w:rFonts w:ascii="Arial" w:cs="Arial" w:eastAsia="Arial" w:hAnsi="Arial"/>
          <w:sz w:val="18"/>
          <w:szCs w:val="18"/>
          <w:color w:val="auto"/>
        </w:rPr>
        <w:t>to post increases in their delinquency levels. Nevertheless, it is important to note the ongoing campaign to convert FC loans into LC loans, which coupled with moves to increase tenures to provide clients with adequate options for debt service, have reaped positive results. In this context, the cost of risk posted a slight improvement of -11 bps YoY given the contraction in provisions.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8" w:right="239" w:bottom="1440" w:gutter="0" w:footer="0" w:header="0"/>
        </w:sectPr>
      </w:pPr>
    </w:p>
    <w:bookmarkStart w:id="25" w:name="page26"/>
    <w:bookmarkEnd w:id="25"/>
    <w:p>
      <w:pPr>
        <w:ind w:left="3460"/>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025390" cy="2040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2539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hanging="263"/>
        <w:spacing w:after="0"/>
        <w:tabs>
          <w:tab w:leader="none" w:pos="9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500" w:hanging="492"/>
        <w:spacing w:after="0" w:line="303"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portfolio, the internal-overdue loan and NPL ratios increased +11 bps and + 2 bps QoQ respectively while the YoY increase was +65 bps and +37 bps, respectively. This deterioration was due primarily vintages from 2014 to 1Q15 that continue maturing, which show the negative effect of the economic slowdown on individuals, and by higher debt at the client level, both of which lead to over-indebtedness. Adjustments to the models for acceptance and pricing that were executed in 2Q15 may explain the slight drop of -2 bps in early delinquency.</w:t>
      </w:r>
    </w:p>
    <w:p>
      <w:pPr>
        <w:spacing w:after="0" w:line="15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The cost of risk fell -131 bps QoQ and -35 bps YoY in line with the contraction in provisions. The drop in provisions over the last few months was due to lower provisions related with deterioration in our clients’ debt capacity in other BCP products (credit card, etc.)</w:t>
      </w:r>
    </w:p>
    <w:p>
      <w:pPr>
        <w:spacing w:after="0" w:line="16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154940</wp:posOffset>
            </wp:positionV>
            <wp:extent cx="5419725" cy="1809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972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hanging="246"/>
        <w:spacing w:after="0"/>
        <w:tabs>
          <w:tab w:leader="none" w:pos="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ind w:left="500" w:right="20" w:hanging="492"/>
        <w:spacing w:after="0" w:line="347"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Credit Card</w:t>
      </w:r>
      <w:r>
        <w:rPr>
          <w:rFonts w:ascii="Arial" w:cs="Arial" w:eastAsia="Arial" w:hAnsi="Arial"/>
          <w:sz w:val="16"/>
          <w:szCs w:val="16"/>
          <w:color w:val="auto"/>
        </w:rPr>
        <w:t xml:space="preserve"> portfolio posted a QoQ reduction in its internal overdue and NPL ratios (-28 bps and -16 bps respectively). Early delinquency also posted a drop of -38 bps QoQ, which was reflected in lower provisions and consequently, a lower cost of risk (-161 bps QoQ).</w:t>
      </w:r>
    </w:p>
    <w:p>
      <w:pPr>
        <w:spacing w:after="0" w:line="120"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Nevertheless, the YoY analysis continues to indicate deterioration in the portfolio, which posted an increase in internal overdue and NPL ratios of +81 bps and +106 bps, respectively. This mainly corresponds to maturities of vintages originated in 2015 and to deceleration in loan growth, which started at the beginning of 2016 and accentuated the impact of higher levels of overdue loans.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4" w:right="239" w:bottom="1440" w:gutter="0" w:footer="0" w:header="0"/>
        </w:sectPr>
      </w:pPr>
    </w:p>
    <w:bookmarkStart w:id="26" w:name="page27"/>
    <w:bookmarkEnd w:id="26"/>
    <w:p>
      <w:pPr>
        <w:jc w:val="both"/>
        <w:ind w:left="520"/>
        <w:spacing w:after="0" w:line="259" w:lineRule="auto"/>
        <w:rPr>
          <w:sz w:val="20"/>
          <w:szCs w:val="20"/>
          <w:color w:val="auto"/>
        </w:rPr>
      </w:pPr>
      <w:r>
        <w:rPr>
          <w:rFonts w:ascii="Arial" w:cs="Arial" w:eastAsia="Arial" w:hAnsi="Arial"/>
          <w:sz w:val="18"/>
          <w:szCs w:val="18"/>
          <w:color w:val="auto"/>
        </w:rPr>
        <w:t>The cost of risk increased +75 bps YoY and reflects the previously mentioned points and the existence of a third element, which is related to the deterioration of our clients’ debt service with other entities in the financial system (this information can be obtained through external sources that are available for the Peruvian financial system). This requires an increase in provisions due to evidence of customer deterioration, in line with our incurred loss internal models.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90170</wp:posOffset>
            </wp:positionV>
            <wp:extent cx="5248275" cy="2092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4827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000" w:hanging="492"/>
        <w:spacing w:after="0" w:line="261"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Mibanco</w:t>
      </w:r>
      <w:r>
        <w:rPr>
          <w:rFonts w:ascii="Arial" w:cs="Arial" w:eastAsia="Arial" w:hAnsi="Arial"/>
          <w:sz w:val="18"/>
          <w:szCs w:val="18"/>
          <w:color w:val="auto"/>
        </w:rPr>
        <w:t>, a QoQ drop was recorded for its internal overdue and NPL ratios, which reflects efforts made since March 2014 to recover the portfolio’s risk quality and moreover, to ensure that loan origination falls within the organization’s risk appetite. The YoY analysis shows a clearer picture of the improvement in the portfolio’s risk quality, which posted internal overdue loan and NPL ratios that fell -91 bps YoY and -78 bps YoY, respectively.</w:t>
      </w:r>
    </w:p>
    <w:p>
      <w:pPr>
        <w:spacing w:after="0" w:line="184"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In this context, the cost of risk fell -20 bps QoQ and -76 bps YoY due to a drop in provisions after the portfolio posted ongoing improvements in its risk quality. This reflects Mibanco’s stability and continuous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Cost of risk of Mibanco is calculated starting on 2Q14 since net provisions were consolidated on BAP’s results at the beginning of this period.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NIM increased +18 bps QoQ. This was primarily due to an increase in interest income on loans, mainly at BCP Stand-alone and Mibanco and to a lesser extent to a drop in average IEA. NIM after provisions posted a significant growth of +43 bps QoQ as a result of an increase of NII and a drop in provisions.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YTD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color w:val="auto"/>
              </w:rPr>
              <w:t>S/ 000</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3Q15</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2Q16</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3Q16</w:t>
            </w: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 15</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 16</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16 / Sep 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8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2,517,964</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6"/>
              </w:rPr>
              <w:t>2,613,338</w:t>
            </w:r>
          </w:p>
        </w:tc>
        <w:tc>
          <w:tcPr>
            <w:tcW w:w="26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2,703,992</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3.5%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7.4%</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7,352,701</w:t>
            </w:r>
          </w:p>
        </w:tc>
        <w:tc>
          <w:tcPr>
            <w:tcW w:w="260" w:type="dxa"/>
            <w:vAlign w:val="bottom"/>
            <w:vMerge w:val="continue"/>
            <w:shd w:val="clear" w:color="auto" w:fill="CCEEFF"/>
          </w:tcPr>
          <w:p>
            <w:pPr>
              <w:spacing w:after="0"/>
              <w:rPr>
                <w:sz w:val="12"/>
                <w:szCs w:val="12"/>
                <w:color w:val="auto"/>
              </w:rPr>
            </w:pPr>
          </w:p>
        </w:tc>
        <w:tc>
          <w:tcPr>
            <w:tcW w:w="84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7,981,895</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2,187,431</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2,331,491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2,392,826</w:t>
            </w:r>
          </w:p>
        </w:tc>
        <w:tc>
          <w:tcPr>
            <w:tcW w:w="26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6,388,197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7,036,313</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2,507</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6,146</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2,975</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-51.6%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18.7%</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51,393</w:t>
            </w:r>
          </w:p>
        </w:tc>
        <w:tc>
          <w:tcPr>
            <w:tcW w:w="1100" w:type="dxa"/>
            <w:vAlign w:val="bottom"/>
            <w:tcBorders>
              <w:left w:val="single" w:sz="8" w:color="CCEEFF"/>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48,929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6,613</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11,758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11,480</w:t>
            </w:r>
          </w:p>
        </w:tc>
        <w:tc>
          <w:tcPr>
            <w:tcW w:w="260" w:type="dxa"/>
            <w:vAlign w:val="bottom"/>
          </w:tcPr>
          <w:p>
            <w:pPr>
              <w:spacing w:after="0"/>
              <w:rPr>
                <w:sz w:val="12"/>
                <w:szCs w:val="12"/>
                <w:color w:val="auto"/>
              </w:rPr>
            </w:pP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73.6%</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25,258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35,604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227,819</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253,040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293,396</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669,635</w:t>
            </w:r>
          </w:p>
        </w:tc>
        <w:tc>
          <w:tcPr>
            <w:tcW w:w="1100" w:type="dxa"/>
            <w:vAlign w:val="bottom"/>
            <w:tcBorders>
              <w:left w:val="single" w:sz="8" w:color="CCEEFF"/>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800,659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93,594</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10,903</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3,315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-69.6%</w:t>
            </w:r>
          </w:p>
        </w:tc>
        <w:tc>
          <w:tcPr>
            <w:tcW w:w="2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-96.5%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218,218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60,390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651,071</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709,119</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744,568</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14.4%</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1,863,246</w:t>
            </w:r>
          </w:p>
        </w:tc>
        <w:tc>
          <w:tcPr>
            <w:tcW w:w="840" w:type="dxa"/>
            <w:vAlign w:val="bottom"/>
            <w:tcBorders>
              <w:lef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2,171,562</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206,799</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261,015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271,089</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31.1%</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625,024</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788,794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204,734</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208,730</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203,756</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547,931</w:t>
            </w:r>
          </w:p>
        </w:tc>
        <w:tc>
          <w:tcPr>
            <w:tcW w:w="1100" w:type="dxa"/>
            <w:vAlign w:val="bottom"/>
            <w:tcBorders>
              <w:left w:val="single" w:sz="8" w:color="CCEEFF"/>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615,436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192,879</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187,600</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207,412</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550,758</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598,433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interest expense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46,659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51,774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62,311</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139,533</w:t>
            </w:r>
          </w:p>
        </w:tc>
        <w:tc>
          <w:tcPr>
            <w:tcW w:w="1100" w:type="dxa"/>
            <w:vAlign w:val="bottom"/>
            <w:tcBorders>
              <w:left w:val="single" w:sz="8" w:color="CCEEFF"/>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168,899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1,866,893</w:t>
            </w:r>
          </w:p>
        </w:tc>
        <w:tc>
          <w:tcPr>
            <w:tcW w:w="2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6"/>
              </w:rPr>
              <w:t>1,904,219</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1,959,424</w:t>
            </w: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5,489,455</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5,810,333</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interest income after provisions</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1,422,468</w:t>
            </w:r>
          </w:p>
        </w:tc>
        <w:tc>
          <w:tcPr>
            <w:tcW w:w="2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6"/>
              </w:rPr>
              <w:t>1,420,308</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1,570,338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w:t>
            </w:r>
          </w:p>
        </w:tc>
        <w:tc>
          <w:tcPr>
            <w:tcW w:w="2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4,111,131</w:t>
            </w:r>
          </w:p>
        </w:tc>
        <w:tc>
          <w:tcPr>
            <w:tcW w:w="260" w:type="dxa"/>
            <w:vAlign w:val="bottom"/>
            <w:shd w:val="clear" w:color="auto" w:fill="CCEEFF"/>
          </w:tcPr>
          <w:p>
            <w:pPr>
              <w:spacing w:after="0"/>
              <w:rPr>
                <w:sz w:val="12"/>
                <w:szCs w:val="12"/>
                <w:color w:val="auto"/>
              </w:rPr>
            </w:pPr>
          </w:p>
        </w:tc>
        <w:tc>
          <w:tcPr>
            <w:tcW w:w="840" w:type="dxa"/>
            <w:vAlign w:val="bottom"/>
            <w:tcBorders>
              <w:left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4,484,099</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w:t>
            </w:r>
          </w:p>
        </w:tc>
        <w:tc>
          <w:tcPr>
            <w:tcW w:w="140" w:type="dxa"/>
            <w:vAlign w:val="bottom"/>
            <w:tcBorders>
              <w:lef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interest earning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135,942,787</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146,761,868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146,035,709</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131,526,437</w:t>
            </w:r>
          </w:p>
        </w:tc>
        <w:tc>
          <w:tcPr>
            <w:tcW w:w="8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145,413,797</w:t>
            </w:r>
          </w:p>
        </w:tc>
        <w:tc>
          <w:tcPr>
            <w:tcW w:w="260" w:type="dxa"/>
            <w:vAlign w:val="bottom"/>
            <w:tcBorders>
              <w:righ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2"/>
            <w:vMerge w:val="restart"/>
          </w:tcPr>
          <w:p>
            <w:pPr>
              <w:spacing w:after="0" w:line="189"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b w:val="1"/>
                <w:bCs w:val="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5.49%</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5.19%</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5.37%</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18bps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-12bps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8.35%</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7.99%</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-36bps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Net interest margin after provisions </w:t>
            </w:r>
            <w:r>
              <w:rPr>
                <w:rFonts w:ascii="Arial" w:cs="Arial" w:eastAsia="Arial" w:hAnsi="Arial"/>
                <w:sz w:val="21"/>
                <w:szCs w:val="21"/>
                <w:b w:val="1"/>
                <w:bCs w:val="1"/>
                <w:color w:val="auto"/>
                <w:vertAlign w:val="superscript"/>
              </w:rPr>
              <w:t>(1)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4.30%</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43bps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11bps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6.25%</w:t>
            </w:r>
          </w:p>
        </w:tc>
        <w:tc>
          <w:tcPr>
            <w:tcW w:w="1100" w:type="dxa"/>
            <w:vAlign w:val="bottom"/>
            <w:tcBorders>
              <w:left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6.17%</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-8bps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8"/>
              </w:rPr>
              <w:t>Net provisions for loan losses / Net interest</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23.81%</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25.41%</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19.86%</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-555bps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8"/>
              </w:rPr>
              <w:t>-395bps</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25.11%</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22.83%</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-228bps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Interest Income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Interest income increased +3.5% QoQ, which was mainly due to (i) an increase in </w:t>
      </w:r>
      <w:r>
        <w:rPr>
          <w:rFonts w:ascii="Arial" w:cs="Arial" w:eastAsia="Arial" w:hAnsi="Arial"/>
          <w:sz w:val="17"/>
          <w:szCs w:val="17"/>
          <w:b w:val="1"/>
          <w:bCs w:val="1"/>
          <w:color w:val="auto"/>
        </w:rPr>
        <w:t>interest income on loans</w:t>
      </w:r>
      <w:r>
        <w:rPr>
          <w:rFonts w:ascii="Arial" w:cs="Arial" w:eastAsia="Arial" w:hAnsi="Arial"/>
          <w:sz w:val="17"/>
          <w:szCs w:val="17"/>
          <w:color w:val="auto"/>
        </w:rPr>
        <w:t xml:space="preserve">, which was in line with higher growth in loans measured in average daily balances, where the top performers were Middle-Market Banking, BCP Bolivia, Retail Banking and Mibanco; and ii) growth in </w:t>
      </w:r>
      <w:r>
        <w:rPr>
          <w:rFonts w:ascii="Arial" w:cs="Arial" w:eastAsia="Arial" w:hAnsi="Arial"/>
          <w:sz w:val="17"/>
          <w:szCs w:val="17"/>
          <w:b w:val="1"/>
          <w:bCs w:val="1"/>
          <w:color w:val="auto"/>
        </w:rPr>
        <w:t>interest income on trading securities</w:t>
      </w:r>
      <w:r>
        <w:rPr>
          <w:rFonts w:ascii="Arial" w:cs="Arial" w:eastAsia="Arial" w:hAnsi="Arial"/>
          <w:sz w:val="17"/>
          <w:szCs w:val="17"/>
          <w:color w:val="auto"/>
        </w:rPr>
        <w:t>, which was primarily associated with investments in CDS with BCRP and Sovereign Bonds.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aforementioned helped offset the reduction in </w:t>
      </w:r>
      <w:r>
        <w:rPr>
          <w:rFonts w:ascii="Arial" w:cs="Arial" w:eastAsia="Arial" w:hAnsi="Arial"/>
          <w:sz w:val="16"/>
          <w:szCs w:val="16"/>
          <w:b w:val="1"/>
          <w:bCs w:val="1"/>
          <w:color w:val="auto"/>
        </w:rPr>
        <w:t>Other Interest Income,</w:t>
      </w:r>
      <w:r>
        <w:rPr>
          <w:rFonts w:ascii="Arial" w:cs="Arial" w:eastAsia="Arial" w:hAnsi="Arial"/>
          <w:sz w:val="16"/>
          <w:szCs w:val="16"/>
          <w:color w:val="auto"/>
        </w:rPr>
        <w:t xml:space="preserve"> due to lower gains on foreign exchange swaps</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(at BCP Standalone), which was due to a decrease in the difference between the rate in Soles and the rate in US Dollars; and to lower income from </w:t>
      </w:r>
      <w:r>
        <w:rPr>
          <w:rFonts w:ascii="Arial" w:cs="Arial" w:eastAsia="Arial" w:hAnsi="Arial"/>
          <w:sz w:val="16"/>
          <w:szCs w:val="16"/>
          <w:b w:val="1"/>
          <w:bCs w:val="1"/>
          <w:color w:val="auto"/>
        </w:rPr>
        <w:t>Interest and Dividends on Investments</w:t>
      </w:r>
      <w:r>
        <w:rPr>
          <w:rFonts w:ascii="Arial" w:cs="Arial" w:eastAsia="Arial" w:hAnsi="Arial"/>
          <w:sz w:val="16"/>
          <w:szCs w:val="16"/>
          <w:color w:val="auto"/>
        </w:rPr>
        <w: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income grew +7.4%. This was mainly attributable to an increase in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(+9.4%) due to a +7.9% YoY expansion in Credicorp’s total loans measured in average daily balances, in line with the expansion in Wholesale Banking (+5.5%), Mortgage (+6.7%) and in the SME-Business segment (+20.0%). Higher YoY </w:t>
      </w:r>
      <w:r>
        <w:rPr>
          <w:rFonts w:ascii="Arial" w:cs="Arial" w:eastAsia="Arial" w:hAnsi="Arial"/>
          <w:sz w:val="18"/>
          <w:szCs w:val="18"/>
          <w:b w:val="1"/>
          <w:bCs w:val="1"/>
          <w:color w:val="auto"/>
        </w:rPr>
        <w:t>interest income on trading securities</w:t>
      </w:r>
      <w:r>
        <w:rPr>
          <w:rFonts w:ascii="Arial" w:cs="Arial" w:eastAsia="Arial" w:hAnsi="Arial"/>
          <w:sz w:val="18"/>
          <w:szCs w:val="18"/>
          <w:color w:val="auto"/>
        </w:rPr>
        <w:t xml:space="preserve"> was primarily associated with income from investments with BCRP and the government.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aforementioned was impacted by lower </w:t>
      </w:r>
      <w:r>
        <w:rPr>
          <w:rFonts w:ascii="Arial" w:cs="Arial" w:eastAsia="Arial" w:hAnsi="Arial"/>
          <w:sz w:val="18"/>
          <w:szCs w:val="18"/>
          <w:b w:val="1"/>
          <w:bCs w:val="1"/>
          <w:color w:val="auto"/>
        </w:rPr>
        <w:t>Other interest income</w:t>
      </w:r>
      <w:r>
        <w:rPr>
          <w:rFonts w:ascii="Arial" w:cs="Arial" w:eastAsia="Arial" w:hAnsi="Arial"/>
          <w:sz w:val="18"/>
          <w:szCs w:val="18"/>
          <w:color w:val="auto"/>
        </w:rPr>
        <w:t xml:space="preserve"> (-96.5%), mainly at BCP Standalone, given that in 3Q15, this account reported significant gains due to higher net gains on forwards with BCRP (foreign exchange swaps). It is important to note that we expect the volume of this instrument to drop significantly in 2016.</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Interest expenses increased +5.0% QoQ, mainly due to i) higher </w:t>
      </w:r>
      <w:r>
        <w:rPr>
          <w:rFonts w:ascii="Arial" w:cs="Arial" w:eastAsia="Arial" w:hAnsi="Arial"/>
          <w:sz w:val="18"/>
          <w:szCs w:val="18"/>
          <w:b w:val="1"/>
          <w:bCs w:val="1"/>
          <w:color w:val="auto"/>
        </w:rPr>
        <w:t>interest expenses on bonds and subordinated notes</w:t>
      </w:r>
      <w:r>
        <w:rPr>
          <w:rFonts w:ascii="Arial" w:cs="Arial" w:eastAsia="Arial" w:hAnsi="Arial"/>
          <w:sz w:val="18"/>
          <w:szCs w:val="18"/>
          <w:color w:val="auto"/>
        </w:rPr>
        <w:t xml:space="preserve">, which was in line with a significant increase of the Libor (for 3m and 6m) in the last quarter and the recent issuance at BCP Stand-alone; ii) higher </w:t>
      </w:r>
      <w:r>
        <w:rPr>
          <w:rFonts w:ascii="Arial" w:cs="Arial" w:eastAsia="Arial" w:hAnsi="Arial"/>
          <w:sz w:val="18"/>
          <w:szCs w:val="18"/>
          <w:b w:val="1"/>
          <w:bCs w:val="1"/>
          <w:color w:val="auto"/>
        </w:rPr>
        <w:t>Other interest expenses,</w:t>
      </w:r>
      <w:r>
        <w:rPr>
          <w:rFonts w:ascii="Arial" w:cs="Arial" w:eastAsia="Arial" w:hAnsi="Arial"/>
          <w:sz w:val="18"/>
          <w:szCs w:val="18"/>
          <w:color w:val="auto"/>
        </w:rPr>
        <w:t xml:space="preserve"> mainly at Credicorp Capital due to a net loss on derivatives; and iii) </w:t>
      </w:r>
      <w:r>
        <w:rPr>
          <w:rFonts w:ascii="Arial" w:cs="Arial" w:eastAsia="Arial" w:hAnsi="Arial"/>
          <w:sz w:val="18"/>
          <w:szCs w:val="18"/>
          <w:b w:val="1"/>
          <w:bCs w:val="1"/>
          <w:color w:val="auto"/>
        </w:rPr>
        <w:t>Interest expenses on deposits</w:t>
      </w:r>
      <w:r>
        <w:rPr>
          <w:rFonts w:ascii="Arial" w:cs="Arial" w:eastAsia="Arial" w:hAnsi="Arial"/>
          <w:sz w:val="18"/>
          <w:szCs w:val="18"/>
          <w:color w:val="auto"/>
        </w:rPr>
        <w:t xml:space="preserve">, mainly due to an increase of the average cost of deposits and a higher volume of deposits at Mibanco and BCP Bolivia as explained in Section </w:t>
      </w:r>
      <w:r>
        <w:rPr>
          <w:rFonts w:ascii="Arial" w:cs="Arial" w:eastAsia="Arial" w:hAnsi="Arial"/>
          <w:sz w:val="18"/>
          <w:szCs w:val="18"/>
          <w:i w:val="1"/>
          <w:iCs w:val="1"/>
          <w:color w:val="auto"/>
        </w:rPr>
        <w:t>2.5, Funding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24" w:lineRule="auto"/>
        <w:tabs>
          <w:tab w:leader="none" w:pos="15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Forwards with BCRP (foreign exchange swaps) provide financing in Soles that Credicorp covers with forwards with private institutional clients (the majority foreign). The increase in income from these foreign exchange swaps originated because the overbought position allowed the group to obtain gains due to the appreciation of the US Dollar that were higher than the payment made to obtain funding in Soles. These instruments are used mainly by BCP and are aligned with BCRP’s policy to reduce the excessive volatility that tends to arise in the exchange rate. It is important to consider that BCRP has set limits for the forward business that will begin to reduce this business’s levels.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right="20"/>
        <w:spacing w:after="0" w:line="282" w:lineRule="auto"/>
        <w:rPr>
          <w:sz w:val="20"/>
          <w:szCs w:val="20"/>
          <w:color w:val="auto"/>
        </w:rPr>
      </w:pPr>
      <w:r>
        <w:rPr>
          <w:rFonts w:ascii="Arial" w:cs="Arial" w:eastAsia="Arial" w:hAnsi="Arial"/>
          <w:sz w:val="18"/>
          <w:szCs w:val="18"/>
          <w:color w:val="auto"/>
        </w:rPr>
        <w:t xml:space="preserve">The aforementioned was partially offset by lower </w:t>
      </w:r>
      <w:r>
        <w:rPr>
          <w:rFonts w:ascii="Arial" w:cs="Arial" w:eastAsia="Arial" w:hAnsi="Arial"/>
          <w:sz w:val="18"/>
          <w:szCs w:val="18"/>
          <w:b w:val="1"/>
          <w:bCs w:val="1"/>
          <w:color w:val="auto"/>
        </w:rPr>
        <w:t>Interest expenses on borrowed funds</w:t>
      </w:r>
      <w:r>
        <w:rPr>
          <w:rFonts w:ascii="Arial" w:cs="Arial" w:eastAsia="Arial" w:hAnsi="Arial"/>
          <w:sz w:val="18"/>
          <w:szCs w:val="18"/>
          <w:color w:val="auto"/>
        </w:rPr>
        <w:t xml:space="preserve"> due to a drop in REPO transactions with BCRP at BCP Stand-alone and Mibanco.</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interest expenses grew +14.4%, as result of higher Interest expenses on Deposits and borrowed funds, which were mainly attributable to growth of deposits at Mibanco and BCP Bolivia.</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Net Interest Margin (NIM)</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 xml:space="preserve">In the QoQ analysis, </w:t>
      </w:r>
      <w:r>
        <w:rPr>
          <w:rFonts w:ascii="Arial" w:cs="Arial" w:eastAsia="Arial" w:hAnsi="Arial"/>
          <w:sz w:val="16"/>
          <w:szCs w:val="16"/>
          <w:b w:val="1"/>
          <w:bCs w:val="1"/>
          <w:color w:val="auto"/>
        </w:rPr>
        <w:t>NIM</w:t>
      </w:r>
      <w:r>
        <w:rPr>
          <w:rFonts w:ascii="Arial" w:cs="Arial" w:eastAsia="Arial" w:hAnsi="Arial"/>
          <w:sz w:val="16"/>
          <w:szCs w:val="16"/>
          <w:color w:val="auto"/>
        </w:rPr>
        <w:t xml:space="preserve"> increased considerably due to growth in NII (+2.9% QoQ) and to a drop in average IEA (-0.5% QoQ).This quarter, NIM posted a significant recovery due to loan dynamic and an increase in interest income on trading securities, which account for approximately 85% of NIM recovery.</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there are still some factors that continue to exercise pressure on NIM: (i) the increase in interest expenses and (ii) the strategy to improve the risk profile, which implies expansion in lower margin segments.</w:t>
      </w:r>
    </w:p>
    <w:p>
      <w:pPr>
        <w:spacing w:after="0" w:line="16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NIM after provisions </w:t>
      </w:r>
      <w:r>
        <w:rPr>
          <w:rFonts w:ascii="Arial" w:cs="Arial" w:eastAsia="Arial" w:hAnsi="Arial"/>
          <w:sz w:val="17"/>
          <w:szCs w:val="17"/>
          <w:color w:val="auto"/>
        </w:rPr>
        <w:t>reported an increase of +43 bps QoQ, which was in line with the lower provisions registered in 3Q16 in comparison to 2Q16. This</w:t>
      </w:r>
      <w:r>
        <w:rPr>
          <w:rFonts w:ascii="Arial" w:cs="Arial" w:eastAsia="Arial" w:hAnsi="Arial"/>
          <w:sz w:val="17"/>
          <w:szCs w:val="17"/>
          <w:b w:val="1"/>
          <w:bCs w:val="1"/>
          <w:color w:val="auto"/>
        </w:rPr>
        <w:t xml:space="preserve"> </w:t>
      </w:r>
      <w:r>
        <w:rPr>
          <w:rFonts w:ascii="Arial" w:cs="Arial" w:eastAsia="Arial" w:hAnsi="Arial"/>
          <w:sz w:val="17"/>
          <w:szCs w:val="17"/>
          <w:color w:val="auto"/>
        </w:rPr>
        <w:t>reflects the better quality of new loan entries. In this context, the ratio of Provisions as percentage of NII fell from 25.41% in 2Q16 to 19.86% in 3Q16.</w:t>
      </w:r>
    </w:p>
    <w:p>
      <w:pPr>
        <w:spacing w:after="0" w:line="14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As is evident in the following figure, NIM after provisions posted a drop from 4Q15 to 2Q16 but recovered in 3Q16 (explained in the previous paragraph).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and NIM after provisions</w:t>
      </w:r>
      <w:r>
        <w:rPr>
          <w:rFonts w:ascii="Arial" w:cs="Arial" w:eastAsia="Arial" w:hAnsi="Arial"/>
          <w:sz w:val="30"/>
          <w:szCs w:val="30"/>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6097270" cy="2263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727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hanging="112"/>
        <w:spacing w:after="0"/>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137160</wp:posOffset>
            </wp:positionV>
            <wp:extent cx="436499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649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right="1880"/>
        <w:spacing w:after="0" w:line="258"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posted no variation QoQ given that growth rates in NII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average loans were similar. In the YoY analysis, </w:t>
      </w:r>
      <w:r>
        <w:rPr>
          <w:rFonts w:ascii="Arial" w:cs="Arial" w:eastAsia="Arial" w:hAnsi="Arial"/>
          <w:sz w:val="18"/>
          <w:szCs w:val="18"/>
          <w:b w:val="1"/>
          <w:bCs w:val="1"/>
          <w:color w:val="auto"/>
        </w:rPr>
        <w:t>NIM on loans</w:t>
      </w:r>
      <w:r>
        <w:rPr>
          <w:rFonts w:ascii="Arial" w:cs="Arial" w:eastAsia="Arial" w:hAnsi="Arial"/>
          <w:sz w:val="18"/>
          <w:szCs w:val="18"/>
          <w:color w:val="auto"/>
        </w:rPr>
        <w:t xml:space="preserve"> fell -5 bps in line with higher growth in average loans vs. growth in NII due to more dynamic activity YoY in Wholesale Banking, which is a lower margin segment.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161925</wp:posOffset>
            </wp:positionV>
            <wp:extent cx="1775460" cy="1226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75460" cy="1226185"/>
                    </a:xfrm>
                    <a:prstGeom prst="rect">
                      <a:avLst/>
                    </a:prstGeom>
                    <a:noFill/>
                  </pic:spPr>
                </pic:pic>
              </a:graphicData>
            </a:graphic>
          </wp:anchor>
        </w:drawing>
      </w:r>
    </w:p>
    <w:p>
      <w:pPr>
        <w:spacing w:after="0" w:line="1117" w:lineRule="exact"/>
        <w:rPr>
          <w:sz w:val="20"/>
          <w:szCs w:val="20"/>
          <w:color w:val="auto"/>
        </w:rPr>
      </w:pPr>
    </w:p>
    <w:p>
      <w:pPr>
        <w:sectPr>
          <w:pgSz w:w="11900" w:h="16838" w:orient="portrait"/>
          <w:cols w:equalWidth="0" w:num="2">
            <w:col w:w="7600" w:space="720"/>
            <w:col w:w="310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It is also important to analyze NIM by subsidiary. The table below contains the net interest margins at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BCP Stand-alone</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BCP Bolivia</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ASB</w:t>
            </w:r>
          </w:p>
        </w:tc>
        <w:tc>
          <w:tcPr>
            <w:tcW w:w="2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 xml:space="preserve">Credicorp </w:t>
            </w:r>
            <w:r>
              <w:rPr>
                <w:rFonts w:ascii="Arial" w:cs="Arial" w:eastAsia="Arial" w:hAnsi="Arial"/>
                <w:sz w:val="30"/>
                <w:szCs w:val="30"/>
                <w:b w:val="1"/>
                <w:bCs w:val="1"/>
                <w:color w:val="auto"/>
                <w:w w:val="97"/>
                <w:vertAlign w:val="superscript"/>
              </w:rPr>
              <w:t>(1)</w:t>
            </w:r>
          </w:p>
        </w:tc>
        <w:tc>
          <w:tcPr>
            <w:tcW w:w="180" w:type="dxa"/>
            <w:vAlign w:val="bottom"/>
            <w:tcBorders>
              <w:bottom w:val="single" w:sz="8" w:color="CCEEFF"/>
            </w:tcBorders>
          </w:tcPr>
          <w:p>
            <w:pPr>
              <w:spacing w:after="0"/>
              <w:rPr>
                <w:sz w:val="24"/>
                <w:szCs w:val="2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3Q15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2Q16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14.87%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5.19%</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3Q16</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YTD - Sep 15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5.56%</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YTD - Sep 16</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QoQ evolution of the </w:t>
      </w:r>
      <w:r>
        <w:rPr>
          <w:rFonts w:ascii="Arial" w:cs="Arial" w:eastAsia="Arial" w:hAnsi="Arial"/>
          <w:sz w:val="18"/>
          <w:szCs w:val="18"/>
          <w:b w:val="1"/>
          <w:bCs w:val="1"/>
          <w:color w:val="auto"/>
        </w:rPr>
        <w:t>global NIM</w:t>
      </w:r>
      <w:r>
        <w:rPr>
          <w:rFonts w:ascii="Arial" w:cs="Arial" w:eastAsia="Arial" w:hAnsi="Arial"/>
          <w:sz w:val="18"/>
          <w:szCs w:val="18"/>
          <w:color w:val="auto"/>
        </w:rPr>
        <w:t xml:space="preserve"> by subsidiary shows that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accounts for the majority of variations in Credicorp’s NIM given that it represents around 68% of the group’s net interest income. In this context, the good performance of the other banking subsidiaries helped boost global NIM, mainly through more dynamic loan activity measured in average daily balances.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YoY and accumulated terms, Credicorp’s NIM fell, which was in line with the trend of this ratio at BCP Stand-alone level. NIM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and </w:t>
      </w:r>
      <w:r>
        <w:rPr>
          <w:rFonts w:ascii="Arial" w:cs="Arial" w:eastAsia="Arial" w:hAnsi="Arial"/>
          <w:sz w:val="18"/>
          <w:szCs w:val="18"/>
          <w:b w:val="1"/>
          <w:bCs w:val="1"/>
          <w:color w:val="auto"/>
        </w:rPr>
        <w:t>BCP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Bolivia </w:t>
      </w:r>
      <w:r>
        <w:rPr>
          <w:rFonts w:ascii="Arial" w:cs="Arial" w:eastAsia="Arial" w:hAnsi="Arial"/>
          <w:sz w:val="18"/>
          <w:szCs w:val="18"/>
          <w:color w:val="auto"/>
        </w:rPr>
        <w:t>reported an improvement in accumulated terms that was aligned with loan growth measured in average daily balances for both subsidiaries,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explained in section </w:t>
      </w:r>
      <w:r>
        <w:rPr>
          <w:rFonts w:ascii="Arial" w:cs="Arial" w:eastAsia="Arial" w:hAnsi="Arial"/>
          <w:sz w:val="18"/>
          <w:szCs w:val="18"/>
          <w:i w:val="1"/>
          <w:iCs w:val="1"/>
          <w:color w:val="auto"/>
        </w:rPr>
        <w:t>1.2 Credicorp Loans.</w:t>
      </w:r>
    </w:p>
    <w:p>
      <w:pPr>
        <w:spacing w:after="0" w:line="176"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Non-financial income increased +8.0% QoQ if we eliminate the effect of the non-recurring income generated by the sale of 50% of the investment in BCI that took place in 2Q16. Growth was registered in every segment of Non-financial income and was led by the net gain on sales of securities. In YoY terms, non-financial income grew 13.4% due to an improvement in the evolution of net gains on sales of securities and fee income, which increased 252.3% and 7.4%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4"/>
                <w:szCs w:val="14"/>
                <w:color w:val="auto"/>
              </w:rPr>
              <w:t>S/ 000</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2Q16</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3Q16</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Sep 16</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Sep 16 / Sep 15</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 net</w:t>
            </w: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650,195</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693,185</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698,029</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7.4%</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1,957,027</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2,061,972</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197,902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177,065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180,452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566,633</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522,660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176,169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102,866</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-41.6%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252.3%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74,828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284,488</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89"/>
        </w:trPr>
        <w:tc>
          <w:tcPr>
            <w:tcW w:w="3280" w:type="dxa"/>
            <w:vAlign w:val="bottom"/>
            <w:gridSpan w:val="2"/>
          </w:tcPr>
          <w:p>
            <w:pPr>
              <w:spacing w:after="0" w:line="189" w:lineRule="exact"/>
              <w:rPr>
                <w:sz w:val="20"/>
                <w:szCs w:val="20"/>
                <w:color w:val="auto"/>
              </w:rPr>
            </w:pPr>
            <w:r>
              <w:rPr>
                <w:rFonts w:ascii="Arial" w:cs="Arial" w:eastAsia="Arial" w:hAnsi="Arial"/>
                <w:sz w:val="13"/>
                <w:szCs w:val="13"/>
                <w:color w:val="auto"/>
              </w:rPr>
              <w:t>Net gain from associates</w:t>
            </w:r>
            <w:r>
              <w:rPr>
                <w:rFonts w:ascii="Arial" w:cs="Arial" w:eastAsia="Arial" w:hAnsi="Arial"/>
                <w:sz w:val="21"/>
                <w:szCs w:val="21"/>
                <w:color w:val="auto"/>
                <w:vertAlign w:val="superscript"/>
              </w:rPr>
              <w:t>(1)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891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4,136</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364.4%</w:t>
            </w:r>
          </w:p>
        </w:tc>
        <w:tc>
          <w:tcPr>
            <w:tcW w:w="220" w:type="dxa"/>
            <w:vAlign w:val="bottom"/>
          </w:tcPr>
          <w:p>
            <w:pPr>
              <w:spacing w:after="0"/>
              <w:rPr>
                <w:sz w:val="16"/>
                <w:szCs w:val="16"/>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30.4%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149,763</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8,564</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37,438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53,172</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42.0%</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49.3%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114,988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153,097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916,081</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1,084,748</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1,038,655</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2,863,239</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3,030,781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the agreement between Grupo Pacífico and Banmédica.</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Fee income, </w:t>
      </w:r>
      <w:r>
        <w:rPr>
          <w:rFonts w:ascii="Arial" w:cs="Arial" w:eastAsia="Arial" w:hAnsi="Arial"/>
          <w:sz w:val="18"/>
          <w:szCs w:val="18"/>
          <w:color w:val="auto"/>
        </w:rPr>
        <w:t>which represents the main source of non-financial income, reported growth of +0.7% QoQ and +7.4% YoY. This was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the evolution of credit cards, wires and transfers and miscellaneous accounts at BCP Standalone.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jc w:val="both"/>
        <w:spacing w:after="0" w:line="266" w:lineRule="auto"/>
        <w:rPr>
          <w:sz w:val="20"/>
          <w:szCs w:val="20"/>
          <w:color w:val="auto"/>
        </w:rPr>
      </w:pPr>
      <w:r>
        <w:rPr>
          <w:rFonts w:ascii="Arial" w:cs="Arial" w:eastAsia="Arial" w:hAnsi="Arial"/>
          <w:sz w:val="18"/>
          <w:szCs w:val="18"/>
          <w:b w:val="1"/>
          <w:bCs w:val="1"/>
          <w:color w:val="auto"/>
        </w:rPr>
        <w:t xml:space="preserve">Net gains on foreign exchange transactions </w:t>
      </w:r>
      <w:r>
        <w:rPr>
          <w:rFonts w:ascii="Arial" w:cs="Arial" w:eastAsia="Arial" w:hAnsi="Arial"/>
          <w:sz w:val="18"/>
          <w:szCs w:val="18"/>
          <w:color w:val="auto"/>
        </w:rPr>
        <w:t>increased +1.9% QoQ. This was due primarily to an increase in spot and forward transactions at Credicorp</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In YoY terms, net gains on FX transactions fell -8.8% due to a drop in performance for this line at BCP Standalone given that in 3Q15, these gains were higher due to volatility in the exchange rate in the second half of August and in the first few days of September.</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Gains on sales of securities </w:t>
      </w:r>
      <w:r>
        <w:rPr>
          <w:rFonts w:ascii="Arial" w:cs="Arial" w:eastAsia="Arial" w:hAnsi="Arial"/>
          <w:sz w:val="18"/>
          <w:szCs w:val="18"/>
          <w:color w:val="auto"/>
        </w:rPr>
        <w:t>reported a significant contraction QoQ of -41.6% due to the sale of 50% of the investment in shares of BCI, which took place in</w:t>
      </w:r>
      <w:r>
        <w:rPr>
          <w:rFonts w:ascii="Arial" w:cs="Arial" w:eastAsia="Arial" w:hAnsi="Arial"/>
          <w:sz w:val="18"/>
          <w:szCs w:val="18"/>
          <w:b w:val="1"/>
          <w:bCs w:val="1"/>
          <w:color w:val="auto"/>
        </w:rPr>
        <w:t xml:space="preserve"> </w:t>
      </w:r>
      <w:r>
        <w:rPr>
          <w:rFonts w:ascii="Arial" w:cs="Arial" w:eastAsia="Arial" w:hAnsi="Arial"/>
          <w:sz w:val="18"/>
          <w:szCs w:val="18"/>
          <w:color w:val="auto"/>
        </w:rPr>
        <w:t>2Q16 and explain the non-recurring income result of S/ 123 million. If we exclude this non-recurring income from the analysis, the net gain on sales of securities increases 93.5% QoQ and 252.3% YoY due to successful sales of sovereign bonds at BCP and successful sales of equity and fixed income instruments at Credicorp and Pacifico.</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QoQ and YoY increases of 42.0% and 49.3% respectively in </w:t>
      </w:r>
      <w:r>
        <w:rPr>
          <w:rFonts w:ascii="Arial" w:cs="Arial" w:eastAsia="Arial" w:hAnsi="Arial"/>
          <w:sz w:val="18"/>
          <w:szCs w:val="18"/>
          <w:b w:val="1"/>
          <w:bCs w:val="1"/>
          <w:color w:val="auto"/>
        </w:rPr>
        <w:t>Other Income</w:t>
      </w:r>
      <w:r>
        <w:rPr>
          <w:rFonts w:ascii="Arial" w:cs="Arial" w:eastAsia="Arial" w:hAnsi="Arial"/>
          <w:sz w:val="18"/>
          <w:szCs w:val="18"/>
          <w:color w:val="auto"/>
        </w:rPr>
        <w:t xml:space="preserve"> are mainly due to activity at BCP Standalone: in July and August, partial recoveries of council taxes took place, among other transactions.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gains (loss) on investments in associated companies, </w:t>
      </w:r>
      <w:r>
        <w:rPr>
          <w:rFonts w:ascii="Arial" w:cs="Arial" w:eastAsia="Arial" w:hAnsi="Arial"/>
          <w:sz w:val="18"/>
          <w:szCs w:val="18"/>
          <w:color w:val="auto"/>
        </w:rPr>
        <w:t>which stems from the agreement between Grupo Pacifico and Banmedica, is shown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660" w:type="dxa"/>
            <w:vAlign w:val="bottom"/>
            <w:gridSpan w:val="2"/>
          </w:tcPr>
          <w:p>
            <w:pPr>
              <w:ind w:left="2300"/>
              <w:spacing w:after="0"/>
              <w:rPr>
                <w:sz w:val="20"/>
                <w:szCs w:val="20"/>
                <w:color w:val="auto"/>
              </w:rPr>
            </w:pPr>
            <w:r>
              <w:rPr>
                <w:rFonts w:ascii="Arial" w:cs="Arial" w:eastAsia="Arial" w:hAnsi="Arial"/>
                <w:sz w:val="18"/>
                <w:szCs w:val="18"/>
                <w:b w:val="1"/>
                <w:bCs w:val="1"/>
                <w:color w:val="auto"/>
              </w:rPr>
              <w:t>Millions (S/)</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3Q15</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2Q16</w:t>
            </w: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3Q16</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 Net gain from associates excluding Non-recurring income/expense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Non-recurring income/expense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result was due to:</w:t>
      </w:r>
    </w:p>
    <w:p>
      <w:pPr>
        <w:spacing w:after="0" w:line="225" w:lineRule="exact"/>
        <w:rPr>
          <w:sz w:val="20"/>
          <w:szCs w:val="20"/>
          <w:color w:val="auto"/>
        </w:rPr>
      </w:pPr>
    </w:p>
    <w:p>
      <w:pPr>
        <w:jc w:val="both"/>
        <w:ind w:left="1000" w:hanging="492"/>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contribution of 50% of the net earnings generated by the corporate health insurance business and medical services that are now managed by Banmedica for S/8.08 million. This result rose QoQ due to a 4.2% increase in the net earned premiums, which offset the 3% increase in net claims.</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50% deduction of net earnings generated by private medical business, which is managed by Grupo Pacifico and totaled S/3.95 million in 3Q16. The decrease in this deduction was mainly due to an increase in net claims in 3Q16 after IBNR reserves (incurred but not reported) was constituted (delays in the process to liquidate and lower average billing).</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Fee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we show the contribution of each of Credicorp’s subsidiaries to growth in the group’s fee income in 3Q16. The figure indicates that fees for banking services decreased slightly QoQ: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fee income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154940</wp:posOffset>
            </wp:positionV>
            <wp:extent cx="4776470" cy="1955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7647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880" w:firstLine="980"/>
        <w:spacing w:after="0" w:line="528" w:lineRule="auto"/>
        <w:tabs>
          <w:tab w:leader="none" w:pos="1107"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include Grupo Pacifico and eliminations for consolidation purposes. The following chart shows the YoY evolution of fee income by subsidiary:</w:t>
      </w:r>
    </w:p>
    <w:p>
      <w:pPr>
        <w:jc w:val="center"/>
        <w:spacing w:after="0"/>
        <w:rPr>
          <w:sz w:val="20"/>
          <w:szCs w:val="20"/>
          <w:color w:val="auto"/>
        </w:rPr>
      </w:pPr>
      <w:r>
        <w:rPr>
          <w:rFonts w:ascii="Arial" w:cs="Arial" w:eastAsia="Arial" w:hAnsi="Arial"/>
          <w:sz w:val="18"/>
          <w:szCs w:val="18"/>
          <w:b w:val="1"/>
          <w:bCs w:val="1"/>
          <w:color w:val="auto"/>
        </w:rPr>
        <w:t>Evolution of fee income YoY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154940</wp:posOffset>
            </wp:positionV>
            <wp:extent cx="4570730" cy="1998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073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Next, we look at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3"/>
          </w:tcPr>
          <w:p>
            <w:pPr>
              <w:ind w:left="800"/>
              <w:spacing w:after="0"/>
              <w:rPr>
                <w:sz w:val="20"/>
                <w:szCs w:val="20"/>
                <w:color w:val="auto"/>
              </w:rPr>
            </w:pPr>
            <w:r>
              <w:rPr>
                <w:rFonts w:ascii="Arial" w:cs="Arial" w:eastAsia="Arial" w:hAnsi="Arial"/>
                <w:sz w:val="18"/>
                <w:szCs w:val="18"/>
                <w:b w:val="1"/>
                <w:bCs w:val="1"/>
                <w:color w:val="auto"/>
                <w:w w:val="97"/>
              </w:rPr>
              <w:t>% change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2Q16</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accounts (1)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165,084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64,744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74,019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71,194</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35,877</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39,234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41,429</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24,674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23,017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23,436</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19,016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18,139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19,917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11,685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10,807</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38,504</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41,785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42,237</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93,355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95,047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97,256</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3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16,245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16,472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12,950</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57"/>
        </w:trPr>
        <w:tc>
          <w:tcPr>
            <w:tcW w:w="3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12,264</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11,312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13,835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12,683</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5,761</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Others (4)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40,741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43,830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52,445</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556,899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572,624</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591,834</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79"/>
              </w:rPr>
              <w:t>3.4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660" w:right="2820" w:hanging="4"/>
        <w:spacing w:after="0" w:line="261" w:lineRule="auto"/>
        <w:tabs>
          <w:tab w:leader="none" w:pos="9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 Source: BCP</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Fee income in the banking business grew +3.4% QoQ and +6.3% YoY. This was due mainly higher level of fee income at BCP, which is the major source of fee income generation for Credicorp. Next, we describe the components that stood out the most QoQ:</w:t>
      </w:r>
    </w:p>
    <w:p>
      <w:pPr>
        <w:spacing w:after="0" w:line="170" w:lineRule="exact"/>
        <w:rPr>
          <w:sz w:val="20"/>
          <w:szCs w:val="20"/>
          <w:color w:val="auto"/>
        </w:rPr>
      </w:pPr>
    </w:p>
    <w:p>
      <w:pPr>
        <w:ind w:left="1000" w:right="20" w:hanging="492"/>
        <w:spacing w:after="0" w:line="34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Miscellaneous accounts grew +4.4% QoQ due to higher fee income from maintenance fee in current account and higher income from fees for excess transactions (number of transactions above the maximum number of transactions allowed free of fee in current and savings accounts).</w:t>
      </w:r>
    </w:p>
    <w:p>
      <w:pPr>
        <w:spacing w:after="0" w:line="123" w:lineRule="exact"/>
        <w:rPr>
          <w:rFonts w:ascii="Arial" w:cs="Arial" w:eastAsia="Arial" w:hAnsi="Arial"/>
          <w:sz w:val="16"/>
          <w:szCs w:val="16"/>
          <w:color w:val="auto"/>
        </w:rPr>
      </w:pPr>
    </w:p>
    <w:p>
      <w:pPr>
        <w:ind w:left="1000" w:hanging="492"/>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Collections and payments increased +2.3% QoQ due to higher fee income from multiple insurance, life-insurance for mortgage, among others.</w:t>
      </w:r>
    </w:p>
    <w:p>
      <w:pPr>
        <w:spacing w:after="0" w:line="248" w:lineRule="exact"/>
        <w:rPr>
          <w:rFonts w:ascii="Arial" w:cs="Arial" w:eastAsia="Arial" w:hAnsi="Arial"/>
          <w:sz w:val="16"/>
          <w:szCs w:val="16"/>
          <w:color w:val="auto"/>
        </w:rPr>
      </w:pPr>
    </w:p>
    <w:p>
      <w:pPr>
        <w:ind w:left="1000" w:hanging="492"/>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 Income from Drafts and Transfers grew +5.6% QoQ.</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YoY terms, growth in fees for banking services was situated at 6.3%. This was primarily attributable to the positive yearly evolution of credit cards, Wires and Transfers, and Miscellaneous Accounts.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insurance underwriting result fell -1.0% QoQ due to higher acquisition costs and an increase in claims for life insurance, which offset the increase in net earned premiums. In YoY terms, the underwriting result grew +6.6% due to an increase in net earned premiums, mainly in life insurance business, with an acquisition cost and claims that increased less in comparative terms.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Insurance underwriting result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Change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color w:val="auto"/>
              </w:rPr>
              <w:t>S/ 000</w:t>
            </w:r>
          </w:p>
        </w:tc>
        <w:tc>
          <w:tcPr>
            <w:tcW w:w="1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3Q15</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2Q16</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16</w:t>
            </w:r>
          </w:p>
        </w:tc>
        <w:tc>
          <w:tcPr>
            <w:tcW w:w="120" w:type="dxa"/>
            <w:vAlign w:val="bottom"/>
          </w:tcPr>
          <w:p>
            <w:pPr>
              <w:spacing w:after="0"/>
              <w:rPr>
                <w:sz w:val="14"/>
                <w:szCs w:val="14"/>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8"/>
              </w:rPr>
              <w:t>Sep 15 / Sep 16</w:t>
            </w: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earned premiums</w:t>
            </w:r>
          </w:p>
        </w:tc>
        <w:tc>
          <w:tcPr>
            <w:tcW w:w="12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432,777</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453,647</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467,972</w:t>
            </w:r>
          </w:p>
        </w:tc>
        <w:tc>
          <w:tcPr>
            <w:tcW w:w="20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8.1%</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1,264,317</w:t>
            </w:r>
          </w:p>
        </w:tc>
        <w:tc>
          <w:tcPr>
            <w:tcW w:w="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1,374,856</w:t>
            </w:r>
          </w:p>
        </w:tc>
        <w:tc>
          <w:tcPr>
            <w:tcW w:w="12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(265,648)</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(265,815)</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(271,591)</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2"/>
                <w:szCs w:val="12"/>
                <w:color w:val="auto"/>
              </w:rPr>
            </w:pP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(753,305)</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(801,329)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(41,884)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(53,066)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(62,916)</w:t>
            </w: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(169,169)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(176,158)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insurance underwriting result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125,245</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134,766</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133,465</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341,843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397,369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16.2</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142875</wp:posOffset>
            </wp:positionV>
            <wp:extent cx="3035935" cy="14751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3593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142875</wp:posOffset>
            </wp:positionV>
            <wp:extent cx="2864485" cy="1389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64485" cy="1389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62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142875</wp:posOffset>
            </wp:positionV>
            <wp:extent cx="2898775" cy="128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128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20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premiums </w:t>
      </w:r>
      <w:r>
        <w:rPr>
          <w:rFonts w:ascii="Arial" w:cs="Arial" w:eastAsia="Arial" w:hAnsi="Arial"/>
          <w:sz w:val="18"/>
          <w:szCs w:val="18"/>
          <w:color w:val="auto"/>
        </w:rPr>
        <w:t>increased 2.9% QoQ due mainly to an increase in premium turnover in the life insurance and P&amp;C lines:</w:t>
      </w:r>
    </w:p>
    <w:p>
      <w:pPr>
        <w:spacing w:after="0" w:line="229" w:lineRule="exact"/>
        <w:rPr>
          <w:sz w:val="20"/>
          <w:szCs w:val="20"/>
          <w:color w:val="auto"/>
        </w:rPr>
      </w:pPr>
    </w:p>
    <w:p>
      <w:pPr>
        <w:jc w:val="both"/>
        <w:ind w:left="1000" w:hanging="492"/>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the life insurance business was due primarily to Annuities due to more sales of retirement policies and Credit Life due to loan growth and an increase in rates. Group Life–Complementary Insurance for High Risk Occupations (SCTR) - also posted an increase due to semester billing while Individual Life reaped the positive impact of the exchange rate.</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P&amp;C insurance was due to higher premiums in general risks insurance in the Banks (BBB), Fire, Transportation and Personal Accident Lines. Nevertheless, this effect was attenuated by a drop in private medical insurance due to fewer sales of policies with international coverage and for cars due to a deficit in the alliance channel.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4" w:name="page35"/>
    <w:bookmarkEnd w:id="34"/>
    <w:p>
      <w:pPr>
        <w:jc w:val="both"/>
        <w:spacing w:after="0" w:line="347" w:lineRule="auto"/>
        <w:rPr>
          <w:sz w:val="20"/>
          <w:szCs w:val="20"/>
          <w:color w:val="auto"/>
        </w:rPr>
      </w:pPr>
      <w:r>
        <w:rPr>
          <w:rFonts w:ascii="Arial" w:cs="Arial" w:eastAsia="Arial" w:hAnsi="Arial"/>
          <w:sz w:val="16"/>
          <w:szCs w:val="16"/>
          <w:b w:val="1"/>
          <w:bCs w:val="1"/>
          <w:color w:val="auto"/>
        </w:rPr>
        <w:t xml:space="preserve">Net earned premiums </w:t>
      </w:r>
      <w:r>
        <w:rPr>
          <w:rFonts w:ascii="Arial" w:cs="Arial" w:eastAsia="Arial" w:hAnsi="Arial"/>
          <w:sz w:val="16"/>
          <w:szCs w:val="16"/>
          <w:color w:val="auto"/>
        </w:rPr>
        <w:t>increased 3.2% QoQ due to growth in P&amp;C insurance and life insurance. In P&amp;C, the variation was generated in the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assistance and general risks line. The increase in the life insurance line was due to higher premiums in the annuities, credit life and group life lines (SCTR).</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142875</wp:posOffset>
            </wp:positionV>
            <wp:extent cx="3679190" cy="17583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7919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claims grew 2.2% QoQ due to an increase in the claims of the life insurance business and despite a drop in P&amp;C claims. The variation in life insurance was due mainly to higher claims in i) group life in the complementary insurance for high risk occupations life (SCTR- more cases and updating of average costs), ii) credit life due to IBNR (incurred but not reported) reserves and in iii) individual life due to more cases with higher average costs.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effect was mitigated by the improvement in the loss ratio of P&amp;C insurance. This was primarily attributable to Wholesale Lines (technical lines and fire) and personal lines for the card protection product.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142875</wp:posOffset>
            </wp:positionV>
            <wp:extent cx="3447415" cy="1732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474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tbl>
      <w:tblPr>
        <w:tblLayout w:type="fixed"/>
        <w:tblInd w:w="8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gridSpan w:val="3"/>
          </w:tcPr>
          <w:p>
            <w:pPr>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3Q15</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2Q16</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3Q16</w:t>
            </w:r>
          </w:p>
        </w:tc>
        <w:tc>
          <w:tcPr>
            <w:tcW w:w="720" w:type="dxa"/>
            <w:vAlign w:val="bottom"/>
          </w:tcPr>
          <w:p>
            <w:pPr>
              <w:ind w:left="34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20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(46,223)</w:t>
            </w:r>
          </w:p>
        </w:tc>
        <w:tc>
          <w:tcPr>
            <w:tcW w:w="1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6"/>
              </w:rPr>
              <w:t>18.4%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(26,196)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(23,943)</w:t>
            </w:r>
          </w:p>
        </w:tc>
        <w:tc>
          <w:tcPr>
            <w:tcW w:w="72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(41,884</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(53,066</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(62,916</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7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18.6</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acquisition cost increased 18.6% QoQ due to i) adjustments on fees of the sales force in 3Q16 in the life insurance business and ii) an increase in the underwriting expenses in P&amp;C attributable to a release of uncollectible premiums reserves in the P&amp;C and car lines in 2Q16.</w:t>
      </w:r>
    </w:p>
    <w:p>
      <w:pPr>
        <w:spacing w:after="0" w:line="16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efficiency ratio posted an improvement of -10 bps QoQ. This was due primarily to the fact that operating income outpaced growth in operating expenses. In YoY terms, the efficiency ratio reported an increase of +80 bps due to higher expenses for employee salaries and benefits and growth in administrative and general expenses.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ind w:left="66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color w:val="auto"/>
              </w:rPr>
              <w:t>S/ 000</w:t>
            </w:r>
          </w:p>
        </w:tc>
        <w:tc>
          <w:tcPr>
            <w:tcW w:w="1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3Q15</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2Q16</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Sep 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16</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16 / Sep 15</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703,985</w:t>
            </w:r>
          </w:p>
        </w:tc>
        <w:tc>
          <w:tcPr>
            <w:tcW w:w="2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735,414</w:t>
            </w:r>
          </w:p>
        </w:tc>
        <w:tc>
          <w:tcPr>
            <w:tcW w:w="2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744,161</w:t>
            </w:r>
          </w:p>
        </w:tc>
        <w:tc>
          <w:tcPr>
            <w:tcW w:w="26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5.7%</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2,137,394</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2,215,545</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496,163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513,652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526,613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1,409,315</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1,493,951</w:t>
            </w:r>
          </w:p>
        </w:tc>
        <w:tc>
          <w:tcPr>
            <w:tcW w:w="2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111,966</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113,910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115,129</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331,058</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340,809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25,688</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47,463</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40,709</w:t>
            </w: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-14.2%</w:t>
            </w:r>
          </w:p>
        </w:tc>
        <w:tc>
          <w:tcPr>
            <w:tcW w:w="20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58.5%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122,083</w:t>
            </w: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135,205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2"/>
        </w:trPr>
        <w:tc>
          <w:tcPr>
            <w:tcW w:w="37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1,337,802</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1,410,439</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1,426,612</w:t>
            </w: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3,999,850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4,185,510</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3,150,939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3,229,007</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3,310,013</w:t>
            </w:r>
          </w:p>
        </w:tc>
        <w:tc>
          <w:tcPr>
            <w:tcW w:w="26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5.0%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9,427,195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9,778,385</w:t>
            </w:r>
          </w:p>
        </w:tc>
        <w:tc>
          <w:tcPr>
            <w:tcW w:w="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1,353,998</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1,416,042</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1,448,819</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4,046,936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4,226,463</w:t>
            </w:r>
          </w:p>
        </w:tc>
        <w:tc>
          <w:tcPr>
            <w:tcW w:w="26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43.9%</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43.8%</w:t>
            </w: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-10 bps</w:t>
            </w:r>
          </w:p>
        </w:tc>
        <w:tc>
          <w:tcPr>
            <w:tcW w:w="7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9"/>
              </w:rPr>
              <w:t>80 bps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42.9%</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43.2%</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30 bps</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(4)</w:t>
            </w: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w:t>
            </w: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 bps</w:t>
            </w:r>
          </w:p>
        </w:tc>
        <w:tc>
          <w:tcPr>
            <w:tcW w:w="7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0 bps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 bps</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Operating income = Net interest income + Fee income + Gain on foreign exchange transactions + Net gain from associates + Net premiums earned.</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expenses increased +1.1% QoQ. This was due mainly to growth in administrative, general and tax expenses. At BCP Standalone, the main accounts that explain this increase are:</w:t>
      </w:r>
    </w:p>
    <w:p>
      <w:pPr>
        <w:spacing w:after="0" w:line="166" w:lineRule="exact"/>
        <w:rPr>
          <w:sz w:val="20"/>
          <w:szCs w:val="20"/>
          <w:color w:val="auto"/>
        </w:rPr>
      </w:pPr>
    </w:p>
    <w:p>
      <w:pPr>
        <w:ind w:left="1000" w:hanging="492"/>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Marketing</w:t>
      </w:r>
      <w:r>
        <w:rPr>
          <w:rFonts w:ascii="Arial" w:cs="Arial" w:eastAsia="Arial" w:hAnsi="Arial"/>
          <w:sz w:val="17"/>
          <w:szCs w:val="17"/>
          <w:color w:val="auto"/>
        </w:rPr>
        <w:t>, which registered additional provisions in July and August to fulfill the contract signed with LAN for the Lan Pass program.</w:t>
      </w:r>
    </w:p>
    <w:p>
      <w:pPr>
        <w:spacing w:after="0" w:line="236" w:lineRule="exact"/>
        <w:rPr>
          <w:rFonts w:ascii="Arial" w:cs="Arial" w:eastAsia="Arial" w:hAnsi="Arial"/>
          <w:sz w:val="17"/>
          <w:szCs w:val="17"/>
          <w:color w:val="auto"/>
        </w:rPr>
      </w:pPr>
    </w:p>
    <w:p>
      <w:pPr>
        <w:ind w:left="1000" w:hanging="492"/>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related mainly to Digital Banking project.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total expenses posted an increase due to growth in:</w:t>
      </w:r>
    </w:p>
    <w:p>
      <w:pPr>
        <w:spacing w:after="0" w:line="225" w:lineRule="exact"/>
        <w:rPr>
          <w:sz w:val="20"/>
          <w:szCs w:val="20"/>
          <w:color w:val="auto"/>
        </w:rPr>
      </w:pPr>
    </w:p>
    <w:p>
      <w:pPr>
        <w:ind w:left="1000" w:right="20" w:hanging="492"/>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Administrative, general and tax expenses due to an increase in expenses for marketing and consultants at BCP Standalone, which were partially offset by a drop in expenses at ASB, BCP Bolivia, Grupo Credito and Foreign Branches of BCP; and</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Employee salaries and benefits, which was due mainly to an increase in payroll expenses at Mibanco and to a lesser extent at Credicorp Capital.</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Administrative and general expenses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3Q15 (1)</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2Q16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YoY</w:t>
            </w:r>
          </w:p>
        </w:tc>
        <w:tc>
          <w:tcPr>
            <w:tcW w:w="120" w:type="dxa"/>
            <w:vAlign w:val="bottom"/>
            <w:tcBorders>
              <w:bottom w:val="single" w:sz="8" w:color="CCEEFF"/>
            </w:tcBorders>
          </w:tcPr>
          <w:p>
            <w:pPr>
              <w:spacing w:after="0"/>
              <w:rPr>
                <w:sz w:val="14"/>
                <w:szCs w:val="14"/>
                <w:color w:val="auto"/>
              </w:rPr>
            </w:pPr>
          </w:p>
        </w:tc>
      </w:tr>
      <w:tr>
        <w:trPr>
          <w:trHeight w:val="142"/>
        </w:trPr>
        <w:tc>
          <w:tcPr>
            <w:tcW w:w="4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w w:val="83"/>
              </w:rPr>
              <w:t>62,779</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55,488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79,316</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w:t>
            </w: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42.9%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50,846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56,586</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55,450</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56,438</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64,871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65,095</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Minor expenses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58,575</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53,803</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52,827</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53,030</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56,867</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61,101</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Programs and systems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53,142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60,743</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56,350</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30,018</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27,395</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25,422</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44,237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44,506</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44,442</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20,444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27,289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35,918</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Channels</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43,827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44,254</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46,989</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r>
      <w:tr>
        <w:trPr>
          <w:trHeight w:val="203"/>
        </w:trPr>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22,828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21,852</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3,703</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-83.1%</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administrative and general expenses</w:t>
            </w:r>
          </w:p>
        </w:tc>
        <w:tc>
          <w:tcPr>
            <w:tcW w:w="6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86"/>
              </w:rPr>
              <w:t>496,163</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513,652</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526,613</w:t>
            </w: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operating expenses/average total assets ratio posted a slight increase of +10 bps QoQ. This was primarily due to lower growth in total assets, which was in line with a decrease in non-interest bearing available funds this quarter. In the YoY analysis, no variation is evident.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Reported efficiency ratio by subsidiary </w:t>
      </w:r>
      <w:r>
        <w:rPr>
          <w:rFonts w:ascii="Arial" w:cs="Arial" w:eastAsia="Arial" w:hAnsi="Arial"/>
          <w:sz w:val="30"/>
          <w:szCs w:val="30"/>
          <w:b w:val="1"/>
          <w:bCs w:val="1"/>
          <w:color w:val="auto"/>
          <w:vertAlign w:val="superscript"/>
        </w:rPr>
        <w:t>(1)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BCP Stand-alone</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Mibanco</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BCP Bolivia</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ASB</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Grupo Pacífico</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Prima</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Credicorp Capital</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Credicorp</w:t>
            </w:r>
          </w:p>
        </w:tc>
      </w:tr>
      <w:tr>
        <w:trPr>
          <w:trHeight w:val="142"/>
        </w:trPr>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89"/>
        </w:trPr>
        <w:tc>
          <w:tcPr>
            <w:tcW w:w="2220" w:type="dxa"/>
            <w:vAlign w:val="bottom"/>
            <w:shd w:val="clear" w:color="auto" w:fill="CCEEFF"/>
          </w:tcPr>
          <w:p>
            <w:pPr>
              <w:jc w:val="center"/>
              <w:ind w:left="330"/>
              <w:spacing w:after="0" w:line="189" w:lineRule="exact"/>
              <w:rPr>
                <w:sz w:val="20"/>
                <w:szCs w:val="20"/>
                <w:color w:val="auto"/>
              </w:rPr>
            </w:pPr>
            <w:r>
              <w:rPr>
                <w:rFonts w:ascii="Arial" w:cs="Arial" w:eastAsia="Arial" w:hAnsi="Arial"/>
                <w:sz w:val="13"/>
                <w:szCs w:val="13"/>
                <w:b w:val="1"/>
                <w:bCs w:val="1"/>
                <w:color w:val="auto"/>
                <w:w w:val="95"/>
              </w:rPr>
              <w:t xml:space="preserve">3Q15 </w:t>
            </w:r>
            <w:r>
              <w:rPr>
                <w:rFonts w:ascii="Arial" w:cs="Arial" w:eastAsia="Arial" w:hAnsi="Arial"/>
                <w:sz w:val="21"/>
                <w:szCs w:val="21"/>
                <w:b w:val="1"/>
                <w:bCs w:val="1"/>
                <w:color w:val="auto"/>
                <w:w w:val="95"/>
                <w:vertAlign w:val="superscript"/>
              </w:rPr>
              <w:t>(2)</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40.7%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25.7%</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5"/>
              </w:rPr>
              <w:t>43.0%</w:t>
            </w:r>
          </w:p>
        </w:tc>
      </w:tr>
      <w:tr>
        <w:trPr>
          <w:trHeight w:val="149"/>
        </w:trPr>
        <w:tc>
          <w:tcPr>
            <w:tcW w:w="2220" w:type="dxa"/>
            <w:vAlign w:val="bottom"/>
          </w:tcPr>
          <w:p>
            <w:pPr>
              <w:jc w:val="center"/>
              <w:ind w:left="350"/>
              <w:spacing w:after="0" w:line="149" w:lineRule="exact"/>
              <w:rPr>
                <w:sz w:val="20"/>
                <w:szCs w:val="20"/>
                <w:color w:val="auto"/>
              </w:rPr>
            </w:pPr>
            <w:r>
              <w:rPr>
                <w:rFonts w:ascii="Arial" w:cs="Arial" w:eastAsia="Arial" w:hAnsi="Arial"/>
                <w:sz w:val="14"/>
                <w:szCs w:val="14"/>
                <w:b w:val="1"/>
                <w:bCs w:val="1"/>
                <w:color w:val="auto"/>
                <w:w w:val="93"/>
              </w:rPr>
              <w:t>2Q16</w:t>
            </w:r>
          </w:p>
        </w:tc>
        <w:tc>
          <w:tcPr>
            <w:tcW w:w="1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41.3%</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24.6%</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44.1%</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87.3%</w:t>
            </w: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95"/>
              </w:rPr>
              <w:t>43.9%</w:t>
            </w:r>
          </w:p>
        </w:tc>
      </w:tr>
      <w:tr>
        <w:trPr>
          <w:trHeight w:val="162"/>
        </w:trPr>
        <w:tc>
          <w:tcPr>
            <w:tcW w:w="2220" w:type="dxa"/>
            <w:vAlign w:val="bottom"/>
            <w:shd w:val="clear" w:color="auto" w:fill="CCEEFF"/>
          </w:tcPr>
          <w:p>
            <w:pPr>
              <w:jc w:val="center"/>
              <w:ind w:left="350"/>
              <w:spacing w:after="0"/>
              <w:rPr>
                <w:sz w:val="20"/>
                <w:szCs w:val="20"/>
                <w:color w:val="auto"/>
              </w:rPr>
            </w:pPr>
            <w:r>
              <w:rPr>
                <w:rFonts w:ascii="Arial" w:cs="Arial" w:eastAsia="Arial" w:hAnsi="Arial"/>
                <w:sz w:val="14"/>
                <w:szCs w:val="14"/>
                <w:b w:val="1"/>
                <w:bCs w:val="1"/>
                <w:color w:val="auto"/>
                <w:w w:val="93"/>
              </w:rPr>
              <w:t>3Q16</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113.5%</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5"/>
              </w:rPr>
              <w:t>43.8%</w:t>
            </w:r>
          </w:p>
        </w:tc>
      </w:tr>
      <w:tr>
        <w:trPr>
          <w:trHeight w:val="142"/>
        </w:trPr>
        <w:tc>
          <w:tcPr>
            <w:tcW w:w="2220" w:type="dxa"/>
            <w:vAlign w:val="bottom"/>
            <w:tcBorders>
              <w:bottom w:val="single" w:sz="8" w:color="CCEEFF"/>
            </w:tcBorders>
          </w:tcPr>
          <w:p>
            <w:pPr>
              <w:jc w:val="center"/>
              <w:ind w:left="330"/>
              <w:spacing w:after="0" w:line="142" w:lineRule="exact"/>
              <w:rPr>
                <w:sz w:val="20"/>
                <w:szCs w:val="20"/>
                <w:color w:val="auto"/>
              </w:rPr>
            </w:pPr>
            <w:r>
              <w:rPr>
                <w:rFonts w:ascii="Arial" w:cs="Arial" w:eastAsia="Arial" w:hAnsi="Arial"/>
                <w:sz w:val="14"/>
                <w:szCs w:val="14"/>
                <w:b w:val="1"/>
                <w:bCs w:val="1"/>
                <w:color w:val="auto"/>
                <w:w w:val="95"/>
              </w:rPr>
              <w:t>Var. QoQ</w:t>
            </w:r>
          </w:p>
        </w:tc>
        <w:tc>
          <w:tcPr>
            <w:tcW w:w="5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ind w:left="528"/>
              <w:spacing w:after="0" w:line="142" w:lineRule="exact"/>
              <w:rPr>
                <w:sz w:val="20"/>
                <w:szCs w:val="20"/>
                <w:color w:val="auto"/>
              </w:rPr>
            </w:pPr>
            <w:r>
              <w:rPr>
                <w:rFonts w:ascii="Arial" w:cs="Arial" w:eastAsia="Arial" w:hAnsi="Arial"/>
                <w:sz w:val="14"/>
                <w:szCs w:val="14"/>
                <w:b w:val="1"/>
                <w:bCs w:val="1"/>
                <w:color w:val="auto"/>
                <w:w w:val="89"/>
              </w:rPr>
              <w:t>-10 bps</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 bps</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w w:val="88"/>
              </w:rPr>
              <w:t>160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 bps</w:t>
            </w: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2620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140" w:type="dxa"/>
            <w:vAlign w:val="bottom"/>
            <w:tcBorders>
              <w:bottom w:val="single" w:sz="8" w:color="CCEEFF"/>
            </w:tcBorders>
          </w:tcPr>
          <w:p>
            <w:pPr>
              <w:spacing w:after="0"/>
              <w:rPr>
                <w:sz w:val="12"/>
                <w:szCs w:val="12"/>
                <w:color w:val="auto"/>
              </w:rPr>
            </w:pPr>
          </w:p>
        </w:tc>
      </w:tr>
      <w:tr>
        <w:trPr>
          <w:trHeight w:val="142"/>
        </w:trPr>
        <w:tc>
          <w:tcPr>
            <w:tcW w:w="2220" w:type="dxa"/>
            <w:vAlign w:val="bottom"/>
            <w:shd w:val="clear" w:color="auto" w:fill="CCEEFF"/>
          </w:tcPr>
          <w:p>
            <w:pPr>
              <w:jc w:val="center"/>
              <w:ind w:left="350"/>
              <w:spacing w:after="0" w:line="142" w:lineRule="exact"/>
              <w:rPr>
                <w:sz w:val="20"/>
                <w:szCs w:val="20"/>
                <w:color w:val="auto"/>
              </w:rPr>
            </w:pPr>
            <w:r>
              <w:rPr>
                <w:rFonts w:ascii="Arial" w:cs="Arial" w:eastAsia="Arial" w:hAnsi="Arial"/>
                <w:sz w:val="14"/>
                <w:szCs w:val="14"/>
                <w:b w:val="1"/>
                <w:bCs w:val="1"/>
                <w:color w:val="auto"/>
                <w:w w:val="97"/>
              </w:rPr>
              <w:t>Var. YoY</w:t>
            </w:r>
          </w:p>
        </w:tc>
        <w:tc>
          <w:tcPr>
            <w:tcW w:w="5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center"/>
              <w:ind w:left="588"/>
              <w:spacing w:after="0" w:line="142" w:lineRule="exact"/>
              <w:rPr>
                <w:sz w:val="20"/>
                <w:szCs w:val="20"/>
                <w:color w:val="auto"/>
              </w:rPr>
            </w:pPr>
            <w:r>
              <w:rPr>
                <w:rFonts w:ascii="Arial" w:cs="Arial" w:eastAsia="Arial" w:hAnsi="Arial"/>
                <w:sz w:val="14"/>
                <w:szCs w:val="14"/>
                <w:b w:val="1"/>
                <w:bCs w:val="1"/>
                <w:color w:val="auto"/>
                <w:w w:val="85"/>
              </w:rPr>
              <w:t>50 bps</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-800 bps</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-170 bps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w w:val="88"/>
              </w:rPr>
              <w:t>300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 bps</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1940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 bps</w:t>
            </w:r>
          </w:p>
        </w:tc>
        <w:tc>
          <w:tcPr>
            <w:tcW w:w="140" w:type="dxa"/>
            <w:vAlign w:val="bottom"/>
            <w:shd w:val="clear" w:color="auto" w:fill="CCEEFF"/>
          </w:tcPr>
          <w:p>
            <w:pPr>
              <w:spacing w:after="0"/>
              <w:rPr>
                <w:sz w:val="12"/>
                <w:szCs w:val="12"/>
                <w:color w:val="auto"/>
              </w:rPr>
            </w:pPr>
          </w:p>
        </w:tc>
      </w:tr>
      <w:tr>
        <w:trPr>
          <w:trHeight w:val="142"/>
        </w:trPr>
        <w:tc>
          <w:tcPr>
            <w:tcW w:w="2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220" w:type="dxa"/>
            <w:vAlign w:val="bottom"/>
            <w:shd w:val="clear" w:color="auto" w:fill="CCEEFF"/>
          </w:tcPr>
          <w:p>
            <w:pPr>
              <w:jc w:val="center"/>
              <w:ind w:left="350"/>
              <w:spacing w:after="0" w:line="149" w:lineRule="exact"/>
              <w:rPr>
                <w:sz w:val="20"/>
                <w:szCs w:val="20"/>
                <w:color w:val="auto"/>
              </w:rPr>
            </w:pPr>
            <w:r>
              <w:rPr>
                <w:rFonts w:ascii="Arial" w:cs="Arial" w:eastAsia="Arial" w:hAnsi="Arial"/>
                <w:sz w:val="14"/>
                <w:szCs w:val="14"/>
                <w:b w:val="1"/>
                <w:bCs w:val="1"/>
                <w:color w:val="auto"/>
                <w:w w:val="90"/>
              </w:rPr>
              <w:t>Acum. Set 15</w:t>
            </w:r>
          </w:p>
        </w:tc>
        <w:tc>
          <w:tcPr>
            <w:tcW w:w="1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67.8%</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12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102.6%</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w w:val="95"/>
              </w:rPr>
              <w:t>42.9%</w:t>
            </w:r>
          </w:p>
        </w:tc>
      </w:tr>
      <w:tr>
        <w:trPr>
          <w:trHeight w:val="162"/>
        </w:trPr>
        <w:tc>
          <w:tcPr>
            <w:tcW w:w="2220" w:type="dxa"/>
            <w:vAlign w:val="bottom"/>
          </w:tcPr>
          <w:p>
            <w:pPr>
              <w:jc w:val="center"/>
              <w:ind w:left="350"/>
              <w:spacing w:after="0"/>
              <w:rPr>
                <w:sz w:val="20"/>
                <w:szCs w:val="20"/>
                <w:color w:val="auto"/>
              </w:rPr>
            </w:pPr>
            <w:r>
              <w:rPr>
                <w:rFonts w:ascii="Arial" w:cs="Arial" w:eastAsia="Arial" w:hAnsi="Arial"/>
                <w:sz w:val="14"/>
                <w:szCs w:val="14"/>
                <w:b w:val="1"/>
                <w:bCs w:val="1"/>
                <w:color w:val="auto"/>
                <w:w w:val="90"/>
              </w:rPr>
              <w:t>Acum. Set 16</w:t>
            </w:r>
          </w:p>
        </w:tc>
        <w:tc>
          <w:tcPr>
            <w:tcW w:w="1800" w:type="dxa"/>
            <w:vAlign w:val="bottom"/>
            <w:gridSpan w:val="3"/>
          </w:tcPr>
          <w:p>
            <w:pPr>
              <w:jc w:val="right"/>
              <w:ind w:right="120"/>
              <w:spacing w:after="0"/>
              <w:rPr>
                <w:sz w:val="20"/>
                <w:szCs w:val="20"/>
                <w:color w:val="auto"/>
              </w:rPr>
            </w:pPr>
            <w:r>
              <w:rPr>
                <w:rFonts w:ascii="Arial" w:cs="Arial" w:eastAsia="Arial" w:hAnsi="Arial"/>
                <w:sz w:val="14"/>
                <w:szCs w:val="14"/>
                <w:color w:val="auto"/>
              </w:rPr>
              <w:t>40.6%</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57.6%</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56.3%</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27.9%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105.0%</w:t>
            </w:r>
          </w:p>
        </w:tc>
        <w:tc>
          <w:tcPr>
            <w:tcW w:w="920" w:type="dxa"/>
            <w:vAlign w:val="bottom"/>
            <w:gridSpan w:val="2"/>
          </w:tcPr>
          <w:p>
            <w:pPr>
              <w:ind w:left="520"/>
              <w:spacing w:after="0"/>
              <w:rPr>
                <w:sz w:val="20"/>
                <w:szCs w:val="20"/>
                <w:color w:val="auto"/>
              </w:rPr>
            </w:pPr>
            <w:r>
              <w:rPr>
                <w:rFonts w:ascii="Arial" w:cs="Arial" w:eastAsia="Arial" w:hAnsi="Arial"/>
                <w:sz w:val="14"/>
                <w:szCs w:val="14"/>
                <w:b w:val="1"/>
                <w:bCs w:val="1"/>
                <w:color w:val="auto"/>
                <w:w w:val="95"/>
              </w:rPr>
              <w:t>43.3%</w:t>
            </w:r>
          </w:p>
        </w:tc>
      </w:tr>
      <w:tr>
        <w:trPr>
          <w:trHeight w:val="106"/>
        </w:trPr>
        <w:tc>
          <w:tcPr>
            <w:tcW w:w="2220" w:type="dxa"/>
            <w:vAlign w:val="bottom"/>
            <w:tcBorders>
              <w:top w:val="single" w:sz="8" w:color="CCEEFF"/>
            </w:tcBorders>
            <w:shd w:val="clear" w:color="auto" w:fill="CCEEFF"/>
          </w:tcPr>
          <w:p>
            <w:pPr>
              <w:jc w:val="center"/>
              <w:ind w:left="310"/>
              <w:spacing w:after="0" w:line="106" w:lineRule="exact"/>
              <w:rPr>
                <w:sz w:val="20"/>
                <w:szCs w:val="20"/>
                <w:color w:val="auto"/>
              </w:rPr>
            </w:pPr>
            <w:r>
              <w:rPr>
                <w:rFonts w:ascii="Arial" w:cs="Arial" w:eastAsia="Arial" w:hAnsi="Arial"/>
                <w:sz w:val="12"/>
                <w:szCs w:val="12"/>
                <w:b w:val="1"/>
                <w:bCs w:val="1"/>
                <w:color w:val="auto"/>
              </w:rPr>
              <w:t>Var.</w:t>
            </w:r>
          </w:p>
        </w:tc>
        <w:tc>
          <w:tcPr>
            <w:tcW w:w="5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49"/>
        </w:trPr>
        <w:tc>
          <w:tcPr>
            <w:tcW w:w="2220" w:type="dxa"/>
            <w:vAlign w:val="bottom"/>
            <w:shd w:val="clear" w:color="auto" w:fill="CCEEFF"/>
          </w:tcPr>
          <w:p>
            <w:pPr>
              <w:jc w:val="center"/>
              <w:ind w:left="310"/>
              <w:spacing w:after="0" w:line="149" w:lineRule="exact"/>
              <w:rPr>
                <w:sz w:val="20"/>
                <w:szCs w:val="20"/>
                <w:color w:val="auto"/>
              </w:rPr>
            </w:pPr>
            <w:r>
              <w:rPr>
                <w:rFonts w:ascii="Arial" w:cs="Arial" w:eastAsia="Arial" w:hAnsi="Arial"/>
                <w:sz w:val="14"/>
                <w:szCs w:val="14"/>
                <w:b w:val="1"/>
                <w:bCs w:val="1"/>
                <w:color w:val="auto"/>
                <w:w w:val="90"/>
              </w:rPr>
              <w:t>Acum. Set 16</w:t>
            </w: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85"/>
        </w:trPr>
        <w:tc>
          <w:tcPr>
            <w:tcW w:w="2220" w:type="dxa"/>
            <w:vAlign w:val="bottom"/>
            <w:shd w:val="clear" w:color="auto" w:fill="CCEEFF"/>
          </w:tcPr>
          <w:p>
            <w:pPr>
              <w:jc w:val="center"/>
              <w:ind w:left="350"/>
              <w:spacing w:after="0"/>
              <w:rPr>
                <w:sz w:val="20"/>
                <w:szCs w:val="20"/>
                <w:color w:val="auto"/>
              </w:rPr>
            </w:pPr>
            <w:r>
              <w:rPr>
                <w:rFonts w:ascii="Arial" w:cs="Arial" w:eastAsia="Arial" w:hAnsi="Arial"/>
                <w:sz w:val="14"/>
                <w:szCs w:val="14"/>
                <w:b w:val="1"/>
                <w:bCs w:val="1"/>
                <w:color w:val="auto"/>
                <w:w w:val="90"/>
              </w:rPr>
              <w:t>Acum. Set 15</w:t>
            </w: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b w:val="1"/>
                <w:bCs w:val="1"/>
                <w:color w:val="auto"/>
                <w:w w:val="89"/>
              </w:rPr>
              <w:t>-10 bps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70 bps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-1150 bps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120 bps</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color w:val="auto"/>
              </w:rPr>
              <w:t>190 bps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120 bps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240 bps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 bps</w:t>
            </w:r>
          </w:p>
        </w:tc>
      </w:tr>
      <w:tr>
        <w:trPr>
          <w:trHeight w:val="20"/>
        </w:trPr>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Operating income + acquisition cost - other expenses) / (Net interest income + fee income + Net gain from associates + net earned premiums.</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quarterly analysis, the efficiency ratio was situated at 43.8% at the end of 3Q16, which was ten points lower than the 43.9% reported in 2Q16. This evolution was due to growth in operating income QoQ, in line with an increase in net interest income -mainly at BCP Standalone and Mibanco- which offset lower net interest income at Credicorp Capital. This led to an improvement in the efficiency ratio despite an increase in operating expenses.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Credicorp’s efficiency ratio grew 80 bps due to higher spending for employee salaries and benefits at Mibanco and Credicorp Capital and to an increase in administrative and general expenses at BCP Standalone.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accumulated efficiency ratio grew +40bps due to growth in i) administrative, general and tax expenses at BCP Standalone and ii) Employee salaries and benefits at Mibanco.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8.1</w:t>
            </w:r>
          </w:p>
        </w:tc>
        <w:tc>
          <w:tcPr>
            <w:tcW w:w="46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Regulatory Capital – BAP</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gridSpan w:val="2"/>
          </w:tcPr>
          <w:p>
            <w:pPr>
              <w:spacing w:after="0"/>
              <w:rPr>
                <w:sz w:val="20"/>
                <w:szCs w:val="20"/>
                <w:color w:val="auto"/>
              </w:rPr>
            </w:pPr>
            <w:r>
              <w:rPr>
                <w:rFonts w:ascii="Arial" w:cs="Arial" w:eastAsia="Arial" w:hAnsi="Arial"/>
                <w:sz w:val="18"/>
                <w:szCs w:val="18"/>
                <w:color w:val="auto"/>
              </w:rPr>
              <w:t>S/ 000</w:t>
            </w: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2Q16</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3Q16</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1,400,339</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1,392,750</w:t>
            </w:r>
          </w:p>
        </w:tc>
        <w:tc>
          <w:tcPr>
            <w:tcW w:w="2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1,389,100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Legal and Other capital reserves (1)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11,127,858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13,507,601</w:t>
            </w:r>
          </w:p>
        </w:tc>
        <w:tc>
          <w:tcPr>
            <w:tcW w:w="1040" w:type="dxa"/>
            <w:vAlign w:val="bottom"/>
          </w:tcPr>
          <w:p>
            <w:pPr>
              <w:jc w:val="right"/>
              <w:spacing w:after="0"/>
              <w:rPr>
                <w:sz w:val="20"/>
                <w:szCs w:val="20"/>
                <w:color w:val="auto"/>
              </w:rPr>
            </w:pPr>
            <w:r>
              <w:rPr>
                <w:rFonts w:ascii="Arial" w:cs="Arial" w:eastAsia="Arial" w:hAnsi="Arial"/>
                <w:sz w:val="18"/>
                <w:szCs w:val="18"/>
                <w:color w:val="auto"/>
              </w:rPr>
              <w:t>13,524,557</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359,162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395,472</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324,414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Loan loss reserves (3)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1,247,615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1,285,561</w:t>
            </w:r>
          </w:p>
        </w:tc>
        <w:tc>
          <w:tcPr>
            <w:tcW w:w="1040" w:type="dxa"/>
            <w:vAlign w:val="bottom"/>
          </w:tcPr>
          <w:p>
            <w:pPr>
              <w:jc w:val="right"/>
              <w:spacing w:after="0"/>
              <w:rPr>
                <w:sz w:val="20"/>
                <w:szCs w:val="20"/>
                <w:color w:val="auto"/>
              </w:rPr>
            </w:pPr>
            <w:r>
              <w:rPr>
                <w:rFonts w:ascii="Arial" w:cs="Arial" w:eastAsia="Arial" w:hAnsi="Arial"/>
                <w:sz w:val="18"/>
                <w:szCs w:val="18"/>
                <w:color w:val="auto"/>
              </w:rPr>
              <w:t>1,318,376</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822,250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4,796,314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5,039,308</w:t>
            </w:r>
          </w:p>
        </w:tc>
        <w:tc>
          <w:tcPr>
            <w:tcW w:w="1040" w:type="dxa"/>
            <w:vAlign w:val="bottom"/>
          </w:tcPr>
          <w:p>
            <w:pPr>
              <w:jc w:val="right"/>
              <w:spacing w:after="0"/>
              <w:rPr>
                <w:sz w:val="20"/>
                <w:szCs w:val="20"/>
                <w:color w:val="auto"/>
              </w:rPr>
            </w:pPr>
            <w:r>
              <w:rPr>
                <w:rFonts w:ascii="Arial" w:cs="Arial" w:eastAsia="Arial" w:hAnsi="Arial"/>
                <w:sz w:val="18"/>
                <w:szCs w:val="18"/>
                <w:color w:val="auto"/>
              </w:rPr>
              <w:t>5,181,341</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(930,541)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(728,148)</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(731,447)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(721,067)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(633,611)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(628,458)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Deduction for Tier I Limit (50% of Regulatory capital) (4)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18,085,180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21,081,183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21,227,882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10,697,542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12,180,475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12,137,020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Tier II (6) + Tier III (7)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7,387,638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8,900,708</w:t>
            </w:r>
          </w:p>
        </w:tc>
        <w:tc>
          <w:tcPr>
            <w:tcW w:w="1040" w:type="dxa"/>
            <w:vAlign w:val="bottom"/>
          </w:tcPr>
          <w:p>
            <w:pPr>
              <w:jc w:val="right"/>
              <w:spacing w:after="0"/>
              <w:rPr>
                <w:sz w:val="20"/>
                <w:szCs w:val="20"/>
                <w:color w:val="auto"/>
              </w:rPr>
            </w:pPr>
            <w:r>
              <w:rPr>
                <w:rFonts w:ascii="Arial" w:cs="Arial" w:eastAsia="Arial" w:hAnsi="Arial"/>
                <w:sz w:val="18"/>
                <w:szCs w:val="18"/>
                <w:color w:val="auto"/>
              </w:rPr>
              <w:t>9,090,861</w:t>
            </w:r>
          </w:p>
        </w:tc>
        <w:tc>
          <w:tcPr>
            <w:tcW w:w="18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4"/>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14,961,433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15,653,442</w:t>
            </w:r>
          </w:p>
        </w:tc>
        <w:tc>
          <w:tcPr>
            <w:tcW w:w="1040" w:type="dxa"/>
            <w:vAlign w:val="bottom"/>
          </w:tcPr>
          <w:p>
            <w:pPr>
              <w:jc w:val="right"/>
              <w:spacing w:after="0"/>
              <w:rPr>
                <w:sz w:val="20"/>
                <w:szCs w:val="20"/>
                <w:color w:val="auto"/>
              </w:rPr>
            </w:pPr>
            <w:r>
              <w:rPr>
                <w:rFonts w:ascii="Arial" w:cs="Arial" w:eastAsia="Arial" w:hAnsi="Arial"/>
                <w:sz w:val="18"/>
                <w:szCs w:val="18"/>
                <w:color w:val="auto"/>
              </w:rPr>
              <w:t>16,252,647</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917,299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923,434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FCG Capital Requirements related to operations with ICG (8)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(139,375)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(325,433)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(306,820)</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 (9)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15,739,357</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16,251,443</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16,932,446</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Required Regulatory Capital Ratio (10)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10,571 million) and optional capital reserves (PEN 2,954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Minority interest includes Tier I (PEN 357.1 million) and Tier II (PEN 2.1 million) minority interests.</w:t>
      </w:r>
    </w:p>
    <w:p>
      <w:pPr>
        <w:spacing w:after="0" w:line="9" w:lineRule="exact"/>
        <w:rPr>
          <w:rFonts w:ascii="Arial" w:cs="Arial" w:eastAsia="Arial" w:hAnsi="Arial"/>
          <w:sz w:val="18"/>
          <w:szCs w:val="18"/>
          <w:color w:val="auto"/>
        </w:rPr>
      </w:pPr>
    </w:p>
    <w:p>
      <w:pPr>
        <w:ind w:firstLine="8"/>
        <w:spacing w:after="0" w:line="250" w:lineRule="auto"/>
        <w:tabs>
          <w:tab w:leader="none" w:pos="2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Tier II + Tier III can 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September 2016, Credicorp reported a comfortable capitalization level that was 1.25 times higher than the capital required by the Peruvian Regulator. This ratio posted a slight decrease QoQ because the regulatory capital requirement expanded +4.2% QoQ while Credicorp’s regulatory capital only grew +0.7% QoQ.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growth in regulatory capital was due primarily to the subordinated debt issued in 3Q by BCP Stand-alone.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increase in the regulatory capital requirement was due mainly to the higher capital requirement from the consolidated financial group, which in turn reflected the higher capital required for loan growth at BCP Stand-alone.</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8.2</w:t>
            </w:r>
          </w:p>
        </w:tc>
        <w:tc>
          <w:tcPr>
            <w:tcW w:w="574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w w:val="90"/>
              </w:rPr>
              <w:t>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color w:val="auto"/>
              </w:rPr>
              <w:t>S/ 000</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3Q15</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3Q16</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8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3,157,906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3,582,218</w:t>
            </w:r>
          </w:p>
        </w:tc>
        <w:tc>
          <w:tcPr>
            <w:tcW w:w="1020" w:type="dxa"/>
            <w:vAlign w:val="bottom"/>
          </w:tcPr>
          <w:p>
            <w:pPr>
              <w:jc w:val="right"/>
              <w:spacing w:after="0"/>
              <w:rPr>
                <w:sz w:val="20"/>
                <w:szCs w:val="20"/>
                <w:color w:val="auto"/>
              </w:rPr>
            </w:pPr>
            <w:r>
              <w:rPr>
                <w:rFonts w:ascii="Arial" w:cs="Arial" w:eastAsia="Arial" w:hAnsi="Arial"/>
                <w:sz w:val="18"/>
                <w:szCs w:val="18"/>
                <w:color w:val="auto"/>
              </w:rPr>
              <w:t>3,582,218</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1,105,826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1,140,215</w:t>
            </w:r>
          </w:p>
        </w:tc>
        <w:tc>
          <w:tcPr>
            <w:tcW w:w="1020" w:type="dxa"/>
            <w:vAlign w:val="bottom"/>
          </w:tcPr>
          <w:p>
            <w:pPr>
              <w:jc w:val="right"/>
              <w:spacing w:after="0"/>
              <w:rPr>
                <w:sz w:val="20"/>
                <w:szCs w:val="20"/>
                <w:color w:val="auto"/>
              </w:rPr>
            </w:pPr>
            <w:r>
              <w:rPr>
                <w:rFonts w:ascii="Arial" w:cs="Arial" w:eastAsia="Arial" w:hAnsi="Arial"/>
                <w:sz w:val="18"/>
                <w:szCs w:val="18"/>
                <w:color w:val="auto"/>
              </w:rPr>
              <w:t>1,165,100</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805,500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822,250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4,361,716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4,442,054</w:t>
            </w:r>
          </w:p>
        </w:tc>
        <w:tc>
          <w:tcPr>
            <w:tcW w:w="1020" w:type="dxa"/>
            <w:vAlign w:val="bottom"/>
          </w:tcPr>
          <w:p>
            <w:pPr>
              <w:jc w:val="right"/>
              <w:spacing w:after="0"/>
              <w:rPr>
                <w:sz w:val="20"/>
                <w:szCs w:val="20"/>
                <w:color w:val="auto"/>
              </w:rPr>
            </w:pPr>
            <w:r>
              <w:rPr>
                <w:rFonts w:ascii="Arial" w:cs="Arial" w:eastAsia="Arial" w:hAnsi="Arial"/>
                <w:sz w:val="18"/>
                <w:szCs w:val="18"/>
                <w:color w:val="auto"/>
              </w:rPr>
              <w:t>4,575,152</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tcPr>
          <w:p>
            <w:pPr>
              <w:spacing w:after="0" w:line="201" w:lineRule="exact"/>
              <w:rPr>
                <w:sz w:val="20"/>
                <w:szCs w:val="20"/>
                <w:color w:val="auto"/>
              </w:rPr>
            </w:pPr>
            <w:r>
              <w:rPr>
                <w:rFonts w:ascii="Arial" w:cs="Arial" w:eastAsia="Arial" w:hAnsi="Arial"/>
                <w:sz w:val="18"/>
                <w:szCs w:val="18"/>
                <w:color w:val="auto"/>
                <w:w w:val="92"/>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income</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(1,687,497)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(1,228,010)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(1,208,055)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(1,920,128)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(1,347,105)</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(1,412,072)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232,631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119,095</w:t>
            </w:r>
          </w:p>
        </w:tc>
        <w:tc>
          <w:tcPr>
            <w:tcW w:w="1020" w:type="dxa"/>
            <w:vAlign w:val="bottom"/>
          </w:tcPr>
          <w:p>
            <w:pPr>
              <w:jc w:val="right"/>
              <w:spacing w:after="0"/>
              <w:rPr>
                <w:sz w:val="20"/>
                <w:szCs w:val="20"/>
                <w:color w:val="auto"/>
              </w:rPr>
            </w:pPr>
            <w:r>
              <w:rPr>
                <w:rFonts w:ascii="Arial" w:cs="Arial" w:eastAsia="Arial" w:hAnsi="Arial"/>
                <w:sz w:val="18"/>
                <w:szCs w:val="18"/>
                <w:color w:val="auto"/>
              </w:rPr>
              <w:t>204,017</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13,475,418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15,702,990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15,908,678</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Off-balance sheet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29,097,439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31,913,377</w:t>
            </w:r>
          </w:p>
        </w:tc>
        <w:tc>
          <w:tcPr>
            <w:tcW w:w="1020" w:type="dxa"/>
            <w:vAlign w:val="bottom"/>
          </w:tcPr>
          <w:p>
            <w:pPr>
              <w:jc w:val="right"/>
              <w:spacing w:after="0"/>
              <w:rPr>
                <w:sz w:val="20"/>
                <w:szCs w:val="20"/>
                <w:color w:val="auto"/>
              </w:rPr>
            </w:pPr>
            <w:r>
              <w:rPr>
                <w:rFonts w:ascii="Arial" w:cs="Arial" w:eastAsia="Arial" w:hAnsi="Arial"/>
                <w:sz w:val="18"/>
                <w:szCs w:val="18"/>
                <w:color w:val="auto"/>
              </w:rPr>
              <w:t>33,188,994</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 w:type="dxa"/>
            <w:vAlign w:val="bottom"/>
          </w:tcPr>
          <w:p>
            <w:pPr>
              <w:spacing w:after="0" w:line="256" w:lineRule="exact"/>
              <w:rPr>
                <w:sz w:val="20"/>
                <w:szCs w:val="20"/>
                <w:color w:val="auto"/>
              </w:rPr>
            </w:pPr>
            <w:r>
              <w:rPr>
                <w:rFonts w:ascii="Arial" w:cs="Arial" w:eastAsia="Arial" w:hAnsi="Arial"/>
                <w:sz w:val="18"/>
                <w:szCs w:val="18"/>
                <w:color w:val="auto"/>
                <w:w w:val="83"/>
              </w:rPr>
              <w:t xml:space="preserve">Tier 1 </w:t>
            </w:r>
            <w:r>
              <w:rPr>
                <w:rFonts w:ascii="Arial" w:cs="Arial" w:eastAsia="Arial" w:hAnsi="Arial"/>
                <w:sz w:val="29"/>
                <w:szCs w:val="29"/>
                <w:color w:val="auto"/>
                <w:w w:val="83"/>
                <w:vertAlign w:val="superscript"/>
              </w:rPr>
              <w:t>(2)</w:t>
            </w:r>
          </w:p>
        </w:tc>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8,967,941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10,794,274</w:t>
            </w:r>
          </w:p>
        </w:tc>
        <w:tc>
          <w:tcPr>
            <w:tcW w:w="1020" w:type="dxa"/>
            <w:vAlign w:val="bottom"/>
          </w:tcPr>
          <w:p>
            <w:pPr>
              <w:jc w:val="right"/>
              <w:spacing w:after="0"/>
              <w:rPr>
                <w:sz w:val="20"/>
                <w:szCs w:val="20"/>
                <w:color w:val="auto"/>
              </w:rPr>
            </w:pPr>
            <w:r>
              <w:rPr>
                <w:rFonts w:ascii="Arial" w:cs="Arial" w:eastAsia="Arial" w:hAnsi="Arial"/>
                <w:sz w:val="18"/>
                <w:szCs w:val="18"/>
                <w:color w:val="auto"/>
              </w:rPr>
              <w:t>10,874,463</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4,507,478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4,908,716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5,034,216</w:t>
            </w:r>
          </w:p>
        </w:tc>
        <w:tc>
          <w:tcPr>
            <w:tcW w:w="260" w:type="dxa"/>
            <w:vAlign w:val="bottom"/>
            <w:tcBorders>
              <w:left w:val="single" w:sz="8" w:color="CCEEFF"/>
            </w:tcBorders>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97,003,577</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99,612,081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102,270,784</w:t>
            </w:r>
          </w:p>
        </w:tc>
        <w:tc>
          <w:tcPr>
            <w:tcW w:w="260" w:type="dxa"/>
            <w:vAlign w:val="bottom"/>
            <w:tcBorders>
              <w:left w:val="single" w:sz="8" w:color="CCEEFF"/>
            </w:tcBorders>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3"/>
            <w:vMerge w:val="continue"/>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1,537,512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707,066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1,172,830</w:t>
            </w:r>
          </w:p>
        </w:tc>
        <w:tc>
          <w:tcPr>
            <w:tcW w:w="2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88,466,066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91,217,162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93,207,994</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6,999,999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7,687,852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7,889,960</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Adjusted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96,565,298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99,124,208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101,763,810</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3"/>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97,003,577</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99,612,081</w:t>
            </w:r>
          </w:p>
        </w:tc>
        <w:tc>
          <w:tcPr>
            <w:tcW w:w="28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102,270,784</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438,279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487,873</w:t>
            </w:r>
          </w:p>
        </w:tc>
        <w:tc>
          <w:tcPr>
            <w:tcW w:w="1020" w:type="dxa"/>
            <w:vAlign w:val="bottom"/>
          </w:tcPr>
          <w:p>
            <w:pPr>
              <w:jc w:val="right"/>
              <w:spacing w:after="0"/>
              <w:rPr>
                <w:sz w:val="20"/>
                <w:szCs w:val="20"/>
                <w:color w:val="auto"/>
              </w:rPr>
            </w:pPr>
            <w:r>
              <w:rPr>
                <w:rFonts w:ascii="Arial" w:cs="Arial" w:eastAsia="Arial" w:hAnsi="Arial"/>
                <w:sz w:val="18"/>
                <w:szCs w:val="18"/>
                <w:color w:val="auto"/>
              </w:rPr>
              <w:t>506,974</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 RWA Deferred tax assets generated as a result of temporary</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differences in income tax, in excess of 10% of CET1</w:t>
            </w: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w w:val="95"/>
              </w:rPr>
              <w:t>(-) RWA Deferred tax assets generated as a result of past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11,739,677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12,060,046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12,541,229</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3"/>
            <w:vMerge w:val="continue"/>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153,751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70,707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117,283</w:t>
            </w: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8,846,607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9,121,716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9,320,799</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700,000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768,785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788,996</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2,039,319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2,098,838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2,314,150</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7.20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6.34</w:t>
            </w: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firstLine="8"/>
        <w:spacing w:after="0" w:line="265" w:lineRule="auto"/>
        <w:tabs>
          <w:tab w:leader="none" w:pos="29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2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53"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At the end of 3Q16, BCP Stand-Alone (Peru GAAP) registered a slight reduction in its capital ratios.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this sense, the BIS ratio was situated at 15.56%, which represented a decrease over the figure posted in 2Q16. This was due to the increase in Risk-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Weighted Assets (RWAs) in general and credit risk RWAs in particular, which reflect the greater dynamism in loan growth, compared to the previous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although in a much lesser degree, the market risk RWAs increased due to a higher capital requirement related to interest rate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was situated at 10.63%, due to the increase in RWAs.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Common equity tier 1 (CET1) ratio, which is considered the most rigorous in terms of measuring capitalization levels, reported an increase of 44 bps and situated at 10.64% at the end of September, mainly due to the net income generated in 3Q.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44" w:lineRule="exact"/>
        <w:rPr>
          <w:sz w:val="20"/>
          <w:szCs w:val="20"/>
          <w:color w:val="auto"/>
        </w:rPr>
      </w:pPr>
    </w:p>
    <w:tbl>
      <w:tblPr>
        <w:tblLayout w:type="fixed"/>
        <w:tblInd w:w="2420" w:type="dxa"/>
        <w:tblCellMar>
          <w:top w:w="0" w:type="dxa"/>
          <w:left w:w="0" w:type="dxa"/>
          <w:bottom w:w="0" w:type="dxa"/>
          <w:right w:w="0" w:type="dxa"/>
        </w:tblCellMar>
      </w:tblPr>
      <w:tr>
        <w:trPr>
          <w:trHeight w:val="254"/>
        </w:trPr>
        <w:tc>
          <w:tcPr>
            <w:tcW w:w="3320" w:type="dxa"/>
            <w:vAlign w:val="bottom"/>
            <w:tcBorders>
              <w:right w:val="single" w:sz="8" w:color="99CC00"/>
            </w:tcBorders>
          </w:tcPr>
          <w:p>
            <w:pPr>
              <w:spacing w:after="0"/>
              <w:rPr>
                <w:sz w:val="20"/>
                <w:szCs w:val="20"/>
                <w:color w:val="auto"/>
              </w:rPr>
            </w:pPr>
            <w:r>
              <w:rPr>
                <w:rFonts w:ascii="Arial" w:cs="Arial" w:eastAsia="Arial" w:hAnsi="Arial"/>
                <w:sz w:val="18"/>
                <w:szCs w:val="18"/>
                <w:b w:val="1"/>
                <w:bCs w:val="1"/>
                <w:color w:val="auto"/>
              </w:rPr>
              <w:t>June 2016</w:t>
            </w:r>
          </w:p>
        </w:tc>
        <w:tc>
          <w:tcPr>
            <w:tcW w:w="3500" w:type="dxa"/>
            <w:vAlign w:val="bottom"/>
          </w:tcPr>
          <w:p>
            <w:pPr>
              <w:ind w:left="2260"/>
              <w:spacing w:after="0"/>
              <w:rPr>
                <w:sz w:val="20"/>
                <w:szCs w:val="20"/>
                <w:color w:val="auto"/>
              </w:rPr>
            </w:pPr>
            <w:r>
              <w:rPr>
                <w:rFonts w:ascii="Arial" w:cs="Arial" w:eastAsia="Arial" w:hAnsi="Arial"/>
                <w:sz w:val="18"/>
                <w:szCs w:val="18"/>
                <w:b w:val="1"/>
                <w:bCs w:val="1"/>
                <w:color w:val="auto"/>
                <w:w w:val="88"/>
              </w:rPr>
              <w:t>September 2016</w:t>
            </w:r>
          </w:p>
        </w:tc>
      </w:tr>
      <w:tr>
        <w:trPr>
          <w:trHeight w:val="2312"/>
        </w:trPr>
        <w:tc>
          <w:tcPr>
            <w:tcW w:w="3320" w:type="dxa"/>
            <w:vAlign w:val="bottom"/>
            <w:tcBorders>
              <w:right w:val="single" w:sz="8" w:color="99CC00"/>
            </w:tcBorders>
          </w:tcPr>
          <w:p>
            <w:pPr>
              <w:spacing w:after="0"/>
              <w:rPr>
                <w:sz w:val="24"/>
                <w:szCs w:val="24"/>
                <w:color w:val="auto"/>
              </w:rPr>
            </w:pP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-1354455</wp:posOffset>
            </wp:positionV>
            <wp:extent cx="6474460" cy="132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74460" cy="13208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Includes minor investments.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9.</w:t>
            </w: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rPr>
              <w:t>Distribution channels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3Q15</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2Q16</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3Q16</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8,019</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8,343</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8,597</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Mibanco's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8,338</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8,667</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8,913</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BCP Consolidated's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9,320</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80"/>
        <w:spacing w:after="0" w:line="277" w:lineRule="auto"/>
        <w:tabs>
          <w:tab w:leader="none" w:pos="12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Mibanco does not have Agentes or ATM s because it uses the BCP network. Mibanco branches include Banco de la Nacion branches, which in 3Q15, 2Q16 and 3Q16 were 38.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posted a total of 9,320 points of contact at the end of 3Q16, which represented an increase of 252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reported a total of 8,597 points of contact at the end of 3Q16, which represented an increase of 254 points QoQ. The aforementioned was due primarily to an increase in Agentes BCP (+242 QoQ), which took place mainly in Lima (+171 QoQ). This meant that the percentage of points of contact in Lima remained at 56%.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Mibanco reduced its number of offices by 8 points QoQ. It is important to note that Mibanco has an agreement with the Banco de la Nation to use its offices throughout the country to reduce operating costs. At the end of 3Q16, these offices represented 12% of the total (38 offices).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BCP Bolivia increased its number of offices (+2 QoQ), ATMs (+1 QoQ) and Agentes (+3 QoQ).</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total number of points of contact at BCP increased 578, which was due to growth in the number of Agentes BCP (+510) and ATMs (+67), which was in line with the banking penetration strategy and expansion plan. BCP Bolivia increased its number of points of contact (+52 YoY), mainly through growth in Agentes and ATMs, which was in line with its expansion strategy to have 150 Agentes by the end of 2016. Mibanco cut its number of offices (-3 YoY) based on criteria for determining proximity to and concentration of clients.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Points of Contact by Locality – BCP stand-alone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4"/>
          </w:tcPr>
          <w:p>
            <w:pPr>
              <w:ind w:left="58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8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3Q15</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2Q16</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3Q16</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QoQ</w:t>
            </w:r>
          </w:p>
        </w:tc>
        <w:tc>
          <w:tcPr>
            <w:tcW w:w="1140" w:type="dxa"/>
            <w:vAlign w:val="bottom"/>
            <w:gridSpan w:val="2"/>
          </w:tcPr>
          <w:p>
            <w:pPr>
              <w:ind w:left="360"/>
              <w:spacing w:after="0"/>
              <w:rPr>
                <w:sz w:val="20"/>
                <w:szCs w:val="20"/>
                <w:color w:val="auto"/>
              </w:rPr>
            </w:pPr>
            <w:r>
              <w:rPr>
                <w:rFonts w:ascii="Arial" w:cs="Arial" w:eastAsia="Arial" w:hAnsi="Arial"/>
                <w:sz w:val="18"/>
                <w:szCs w:val="18"/>
                <w:b w:val="1"/>
                <w:bCs w:val="1"/>
                <w:color w:val="auto"/>
              </w:rPr>
              <w:t>YoY</w:t>
            </w:r>
          </w:p>
        </w:tc>
      </w:tr>
      <w:tr>
        <w:trPr>
          <w:trHeight w:val="210"/>
        </w:trPr>
        <w:tc>
          <w:tcPr>
            <w:tcW w:w="88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Provinces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Lima</w:t>
            </w:r>
          </w:p>
        </w:tc>
        <w:tc>
          <w:tcPr>
            <w:tcW w:w="1080" w:type="dxa"/>
            <w:vAlign w:val="bottom"/>
          </w:tcPr>
          <w:p>
            <w:pPr>
              <w:jc w:val="right"/>
              <w:spacing w:after="0"/>
              <w:rPr>
                <w:sz w:val="20"/>
                <w:szCs w:val="20"/>
                <w:color w:val="auto"/>
              </w:rPr>
            </w:pPr>
            <w:r>
              <w:rPr>
                <w:rFonts w:ascii="Arial" w:cs="Arial" w:eastAsia="Arial" w:hAnsi="Arial"/>
                <w:sz w:val="18"/>
                <w:szCs w:val="18"/>
                <w:color w:val="auto"/>
              </w:rPr>
              <w:t>1,394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Provinces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5,305</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5,573</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80"/>
        <w:spacing w:after="0" w:line="277" w:lineRule="auto"/>
        <w:rPr>
          <w:sz w:val="20"/>
          <w:szCs w:val="20"/>
          <w:color w:val="auto"/>
        </w:rPr>
      </w:pPr>
      <w:r>
        <w:rPr>
          <w:rFonts w:ascii="Arial" w:cs="Arial" w:eastAsia="Arial" w:hAnsi="Arial"/>
          <w:sz w:val="18"/>
          <w:szCs w:val="18"/>
          <w:color w:val="auto"/>
        </w:rPr>
        <w:t>This quarter, BCP Standalone increased its points of contact both in Lima and in the Provinces to improve efficiency relative to maintenance costs. In Lima, the number of points of contact grew by 183 QoQ and in the Provinces, 71 QoQ.</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YoY analysis reveals aggressive growth in Agentes BCP in Lima (+315) and in the Provinces (+195) thus far in 2016. The number of ATMs has also grown (+93) along with offices (+12). On the contrary, the number of ATMs in the provinces was reduced (-26) as were offices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88"/>
              </w:rPr>
              <w:t xml:space="preserve">N° of Transactions per channel </w:t>
            </w:r>
            <w:r>
              <w:rPr>
                <w:rFonts w:ascii="Arial" w:cs="Arial" w:eastAsia="Arial" w:hAnsi="Arial"/>
                <w:sz w:val="30"/>
                <w:szCs w:val="30"/>
                <w:b w:val="1"/>
                <w:bCs w:val="1"/>
                <w:color w:val="auto"/>
                <w:w w:val="88"/>
                <w:vertAlign w:val="superscript"/>
              </w:rPr>
              <w:t>(1)</w:t>
            </w:r>
          </w:p>
        </w:tc>
        <w:tc>
          <w:tcPr>
            <w:tcW w:w="80" w:type="dxa"/>
            <w:vAlign w:val="bottom"/>
            <w:vMerge w:val="restart"/>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6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Monthly average in each quarter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4"/>
          </w:tcPr>
          <w:p>
            <w:pPr>
              <w:jc w:val="right"/>
              <w:ind w:right="665"/>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26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2Q16</w:t>
            </w:r>
          </w:p>
        </w:tc>
        <w:tc>
          <w:tcPr>
            <w:tcW w:w="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9,449,481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8,669,772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8,688,385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19,091,701</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20.3%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19,255,754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20,147,416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19.1%</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inquiries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2,405,842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2,233,101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900" w:type="dxa"/>
            <w:vAlign w:val="bottom"/>
          </w:tcPr>
          <w:p>
            <w:pPr>
              <w:jc w:val="right"/>
              <w:spacing w:after="0"/>
              <w:rPr>
                <w:sz w:val="20"/>
                <w:szCs w:val="20"/>
                <w:color w:val="auto"/>
              </w:rPr>
            </w:pPr>
            <w:r>
              <w:rPr>
                <w:rFonts w:ascii="Arial" w:cs="Arial" w:eastAsia="Arial" w:hAnsi="Arial"/>
                <w:sz w:val="18"/>
                <w:szCs w:val="18"/>
                <w:color w:val="auto"/>
              </w:rPr>
              <w:t>3,015,347</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3,119,883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3,681,870</w:t>
            </w:r>
          </w:p>
        </w:tc>
        <w:tc>
          <w:tcPr>
            <w:tcW w:w="20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banking Via BCP</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20,291,413</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20,126,606</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20,323,907</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13,919,990</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14,660,153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15,671,673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14.9%</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Telecrédito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8,571,956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8,839,570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9,379,467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900" w:type="dxa"/>
            <w:vAlign w:val="bottom"/>
          </w:tcPr>
          <w:p>
            <w:pPr>
              <w:jc w:val="right"/>
              <w:spacing w:after="0"/>
              <w:rPr>
                <w:sz w:val="20"/>
                <w:szCs w:val="20"/>
                <w:color w:val="auto"/>
              </w:rPr>
            </w:pPr>
            <w:r>
              <w:rPr>
                <w:rFonts w:ascii="Arial" w:cs="Arial" w:eastAsia="Arial" w:hAnsi="Arial"/>
                <w:sz w:val="18"/>
                <w:szCs w:val="18"/>
                <w:color w:val="auto"/>
              </w:rPr>
              <w:t>7,184,904</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10,553,955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14,181,148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13.4%</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debit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776,034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681,891</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656,972</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900" w:type="dxa"/>
            <w:vAlign w:val="bottom"/>
          </w:tcPr>
          <w:p>
            <w:pPr>
              <w:jc w:val="right"/>
              <w:spacing w:after="0"/>
              <w:rPr>
                <w:sz w:val="20"/>
                <w:szCs w:val="20"/>
                <w:color w:val="auto"/>
              </w:rPr>
            </w:pPr>
            <w:r>
              <w:rPr>
                <w:rFonts w:ascii="Arial" w:cs="Arial" w:eastAsia="Arial" w:hAnsi="Arial"/>
                <w:sz w:val="18"/>
                <w:szCs w:val="18"/>
                <w:color w:val="auto"/>
              </w:rPr>
              <w:t>8,858,872</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9.4%</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9,595,055</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10,331,998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ATMs network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226,427</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201,560</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204,019</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94,007,069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98,110,042</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105,499,955</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average monthly number of transactions increased QoQ. This was mainly due to higher transaction volumes through Mobile Banking, Telephone Banking, Points of Sale P.O.S. and Agentes BCP due to the upward trend in the number of transactions that is always present as the year progresses.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which excludes the seasonal effect, an increase in the monthly average of transactions is evident (+12.2%). The aforementioned was due primarily to an increase in the volume of transactions reported through cost-efficient channels such as:</w:t>
      </w:r>
    </w:p>
    <w:p>
      <w:pPr>
        <w:spacing w:after="0" w:line="170" w:lineRule="exact"/>
        <w:rPr>
          <w:sz w:val="20"/>
          <w:szCs w:val="20"/>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Cellular Banking (+97.4% YoY), which continues to increase its share of transactions due to the mobile applications: “Banca Celular BCP” and “Tus Beneficios BCP”.</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Telephone Banking (+22.1% YoY) due to the increase in balance inquiries, automatic validations of cards and other kinds of non-monetary transactions.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Points of sale P.O.S (+16.6% YoY) thanks to the campaign to install P.O.S Visanet at no cost to SMEs with a BCP Current Account.</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Agente BCP (+12.6% YoY) due to an increase of more than 500 points of contact YoY.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channels that posted decreases in their transaction volumes YoY were: Teller (-8.1 YoY) and Balance Inquiry Modules (-14.8% YoY) and Automatic Debit (-15.3% YoY), in line with migration to cost-efficient channels.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future growth in banking in the region will be channel primarily through digital venues. As such, Credicorp’s companies have been successfully seeking to increase their strategic positioning in these cost-efficient channels.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Economic outlook</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Peru: Economic Outlook</w:t>
      </w:r>
    </w:p>
    <w:p>
      <w:pPr>
        <w:spacing w:after="0" w:line="200" w:lineRule="exact"/>
        <w:rPr>
          <w:sz w:val="20"/>
          <w:szCs w:val="20"/>
          <w:color w:val="auto"/>
        </w:rPr>
      </w:pP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180" w:type="dxa"/>
            <w:vAlign w:val="bottom"/>
            <w:gridSpan w:val="2"/>
          </w:tcPr>
          <w:p>
            <w:pPr>
              <w:ind w:left="1360"/>
              <w:spacing w:after="0"/>
              <w:rPr>
                <w:sz w:val="20"/>
                <w:szCs w:val="20"/>
                <w:color w:val="auto"/>
              </w:rPr>
            </w:pPr>
            <w:r>
              <w:rPr>
                <w:rFonts w:ascii="Arial" w:cs="Arial" w:eastAsia="Arial" w:hAnsi="Arial"/>
                <w:sz w:val="18"/>
                <w:szCs w:val="18"/>
                <w:b w:val="1"/>
                <w:bCs w:val="1"/>
                <w:color w:val="auto"/>
              </w:rPr>
              <w:t>Peru</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202,944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192,134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194,898</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6,501</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6,168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consumption (% change)</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Gross fixed investment (as % GDP)</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Debt (as % GDP)</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gridSpan w:val="2"/>
            <w:vMerge w:val="continue"/>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Reference Rate</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end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3.38 - 3.43</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3.45 - 3.50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Exchange rate, (% change)</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balance (% GDP)</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color w:val="auto"/>
              </w:rPr>
              <w:t>Trade balance (US$ Millions)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Exports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39,533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34,236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35,298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38,490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Imports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41,042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37,385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35,298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38,065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Current account balance (US$ Millions)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-8,196</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-9,210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-6,630</w:t>
            </w:r>
          </w:p>
        </w:tc>
        <w:tc>
          <w:tcPr>
            <w:tcW w:w="1180" w:type="dxa"/>
            <w:vAlign w:val="bottom"/>
          </w:tcPr>
          <w:p>
            <w:pPr>
              <w:jc w:val="right"/>
              <w:spacing w:after="0"/>
              <w:rPr>
                <w:sz w:val="20"/>
                <w:szCs w:val="20"/>
                <w:color w:val="auto"/>
              </w:rPr>
            </w:pPr>
            <w:r>
              <w:rPr>
                <w:rFonts w:ascii="Arial" w:cs="Arial" w:eastAsia="Arial" w:hAnsi="Arial"/>
                <w:sz w:val="18"/>
                <w:szCs w:val="18"/>
                <w:color w:val="auto"/>
              </w:rPr>
              <w:t>-6,550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w w:val="98"/>
              </w:rPr>
              <w:t>Net international reserves (US$ Millions)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62,308</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61,485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62,213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62,467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(As months of imports)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Source: Estimates by BCP Economic Research as of October, 2016; INEI, BCRP, and SBS.</w:t>
      </w:r>
    </w:p>
    <w:p>
      <w:pPr>
        <w:spacing w:after="0" w:line="23" w:lineRule="exact"/>
        <w:rPr>
          <w:sz w:val="20"/>
          <w:szCs w:val="20"/>
          <w:color w:val="auto"/>
        </w:rPr>
      </w:pPr>
    </w:p>
    <w:p>
      <w:pPr>
        <w:ind w:left="1240" w:hanging="260"/>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For this year and the next, forecasts situate GDP growth at 3.7% and 4.2%. Domestic demand is expected to accelerate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three years of declining private investment.</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we expect inflation will close near 3.0% in 2016 in the upper band of BCRP’s target range (2.0% +/- 1pp.). In 2017, is expected to situate</w:t>
      </w:r>
      <w:r>
        <w:rPr>
          <w:rFonts w:ascii="Arial" w:cs="Arial" w:eastAsia="Arial" w:hAnsi="Arial"/>
          <w:sz w:val="18"/>
          <w:szCs w:val="18"/>
          <w:b w:val="1"/>
          <w:bCs w:val="1"/>
          <w:color w:val="auto"/>
        </w:rPr>
        <w:t xml:space="preserve"> </w:t>
      </w:r>
      <w:r>
        <w:rPr>
          <w:rFonts w:ascii="Arial" w:cs="Arial" w:eastAsia="Arial" w:hAnsi="Arial"/>
          <w:sz w:val="18"/>
          <w:szCs w:val="18"/>
          <w:color w:val="auto"/>
        </w:rPr>
        <w:t>at 2.5%.</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we expect the Central Bank to hold its reference rate at 4.25% in upcoming quarters.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our forecast considers a range between USDPEN 3.38-3.43 for 2016 and USDPEN 3.45-3.50 for next year. In 2017, we expect a</w:t>
      </w:r>
      <w:r>
        <w:rPr>
          <w:rFonts w:ascii="Arial" w:cs="Arial" w:eastAsia="Arial" w:hAnsi="Arial"/>
          <w:sz w:val="18"/>
          <w:szCs w:val="18"/>
          <w:b w:val="1"/>
          <w:bCs w:val="1"/>
          <w:color w:val="auto"/>
        </w:rPr>
        <w:t xml:space="preserve"> </w:t>
      </w:r>
      <w:r>
        <w:rPr>
          <w:rFonts w:ascii="Arial" w:cs="Arial" w:eastAsia="Arial" w:hAnsi="Arial"/>
          <w:sz w:val="18"/>
          <w:szCs w:val="18"/>
          <w:color w:val="auto"/>
        </w:rPr>
        <w:t>Trade Balance surplus.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Main macroeconomic variables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(real annual percentage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154305</wp:posOffset>
            </wp:positionV>
            <wp:extent cx="3910330" cy="13633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1033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Source: INEI</w:t>
      </w:r>
    </w:p>
    <w:p>
      <w:pPr>
        <w:spacing w:after="0" w:line="225" w:lineRule="exact"/>
        <w:rPr>
          <w:sz w:val="20"/>
          <w:szCs w:val="20"/>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3Q16 our estimates suggest GDP grew around 4.4% y/y due to: i) a solid impulse from the Fishing sector (67%, 1H16: -42%), and ii) an increase in Mining production (17%) explained by copper from operations at Las Bambas and Cerro Verde’s expansion. In the first three quarters of the year, copper production has increased 48%.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Between January and September, GDP grew 4.2% while domestic demand expanded around 1.4%.</w:t>
      </w:r>
    </w:p>
    <w:p>
      <w:pPr>
        <w:spacing w:after="0" w:line="2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 xml:space="preserve">Inflation and the reference rate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154940</wp:posOffset>
            </wp:positionV>
            <wp:extent cx="3704590" cy="1560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0459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Source: INEI, BCRP</w:t>
      </w:r>
    </w:p>
    <w:p>
      <w:pPr>
        <w:spacing w:after="0" w:line="225" w:lineRule="exact"/>
        <w:rPr>
          <w:sz w:val="20"/>
          <w:szCs w:val="20"/>
          <w:color w:val="auto"/>
        </w:rPr>
      </w:pPr>
    </w:p>
    <w:p>
      <w:pPr>
        <w:ind w:left="720" w:hanging="361"/>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the end of 3Q16, annual inflation closed at 3.1%.</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February 2016, The Central Bank (BCRP) has maintained its monetary policy rate at 4.25%.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ind w:left="640"/>
        <w:spacing w:after="0"/>
        <w:rPr>
          <w:sz w:val="20"/>
          <w:szCs w:val="20"/>
          <w:color w:val="auto"/>
        </w:rPr>
      </w:pPr>
      <w:r>
        <w:rPr>
          <w:rFonts w:ascii="Arial" w:cs="Arial" w:eastAsia="Arial" w:hAnsi="Arial"/>
          <w:sz w:val="18"/>
          <w:szCs w:val="18"/>
          <w:b w:val="1"/>
          <w:bCs w:val="1"/>
          <w:color w:val="auto"/>
        </w:rPr>
        <w:t xml:space="preserve">Fiscal result and Current Account Balance Account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154940</wp:posOffset>
            </wp:positionV>
            <wp:extent cx="3207385" cy="16205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73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81"/>
        <w:spacing w:after="0"/>
        <w:rPr>
          <w:sz w:val="20"/>
          <w:szCs w:val="20"/>
          <w:color w:val="auto"/>
        </w:rPr>
      </w:pPr>
      <w:r>
        <w:rPr>
          <w:rFonts w:ascii="Arial" w:cs="Arial" w:eastAsia="Arial" w:hAnsi="Arial"/>
          <w:sz w:val="18"/>
          <w:szCs w:val="18"/>
          <w:color w:val="auto"/>
        </w:rPr>
        <w:t>*BCP estimates</w:t>
      </w:r>
    </w:p>
    <w:p>
      <w:pPr>
        <w:spacing w:after="0" w:line="23" w:lineRule="exact"/>
        <w:rPr>
          <w:sz w:val="20"/>
          <w:szCs w:val="20"/>
          <w:color w:val="auto"/>
        </w:rPr>
      </w:pPr>
    </w:p>
    <w:p>
      <w:pPr>
        <w:ind w:left="2081"/>
        <w:spacing w:after="0"/>
        <w:rPr>
          <w:sz w:val="20"/>
          <w:szCs w:val="20"/>
          <w:color w:val="auto"/>
        </w:rPr>
      </w:pPr>
      <w:r>
        <w:rPr>
          <w:rFonts w:ascii="Arial" w:cs="Arial" w:eastAsia="Arial" w:hAnsi="Arial"/>
          <w:sz w:val="18"/>
          <w:szCs w:val="18"/>
          <w:color w:val="auto"/>
        </w:rPr>
        <w:t>Source: Central Bank</w:t>
      </w:r>
    </w:p>
    <w:p>
      <w:pPr>
        <w:spacing w:after="0" w:line="211" w:lineRule="exact"/>
        <w:rPr>
          <w:sz w:val="20"/>
          <w:szCs w:val="20"/>
          <w:color w:val="auto"/>
        </w:rPr>
      </w:pPr>
    </w:p>
    <w:p>
      <w:pPr>
        <w:ind w:left="361" w:hanging="361"/>
        <w:spacing w:after="0" w:line="277" w:lineRule="auto"/>
        <w:tabs>
          <w:tab w:leader="none" w:pos="3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3Q16 registered an annualized fiscal deficit of 3.4% of GDP. With the objective of reaching a fiscal deficit target of 3.0% this year, the government has established a legal limit for government spending in 4Q16.</w:t>
      </w:r>
    </w:p>
    <w:p>
      <w:pPr>
        <w:spacing w:after="0" w:line="170" w:lineRule="exact"/>
        <w:rPr>
          <w:rFonts w:ascii="Arial" w:cs="Arial" w:eastAsia="Arial" w:hAnsi="Arial"/>
          <w:sz w:val="18"/>
          <w:szCs w:val="18"/>
          <w:color w:val="auto"/>
        </w:rPr>
      </w:pPr>
    </w:p>
    <w:p>
      <w:pPr>
        <w:jc w:val="both"/>
        <w:ind w:left="361" w:hanging="361"/>
        <w:spacing w:after="0" w:line="264" w:lineRule="auto"/>
        <w:tabs>
          <w:tab w:leader="none" w:pos="3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2Q16, the annualized current account balance decreased to 4.3% of GDP (1Q16: 4.5% of GDP). In the 3Q16, it will continue to narrow: i) the Terms of Trade registered their first increase in 13 quarters, and ii) the trade balance between Jan/Aug-16 registered a USD -217 million deficit (Jan/Aug-15: USD -2,606 million).</w:t>
      </w:r>
    </w:p>
    <w:p>
      <w:pPr>
        <w:spacing w:after="0" w:line="17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154940</wp:posOffset>
            </wp:positionV>
            <wp:extent cx="2821305" cy="1715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13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81"/>
        <w:spacing w:after="0"/>
        <w:rPr>
          <w:sz w:val="20"/>
          <w:szCs w:val="20"/>
          <w:color w:val="auto"/>
        </w:rPr>
      </w:pPr>
      <w:r>
        <w:rPr>
          <w:rFonts w:ascii="Arial" w:cs="Arial" w:eastAsia="Arial" w:hAnsi="Arial"/>
          <w:sz w:val="18"/>
          <w:szCs w:val="18"/>
          <w:color w:val="auto"/>
        </w:rPr>
        <w:t>Exchange Rate (USDPEN)</w:t>
      </w:r>
    </w:p>
    <w:p>
      <w:pPr>
        <w:spacing w:after="0" w:line="225" w:lineRule="exact"/>
        <w:rPr>
          <w:sz w:val="20"/>
          <w:szCs w:val="20"/>
          <w:color w:val="auto"/>
        </w:rPr>
      </w:pPr>
    </w:p>
    <w:p>
      <w:pPr>
        <w:ind w:left="361" w:hanging="361"/>
        <w:spacing w:after="0"/>
        <w:tabs>
          <w:tab w:leader="none" w:pos="36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Exchange Rate at the end of 3Q16 was USDPEN 3.387, appreciating 0.8% against the figure posted year-end for 2015 (USDPEN 3.414).</w:t>
      </w:r>
    </w:p>
    <w:p>
      <w:pPr>
        <w:spacing w:after="0" w:line="236" w:lineRule="exact"/>
        <w:rPr>
          <w:rFonts w:ascii="Arial" w:cs="Arial" w:eastAsia="Arial" w:hAnsi="Arial"/>
          <w:sz w:val="17"/>
          <w:szCs w:val="17"/>
          <w:color w:val="auto"/>
        </w:rPr>
      </w:pPr>
    </w:p>
    <w:p>
      <w:pPr>
        <w:ind w:left="361" w:hanging="361"/>
        <w:spacing w:after="0" w:line="277" w:lineRule="auto"/>
        <w:tabs>
          <w:tab w:leader="none" w:pos="36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3Q16, BCRP made purchases in the spot FX market for USD 1,629 million. The institution is also reducing its outstanding FX Swaps from a maximum of PEN 34,449 million in Feb-16 to PEN 965 million as of Sep-16.</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1"/>
          </w:cols>
          <w:pgMar w:left="599"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Congress granted legislative powers to the Executive for 90 days</w:t>
      </w:r>
    </w:p>
    <w:p>
      <w:pPr>
        <w:spacing w:after="0" w:line="229" w:lineRule="exact"/>
        <w:rPr>
          <w:sz w:val="20"/>
          <w:szCs w:val="20"/>
          <w:color w:val="auto"/>
        </w:rPr>
      </w:pPr>
    </w:p>
    <w:p>
      <w:pPr>
        <w:ind w:left="720" w:hanging="361"/>
        <w:spacing w:after="0" w:line="277" w:lineRule="auto"/>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 context where the Executive has only 18 of 130 congressmen, Congress granted legislative powers to the Executive for 90 days to address the following aspects:</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Economic Recovery and Formalization</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Citizen Security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Fight against corruption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Water and Sanitation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Reorganization of state-owned oil company, Petroperu.</w:t>
      </w:r>
    </w:p>
    <w:p>
      <w:pPr>
        <w:spacing w:after="0" w:line="210" w:lineRule="exact"/>
        <w:rPr>
          <w:rFonts w:ascii="Arial" w:cs="Arial" w:eastAsia="Arial" w:hAnsi="Arial"/>
          <w:sz w:val="18"/>
          <w:szCs w:val="18"/>
          <w:color w:val="auto"/>
        </w:rPr>
      </w:pPr>
    </w:p>
    <w:p>
      <w:pPr>
        <w:ind w:left="720" w:hanging="361"/>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Regarding the economic and tax related aspect, the following measures are noteworthy:</w:t>
      </w:r>
    </w:p>
    <w:p>
      <w:pPr>
        <w:spacing w:after="0" w:line="225"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Reduction of the VAT by 1pp.</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Increase on the Corporate Income Tax from 28% to 30%, and a reduction of the Corporate Tax on Dividends from Peruvian Sources.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Establishing a special tax regime for SME firms, including progressive tax rates on earnings or income (option chosen by the taxpayer)</w:t>
      </w:r>
    </w:p>
    <w:p>
      <w:pPr>
        <w:spacing w:after="0" w:line="20"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Capital Repatriation: temporal and substitute Income Tax regime for contributors that declare (10 to 12%), repatriate and invest (5 to 8%) income generated until 31-Dec-2015.</w:t>
      </w: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Preferred treatment for yields on negotiated financial instruments that are regulated and supervised by the SMV.</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expected that the measures will be defined and regulated in coming weeks.</w:t>
      </w:r>
    </w:p>
    <w:p>
      <w:pPr>
        <w:spacing w:after="0" w:line="225" w:lineRule="exact"/>
        <w:rPr>
          <w:sz w:val="20"/>
          <w:szCs w:val="20"/>
          <w:color w:val="auto"/>
        </w:rPr>
      </w:pPr>
    </w:p>
    <w:p>
      <w:pPr>
        <w:ind w:left="720" w:hanging="361"/>
        <w:spacing w:after="0" w:line="27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 of the central commitments of the Government contemplates cutting red tape on the main infrastructure projects for around USD 18 bn. The Government expects to show its first results before year-end.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right"/>
        <w:ind w:right="9480" w:firstLine="8"/>
        <w:spacing w:after="0" w:line="530" w:lineRule="auto"/>
        <w:tabs>
          <w:tab w:leader="none" w:pos="648"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Appendix 11.1    Credicorp</w:t>
      </w:r>
    </w:p>
    <w:p>
      <w:pPr>
        <w:spacing w:after="0" w:line="1" w:lineRule="exact"/>
        <w:rPr>
          <w:sz w:val="20"/>
          <w:szCs w:val="20"/>
          <w:color w:val="auto"/>
        </w:rPr>
      </w:pPr>
    </w:p>
    <w:p>
      <w:pPr>
        <w:jc w:val="right"/>
        <w:ind w:right="356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right"/>
        <w:ind w:right="36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(In S/ thousands, IFRS)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3Q15</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2Q16</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3Q16</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3,426,781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3,751,246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3,896,236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27,955,357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27,831,888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23,601,925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due from banks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31,382,138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31,583,134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27,498,161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2,608,267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3,383,545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4,609,582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87,842,690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91,655,366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94,319,220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Current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85,586,035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89,043,417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91,691,633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 overdue loans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2,256,655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2,611,949</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2,627,587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Less - allowance for loan losses</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(3,674,654)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(3,994,390)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(4,084,178)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84,168,036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87,660,976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90,235,042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19,152,134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18,188,377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19,949,532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3,161,475</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4,288,379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4,243,603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440,615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470,148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483,585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w w:val="96"/>
              </w:rPr>
              <w:t>Premiums and other policyholder receivables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599,846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561,630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601,837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1,854,665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1,761,123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1,732,536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201,357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264,235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384,783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614,441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630,584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646,073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8,619,706</w:t>
            </w:r>
          </w:p>
        </w:tc>
        <w:tc>
          <w:tcPr>
            <w:tcW w:w="20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7,404,603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8,224,473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Total assets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152,802,680</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156,196,734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158,609,207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jc w:val="center"/>
              <w:ind w:left="11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23,240,530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23,194,081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23,684,449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bearing</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63,186,177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66,742,900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65,025,163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86,426,707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89,936,981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88,709,612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11,863,340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11,305,771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12,818,751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9,737,111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8,931,350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7,770,822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16,016,573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15,255,588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15,571,172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201,357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264,235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384,783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848,435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925,495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930,683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5,161,785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5,591,173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5,815,615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364,396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404,316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413,037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6,434,818</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5,334,465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6,637,293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Total liabilities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137,054,522</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137,949,374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139,051,768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15,153,252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17,656,273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19,116,945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stock</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1,318,993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(208,727)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(209,228)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(209,383)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surplus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290,073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282,985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279,490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Reserves</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11,127,858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13,507,601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13,524,557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or losses</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256,730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978,575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1,595,592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2,368,325</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1,777,347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2,607,696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594,906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591,087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440,494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Total equity</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15,748,158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18,247,360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19,557,439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Total liabilities and total equity</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152,802,680</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156,196,734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158,609,207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Off balance sheet</w:t>
            </w:r>
          </w:p>
        </w:tc>
        <w:tc>
          <w:tcPr>
            <w:tcW w:w="3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62,914,042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63,364,922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64,061,232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38" w:orient="portrait"/>
          <w:cols w:equalWidth="0" w:num="1">
            <w:col w:w="10920"/>
          </w:cols>
          <w:pgMar w:left="240" w:top="905" w:right="739" w:bottom="31" w:gutter="0" w:footer="0" w:header="0"/>
        </w:sectPr>
      </w:pPr>
    </w:p>
    <w:bookmarkStart w:id="48" w:name="page49"/>
    <w:bookmarkEnd w:id="48"/>
    <w:p>
      <w:pPr>
        <w:ind w:left="100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3Q15</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2Q16</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3Q16</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 15</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16</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16 / Sep 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2,517,964</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2,613,338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2,703,992</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7,352,701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7,981,895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(651,071)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(709,119)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(744,568)</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(1,863,246)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(2,171,562)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1,866,893</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1,904,219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1,959,424</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5,489,455</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5,810,333</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(444,425)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(483,911)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(389,086)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-19.6%</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(1,378,324)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(1,326,234)</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650,195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693,185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698,029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1,957,027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2,061,972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197,902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177,065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180,452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566,633</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522,660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176,169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102,866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74,828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284,488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subsidiaries </w:t>
            </w:r>
            <w:r>
              <w:rPr>
                <w:rFonts w:ascii="Arial" w:cs="Arial" w:eastAsia="Arial" w:hAnsi="Arial"/>
                <w:sz w:val="21"/>
                <w:szCs w:val="21"/>
                <w:color w:val="auto"/>
                <w:vertAlign w:val="superscript"/>
              </w:rPr>
              <w:t>(1)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891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4,136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364.4%</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30.4%</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149,763</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8,564</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non-financial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35,612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37,438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53,172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114,988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153,097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916,081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1,084,748</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1,038,655</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2,863,239</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3,030,781</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432,777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453,647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467,972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1,264,317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1,374,856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Net claims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(265,648)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(265,815)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(271,591)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(753,305)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(801,329)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(41,884)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(53,066)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(62,916)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(169,169)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(176,158)</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125,245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134,766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133,465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341,843</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397,369</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(703,985)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(735,414)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(744,161)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(2,137,394)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(2,215,545)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(496,163)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(513,652)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(526,613)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(1,409,315)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(1,493,951)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(111,966)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(113,910)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(115,129)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(331,058)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(340,809)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(25,688)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(47,463)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(40,709)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(122,083)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(135,205)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(1,337,802)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(1,410,439)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(1,426,612)</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(3,999,850)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(4,185,510)</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1,125,992</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1,229,383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1,315,846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3,316,363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3,726,739</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(2,583)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13,830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(59,719)</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(300,989)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(311,932)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(338,018)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(899,809)</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(974,754)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827,943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897,442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975,245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2,430,384</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2,692,266</w:t>
            </w: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20,798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23,250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25,451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69,210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72,651</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807,145</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874,192</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949,794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8.6%</w:t>
            </w:r>
          </w:p>
        </w:tc>
        <w:tc>
          <w:tcPr>
            <w:tcW w:w="1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17.7%</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2,361,174</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2,619,615</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agreement between Grupo Pacifico and Banmedica.</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3Q15</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2Q16</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3Q16</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30,786,855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29,595,262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25,534,363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28,343,697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26,232,023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22,900,963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2,381,180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3,362,115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2,462,366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170,000</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1,956,192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1,761,542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2,591,573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86,092,146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84,121,534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86,057,877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83,837,821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81,608,387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83,529,020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2,254,325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2,513,147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2,528,857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(3,673,609)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(3,793,544)</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(3,881,194)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82,418,537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80,327,990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82,176,683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9,286,648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7,042,344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8,191,614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3,161,475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3,977,471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3,922,354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1,724,844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1,595,504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1,562,248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201,357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264,235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384,783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4,439,784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3,865,263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4,594,052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18.9%</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133,975,692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128,429,611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128,957,670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82,211,845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78,407,712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76,142,826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25,464,114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26,713,043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24,432,718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22,795,579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23,338,183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24,154,989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27,171,597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21,205,896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20,785,447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6,535,695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6,997,706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6,611,956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152,884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157,716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11,863,340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11,305,771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12,818,751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11,037,594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10,000,688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8,781,396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14,093,864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13,656,079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14,068,175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201,357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264,235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384,783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3,046,093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2,410,904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3,555,996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122,454,093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116,045,389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115,751,927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11,362,177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12,242,857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13,062,382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5,560,671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6,772,966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2,939,044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3,363,356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35,369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(7,241)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48,775</w:t>
            </w:r>
          </w:p>
        </w:tc>
        <w:tc>
          <w:tcPr>
            <w:tcW w:w="1900" w:type="dxa"/>
            <w:vAlign w:val="bottom"/>
            <w:gridSpan w:val="3"/>
          </w:tcPr>
          <w:p>
            <w:pPr>
              <w:ind w:left="100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703,655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2,154,946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1,410,121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2,173,630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159,422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141,365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143,361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11,521,599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12,384,222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13,205,743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b w:val="1"/>
                <w:bCs w:val="1"/>
                <w:color w:val="auto"/>
                <w:w w:val="96"/>
              </w:rPr>
              <w:t>Total liabilities and net 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133,975,692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128,429,611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128,957,670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62,114,812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52,935,640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51,042,498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356"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3Q15</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2Q16</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3Q16</w:t>
            </w: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Set 15</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Set 16</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Set 16 / Set 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2,263,961</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2,472,793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2,426,776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6,584,312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7,247,579</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(581,108)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(686,004)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(673,374)</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(1,659,873)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(1,998,290)</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1,682,853</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1,786,789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1,753,402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4,924,439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5,249,289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(435,024)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(484,044)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(380,462)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-21.4%</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(1,356,844)</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(1,301,841)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528,404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572,092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557,471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1,530,967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1,667,865</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183,631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172,591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169,546</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531,524</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500,821</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(21,327)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27,229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23,172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385,756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53,662</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7,150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15,206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27,981</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84.0%</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42,569</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71,998</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697,858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787,118</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778,170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2,490,816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2,294,346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(545,265)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(607,429)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(569,735)</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(1,657,114)</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(1,746,937)</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(388,842)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(441,136)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(426,981)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(1,105,805)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(1,226,220)</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(86,842)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(91,690)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(88,187)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(255,227)</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(265,272)</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(13,277)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(33,739)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(24,232)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82.5%</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(73,592)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(78,918)</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(1,034,226)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(1,173,994)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(1,109,135)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(3,091,738)</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(3,317,347)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911,461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915,869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1,041,975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13.8%</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14.3%</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2,966,673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2,924,447</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3,511</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72,442</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(3,033)</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9,352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38,964</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(254,695)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(256,621)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(270,642)</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(865,050)</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(777,427)</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(4,877)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(2,670)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(4,791)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79.4%</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(9,814)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(12,354)</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655,400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729,020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763,509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4.7%</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16.5%</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2,101,161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2,173,630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discontinuing operations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20,278</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(20,830)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53,785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675,678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708,190</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763,509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7.8%</w:t>
            </w: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2,154,946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2,173,630</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b w:val="1"/>
                <w:bCs w:val="1"/>
                <w:color w:val="auto"/>
              </w:rPr>
              <w:t>YTD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3Q15</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2Q16</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3Q16</w:t>
            </w: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Set 15</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Set 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Borders>
              <w:top w:val="single" w:sz="8" w:color="CCEEFF"/>
            </w:tcBorders>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Profitability</w:t>
            </w: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18"/>
                <w:szCs w:val="18"/>
                <w:color w:val="auto"/>
              </w:rPr>
              <w:t xml:space="preserve">EPS </w:t>
            </w:r>
            <w:r>
              <w:rPr>
                <w:rFonts w:ascii="Arial" w:cs="Arial" w:eastAsia="Arial" w:hAnsi="Arial"/>
                <w:sz w:val="29"/>
                <w:szCs w:val="29"/>
                <w:color w:val="auto"/>
                <w:vertAlign w:val="superscript"/>
              </w:rPr>
              <w:t>(1)</w:t>
            </w:r>
          </w:p>
        </w:tc>
        <w:tc>
          <w:tcPr>
            <w:tcW w:w="5520" w:type="dxa"/>
            <w:vAlign w:val="bottom"/>
            <w:tcBorders>
              <w:top w:val="single" w:sz="8" w:color="CCEEFF"/>
            </w:tcBorders>
            <w:gridSpan w:val="4"/>
          </w:tcPr>
          <w:p>
            <w:pPr>
              <w:spacing w:after="0"/>
              <w:rPr>
                <w:sz w:val="22"/>
                <w:szCs w:val="22"/>
                <w:color w:val="auto"/>
              </w:rPr>
            </w:pPr>
          </w:p>
        </w:tc>
        <w:tc>
          <w:tcPr>
            <w:tcW w:w="10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0.096</w:t>
            </w:r>
          </w:p>
        </w:tc>
        <w:tc>
          <w:tcPr>
            <w:tcW w:w="100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w:t>
            </w:r>
          </w:p>
        </w:tc>
        <w:tc>
          <w:tcPr>
            <w:tcW w:w="10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0.108</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0.305</w:t>
            </w: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Net interest margin</w:t>
            </w:r>
            <w:r>
              <w:rPr>
                <w:rFonts w:ascii="Arial" w:cs="Arial" w:eastAsia="Arial" w:hAnsi="Arial"/>
                <w:sz w:val="29"/>
                <w:szCs w:val="29"/>
                <w:color w:val="auto"/>
                <w:vertAlign w:val="superscript"/>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7,066.35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PDL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488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Capital adequacy (BCP Stand-alone based on Peru GAAP)</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15,703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Tier 1 capital (S/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8,968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10,794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10,874</w:t>
            </w:r>
          </w:p>
        </w:tc>
        <w:tc>
          <w:tcPr>
            <w:tcW w:w="740" w:type="dxa"/>
            <w:vAlign w:val="bottom"/>
          </w:tcPr>
          <w:p>
            <w:pPr>
              <w:jc w:val="right"/>
              <w:spacing w:after="0"/>
              <w:rPr>
                <w:sz w:val="20"/>
                <w:szCs w:val="20"/>
                <w:color w:val="auto"/>
              </w:rPr>
            </w:pPr>
            <w:r>
              <w:rPr>
                <w:rFonts w:ascii="Arial" w:cs="Arial" w:eastAsia="Arial" w:hAnsi="Arial"/>
                <w:sz w:val="18"/>
                <w:szCs w:val="18"/>
                <w:color w:val="auto"/>
              </w:rPr>
              <w:t>8,968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BIS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Employees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27,039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27,205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26,677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27,039</w:t>
            </w: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outstanding of 7,066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11.3</w:t>
            </w:r>
          </w:p>
        </w:tc>
        <w:tc>
          <w:tcPr>
            <w:tcW w:w="440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MIBANCO</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w w:val="94"/>
              </w:rPr>
              <w:t>(In S/ thousands, IFRS )</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ind w:left="780"/>
              <w:spacing w:after="0"/>
              <w:rPr>
                <w:sz w:val="20"/>
                <w:szCs w:val="20"/>
                <w:color w:val="auto"/>
              </w:rPr>
            </w:pPr>
            <w:r>
              <w:rPr>
                <w:rFonts w:ascii="Arial" w:cs="Arial" w:eastAsia="Arial" w:hAnsi="Arial"/>
                <w:sz w:val="18"/>
                <w:szCs w:val="18"/>
                <w:b w:val="1"/>
                <w:bCs w:val="1"/>
                <w:color w:val="auto"/>
                <w:w w:val="92"/>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3Q16</w:t>
            </w:r>
          </w:p>
        </w:tc>
        <w:tc>
          <w:tcPr>
            <w:tcW w:w="158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1,436,739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962,874</w:t>
            </w:r>
          </w:p>
        </w:tc>
        <w:tc>
          <w:tcPr>
            <w:tcW w:w="1020" w:type="dxa"/>
            <w:vAlign w:val="bottom"/>
          </w:tcPr>
          <w:p>
            <w:pPr>
              <w:jc w:val="right"/>
              <w:spacing w:after="0"/>
              <w:rPr>
                <w:sz w:val="20"/>
                <w:szCs w:val="20"/>
                <w:color w:val="auto"/>
              </w:rPr>
            </w:pPr>
            <w:r>
              <w:rPr>
                <w:rFonts w:ascii="Arial" w:cs="Arial" w:eastAsia="Arial" w:hAnsi="Arial"/>
                <w:sz w:val="18"/>
                <w:szCs w:val="18"/>
                <w:color w:val="auto"/>
              </w:rPr>
              <w:t>1,015,601</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1,433,556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1,671,097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1,813,481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7,648,927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8,244,004</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8,455,050</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7,160,243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7,771,118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7,980,339</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Past-due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414,572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385,018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381,154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Refinanced</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74,113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87,868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93,557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(750,355)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(725,431)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(731,412)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6,898,572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7,518,573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7,723,638</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236,752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230,721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222,790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634,593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571,578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437,225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4"/>
              </w:rPr>
              <w:t>Total assets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10,640,212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10,954,843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11,212,735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5,388,253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5,933,981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6,600,601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2,884,839</w:t>
            </w:r>
          </w:p>
        </w:tc>
        <w:tc>
          <w:tcPr>
            <w:tcW w:w="1020" w:type="dxa"/>
            <w:vAlign w:val="bottom"/>
          </w:tcPr>
          <w:p>
            <w:pPr>
              <w:jc w:val="right"/>
              <w:spacing w:after="0"/>
              <w:rPr>
                <w:sz w:val="20"/>
                <w:szCs w:val="20"/>
                <w:color w:val="auto"/>
              </w:rPr>
            </w:pPr>
            <w:r>
              <w:rPr>
                <w:rFonts w:ascii="Arial" w:cs="Arial" w:eastAsia="Arial" w:hAnsi="Arial"/>
                <w:sz w:val="18"/>
                <w:szCs w:val="18"/>
                <w:color w:val="auto"/>
              </w:rPr>
              <w:t>1,989,301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1,586,927</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742,344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842,164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836,714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334,375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807,363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717,338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9,349,811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9,572,809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9,741,580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1,290,400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1,382,034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1,471,156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10,640,212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10,954,843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11,212,735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financial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369,794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394,179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412,265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(75,206)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(69,493)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(66,994)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7,600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8,681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9,670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(205,566)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(242,282)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(238,328)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96,622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91,085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116,614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results</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(21,972)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(21,268)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(28,339)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74,394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69,457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87,604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L/D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142.0%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-1080 bps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Inernal overdue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 bps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-10 bps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350 bps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Coverage of NPLs</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153.5%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154.1%</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70 bps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390 bps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ROAE inc, goodwill</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370 bps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-320 bps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319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10,093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10,490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11.4</w:t>
            </w:r>
          </w:p>
        </w:tc>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BCP Bolivia</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BCP BOLIVIA</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w w:val="95"/>
              </w:rPr>
              <w:t>(In S/ thousands, IFRS)</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6"/>
              </w:rPr>
              <w:t>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3Q16</w:t>
            </w:r>
          </w:p>
        </w:tc>
        <w:tc>
          <w:tcPr>
            <w:tcW w:w="154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94"/>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1,064,084</w:t>
            </w:r>
          </w:p>
        </w:tc>
        <w:tc>
          <w:tcPr>
            <w:tcW w:w="1020" w:type="dxa"/>
            <w:vAlign w:val="bottom"/>
          </w:tcPr>
          <w:p>
            <w:pPr>
              <w:jc w:val="right"/>
              <w:spacing w:after="0"/>
              <w:rPr>
                <w:sz w:val="20"/>
                <w:szCs w:val="20"/>
                <w:color w:val="auto"/>
              </w:rPr>
            </w:pPr>
            <w:r>
              <w:rPr>
                <w:rFonts w:ascii="Arial" w:cs="Arial" w:eastAsia="Arial" w:hAnsi="Arial"/>
                <w:sz w:val="18"/>
                <w:szCs w:val="18"/>
                <w:color w:val="auto"/>
              </w:rPr>
              <w:t>1,102,200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1,181,065</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1,057,642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1,060,803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1,330,320</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4,282,821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5,033,204</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5,347,992</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4,194,483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4,920,573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5,233,725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69,260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95,207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94,883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19,078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17,425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19,384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-160,185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-196,311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-198,130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4,122,636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4,836,894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5,149,862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39,160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32,546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35,818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67,898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81,420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jc w:val="center"/>
              <w:ind w:right="290"/>
              <w:spacing w:after="0"/>
              <w:rPr>
                <w:sz w:val="20"/>
                <w:szCs w:val="20"/>
                <w:color w:val="auto"/>
              </w:rPr>
            </w:pPr>
            <w:r>
              <w:rPr>
                <w:rFonts w:ascii="Arial" w:cs="Arial" w:eastAsia="Arial" w:hAnsi="Arial"/>
                <w:sz w:val="18"/>
                <w:szCs w:val="18"/>
                <w:b w:val="1"/>
                <w:bCs w:val="1"/>
                <w:color w:val="auto"/>
                <w:w w:val="84"/>
              </w:rPr>
              <w:t>Total assets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6,351,419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7,117,245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7,778,486</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LIABILITIES AND NET SHAREHOLDERS' EQUITY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5,540,968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6,245,188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6,849,565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29,217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27,508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31,020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100,016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102,890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105,311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150,104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162,352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176,148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89"/>
              </w:rPr>
              <w:t>Total liabilities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5,820,305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6,537,937</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7,162,044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531,114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579,308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616,442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100" w:type="dxa"/>
            <w:vAlign w:val="bottom"/>
            <w:shd w:val="clear" w:color="auto" w:fill="CCEEFF"/>
          </w:tcPr>
          <w:p>
            <w:pPr>
              <w:jc w:val="center"/>
              <w:ind w:right="29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6,351,419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7,117,245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7,778,486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60,746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72,473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76,385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-10,339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-17,662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50,407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54,811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69,477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30,181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31,337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27,450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-56,573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-55,105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-7,548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-10,209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-14,907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16,333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20,740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20,599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-251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Internal overdue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-12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Coverage of internal overdue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231.3%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263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-2246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-90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-794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63.9%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103 bps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-808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4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-72 bps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7"/>
              </w:rPr>
              <w:t>Agentes</w:t>
            </w:r>
          </w:p>
        </w:tc>
        <w:tc>
          <w:tcPr>
            <w:tcW w:w="4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ATMs</w:t>
            </w:r>
          </w:p>
        </w:tc>
        <w:tc>
          <w:tcPr>
            <w:tcW w:w="410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257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w w:val="85"/>
              </w:rPr>
              <w:t>11.5</w:t>
            </w:r>
          </w:p>
        </w:tc>
        <w:tc>
          <w:tcPr>
            <w:tcW w:w="4900" w:type="dxa"/>
            <w:vAlign w:val="bottom"/>
            <w:gridSpan w:val="2"/>
          </w:tcPr>
          <w:p>
            <w:pPr>
              <w:ind w:left="340"/>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Credicorp Capital</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2Q16</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-171.9%</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-1331.0%</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106,204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127,192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143,333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3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88,247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2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9,868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11,307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32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42,831</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16"/>
        </w:trPr>
        <w:tc>
          <w:tcPr>
            <w:tcW w:w="320" w:type="dxa"/>
            <w:vAlign w:val="bottom"/>
          </w:tcPr>
          <w:p>
            <w:pPr>
              <w:spacing w:after="0"/>
              <w:rPr>
                <w:sz w:val="18"/>
                <w:szCs w:val="18"/>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-85,946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-107,797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10"/>
        </w:trPr>
        <w:tc>
          <w:tcPr>
            <w:tcW w:w="5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21,046</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40,110</w:t>
            </w:r>
          </w:p>
        </w:tc>
        <w:tc>
          <w:tcPr>
            <w:tcW w:w="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25,836</w:t>
            </w: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10"/>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5220" w:type="dxa"/>
            <w:vAlign w:val="bottom"/>
            <w:gridSpan w:val="3"/>
          </w:tcPr>
          <w:p>
            <w:pPr>
              <w:spacing w:after="0"/>
              <w:rPr>
                <w:sz w:val="20"/>
                <w:szCs w:val="20"/>
                <w:color w:val="auto"/>
              </w:rPr>
            </w:pPr>
            <w:r>
              <w:rPr>
                <w:rFonts w:ascii="Arial" w:cs="Arial" w:eastAsia="Arial" w:hAnsi="Arial"/>
                <w:sz w:val="18"/>
                <w:szCs w:val="18"/>
                <w:color w:val="auto"/>
              </w:rPr>
              <w:t>Translation results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-185.8%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-125.5%</w:t>
            </w:r>
          </w:p>
        </w:tc>
      </w:tr>
      <w:tr>
        <w:trPr>
          <w:trHeight w:val="270"/>
        </w:trPr>
        <w:tc>
          <w:tcPr>
            <w:tcW w:w="522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-3,224</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10"/>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11,443</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26,367</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19,179</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4800" w:type="dxa"/>
            <w:vAlign w:val="bottom"/>
            <w:gridSpan w:val="3"/>
          </w:tcPr>
          <w:p>
            <w:pPr>
              <w:ind w:left="180"/>
              <w:spacing w:after="0"/>
              <w:rPr>
                <w:sz w:val="20"/>
                <w:szCs w:val="20"/>
                <w:color w:val="auto"/>
              </w:rPr>
            </w:pPr>
            <w:r>
              <w:rPr>
                <w:rFonts w:ascii="Arial" w:cs="Arial" w:eastAsia="Arial" w:hAnsi="Arial"/>
                <w:sz w:val="18"/>
                <w:szCs w:val="18"/>
                <w:b w:val="1"/>
                <w:bCs w:val="1"/>
                <w:color w:val="auto"/>
              </w:rPr>
              <w:t>Atlantic Security Bank</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ASB</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US$ Millions</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3Q15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2Q16</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3Q16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20" w:type="dxa"/>
            <w:vAlign w:val="bottom"/>
          </w:tcPr>
          <w:p>
            <w:pPr>
              <w:jc w:val="right"/>
              <w:spacing w:after="0"/>
              <w:rPr>
                <w:sz w:val="20"/>
                <w:szCs w:val="20"/>
                <w:color w:val="auto"/>
              </w:rPr>
            </w:pPr>
            <w:r>
              <w:rPr>
                <w:rFonts w:ascii="Arial" w:cs="Arial" w:eastAsia="Arial" w:hAnsi="Arial"/>
                <w:sz w:val="18"/>
                <w:szCs w:val="18"/>
                <w:color w:val="auto"/>
              </w:rPr>
              <w:t>873.7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880.1</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1,660.9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1,685.1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1,773.7</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26"/>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Interest earning assets*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3Q15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2Q16</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3Q16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1,832</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26"/>
        </w:trPr>
        <w:tc>
          <w:tcPr>
            <w:tcW w:w="480" w:type="dxa"/>
            <w:vAlign w:val="bottom"/>
          </w:tcPr>
          <w:p>
            <w:pPr>
              <w:spacing w:after="0"/>
              <w:rPr>
                <w:sz w:val="24"/>
                <w:szCs w:val="24"/>
                <w:color w:val="auto"/>
              </w:rPr>
            </w:pPr>
          </w:p>
        </w:tc>
        <w:tc>
          <w:tcPr>
            <w:tcW w:w="4800" w:type="dxa"/>
            <w:vAlign w:val="bottom"/>
            <w:gridSpan w:val="3"/>
          </w:tcPr>
          <w:p>
            <w:pPr>
              <w:ind w:left="500"/>
              <w:spacing w:after="0"/>
              <w:rPr>
                <w:sz w:val="20"/>
                <w:szCs w:val="20"/>
                <w:color w:val="auto"/>
              </w:rPr>
            </w:pPr>
            <w:r>
              <w:rPr>
                <w:rFonts w:ascii="Arial" w:cs="Arial" w:eastAsia="Arial" w:hAnsi="Arial"/>
                <w:sz w:val="18"/>
                <w:szCs w:val="18"/>
                <w:color w:val="auto"/>
              </w:rPr>
              <w:t>* Excludes investments in equities and mutual funds.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800" w:type="dxa"/>
            <w:vAlign w:val="bottom"/>
            <w:gridSpan w:val="3"/>
          </w:tcPr>
          <w:p>
            <w:pPr>
              <w:ind w:left="660"/>
              <w:spacing w:after="0"/>
              <w:rPr>
                <w:sz w:val="20"/>
                <w:szCs w:val="20"/>
                <w:color w:val="auto"/>
              </w:rPr>
            </w:pPr>
            <w:r>
              <w:rPr>
                <w:rFonts w:ascii="Arial" w:cs="Arial" w:eastAsia="Arial" w:hAnsi="Arial"/>
                <w:sz w:val="18"/>
                <w:szCs w:val="18"/>
                <w:b w:val="1"/>
                <w:bCs w:val="1"/>
                <w:color w:val="auto"/>
              </w:rPr>
              <w:t>US$ 000</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3Q15</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2Q16</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3Q16</w:t>
            </w:r>
          </w:p>
        </w:tc>
        <w:tc>
          <w:tcPr>
            <w:tcW w:w="1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1,791</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Assets under management and Deposits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3738880" cy="255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3888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distribution as of September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154305</wp:posOffset>
            </wp:positionV>
            <wp:extent cx="3164205" cy="24872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6420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11.7</w:t>
            </w:r>
          </w:p>
        </w:tc>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Grupo Pacifico</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4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rPr>
              <w:t>GRUPO PACÍFICO *</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 in thousands)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3"/>
          </w:tcPr>
          <w:p>
            <w:pPr>
              <w:ind w:left="760"/>
              <w:spacing w:after="0"/>
              <w:rPr>
                <w:sz w:val="20"/>
                <w:szCs w:val="20"/>
                <w:color w:val="auto"/>
              </w:rPr>
            </w:pPr>
            <w:r>
              <w:rPr>
                <w:rFonts w:ascii="Arial" w:cs="Arial" w:eastAsia="Arial" w:hAnsi="Arial"/>
                <w:sz w:val="18"/>
                <w:szCs w:val="18"/>
                <w:b w:val="1"/>
                <w:bCs w:val="1"/>
                <w:color w:val="auto"/>
                <w:w w:val="95"/>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ind w:left="300"/>
              <w:spacing w:after="0"/>
              <w:rPr>
                <w:sz w:val="20"/>
                <w:szCs w:val="20"/>
                <w:color w:val="auto"/>
              </w:rPr>
            </w:pPr>
            <w:r>
              <w:rPr>
                <w:rFonts w:ascii="Arial" w:cs="Arial" w:eastAsia="Arial" w:hAnsi="Arial"/>
                <w:sz w:val="18"/>
                <w:szCs w:val="18"/>
                <w:b w:val="1"/>
                <w:bCs w:val="1"/>
                <w:color w:val="auto"/>
              </w:rPr>
              <w:t>3Q15</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2Q16</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3Q16</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Balance</w:t>
            </w:r>
          </w:p>
        </w:tc>
        <w:tc>
          <w:tcPr>
            <w:tcW w:w="4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8,816,211</w:t>
            </w:r>
          </w:p>
        </w:tc>
        <w:tc>
          <w:tcPr>
            <w:tcW w:w="1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9,940,238</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10,453,470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6,443,018</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7,221,832</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7,598,343</w:t>
            </w:r>
          </w:p>
        </w:tc>
        <w:tc>
          <w:tcPr>
            <w:tcW w:w="3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Technical reserves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6,016,438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6,527,028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6,754,917</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equity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1,605,360</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2,242,417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2,431,271</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Quarterly income statement</w:t>
            </w: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439,480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461,628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477,366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265,647</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265,815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271,591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6"/>
              </w:rPr>
              <w:t>Net fees</w:t>
            </w:r>
          </w:p>
        </w:tc>
        <w:tc>
          <w:tcPr>
            <w:tcW w:w="39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102,713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108,884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118,363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underwriting expenses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14,531</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8,452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9,894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Underwriting result before Medical services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56,588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78,477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77,519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81,792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108,796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113,848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90,406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95,868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100,784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4,577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Traslations results</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-2,088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-165.8%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Gain (loss) from Grupo Pacífico and Banmédica agreement</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7,026</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11,031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13,921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49,176</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84,464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88,430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5,167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44,008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75,265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80,140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2200"/>
              <w:spacing w:after="0"/>
              <w:rPr>
                <w:sz w:val="20"/>
                <w:szCs w:val="20"/>
                <w:color w:val="auto"/>
              </w:rPr>
            </w:pPr>
            <w:r>
              <w:rPr>
                <w:rFonts w:ascii="Arial" w:cs="Arial" w:eastAsia="Arial" w:hAnsi="Arial"/>
                <w:sz w:val="18"/>
                <w:szCs w:val="18"/>
                <w:b w:val="1"/>
                <w:bCs w:val="1"/>
                <w:color w:val="auto"/>
              </w:rPr>
              <w:t>Ratios</w:t>
            </w: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Ceded</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17.4%</w:t>
            </w: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18.7%</w:t>
            </w: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19.6%</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18"/>
                <w:szCs w:val="18"/>
                <w:color w:val="auto"/>
              </w:rPr>
              <w:t>Loss ratio</w:t>
            </w:r>
            <w:r>
              <w:rPr>
                <w:rFonts w:ascii="Arial" w:cs="Arial" w:eastAsia="Arial" w:hAnsi="Arial"/>
                <w:sz w:val="29"/>
                <w:szCs w:val="29"/>
                <w:color w:val="auto"/>
                <w:vertAlign w:val="superscript"/>
              </w:rPr>
              <w:t>(2)</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60.4%</w:t>
            </w:r>
          </w:p>
        </w:tc>
        <w:tc>
          <w:tcPr>
            <w:tcW w:w="1320" w:type="dxa"/>
            <w:vAlign w:val="bottom"/>
          </w:tcPr>
          <w:p>
            <w:pPr>
              <w:ind w:left="420"/>
              <w:spacing w:after="0"/>
              <w:rPr>
                <w:sz w:val="20"/>
                <w:szCs w:val="20"/>
                <w:color w:val="auto"/>
              </w:rPr>
            </w:pPr>
            <w:r>
              <w:rPr>
                <w:rFonts w:ascii="Arial" w:cs="Arial" w:eastAsia="Arial" w:hAnsi="Arial"/>
                <w:sz w:val="18"/>
                <w:szCs w:val="18"/>
                <w:color w:val="auto"/>
              </w:rPr>
              <w:t>57.6%</w:t>
            </w:r>
          </w:p>
        </w:tc>
        <w:tc>
          <w:tcPr>
            <w:tcW w:w="1180" w:type="dxa"/>
            <w:vAlign w:val="bottom"/>
          </w:tcPr>
          <w:p>
            <w:pPr>
              <w:ind w:left="400"/>
              <w:spacing w:after="0"/>
              <w:rPr>
                <w:sz w:val="20"/>
                <w:szCs w:val="20"/>
                <w:color w:val="auto"/>
              </w:rPr>
            </w:pPr>
            <w:r>
              <w:rPr>
                <w:rFonts w:ascii="Arial" w:cs="Arial" w:eastAsia="Arial" w:hAnsi="Arial"/>
                <w:sz w:val="18"/>
                <w:szCs w:val="18"/>
                <w:color w:val="auto"/>
              </w:rPr>
              <w:t>56.9%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Fees + underwriting expenses, net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26.7%</w:t>
            </w: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25.4%</w:t>
            </w: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26.9%</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 bps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12.9%</w:t>
            </w:r>
          </w:p>
        </w:tc>
        <w:tc>
          <w:tcPr>
            <w:tcW w:w="1320" w:type="dxa"/>
            <w:vAlign w:val="bottom"/>
          </w:tcPr>
          <w:p>
            <w:pPr>
              <w:ind w:left="420"/>
              <w:spacing w:after="0"/>
              <w:rPr>
                <w:sz w:val="20"/>
                <w:szCs w:val="20"/>
                <w:color w:val="auto"/>
              </w:rPr>
            </w:pPr>
            <w:r>
              <w:rPr>
                <w:rFonts w:ascii="Arial" w:cs="Arial" w:eastAsia="Arial" w:hAnsi="Arial"/>
                <w:sz w:val="18"/>
                <w:szCs w:val="18"/>
                <w:color w:val="auto"/>
              </w:rPr>
              <w:t>17.0%</w:t>
            </w:r>
          </w:p>
        </w:tc>
        <w:tc>
          <w:tcPr>
            <w:tcW w:w="1180" w:type="dxa"/>
            <w:vAlign w:val="bottom"/>
          </w:tcPr>
          <w:p>
            <w:pPr>
              <w:ind w:left="40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330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 net earned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20.6%</w:t>
            </w: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20.8%</w:t>
            </w: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21.1%</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 bps</w:t>
            </w:r>
          </w:p>
        </w:tc>
      </w:tr>
      <w:tr>
        <w:trPr>
          <w:trHeight w:val="257"/>
        </w:trPr>
        <w:tc>
          <w:tcPr>
            <w:tcW w:w="4900" w:type="dxa"/>
            <w:vAlign w:val="bottom"/>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(3)(4)</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320" w:type="dxa"/>
            <w:vAlign w:val="bottom"/>
          </w:tcPr>
          <w:p>
            <w:pPr>
              <w:ind w:left="420"/>
              <w:spacing w:after="0"/>
              <w:rPr>
                <w:sz w:val="20"/>
                <w:szCs w:val="20"/>
                <w:color w:val="auto"/>
              </w:rPr>
            </w:pPr>
            <w:r>
              <w:rPr>
                <w:rFonts w:ascii="Arial" w:cs="Arial" w:eastAsia="Arial" w:hAnsi="Arial"/>
                <w:sz w:val="18"/>
                <w:szCs w:val="18"/>
                <w:color w:val="auto"/>
              </w:rPr>
              <w:t>14.4%</w:t>
            </w:r>
          </w:p>
        </w:tc>
        <w:tc>
          <w:tcPr>
            <w:tcW w:w="1180" w:type="dxa"/>
            <w:vAlign w:val="bottom"/>
          </w:tcPr>
          <w:p>
            <w:pPr>
              <w:ind w:left="400"/>
              <w:spacing w:after="0"/>
              <w:rPr>
                <w:sz w:val="20"/>
                <w:szCs w:val="20"/>
                <w:color w:val="auto"/>
              </w:rPr>
            </w:pPr>
            <w:r>
              <w:rPr>
                <w:rFonts w:ascii="Arial" w:cs="Arial" w:eastAsia="Arial" w:hAnsi="Arial"/>
                <w:sz w:val="18"/>
                <w:szCs w:val="18"/>
                <w:color w:val="auto"/>
              </w:rPr>
              <w:t>13.7%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320 bps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Return on written premiums</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w:t>
            </w:r>
          </w:p>
        </w:tc>
        <w:tc>
          <w:tcPr>
            <w:tcW w:w="1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11.2%</w:t>
            </w: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11.4%</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 bps</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530 bps</w:t>
            </w:r>
          </w:p>
        </w:tc>
      </w:tr>
      <w:tr>
        <w:trPr>
          <w:trHeight w:val="390"/>
        </w:trPr>
        <w:tc>
          <w:tcPr>
            <w:tcW w:w="4900" w:type="dxa"/>
            <w:vAlign w:val="bottom"/>
          </w:tcPr>
          <w:p>
            <w:pPr>
              <w:spacing w:after="0"/>
              <w:rPr>
                <w:sz w:val="20"/>
                <w:szCs w:val="20"/>
                <w:color w:val="auto"/>
              </w:rPr>
            </w:pPr>
            <w:r>
              <w:rPr>
                <w:rFonts w:ascii="Arial" w:cs="Arial" w:eastAsia="Arial" w:hAnsi="Arial"/>
                <w:sz w:val="18"/>
                <w:szCs w:val="18"/>
                <w:color w:val="auto"/>
              </w:rPr>
              <w:t>Combined ratio of P&amp;C</w:t>
            </w:r>
            <w:r>
              <w:rPr>
                <w:rFonts w:ascii="Arial" w:cs="Arial" w:eastAsia="Arial" w:hAnsi="Arial"/>
                <w:sz w:val="30"/>
                <w:szCs w:val="30"/>
                <w:color w:val="auto"/>
                <w:vertAlign w:val="superscript"/>
              </w:rPr>
              <w:t>(5)</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92.9%</w:t>
            </w:r>
          </w:p>
        </w:tc>
        <w:tc>
          <w:tcPr>
            <w:tcW w:w="1320" w:type="dxa"/>
            <w:vAlign w:val="bottom"/>
          </w:tcPr>
          <w:p>
            <w:pPr>
              <w:ind w:left="420"/>
              <w:spacing w:after="0"/>
              <w:rPr>
                <w:sz w:val="20"/>
                <w:szCs w:val="20"/>
                <w:color w:val="auto"/>
              </w:rPr>
            </w:pPr>
            <w:r>
              <w:rPr>
                <w:rFonts w:ascii="Arial" w:cs="Arial" w:eastAsia="Arial" w:hAnsi="Arial"/>
                <w:sz w:val="18"/>
                <w:szCs w:val="18"/>
                <w:b w:val="1"/>
                <w:bCs w:val="1"/>
                <w:color w:val="auto"/>
              </w:rPr>
              <w:t>88.8%</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88.0%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-80 bps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-490 bps</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participate as equal partners, 50/50). This partnership includes:</w:t>
      </w:r>
    </w:p>
    <w:p>
      <w:pPr>
        <w:spacing w:after="0" w:line="170" w:lineRule="exact"/>
        <w:rPr>
          <w:sz w:val="20"/>
          <w:szCs w:val="20"/>
          <w:color w:val="auto"/>
        </w:rPr>
      </w:pPr>
    </w:p>
    <w:p>
      <w:pPr>
        <w:ind w:left="1300" w:right="2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(Soles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Quarter</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 change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3Q15</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2Q16</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3Q16</w:t>
            </w: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Results</w:t>
            </w: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earned premiums</w:t>
            </w:r>
          </w:p>
        </w:tc>
        <w:tc>
          <w:tcPr>
            <w:tcW w:w="960" w:type="dxa"/>
            <w:vAlign w:val="bottom"/>
          </w:tcPr>
          <w:p>
            <w:pPr>
              <w:jc w:val="right"/>
              <w:spacing w:after="0"/>
              <w:rPr>
                <w:sz w:val="20"/>
                <w:szCs w:val="20"/>
                <w:color w:val="auto"/>
              </w:rPr>
            </w:pPr>
            <w:r>
              <w:rPr>
                <w:rFonts w:ascii="Arial" w:cs="Arial" w:eastAsia="Arial" w:hAnsi="Arial"/>
                <w:sz w:val="18"/>
                <w:szCs w:val="18"/>
                <w:color w:val="auto"/>
              </w:rPr>
              <w:t>211,687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214,537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223,533</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-183,864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fees</w:t>
            </w:r>
          </w:p>
        </w:tc>
        <w:tc>
          <w:tcPr>
            <w:tcW w:w="960" w:type="dxa"/>
            <w:vAlign w:val="bottom"/>
          </w:tcPr>
          <w:p>
            <w:pPr>
              <w:jc w:val="right"/>
              <w:spacing w:after="0"/>
              <w:rPr>
                <w:sz w:val="20"/>
                <w:szCs w:val="20"/>
                <w:color w:val="auto"/>
              </w:rPr>
            </w:pPr>
            <w:r>
              <w:rPr>
                <w:rFonts w:ascii="Arial" w:cs="Arial" w:eastAsia="Arial" w:hAnsi="Arial"/>
                <w:sz w:val="18"/>
                <w:szCs w:val="18"/>
                <w:color w:val="auto"/>
              </w:rPr>
              <w:t>-9,625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-10,467</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17,960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18,087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20,545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tax</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3,857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4,145</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9,280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11,090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12,020</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13,137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13,204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16,164</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22.4%</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290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Prima AFP</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Main financial indicators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1040" w:type="dxa"/>
            <w:vAlign w:val="bottom"/>
            <w:gridSpan w:val="3"/>
          </w:tcPr>
          <w:p>
            <w:pPr>
              <w:ind w:left="640"/>
              <w:spacing w:after="0"/>
              <w:rPr>
                <w:sz w:val="20"/>
                <w:szCs w:val="20"/>
                <w:color w:val="auto"/>
              </w:rPr>
            </w:pPr>
            <w:r>
              <w:rPr>
                <w:rFonts w:ascii="Arial" w:cs="Arial" w:eastAsia="Arial" w:hAnsi="Arial"/>
                <w:sz w:val="18"/>
                <w:szCs w:val="18"/>
                <w:b w:val="1"/>
                <w:bCs w:val="1"/>
                <w:color w:val="auto"/>
              </w:rPr>
              <w:t>YTD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2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3Q15</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2Q16</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3Q16</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 15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Sep 16</w:t>
            </w:r>
          </w:p>
        </w:tc>
        <w:tc>
          <w:tcPr>
            <w:tcW w:w="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16 / Sep 15</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808,888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760,382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842,608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842,608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276,854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245,468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268,026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740" w:type="dxa"/>
            <w:vAlign w:val="bottom"/>
          </w:tcPr>
          <w:p>
            <w:pPr>
              <w:jc w:val="right"/>
              <w:spacing w:after="0"/>
              <w:rPr>
                <w:sz w:val="20"/>
                <w:szCs w:val="20"/>
                <w:color w:val="auto"/>
              </w:rPr>
            </w:pPr>
            <w:r>
              <w:rPr>
                <w:rFonts w:ascii="Arial" w:cs="Arial" w:eastAsia="Arial" w:hAnsi="Arial"/>
                <w:sz w:val="18"/>
                <w:szCs w:val="18"/>
                <w:color w:val="auto"/>
              </w:rPr>
              <w:t>276,854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268,026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532,035</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514,914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574,583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574,583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color w:val="auto"/>
              </w:rPr>
              <w:t>Income from commissions</w:t>
            </w: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100,148</w:t>
            </w:r>
          </w:p>
        </w:tc>
        <w:tc>
          <w:tcPr>
            <w:tcW w:w="28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101,314</w:t>
            </w:r>
          </w:p>
        </w:tc>
        <w:tc>
          <w:tcPr>
            <w:tcW w:w="3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101,776</w:t>
            </w:r>
          </w:p>
        </w:tc>
        <w:tc>
          <w:tcPr>
            <w:tcW w:w="280" w:type="dxa"/>
            <w:vAlign w:val="bottom"/>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740" w:type="dxa"/>
            <w:vAlign w:val="bottom"/>
          </w:tcPr>
          <w:p>
            <w:pPr>
              <w:jc w:val="right"/>
              <w:spacing w:after="0"/>
              <w:rPr>
                <w:sz w:val="20"/>
                <w:szCs w:val="20"/>
                <w:color w:val="auto"/>
              </w:rPr>
            </w:pPr>
            <w:r>
              <w:rPr>
                <w:rFonts w:ascii="Arial" w:cs="Arial" w:eastAsia="Arial" w:hAnsi="Arial"/>
                <w:sz w:val="18"/>
                <w:szCs w:val="18"/>
                <w:color w:val="auto"/>
              </w:rPr>
              <w:t>301,913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304,020</w:t>
            </w:r>
          </w:p>
        </w:tc>
        <w:tc>
          <w:tcPr>
            <w:tcW w:w="180" w:type="dxa"/>
            <w:vAlign w:val="bottom"/>
            <w:vMerge w:val="continue"/>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(39,313)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(37,493)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-117,196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(4,773)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(5,370)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-14,395</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-15,566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58,686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56,797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58,913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171,258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(16,053)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-48,627</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40,140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41,712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122,938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122,160</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40,074</w:t>
            </w:r>
          </w:p>
        </w:tc>
        <w:tc>
          <w:tcPr>
            <w:tcW w:w="2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39,846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41,840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123,699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121,455</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3460" w:type="dxa"/>
            <w:vAlign w:val="bottom"/>
            <w:gridSpan w:val="3"/>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3"/>
            <w:vMerge w:val="continue"/>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w w:val="99"/>
              </w:rPr>
              <w:t>Funds under management</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Funds under management</w:t>
            </w: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Jun 16</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Sep 16</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4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Fund 1</w:t>
            </w:r>
          </w:p>
        </w:tc>
        <w:tc>
          <w:tcPr>
            <w:tcW w:w="780" w:type="dxa"/>
            <w:vAlign w:val="bottom"/>
          </w:tcPr>
          <w:p>
            <w:pPr>
              <w:spacing w:after="0"/>
              <w:rPr>
                <w:sz w:val="18"/>
                <w:szCs w:val="18"/>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6"/>
          </w:tcPr>
          <w:p>
            <w:pPr>
              <w:jc w:val="right"/>
              <w:ind w:right="10"/>
              <w:spacing w:after="0"/>
              <w:rPr>
                <w:sz w:val="20"/>
                <w:szCs w:val="20"/>
                <w:color w:val="auto"/>
              </w:rPr>
            </w:pPr>
            <w:r>
              <w:rPr>
                <w:rFonts w:ascii="Arial" w:cs="Arial" w:eastAsia="Arial" w:hAnsi="Arial"/>
                <w:sz w:val="18"/>
                <w:szCs w:val="18"/>
                <w:color w:val="auto"/>
                <w:w w:val="86"/>
              </w:rPr>
              <w:t>12.8%</w:t>
            </w:r>
          </w:p>
        </w:tc>
        <w:tc>
          <w:tcPr>
            <w:tcW w:w="4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80" w:type="dxa"/>
            <w:vAlign w:val="bottom"/>
            <w:shd w:val="clear" w:color="auto" w:fill="CCEEFF"/>
          </w:tcPr>
          <w:p>
            <w:pPr>
              <w:spacing w:after="0"/>
              <w:rPr>
                <w:sz w:val="18"/>
                <w:szCs w:val="18"/>
                <w:color w:val="auto"/>
              </w:rPr>
            </w:pPr>
          </w:p>
        </w:tc>
        <w:tc>
          <w:tcPr>
            <w:tcW w:w="24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28,451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w w:val="86"/>
              </w:rPr>
              <w:t>69.1%</w:t>
            </w:r>
          </w:p>
        </w:tc>
        <w:tc>
          <w:tcPr>
            <w:tcW w:w="4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30,466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Fund 3</w:t>
            </w:r>
          </w:p>
        </w:tc>
        <w:tc>
          <w:tcPr>
            <w:tcW w:w="780" w:type="dxa"/>
            <w:vAlign w:val="bottom"/>
          </w:tcPr>
          <w:p>
            <w:pPr>
              <w:spacing w:after="0"/>
              <w:rPr>
                <w:sz w:val="19"/>
                <w:szCs w:val="19"/>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7,214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6"/>
          </w:tcPr>
          <w:p>
            <w:pPr>
              <w:jc w:val="right"/>
              <w:ind w:right="10"/>
              <w:spacing w:after="0"/>
              <w:rPr>
                <w:sz w:val="20"/>
                <w:szCs w:val="20"/>
                <w:color w:val="auto"/>
              </w:rPr>
            </w:pPr>
            <w:r>
              <w:rPr>
                <w:rFonts w:ascii="Arial" w:cs="Arial" w:eastAsia="Arial" w:hAnsi="Arial"/>
                <w:sz w:val="18"/>
                <w:szCs w:val="18"/>
                <w:color w:val="auto"/>
                <w:w w:val="86"/>
              </w:rPr>
              <w:t>17.5%</w:t>
            </w:r>
          </w:p>
        </w:tc>
        <w:tc>
          <w:tcPr>
            <w:tcW w:w="48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40" w:type="dxa"/>
            <w:vAlign w:val="bottom"/>
            <w:tcBorders>
              <w:top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43,592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Source: SBS.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500" w:type="dxa"/>
            <w:vAlign w:val="bottom"/>
            <w:gridSpan w:val="9"/>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11"/>
          </w:tcPr>
          <w:p>
            <w:pPr>
              <w:jc w:val="right"/>
              <w:ind w:right="70"/>
              <w:spacing w:after="0"/>
              <w:rPr>
                <w:sz w:val="20"/>
                <w:szCs w:val="20"/>
                <w:color w:val="auto"/>
              </w:rPr>
            </w:pPr>
            <w:r>
              <w:rPr>
                <w:rFonts w:ascii="Arial" w:cs="Arial" w:eastAsia="Arial" w:hAnsi="Arial"/>
                <w:sz w:val="18"/>
                <w:szCs w:val="18"/>
                <w:b w:val="1"/>
                <w:bCs w:val="1"/>
                <w:color w:val="auto"/>
                <w:w w:val="89"/>
              </w:rPr>
              <w:t>Jun 16 / Jun 15</w:t>
            </w:r>
          </w:p>
        </w:tc>
        <w:tc>
          <w:tcPr>
            <w:tcW w:w="124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89"/>
              </w:rPr>
              <w:t>Sep 16 / Sep 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 0</w:t>
            </w:r>
          </w:p>
        </w:tc>
        <w:tc>
          <w:tcPr>
            <w:tcW w:w="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Fund 1</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Fund 3</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26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4280" w:type="dxa"/>
            <w:vAlign w:val="bottom"/>
            <w:gridSpan w:val="17"/>
          </w:tcPr>
          <w:p>
            <w:pPr>
              <w:ind w:left="60"/>
              <w:spacing w:after="0"/>
              <w:rPr>
                <w:sz w:val="20"/>
                <w:szCs w:val="20"/>
                <w:color w:val="auto"/>
              </w:rPr>
            </w:pPr>
            <w:r>
              <w:rPr>
                <w:rFonts w:ascii="Arial" w:cs="Arial" w:eastAsia="Arial" w:hAnsi="Arial"/>
                <w:sz w:val="18"/>
                <w:szCs w:val="18"/>
                <w:b w:val="1"/>
                <w:bCs w:val="1"/>
                <w:color w:val="auto"/>
              </w:rPr>
              <w:t>Applied to the affiliates' monthly remuneration.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260" w:type="dxa"/>
            <w:vAlign w:val="bottom"/>
          </w:tcPr>
          <w:p>
            <w:pPr>
              <w:ind w:left="180"/>
              <w:spacing w:after="0"/>
              <w:rPr>
                <w:sz w:val="20"/>
                <w:szCs w:val="20"/>
                <w:color w:val="auto"/>
              </w:rPr>
            </w:pPr>
            <w:r>
              <w:rPr>
                <w:rFonts w:ascii="Arial" w:cs="Arial" w:eastAsia="Arial" w:hAnsi="Arial"/>
                <w:sz w:val="18"/>
                <w:szCs w:val="18"/>
                <w:color w:val="auto"/>
              </w:rPr>
              <w:t>Flow</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6560" w:type="dxa"/>
            <w:vAlign w:val="bottom"/>
            <w:gridSpan w:val="28"/>
          </w:tcPr>
          <w:p>
            <w:pPr>
              <w:ind w:left="60"/>
              <w:spacing w:after="0"/>
              <w:rPr>
                <w:sz w:val="20"/>
                <w:szCs w:val="20"/>
                <w:color w:val="auto"/>
              </w:rPr>
            </w:pPr>
            <w:r>
              <w:rPr>
                <w:rFonts w:ascii="Arial" w:cs="Arial" w:eastAsia="Arial" w:hAnsi="Arial"/>
                <w:sz w:val="18"/>
                <w:szCs w:val="18"/>
                <w:color w:val="auto"/>
                <w:w w:val="91"/>
              </w:rPr>
              <w:t>Applied to the affiliates' monthly remuneration since February 2015, before it was 1.51%.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2260" w:type="dxa"/>
            <w:vAlign w:val="bottom"/>
          </w:tcPr>
          <w:p>
            <w:pPr>
              <w:ind w:left="180"/>
              <w:spacing w:after="0"/>
              <w:rPr>
                <w:sz w:val="20"/>
                <w:szCs w:val="20"/>
                <w:color w:val="auto"/>
              </w:rPr>
            </w:pPr>
            <w:r>
              <w:rPr>
                <w:rFonts w:ascii="Arial" w:cs="Arial" w:eastAsia="Arial" w:hAnsi="Arial"/>
                <w:sz w:val="18"/>
                <w:szCs w:val="18"/>
                <w:color w:val="auto"/>
              </w:rPr>
              <w:t>Balance</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380" w:type="dxa"/>
            <w:vAlign w:val="bottom"/>
            <w:gridSpan w:val="32"/>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r>
      <w:tr>
        <w:trPr>
          <w:trHeight w:val="230"/>
        </w:trPr>
        <w:tc>
          <w:tcPr>
            <w:tcW w:w="2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gridSpan w:val="20"/>
          </w:tcPr>
          <w:p>
            <w:pPr>
              <w:ind w:left="6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Prima</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4"/>
              </w:rPr>
              <w:t>System</w:t>
            </w:r>
          </w:p>
        </w:tc>
        <w:tc>
          <w:tcPr>
            <w:tcW w:w="220" w:type="dxa"/>
            <w:vAlign w:val="bottom"/>
          </w:tcPr>
          <w:p>
            <w:pPr>
              <w:spacing w:after="0"/>
              <w:rPr>
                <w:sz w:val="24"/>
                <w:szCs w:val="24"/>
                <w:color w:val="auto"/>
              </w:rPr>
            </w:pPr>
          </w:p>
        </w:tc>
        <w:tc>
          <w:tcPr>
            <w:tcW w:w="9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5"/>
          </w:tcPr>
          <w:p>
            <w:pPr>
              <w:ind w:left="180"/>
              <w:spacing w:after="0"/>
              <w:rPr>
                <w:sz w:val="20"/>
                <w:szCs w:val="20"/>
                <w:color w:val="auto"/>
              </w:rPr>
            </w:pPr>
            <w:r>
              <w:rPr>
                <w:rFonts w:ascii="Arial" w:cs="Arial" w:eastAsia="Arial" w:hAnsi="Arial"/>
                <w:sz w:val="18"/>
                <w:szCs w:val="18"/>
                <w:b w:val="1"/>
                <w:bCs w:val="1"/>
                <w:color w:val="auto"/>
              </w:rPr>
              <w:t>Prima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System</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2Q16</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0"/>
              </w:rPr>
              <w:t>2Q16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2Q16</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3Q16</w:t>
            </w:r>
          </w:p>
        </w:tc>
        <w:tc>
          <w:tcPr>
            <w:tcW w:w="160" w:type="dxa"/>
            <w:vAlign w:val="bottom"/>
            <w:tcBorders>
              <w:bottom w:val="single" w:sz="8" w:color="CCEEFF"/>
            </w:tcBorders>
          </w:tcPr>
          <w:p>
            <w:pPr>
              <w:spacing w:after="0"/>
              <w:rPr>
                <w:sz w:val="20"/>
                <w:szCs w:val="20"/>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1,458,616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6,103,073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23.9%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1,462,835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6,181,379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57"/>
        </w:trPr>
        <w:tc>
          <w:tcPr>
            <w:tcW w:w="226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75,888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83,497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Funds under management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129,627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31.8%</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43,592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136,684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257"/>
        </w:trPr>
        <w:tc>
          <w:tcPr>
            <w:tcW w:w="2260" w:type="dxa"/>
            <w:vAlign w:val="bottom"/>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31.5%</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44.5%</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r>
      <w:tr>
        <w:trPr>
          <w:trHeight w:val="390"/>
        </w:trPr>
        <w:tc>
          <w:tcPr>
            <w:tcW w:w="226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2,143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6,786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31.6%</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6,842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34"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11.9 Table of calculations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Table of calculations </w:t>
      </w:r>
      <w:r>
        <w:rPr>
          <w:rFonts w:ascii="Arial" w:cs="Arial" w:eastAsia="Arial" w:hAnsi="Arial"/>
          <w:sz w:val="24"/>
          <w:szCs w:val="24"/>
          <w:b w:val="1"/>
          <w:bCs w:val="1"/>
          <w:color w:val="auto"/>
          <w:vertAlign w:val="superscript"/>
        </w:rPr>
        <w:t>(1)</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on loans (NIM on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internal overdue loans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non – performing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 / Net Earned Premium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Average* Interest Earning Assets</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on loans–(Interest expense x (Average* total loans /Average interest earning assets))] x 4/Average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 Average* net equity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 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 Non-performing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for loan losses / Total loans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(Net claims + General expenses + Fees + Underwriting expenses) / Net earned premiums.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Life insurance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(Salaries and employee benefits + Administrative expenses + Depreciation and amortization + Adquisition cost) / (Net interest income + Fee income + Net gain on foreign exchange transactions + Net gain from associates + Net premiums earned)</w:t>
      </w:r>
    </w:p>
    <w:p>
      <w:pPr>
        <w:spacing w:after="0" w:line="173"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(Salaries and employee benefits + Administrative expenses + Depreciation and amortization + Adquisition cost) / Average* total assets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 Risk-weighted assets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Capital + Reserves – 100% of applicable deductions (investment in subsidiaries, goodwill, intangibles and deferred tax that rely on future profitability) + retained earnings + unrealized gains.</w:t>
      </w:r>
    </w:p>
    <w:p>
      <w:pPr>
        <w:spacing w:after="0" w:line="181" w:lineRule="exact"/>
        <w:rPr>
          <w:sz w:val="20"/>
          <w:szCs w:val="20"/>
          <w:color w:val="auto"/>
        </w:rPr>
      </w:pPr>
    </w:p>
    <w:p>
      <w:pPr>
        <w:sectPr>
          <w:pgSz w:w="11900" w:h="16838" w:orient="portrait"/>
          <w:cols w:equalWidth="0" w:num="2">
            <w:col w:w="4080" w:space="720"/>
            <w:col w:w="6620"/>
          </w:cols>
          <w:pgMar w:left="240" w:top="905" w:right="239" w:bottom="1440" w:gutter="0" w:footer="0" w:header="0"/>
          <w:type w:val="continuous"/>
        </w:sectPr>
      </w:pP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lowerRoman"/>
      <w:start w:val="1"/>
    </w:lvl>
  </w:abstractNum>
  <w:abstractNum w:abstractNumId="6">
    <w:nsid w:val="2A487CB0"/>
    <w:multiLevelType w:val="hybridMultilevel"/>
    <w:lvl w:ilvl="0">
      <w:lvlJc w:val="left"/>
      <w:lvlText w:val="(%1)"/>
      <w:numFmt w:val="lowerRoman"/>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lowerRoman"/>
      <w:start w:val="1"/>
    </w:lvl>
  </w:abstractNum>
  <w:abstractNum w:abstractNumId="10">
    <w:nsid w:val="57E4CCAF"/>
    <w:multiLevelType w:val="hybridMultilevel"/>
    <w:lvl w:ilvl="0">
      <w:lvlJc w:val="left"/>
      <w:lvlText w:val="(%1)"/>
      <w:numFmt w:val="lowerRoman"/>
      <w:start w:val="1"/>
    </w:lvl>
  </w:abstractNum>
  <w:abstractNum w:abstractNumId="11">
    <w:nsid w:val="7A6D8D3C"/>
    <w:multiLevelType w:val="hybridMultilevel"/>
    <w:lvl w:ilvl="0">
      <w:lvlJc w:val="left"/>
      <w:lvlText w:val="(%1)"/>
      <w:numFmt w:val="lowerRoman"/>
      <w:start w:val="2"/>
    </w:lvl>
  </w:abstractNum>
  <w:abstractNum w:abstractNumId="12">
    <w:nsid w:val="4B588F54"/>
    <w:multiLevelType w:val="hybridMultilevel"/>
    <w:lvl w:ilvl="0">
      <w:lvlJc w:val="left"/>
      <w:lvlText w:val="(%1)"/>
      <w:numFmt w:val="decimal"/>
      <w:start w:val="2"/>
    </w:lvl>
  </w:abstractNum>
  <w:abstractNum w:abstractNumId="13">
    <w:nsid w:val="542289EC"/>
    <w:multiLevelType w:val="hybridMultilevel"/>
    <w:lvl w:ilvl="0">
      <w:lvlJc w:val="left"/>
      <w:lvlText w:val="(%1)"/>
      <w:numFmt w:val="lowerRoman"/>
      <w:start w:val="1"/>
    </w:lvl>
  </w:abstractNum>
  <w:abstractNum w:abstractNumId="14">
    <w:nsid w:val="6DE91B18"/>
    <w:multiLevelType w:val="hybridMultilevel"/>
    <w:lvl w:ilvl="0">
      <w:lvlJc w:val="left"/>
      <w:lvlText w:val="1"/>
      <w:numFmt w:val="bullet"/>
      <w:start w:val="1"/>
    </w:lvl>
  </w:abstractNum>
  <w:abstractNum w:abstractNumId="15">
    <w:nsid w:val="38437FDB"/>
    <w:multiLevelType w:val="hybridMultilevel"/>
    <w:lvl w:ilvl="0">
      <w:lvlJc w:val="left"/>
      <w:lvlText w:val="(%1)"/>
      <w:numFmt w:val="decimal"/>
      <w:start w:val="2"/>
    </w:lvl>
  </w:abstractNum>
  <w:abstractNum w:abstractNumId="16">
    <w:nsid w:val="7644A45C"/>
    <w:multiLevelType w:val="hybridMultilevel"/>
    <w:lvl w:ilvl="0">
      <w:lvlJc w:val="left"/>
      <w:lvlText w:val="%1."/>
      <w:numFmt w:val="decimal"/>
      <w:start w:val="2"/>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2"/>
      <w:numFmt w:val="bullet"/>
      <w:start w:val="1"/>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lowerRoman"/>
      <w:start w:val="1"/>
    </w:lvl>
  </w:abstractNum>
  <w:abstractNum w:abstractNumId="26">
    <w:nsid w:val="70C6A529"/>
    <w:multiLevelType w:val="hybridMultilevel"/>
    <w:lvl w:ilvl="0">
      <w:lvlJc w:val="left"/>
      <w:lvlText w:val="3"/>
      <w:numFmt w:val="bullet"/>
      <w:start w:val="1"/>
    </w:lvl>
  </w:abstractNum>
  <w:abstractNum w:abstractNumId="27">
    <w:nsid w:val="520EEDD1"/>
    <w:multiLevelType w:val="hybridMultilevel"/>
    <w:lvl w:ilvl="0">
      <w:lvlJc w:val="left"/>
      <w:lvlText w:val="(%1)"/>
      <w:numFmt w:val="lowerRoman"/>
      <w:start w:val="1"/>
    </w:lvl>
  </w:abstractNum>
  <w:abstractNum w:abstractNumId="28">
    <w:nsid w:val="374A3FE6"/>
    <w:multiLevelType w:val="hybridMultilevel"/>
    <w:lvl w:ilvl="0">
      <w:lvlJc w:val="left"/>
      <w:lvlText w:val="(%1)"/>
      <w:numFmt w:val="lowerRoman"/>
      <w:start w:val="2"/>
    </w:lvl>
  </w:abstractNum>
  <w:abstractNum w:abstractNumId="29">
    <w:nsid w:val="4F4EF005"/>
    <w:multiLevelType w:val="hybridMultilevel"/>
    <w:lvl w:ilvl="0">
      <w:lvlJc w:val="left"/>
      <w:lvlText w:val="%1"/>
      <w:numFmt w:val="lowerRoman"/>
      <w:start w:val="1"/>
    </w:lvl>
    <w:lvl w:ilvl="1">
      <w:lvlJc w:val="left"/>
      <w:lvlText w:val="(%2)"/>
      <w:numFmt w:val="decimal"/>
      <w:start w:val="1"/>
    </w:lvl>
  </w:abstractNum>
  <w:abstractNum w:abstractNumId="30">
    <w:nsid w:val="23F9C13C"/>
    <w:multiLevelType w:val="hybridMultilevel"/>
    <w:lvl w:ilvl="0">
      <w:lvlJc w:val="left"/>
      <w:lvlText w:val="(%1)"/>
      <w:numFmt w:val="lowerRoman"/>
      <w:start w:val="3"/>
    </w:lvl>
    <w:lvl w:ilvl="1">
      <w:lvlJc w:val="left"/>
      <w:lvlText w:val="%2"/>
      <w:numFmt w:val="decimal"/>
      <w:start w:val="1"/>
    </w:lvl>
  </w:abstractNum>
  <w:abstractNum w:abstractNumId="31">
    <w:nsid w:val="649BB77C"/>
    <w:multiLevelType w:val="hybridMultilevel"/>
    <w:lvl w:ilvl="0">
      <w:lvlJc w:val="left"/>
      <w:lvlText w:val="%1"/>
      <w:numFmt w:val="lowerRoman"/>
      <w:start w:val="1"/>
    </w:lvl>
    <w:lvl w:ilvl="1">
      <w:lvlJc w:val="left"/>
      <w:lvlText w:val="(%2)"/>
      <w:numFmt w:val="decimal"/>
      <w:start w:val="1"/>
    </w:lvl>
  </w:abstractNum>
  <w:abstractNum w:abstractNumId="32">
    <w:nsid w:val="275AC794"/>
    <w:multiLevelType w:val="hybridMultilevel"/>
    <w:lvl w:ilvl="0">
      <w:lvlJc w:val="left"/>
      <w:lvlText w:val="(%1)"/>
      <w:numFmt w:val="lowerRoman"/>
      <w:start w:val="4"/>
    </w:lvl>
    <w:lvl w:ilvl="1">
      <w:lvlJc w:val="left"/>
      <w:lvlText w:val="%2"/>
      <w:numFmt w:val="decimal"/>
      <w:start w:val="1"/>
    </w:lvl>
  </w:abstractNum>
  <w:abstractNum w:abstractNumId="33">
    <w:nsid w:val="39386575"/>
    <w:multiLevelType w:val="hybridMultilevel"/>
    <w:lvl w:ilvl="0">
      <w:lvlJc w:val="left"/>
      <w:lvlText w:val="%1"/>
      <w:numFmt w:val="lowerRoman"/>
      <w:start w:val="1"/>
    </w:lvl>
    <w:lvl w:ilvl="1">
      <w:lvlJc w:val="left"/>
      <w:lvlText w:val="(%2)"/>
      <w:numFmt w:val="decimal"/>
      <w:start w:val="1"/>
    </w:lvl>
  </w:abstractNum>
  <w:abstractNum w:abstractNumId="34">
    <w:nsid w:val="1CF10FD8"/>
    <w:multiLevelType w:val="hybridMultilevel"/>
    <w:lvl w:ilvl="0">
      <w:lvlJc w:val="left"/>
      <w:lvlText w:val="(%1)"/>
      <w:numFmt w:val="lowerRoman"/>
      <w:start w:val="5"/>
    </w:lvl>
    <w:lvl w:ilvl="1">
      <w:lvlJc w:val="left"/>
      <w:lvlText w:val="%2"/>
      <w:numFmt w:val="decimal"/>
      <w:start w:val="1"/>
    </w:lvl>
  </w:abstractNum>
  <w:abstractNum w:abstractNumId="35">
    <w:nsid w:val="180115BE"/>
    <w:multiLevelType w:val="hybridMultilevel"/>
    <w:lvl w:ilvl="0">
      <w:lvlJc w:val="left"/>
      <w:lvlText w:val="%1"/>
      <w:numFmt w:val="lowerRoman"/>
      <w:start w:val="1"/>
    </w:lvl>
    <w:lvl w:ilvl="1">
      <w:lvlJc w:val="left"/>
      <w:lvlText w:val="(%2)"/>
      <w:numFmt w:val="decimal"/>
      <w:start w:val="1"/>
    </w:lvl>
  </w:abstractNum>
  <w:abstractNum w:abstractNumId="36">
    <w:nsid w:val="235BA861"/>
    <w:multiLevelType w:val="hybridMultilevel"/>
    <w:lvl w:ilvl="0">
      <w:lvlJc w:val="left"/>
      <w:lvlText w:val="(%1)"/>
      <w:numFmt w:val="lowerRoman"/>
      <w:start w:val="6"/>
    </w:lvl>
    <w:lvl w:ilvl="1">
      <w:lvlJc w:val="left"/>
      <w:lvlText w:val="%2"/>
      <w:numFmt w:val="decimal"/>
      <w:start w:val="1"/>
    </w:lvl>
  </w:abstractNum>
  <w:abstractNum w:abstractNumId="37">
    <w:nsid w:val="47398C89"/>
    <w:multiLevelType w:val="hybridMultilevel"/>
    <w:lvl w:ilvl="0">
      <w:lvlJc w:val="left"/>
      <w:lvlText w:val="%1"/>
      <w:numFmt w:val="lowerRoman"/>
      <w:start w:val="1"/>
    </w:lvl>
    <w:lvl w:ilvl="1">
      <w:lvlJc w:val="left"/>
      <w:lvlText w:val="(%2)"/>
      <w:numFmt w:val="decimal"/>
      <w:start w:val="1"/>
    </w:lvl>
  </w:abstractNum>
  <w:abstractNum w:abstractNumId="38">
    <w:nsid w:val="354FE9F9"/>
    <w:multiLevelType w:val="hybridMultilevel"/>
    <w:lvl w:ilvl="0">
      <w:lvlJc w:val="left"/>
      <w:lvlText w:val="(%1)"/>
      <w:numFmt w:val="lowerRoman"/>
      <w:start w:val="7"/>
    </w:lvl>
    <w:lvl w:ilvl="1">
      <w:lvlJc w:val="left"/>
      <w:lvlText w:val="%2"/>
      <w:numFmt w:val="decimal"/>
      <w:start w:val="1"/>
    </w:lvl>
  </w:abstractNum>
  <w:abstractNum w:abstractNumId="39">
    <w:nsid w:val="15B5AF5C"/>
    <w:multiLevelType w:val="hybridMultilevel"/>
    <w:lvl w:ilvl="0">
      <w:lvlJc w:val="left"/>
      <w:lvlText w:val="(%1)"/>
      <w:numFmt w:val="lowerRoman"/>
      <w:start w:val="8"/>
    </w:lvl>
  </w:abstractNum>
  <w:abstractNum w:abstractNumId="40">
    <w:nsid w:val="741226BB"/>
    <w:multiLevelType w:val="hybridMultilevel"/>
    <w:lvl w:ilvl="0">
      <w:lvlJc w:val="left"/>
      <w:lvlText w:val="4"/>
      <w:numFmt w:val="bullet"/>
      <w:start w:val="1"/>
    </w:lvl>
  </w:abstractNum>
  <w:abstractNum w:abstractNumId="41">
    <w:nsid w:val="D34B6A8"/>
    <w:multiLevelType w:val="hybridMultilevel"/>
    <w:lvl w:ilvl="0">
      <w:lvlJc w:val="left"/>
      <w:lvlText w:val="%1."/>
      <w:numFmt w:val="decimal"/>
      <w:start w:val="4"/>
    </w:lvl>
  </w:abstractNum>
  <w:abstractNum w:abstractNumId="42">
    <w:nsid w:val="10233C99"/>
    <w:multiLevelType w:val="hybridMultilevel"/>
    <w:lvl w:ilvl="0">
      <w:lvlJc w:val="left"/>
      <w:lvlText w:val="5"/>
      <w:numFmt w:val="bullet"/>
      <w:start w:val="1"/>
    </w:lvl>
  </w:abstractNum>
  <w:abstractNum w:abstractNumId="43">
    <w:nsid w:val="3F6AB60F"/>
    <w:multiLevelType w:val="hybridMultilevel"/>
    <w:lvl w:ilvl="0">
      <w:lvlJc w:val="left"/>
      <w:lvlText w:val="6"/>
      <w:numFmt w:val="bullet"/>
      <w:start w:val="1"/>
    </w:lvl>
  </w:abstractNum>
  <w:abstractNum w:abstractNumId="44">
    <w:nsid w:val="61574095"/>
    <w:multiLevelType w:val="hybridMultilevel"/>
    <w:lvl w:ilvl="0">
      <w:lvlJc w:val="left"/>
      <w:lvlText w:val="%1."/>
      <w:numFmt w:val="decimal"/>
      <w:start w:val="5"/>
    </w:lvl>
  </w:abstractNum>
  <w:abstractNum w:abstractNumId="45">
    <w:nsid w:val="7E0C57B1"/>
    <w:multiLevelType w:val="hybridMultilevel"/>
    <w:lvl w:ilvl="0">
      <w:lvlJc w:val="left"/>
      <w:lvlText w:val="(%1)"/>
      <w:numFmt w:val="lowerRoman"/>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decimal"/>
      <w:start w:val="6"/>
    </w:lvl>
  </w:abstractNum>
  <w:abstractNum w:abstractNumId="50">
    <w:nsid w:val="2F305DEF"/>
    <w:multiLevelType w:val="hybridMultilevel"/>
    <w:lvl w:ilvl="0">
      <w:lvlJc w:val="left"/>
      <w:lvlText w:val="(%1)"/>
      <w:numFmt w:val="lowerRoman"/>
      <w:start w:val="1"/>
    </w:lvl>
  </w:abstractNum>
  <w:abstractNum w:abstractNumId="51">
    <w:nsid w:val="25A70BF7"/>
    <w:multiLevelType w:val="hybridMultilevel"/>
    <w:lvl w:ilvl="0">
      <w:lvlJc w:val="left"/>
      <w:lvlText w:val="%1."/>
      <w:numFmt w:val="decimal"/>
      <w:start w:val="7"/>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lowerRoman"/>
      <w:start w:val="1"/>
    </w:lvl>
  </w:abstractNum>
  <w:abstractNum w:abstractNumId="54">
    <w:nsid w:val="1F48EAA1"/>
    <w:multiLevelType w:val="hybridMultilevel"/>
    <w:lvl w:ilvl="0">
      <w:lvlJc w:val="left"/>
      <w:lvlText w:val="(%1)"/>
      <w:numFmt w:val="lowerRoman"/>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8"/>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lowerRoman"/>
      <w:start w:val="1"/>
    </w:lvl>
  </w:abstractNum>
  <w:abstractNum w:abstractNumId="62">
    <w:nsid w:val="799D0247"/>
    <w:multiLevelType w:val="hybridMultilevel"/>
    <w:lvl w:ilvl="0">
      <w:lvlJc w:val="left"/>
      <w:lvlText w:val="%1."/>
      <w:numFmt w:val="decimal"/>
      <w:start w:val="10"/>
    </w:lvl>
  </w:abstractNum>
  <w:abstractNum w:abstractNumId="63">
    <w:nsid w:val="6B94764"/>
    <w:multiLevelType w:val="hybridMultilevel"/>
    <w:lvl w:ilvl="0">
      <w:lvlJc w:val="left"/>
      <w:lvlText w:val="-"/>
      <w:numFmt w:val="bullet"/>
      <w:start w:val="1"/>
    </w:lvl>
    <w:lvl w:ilvl="1">
      <w:lvlJc w:val="left"/>
      <w:lvlText w:val="(%2)"/>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lvl w:ilvl="1">
      <w:lvlJc w:val="left"/>
      <w:lvlText w:val="%2."/>
      <w:numFmt w:val="decimal"/>
      <w:start w:val="1"/>
    </w:lvl>
  </w:abstractNum>
  <w:abstractNum w:abstractNumId="69">
    <w:nsid w:val="540A471C"/>
    <w:multiLevelType w:val="hybridMultilevel"/>
    <w:lvl w:ilvl="0">
      <w:lvlJc w:val="left"/>
      <w:lvlText w:val="o"/>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11"/>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2019-12-06T08:06:05Z</dcterms:created>
  <dcterms:modified xsi:type="dcterms:W3CDTF">2019-12-06T08:06:05Z</dcterms:modified>
</cp:coreProperties>
</file>