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 the month of December 2016</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180"/>
        <w:spacing w:after="0" w:line="207" w:lineRule="exact"/>
        <w:tabs>
          <w:tab w:leader="none" w:pos="61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313690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59"/>
          </w:cols>
          <w:pgMar w:left="300" w:top="47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December 22</w:t>
      </w:r>
      <w:r>
        <w:rPr>
          <w:rFonts w:ascii="Arial" w:cs="Arial" w:eastAsia="Arial" w:hAnsi="Arial"/>
          <w:sz w:val="30"/>
          <w:szCs w:val="30"/>
          <w:color w:val="auto"/>
          <w:vertAlign w:val="superscript"/>
        </w:rPr>
        <w:t>nd</w:t>
      </w:r>
      <w:r>
        <w:rPr>
          <w:rFonts w:ascii="Arial" w:cs="Arial" w:eastAsia="Arial" w:hAnsi="Arial"/>
          <w:sz w:val="18"/>
          <w:szCs w:val="18"/>
          <w:color w:val="auto"/>
        </w:rPr>
        <w:t>, 2016</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SMV Resolution for Material Events and Reserved Information and Other Communications N° 005-2014-SMV-01, Credicorp Ltd.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complies with notifying you of the following Material Event.</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today’s sessions, the Boards of Directors of the subsidiaries Pacífico Seguros Generales (PSG) and Pacífico Vida (PV) agreed unanimously on the following matter:</w:t>
      </w:r>
    </w:p>
    <w:p>
      <w:pPr>
        <w:spacing w:after="0" w:line="170" w:lineRule="exact"/>
        <w:rPr>
          <w:sz w:val="20"/>
          <w:szCs w:val="20"/>
          <w:color w:val="auto"/>
        </w:rPr>
      </w:pPr>
    </w:p>
    <w:p>
      <w:pPr>
        <w:ind w:left="980" w:hanging="648"/>
        <w:spacing w:after="0"/>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mandate to management at PSG and PV requiring them to conduct an analysis to determine if a merger between both entities is convenient.</w:t>
      </w:r>
    </w:p>
    <w:p>
      <w:pPr>
        <w:spacing w:after="0" w:line="248" w:lineRule="exact"/>
        <w:rPr>
          <w:rFonts w:ascii="Arial" w:cs="Arial" w:eastAsia="Arial" w:hAnsi="Arial"/>
          <w:sz w:val="16"/>
          <w:szCs w:val="16"/>
          <w:color w:val="auto"/>
        </w:rPr>
      </w:pPr>
    </w:p>
    <w:p>
      <w:pPr>
        <w:ind w:left="980" w:hanging="648"/>
        <w:spacing w:after="0" w:line="342" w:lineRule="auto"/>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color w:val="auto"/>
        </w:rPr>
        <w:t>Management must ensure that this analysis is comprehensive and as such, includes all economic, financial, legal, accounting and tax-related aspects that are relevant so that the Boards, and if necessary the shareholders at PSG and PV, can make a well-informed decision.</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gridSpan w:val="3"/>
          </w:tcPr>
          <w:p>
            <w:pPr>
              <w:spacing w:after="0"/>
              <w:rPr>
                <w:sz w:val="20"/>
                <w:szCs w:val="20"/>
                <w:color w:val="auto"/>
              </w:rPr>
            </w:pPr>
            <w:r>
              <w:rPr>
                <w:rFonts w:ascii="Arial" w:cs="Arial" w:eastAsia="Arial" w:hAnsi="Arial"/>
                <w:sz w:val="18"/>
                <w:szCs w:val="18"/>
                <w:color w:val="auto"/>
              </w:rPr>
              <w:t>Sincerely,</w:t>
            </w:r>
          </w:p>
        </w:tc>
        <w:tc>
          <w:tcPr>
            <w:tcW w:w="2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608"/>
        </w:trPr>
        <w:tc>
          <w:tcPr>
            <w:tcW w:w="3720" w:type="dxa"/>
            <w:vAlign w:val="bottom"/>
            <w:gridSpan w:val="3"/>
          </w:tcPr>
          <w:p>
            <w:pPr>
              <w:spacing w:after="0"/>
              <w:rPr>
                <w:sz w:val="20"/>
                <w:szCs w:val="20"/>
                <w:color w:val="auto"/>
              </w:rPr>
            </w:pPr>
            <w:r>
              <w:rPr>
                <w:rFonts w:ascii="Arial" w:cs="Arial" w:eastAsia="Arial" w:hAnsi="Arial"/>
                <w:sz w:val="18"/>
                <w:szCs w:val="18"/>
                <w:color w:val="auto"/>
              </w:rPr>
              <w:t>/s/ Guillermo Morales_</w:t>
            </w:r>
          </w:p>
        </w:tc>
        <w:tc>
          <w:tcPr>
            <w:tcW w:w="7700" w:type="dxa"/>
            <w:vAlign w:val="bottom"/>
            <w:gridSpan w:val="3"/>
          </w:tcPr>
          <w:p>
            <w:pPr>
              <w:ind w:left="2000"/>
              <w:spacing w:after="0"/>
              <w:rPr>
                <w:sz w:val="20"/>
                <w:szCs w:val="20"/>
                <w:color w:val="auto"/>
              </w:rPr>
            </w:pPr>
            <w:r>
              <w:rPr>
                <w:rFonts w:ascii="Arial" w:cs="Arial" w:eastAsia="Arial" w:hAnsi="Arial"/>
                <w:sz w:val="18"/>
                <w:szCs w:val="18"/>
                <w:color w:val="auto"/>
              </w:rPr>
              <w:t>/s/ Miriam Böttger</w:t>
            </w:r>
          </w:p>
        </w:tc>
      </w:tr>
      <w:tr>
        <w:trPr>
          <w:trHeight w:val="20"/>
        </w:trPr>
        <w:tc>
          <w:tcPr>
            <w:tcW w:w="2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222"/>
        </w:trPr>
        <w:tc>
          <w:tcPr>
            <w:tcW w:w="3720" w:type="dxa"/>
            <w:vAlign w:val="bottom"/>
            <w:gridSpan w:val="3"/>
          </w:tcPr>
          <w:p>
            <w:pPr>
              <w:spacing w:after="0"/>
              <w:rPr>
                <w:sz w:val="20"/>
                <w:szCs w:val="20"/>
                <w:color w:val="auto"/>
              </w:rPr>
            </w:pPr>
            <w:r>
              <w:rPr>
                <w:rFonts w:ascii="Arial" w:cs="Arial" w:eastAsia="Arial" w:hAnsi="Arial"/>
                <w:sz w:val="18"/>
                <w:szCs w:val="18"/>
                <w:color w:val="auto"/>
              </w:rPr>
              <w:t>Legal Representative</w:t>
            </w:r>
          </w:p>
        </w:tc>
        <w:tc>
          <w:tcPr>
            <w:tcW w:w="7700" w:type="dxa"/>
            <w:vAlign w:val="bottom"/>
            <w:gridSpan w:val="3"/>
          </w:tcPr>
          <w:p>
            <w:pPr>
              <w:ind w:left="2000"/>
              <w:spacing w:after="0"/>
              <w:rPr>
                <w:sz w:val="20"/>
                <w:szCs w:val="20"/>
                <w:color w:val="auto"/>
              </w:rPr>
            </w:pPr>
            <w:r>
              <w:rPr>
                <w:rFonts w:ascii="Arial" w:cs="Arial" w:eastAsia="Arial" w:hAnsi="Arial"/>
                <w:sz w:val="18"/>
                <w:szCs w:val="18"/>
                <w:color w:val="auto"/>
              </w:rPr>
              <w:t>Stock Market Representative</w:t>
            </w:r>
          </w:p>
        </w:tc>
      </w:tr>
      <w:tr>
        <w:trPr>
          <w:trHeight w:val="230"/>
        </w:trPr>
        <w:tc>
          <w:tcPr>
            <w:tcW w:w="3720" w:type="dxa"/>
            <w:vAlign w:val="bottom"/>
            <w:gridSpan w:val="3"/>
          </w:tcPr>
          <w:p>
            <w:pPr>
              <w:spacing w:after="0"/>
              <w:rPr>
                <w:sz w:val="20"/>
                <w:szCs w:val="20"/>
                <w:color w:val="auto"/>
              </w:rPr>
            </w:pPr>
            <w:r>
              <w:rPr>
                <w:rFonts w:ascii="Arial" w:cs="Arial" w:eastAsia="Arial" w:hAnsi="Arial"/>
                <w:sz w:val="18"/>
                <w:szCs w:val="18"/>
                <w:color w:val="auto"/>
              </w:rPr>
              <w:t>Credicorp Ltd.</w:t>
            </w:r>
          </w:p>
        </w:tc>
        <w:tc>
          <w:tcPr>
            <w:tcW w:w="7700" w:type="dxa"/>
            <w:vAlign w:val="bottom"/>
            <w:gridSpan w:val="3"/>
          </w:tcPr>
          <w:p>
            <w:pPr>
              <w:ind w:left="2000"/>
              <w:spacing w:after="0"/>
              <w:rPr>
                <w:sz w:val="20"/>
                <w:szCs w:val="20"/>
                <w:color w:val="auto"/>
              </w:rPr>
            </w:pPr>
            <w:r>
              <w:rPr>
                <w:rFonts w:ascii="Arial" w:cs="Arial" w:eastAsia="Arial" w:hAnsi="Arial"/>
                <w:sz w:val="18"/>
                <w:szCs w:val="18"/>
                <w:color w:val="auto"/>
              </w:rPr>
              <w:t>Credicorp Ltd.</w:t>
            </w:r>
          </w:p>
        </w:tc>
      </w:tr>
      <w:tr>
        <w:trPr>
          <w:trHeight w:val="459"/>
        </w:trPr>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44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00"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December 22</w:t>
      </w:r>
      <w:r>
        <w:rPr>
          <w:rFonts w:ascii="Arial" w:cs="Arial" w:eastAsia="Arial" w:hAnsi="Arial"/>
          <w:sz w:val="30"/>
          <w:szCs w:val="30"/>
          <w:color w:val="auto"/>
          <w:vertAlign w:val="superscript"/>
        </w:rPr>
        <w:t>nd</w:t>
      </w:r>
      <w:r>
        <w:rPr>
          <w:rFonts w:ascii="Arial" w:cs="Arial" w:eastAsia="Arial" w:hAnsi="Arial"/>
          <w:sz w:val="18"/>
          <w:szCs w:val="18"/>
          <w:color w:val="auto"/>
        </w:rPr>
        <w:t>, 2016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gridSpan w:val="3"/>
          </w:tcPr>
          <w:p>
            <w:pPr>
              <w:spacing w:after="0"/>
              <w:rPr>
                <w:sz w:val="20"/>
                <w:szCs w:val="20"/>
                <w:color w:val="auto"/>
              </w:rPr>
            </w:pPr>
            <w:r>
              <w:rPr>
                <w:rFonts w:ascii="Arial" w:cs="Arial" w:eastAsia="Arial" w:hAnsi="Arial"/>
                <w:sz w:val="18"/>
                <w:szCs w:val="18"/>
                <w:color w:val="auto"/>
              </w:rPr>
              <w:t>By: /s/ Guillermo Morales</w:t>
            </w:r>
          </w:p>
        </w:tc>
        <w:tc>
          <w:tcPr>
            <w:tcW w:w="4000" w:type="dxa"/>
            <w:vAlign w:val="bottom"/>
          </w:tcPr>
          <w:p>
            <w:pPr>
              <w:spacing w:after="0"/>
              <w:rPr>
                <w:sz w:val="20"/>
                <w:szCs w:val="20"/>
                <w:color w:val="auto"/>
              </w:rPr>
            </w:pPr>
            <w:r>
              <w:rPr>
                <w:rFonts w:ascii="Arial" w:cs="Arial" w:eastAsia="Arial" w:hAnsi="Arial"/>
                <w:sz w:val="18"/>
                <w:szCs w:val="18"/>
                <w:color w:val="auto"/>
              </w:rPr>
              <w:t>By: /s/ Miriam Böttger</w:t>
            </w:r>
          </w:p>
        </w:tc>
        <w:tc>
          <w:tcPr>
            <w:tcW w:w="170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39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Guillermo Morales</w:t>
            </w:r>
          </w:p>
        </w:tc>
        <w:tc>
          <w:tcPr>
            <w:tcW w:w="1720" w:type="dxa"/>
            <w:vAlign w:val="bottom"/>
          </w:tcPr>
          <w:p>
            <w:pPr>
              <w:spacing w:after="0"/>
              <w:rPr>
                <w:sz w:val="16"/>
                <w:szCs w:val="16"/>
                <w:color w:val="auto"/>
              </w:rPr>
            </w:pPr>
          </w:p>
        </w:tc>
        <w:tc>
          <w:tcPr>
            <w:tcW w:w="400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Miriam Böttger</w:t>
            </w:r>
          </w:p>
        </w:tc>
        <w:tc>
          <w:tcPr>
            <w:tcW w:w="1700" w:type="dxa"/>
            <w:vAlign w:val="bottom"/>
          </w:tcPr>
          <w:p>
            <w:pPr>
              <w:spacing w:after="0"/>
              <w:rPr>
                <w:sz w:val="16"/>
                <w:szCs w:val="16"/>
                <w:color w:val="auto"/>
              </w:rPr>
            </w:pPr>
          </w:p>
        </w:tc>
      </w:tr>
      <w:tr>
        <w:trPr>
          <w:trHeight w:val="234"/>
        </w:trPr>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Authorized Representative</w:t>
            </w:r>
          </w:p>
        </w:tc>
        <w:tc>
          <w:tcPr>
            <w:tcW w:w="4000" w:type="dxa"/>
            <w:vAlign w:val="bottom"/>
          </w:tcPr>
          <w:p>
            <w:pPr>
              <w:spacing w:after="0"/>
              <w:rPr>
                <w:sz w:val="20"/>
                <w:szCs w:val="20"/>
                <w:color w:val="auto"/>
              </w:rPr>
            </w:pPr>
            <w:r>
              <w:rPr>
                <w:rFonts w:ascii="Arial" w:cs="Arial" w:eastAsia="Arial" w:hAnsi="Arial"/>
                <w:sz w:val="18"/>
                <w:szCs w:val="18"/>
                <w:b w:val="1"/>
                <w:bCs w:val="1"/>
                <w:color w:val="auto"/>
              </w:rPr>
              <w:t>Authorized Representative</w:t>
            </w:r>
          </w:p>
        </w:tc>
        <w:tc>
          <w:tcPr>
            <w:tcW w:w="1700" w:type="dxa"/>
            <w:vAlign w:val="bottom"/>
          </w:tcPr>
          <w:p>
            <w:pPr>
              <w:spacing w:after="0"/>
              <w:rPr>
                <w:sz w:val="20"/>
                <w:szCs w:val="20"/>
                <w:color w:val="auto"/>
              </w:rPr>
            </w:pPr>
          </w:p>
        </w:tc>
      </w:tr>
      <w:tr>
        <w:trPr>
          <w:trHeight w:val="459"/>
        </w:trPr>
        <w:tc>
          <w:tcPr>
            <w:tcW w:w="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6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2019-12-06T08:11:14Z</dcterms:created>
  <dcterms:modified xsi:type="dcterms:W3CDTF">2019-12-06T08:11:14Z</dcterms:modified>
</cp:coreProperties>
</file>