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left="1700"/>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08555" cy="1354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0855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notify you as a Material Event that, on December 30, 2024, the Board of Directors of Credicorp Ltd. (‘Credicorp’) agreed unanimously to approve that its subsidiary Atlantic Security Holding Corporation (ASHC) executes Participation Transfer Agreements with the clients of Credicorp Capital S.A. Sociedad Administradora de Fondos. ASHC intends to purchase 100% of the value of investments in the “Credicorp Capital Factoring Dólares” and “Credicorp Capital Factoring Soles” funds for up to US$ 125,300,000.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December 30, 2024</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6574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2024-12-30T15:45:41Z</dcterms:created>
  <dcterms:modified xsi:type="dcterms:W3CDTF">2024-12-30T15:45:41Z</dcterms:modified>
</cp:coreProperties>
</file>