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42" w:lineRule="exact"/>
        <w:rPr>
          <w:sz w:val="20"/>
          <w:szCs w:val="20"/>
          <w:color w:val="auto"/>
        </w:rPr>
      </w:pPr>
      <w:r>
        <w:rPr>
          <w:rFonts w:ascii="Times New Roman" w:cs="Times New Roman" w:eastAsia="Times New Roman" w:hAnsi="Times New Roman"/>
          <w:sz w:val="18"/>
          <w:szCs w:val="18"/>
          <w:color w:val="auto"/>
        </w:rPr>
        <w:t xml:space="preserve">Form 20-F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218440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313055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450215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08555" cy="1354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85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notify you of the following Material Event: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exchange rate registered by the Peruvian Superintendence of Banking, Insurance and AFP (Superintendencia de Banca, Seguros y AFP) at the close of business on June 10, 2026, to be used for the calculation of the dividends to be paid by the Company on June 12, 2026, is S/3.4158 per US Dollar.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regard, the dividend to be paid per share shall be US$14.6379, equivalent to S/50.0000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communication is related to the dividend distribution agreement adopted by the Board of Directors on April 23, 2026, and informed to the market as a Material Event.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2026-06-10T15:25:22Z</dcterms:created>
  <dcterms:modified xsi:type="dcterms:W3CDTF">2026-06-10T15:25:22Z</dcterms:modified>
</cp:coreProperties>
</file>