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Report of Foreign Private Issuer</w:t>
      </w:r>
    </w:p>
    <w:p>
      <w:pPr>
        <w:jc w:val="center"/>
        <w:ind w:right="-19"/>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19"/>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month of May,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Church Street</w:t>
      </w:r>
    </w:p>
    <w:p>
      <w:pPr>
        <w:jc w:val="center"/>
        <w:ind w:right="-19"/>
        <w:spacing w:after="0"/>
        <w:rPr>
          <w:sz w:val="20"/>
          <w:szCs w:val="20"/>
          <w:color w:val="auto"/>
        </w:rPr>
      </w:pPr>
      <w:r>
        <w:rPr>
          <w:rFonts w:ascii="Arial" w:cs="Arial" w:eastAsia="Arial" w:hAnsi="Arial"/>
          <w:sz w:val="22"/>
          <w:szCs w:val="22"/>
          <w:b w:val="1"/>
          <w:bCs w:val="1"/>
          <w:color w:val="auto"/>
        </w:rPr>
        <w:t>Hamilton HM 11 Bermuda</w:t>
      </w:r>
    </w:p>
    <w:p>
      <w:pPr>
        <w:jc w:val="center"/>
        <w:ind w:right="-19"/>
        <w:spacing w:after="0"/>
        <w:rPr>
          <w:sz w:val="20"/>
          <w:szCs w:val="20"/>
          <w:color w:val="auto"/>
        </w:rPr>
      </w:pPr>
      <w:r>
        <w:rPr>
          <w:rFonts w:ascii="Arial" w:cs="Arial" w:eastAsia="Arial" w:hAnsi="Arial"/>
          <w:sz w:val="18"/>
          <w:szCs w:val="18"/>
          <w:color w:val="auto"/>
        </w:rPr>
        <w:t>(Address of principal executive office)</w:t>
      </w:r>
    </w:p>
    <w:p>
      <w:pPr>
        <w:spacing w:after="0" w:line="34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9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firstLine="54"/>
        <w:spacing w:after="0" w:line="251" w:lineRule="auto"/>
        <w:rPr>
          <w:sz w:val="20"/>
          <w:szCs w:val="20"/>
          <w:color w:val="auto"/>
        </w:rPr>
      </w:pPr>
      <w:r>
        <w:rPr>
          <w:rFonts w:ascii="Arial" w:cs="Arial" w:eastAsia="Arial" w:hAnsi="Arial"/>
          <w:sz w:val="22"/>
          <w:szCs w:val="22"/>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Lima, May 25,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Reference: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company, CREDICORP LTD. (NYSE: BAP) in accordance with the amended Peruvian Capital Market Law (TUO - Texto Unico Ordenado) approved by the Supreme Decree N° 093-2002-EF and the Material Event Regulation, Private Information and Other Communications, approved by the CONASEV resolution N° 107-2002-EF/94.10.0 (The Rule), modified by Conasev Resolution N° 009-2003-EF/94.10 (The Regulation), hereby notify you of the following “Material Event”: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of Directors of Credicorp Ltd., informed that it has agreed to increase its contributed capital of US$ 15’000,000.00 to its subsidiary Inversiones Crédito S.A.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ectPr>
          <w:pgSz w:w="11900" w:h="16838" w:orient="portrait"/>
          <w:cols w:equalWidth="0" w:num="1">
            <w:col w:w="11420"/>
          </w:cols>
          <w:pgMar w:left="240" w:top="8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May 25,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2019-12-14T05:56:41Z</dcterms:created>
  <dcterms:modified xsi:type="dcterms:W3CDTF">2019-12-14T05:56:41Z</dcterms:modified>
</cp:coreProperties>
</file>